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06C8A3" w14:textId="52CBAED4" w:rsidR="00BC5B66" w:rsidRPr="00576ED7" w:rsidRDefault="002E3CF9" w:rsidP="00A71E29">
      <w:pPr>
        <w:pStyle w:val="Heading"/>
        <w:rPr>
          <w:rFonts w:ascii="Times New Roman" w:eastAsia="Times New Roman" w:hAnsi="Times New Roman" w:cs="Times New Roman"/>
          <w:sz w:val="24"/>
          <w:szCs w:val="24"/>
        </w:rPr>
      </w:pPr>
      <w:bookmarkStart w:id="0" w:name="_Toc518323187"/>
      <w:r>
        <w:rPr>
          <w:noProof/>
        </w:rPr>
        <w:drawing>
          <wp:inline distT="0" distB="0" distL="0" distR="0" wp14:anchorId="6AFECAA9" wp14:editId="384BF657">
            <wp:extent cx="5490227" cy="7104888"/>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rts_cases_principle_institutions-third_edition_john_fabin_witt_.jpg"/>
                    <pic:cNvPicPr/>
                  </pic:nvPicPr>
                  <pic:blipFill>
                    <a:blip r:embed="rId8">
                      <a:extLst>
                        <a:ext uri="{28A0092B-C50C-407E-A947-70E740481C1C}">
                          <a14:useLocalDpi xmlns:a14="http://schemas.microsoft.com/office/drawing/2010/main" val="0"/>
                        </a:ext>
                      </a:extLst>
                    </a:blip>
                    <a:stretch>
                      <a:fillRect/>
                    </a:stretch>
                  </pic:blipFill>
                  <pic:spPr>
                    <a:xfrm>
                      <a:off x="0" y="0"/>
                      <a:ext cx="5490227" cy="7104888"/>
                    </a:xfrm>
                    <a:prstGeom prst="rect">
                      <a:avLst/>
                    </a:prstGeom>
                    <a:ln>
                      <a:noFill/>
                    </a:ln>
                  </pic:spPr>
                </pic:pic>
              </a:graphicData>
            </a:graphic>
          </wp:inline>
        </w:drawing>
      </w:r>
      <w:r w:rsidR="00BC5B66">
        <w:br w:type="page"/>
      </w:r>
      <w:bookmarkStart w:id="1" w:name="_Toc364636029"/>
      <w:r w:rsidR="00BC5B66" w:rsidRPr="00BC5B66">
        <w:lastRenderedPageBreak/>
        <w:t>Torts: Cases, Principles, and Institutions</w:t>
      </w:r>
      <w:bookmarkEnd w:id="0"/>
      <w:bookmarkEnd w:id="1"/>
    </w:p>
    <w:p w14:paraId="524BF20D" w14:textId="77777777" w:rsidR="00BC5B66" w:rsidRPr="00576ED7" w:rsidRDefault="00BC5B66" w:rsidP="00BC5B66">
      <w:pPr>
        <w:pStyle w:val="TitlePage-Author"/>
        <w:rPr>
          <w:rFonts w:ascii="Times New Roman" w:hAnsi="Times New Roman"/>
          <w:sz w:val="24"/>
          <w:szCs w:val="24"/>
        </w:rPr>
      </w:pPr>
    </w:p>
    <w:p w14:paraId="4691B896" w14:textId="77777777" w:rsidR="00BC5B66" w:rsidRPr="00576ED7" w:rsidRDefault="00BC5B66" w:rsidP="00BC5B66">
      <w:pPr>
        <w:pStyle w:val="TitlePage-Author"/>
        <w:rPr>
          <w:rFonts w:ascii="Times New Roman" w:hAnsi="Times New Roman"/>
          <w:sz w:val="24"/>
          <w:szCs w:val="24"/>
        </w:rPr>
      </w:pPr>
    </w:p>
    <w:p w14:paraId="5F63207E" w14:textId="77777777" w:rsidR="00BC5B66" w:rsidRPr="00576ED7" w:rsidRDefault="00BC5B66" w:rsidP="00BC5B66">
      <w:pPr>
        <w:pStyle w:val="TitlePage-Author"/>
        <w:rPr>
          <w:rFonts w:ascii="Times New Roman" w:hAnsi="Times New Roman"/>
          <w:sz w:val="24"/>
          <w:szCs w:val="24"/>
        </w:rPr>
      </w:pPr>
    </w:p>
    <w:p w14:paraId="78E25EFB" w14:textId="77777777" w:rsidR="00BC5B66" w:rsidRPr="00576ED7" w:rsidRDefault="00BC5B66" w:rsidP="00BC5B66">
      <w:pPr>
        <w:pStyle w:val="TitlePage-Author"/>
        <w:rPr>
          <w:rFonts w:ascii="Times New Roman" w:hAnsi="Times New Roman"/>
          <w:sz w:val="24"/>
          <w:szCs w:val="24"/>
        </w:rPr>
      </w:pPr>
    </w:p>
    <w:p w14:paraId="1F62C1E4" w14:textId="77777777" w:rsidR="00BC5B66" w:rsidRPr="00576ED7" w:rsidRDefault="00BC5B66" w:rsidP="00BC5B66">
      <w:pPr>
        <w:pStyle w:val="TitlePage-Author"/>
        <w:rPr>
          <w:rFonts w:ascii="Times New Roman" w:hAnsi="Times New Roman"/>
          <w:sz w:val="24"/>
          <w:szCs w:val="24"/>
        </w:rPr>
      </w:pPr>
    </w:p>
    <w:p w14:paraId="2AB5014D" w14:textId="77777777" w:rsidR="00BC5B66" w:rsidRPr="00576ED7" w:rsidRDefault="00BC5B66" w:rsidP="00BC5B66">
      <w:pPr>
        <w:pStyle w:val="TitlePage-Author"/>
        <w:rPr>
          <w:rFonts w:ascii="Times New Roman" w:hAnsi="Times New Roman"/>
          <w:sz w:val="24"/>
          <w:szCs w:val="24"/>
        </w:rPr>
      </w:pPr>
    </w:p>
    <w:p w14:paraId="7CFFA6A9" w14:textId="40E7BDC9" w:rsidR="00BC5B66" w:rsidRPr="000B1B59" w:rsidRDefault="00BC5B66" w:rsidP="00BC5B66">
      <w:pPr>
        <w:pStyle w:val="TitlePage-Author"/>
        <w:rPr>
          <w:rFonts w:ascii="Times New Roman" w:hAnsi="Times New Roman"/>
          <w:sz w:val="32"/>
          <w:szCs w:val="32"/>
        </w:rPr>
      </w:pPr>
      <w:r w:rsidRPr="000B1B59">
        <w:rPr>
          <w:rFonts w:ascii="Times New Roman" w:hAnsi="Times New Roman"/>
          <w:sz w:val="32"/>
          <w:szCs w:val="32"/>
        </w:rPr>
        <w:t>John Fabian Witt</w:t>
      </w:r>
    </w:p>
    <w:p w14:paraId="76A98A5E" w14:textId="17723698" w:rsidR="00BC5B66" w:rsidRPr="000B1B59" w:rsidRDefault="750671CE" w:rsidP="750671CE">
      <w:pPr>
        <w:pStyle w:val="Body"/>
        <w:rPr>
          <w:rFonts w:ascii="Times New Roman" w:eastAsia="Times New Roman" w:hAnsi="Times New Roman"/>
          <w:sz w:val="32"/>
          <w:szCs w:val="32"/>
        </w:rPr>
      </w:pPr>
      <w:r w:rsidRPr="750671CE">
        <w:rPr>
          <w:rFonts w:ascii="Times New Roman" w:eastAsia="Times New Roman" w:hAnsi="Times New Roman"/>
          <w:sz w:val="32"/>
          <w:szCs w:val="32"/>
        </w:rPr>
        <w:t>Allen H. Duffy Class of 1960 Professor of Law</w:t>
      </w:r>
    </w:p>
    <w:p w14:paraId="19AF05CF" w14:textId="77777777" w:rsidR="00BC5B66" w:rsidRPr="000B1B59" w:rsidRDefault="00BC5B66" w:rsidP="00BC5B66">
      <w:pPr>
        <w:pStyle w:val="Body"/>
        <w:rPr>
          <w:rFonts w:ascii="Times New Roman" w:hAnsi="Times New Roman"/>
          <w:sz w:val="32"/>
          <w:szCs w:val="32"/>
        </w:rPr>
      </w:pPr>
    </w:p>
    <w:p w14:paraId="612E246B" w14:textId="65FF9975" w:rsidR="00BC5B66" w:rsidRPr="000B1B59" w:rsidRDefault="750671CE" w:rsidP="750671CE">
      <w:pPr>
        <w:pStyle w:val="Body"/>
        <w:rPr>
          <w:rFonts w:ascii="Times New Roman" w:eastAsia="Times New Roman" w:hAnsi="Times New Roman"/>
          <w:sz w:val="32"/>
          <w:szCs w:val="32"/>
        </w:rPr>
      </w:pPr>
      <w:r w:rsidRPr="750671CE">
        <w:rPr>
          <w:rFonts w:ascii="Times New Roman" w:eastAsia="Times New Roman" w:hAnsi="Times New Roman"/>
          <w:sz w:val="32"/>
          <w:szCs w:val="32"/>
        </w:rPr>
        <w:t>Yale Law School</w:t>
      </w:r>
    </w:p>
    <w:p w14:paraId="423808D8" w14:textId="77777777" w:rsidR="00BC5B66" w:rsidRPr="000B1B59" w:rsidRDefault="00BC5B66" w:rsidP="00BC5B66">
      <w:pPr>
        <w:pStyle w:val="TitlePage-Author"/>
        <w:rPr>
          <w:rFonts w:ascii="Times New Roman" w:hAnsi="Times New Roman"/>
          <w:sz w:val="32"/>
          <w:szCs w:val="32"/>
        </w:rPr>
      </w:pPr>
    </w:p>
    <w:p w14:paraId="7AB8167D" w14:textId="77777777" w:rsidR="00BC5B66" w:rsidRPr="000B1B59" w:rsidRDefault="00BC5B66" w:rsidP="00BC5B66">
      <w:pPr>
        <w:pStyle w:val="TitlePage-Author"/>
        <w:rPr>
          <w:rFonts w:ascii="Times New Roman" w:hAnsi="Times New Roman"/>
          <w:sz w:val="32"/>
          <w:szCs w:val="32"/>
        </w:rPr>
      </w:pPr>
    </w:p>
    <w:p w14:paraId="0343B951" w14:textId="77777777" w:rsidR="00BC5B66" w:rsidRPr="000B1B59" w:rsidRDefault="00BC5B66" w:rsidP="00BC5B66">
      <w:pPr>
        <w:pStyle w:val="TitlePage-Author"/>
        <w:rPr>
          <w:rFonts w:ascii="Times New Roman" w:hAnsi="Times New Roman"/>
          <w:sz w:val="32"/>
          <w:szCs w:val="32"/>
        </w:rPr>
      </w:pPr>
    </w:p>
    <w:p w14:paraId="58290E4C" w14:textId="77777777" w:rsidR="00BC5B66" w:rsidRPr="000B1B59" w:rsidRDefault="00BC5B66" w:rsidP="00BC5B66">
      <w:pPr>
        <w:pStyle w:val="TitlePage-Author"/>
        <w:rPr>
          <w:rFonts w:ascii="Times New Roman" w:hAnsi="Times New Roman"/>
          <w:sz w:val="32"/>
          <w:szCs w:val="32"/>
        </w:rPr>
      </w:pPr>
    </w:p>
    <w:p w14:paraId="2C392B0A" w14:textId="77777777" w:rsidR="009C7FDC" w:rsidRDefault="009C7FDC" w:rsidP="00BC5B66">
      <w:pPr>
        <w:pStyle w:val="TitlePage-Author"/>
        <w:rPr>
          <w:rFonts w:ascii="Times New Roman" w:hAnsi="Times New Roman"/>
          <w:sz w:val="32"/>
          <w:szCs w:val="32"/>
        </w:rPr>
      </w:pPr>
    </w:p>
    <w:p w14:paraId="2834FACC" w14:textId="77777777" w:rsidR="009C7FDC" w:rsidRDefault="009C7FDC" w:rsidP="00BC5B66">
      <w:pPr>
        <w:pStyle w:val="TitlePage-Author"/>
        <w:rPr>
          <w:rFonts w:ascii="Times New Roman" w:hAnsi="Times New Roman"/>
          <w:sz w:val="32"/>
          <w:szCs w:val="32"/>
        </w:rPr>
      </w:pPr>
    </w:p>
    <w:p w14:paraId="1386279F" w14:textId="77777777" w:rsidR="009C7FDC" w:rsidRDefault="009C7FDC" w:rsidP="00BC5B66">
      <w:pPr>
        <w:pStyle w:val="TitlePage-Author"/>
        <w:rPr>
          <w:rFonts w:ascii="Times New Roman" w:hAnsi="Times New Roman"/>
          <w:sz w:val="32"/>
          <w:szCs w:val="32"/>
        </w:rPr>
      </w:pPr>
    </w:p>
    <w:p w14:paraId="3A166A74" w14:textId="6570B9B0" w:rsidR="00BC5B66" w:rsidRPr="000B1B59" w:rsidRDefault="00563CE4" w:rsidP="00BC5B66">
      <w:pPr>
        <w:pStyle w:val="TitlePage-Author"/>
        <w:rPr>
          <w:rFonts w:ascii="Times New Roman" w:hAnsi="Times New Roman"/>
          <w:sz w:val="32"/>
          <w:szCs w:val="32"/>
        </w:rPr>
      </w:pPr>
      <w:r>
        <w:rPr>
          <w:rFonts w:ascii="Times New Roman" w:hAnsi="Times New Roman"/>
          <w:sz w:val="32"/>
          <w:szCs w:val="32"/>
        </w:rPr>
        <w:t xml:space="preserve">Third </w:t>
      </w:r>
      <w:r w:rsidR="001F00AB">
        <w:rPr>
          <w:rFonts w:ascii="Times New Roman" w:hAnsi="Times New Roman"/>
          <w:sz w:val="32"/>
          <w:szCs w:val="32"/>
        </w:rPr>
        <w:t>Edition</w:t>
      </w:r>
    </w:p>
    <w:p w14:paraId="08FEC3C1" w14:textId="53457F80" w:rsidR="00BC5B66" w:rsidRPr="000B1B59" w:rsidRDefault="001F00AB" w:rsidP="00BC5B66">
      <w:pPr>
        <w:pStyle w:val="TitlePage-Author"/>
        <w:rPr>
          <w:rFonts w:ascii="Times New Roman" w:hAnsi="Times New Roman"/>
          <w:sz w:val="32"/>
          <w:szCs w:val="32"/>
        </w:rPr>
      </w:pPr>
      <w:r>
        <w:rPr>
          <w:rFonts w:ascii="Times New Roman" w:hAnsi="Times New Roman"/>
          <w:sz w:val="32"/>
          <w:szCs w:val="32"/>
        </w:rPr>
        <w:t>CALI eLangdell</w:t>
      </w:r>
      <w:r w:rsidR="009C7FDC">
        <w:rPr>
          <w:rFonts w:ascii="Times New Roman" w:hAnsi="Times New Roman"/>
          <w:sz w:val="32"/>
          <w:szCs w:val="32"/>
        </w:rPr>
        <w:t xml:space="preserve">® </w:t>
      </w:r>
      <w:r>
        <w:rPr>
          <w:rFonts w:ascii="Times New Roman" w:hAnsi="Times New Roman"/>
          <w:sz w:val="32"/>
          <w:szCs w:val="32"/>
        </w:rPr>
        <w:t xml:space="preserve">Press </w:t>
      </w:r>
      <w:r w:rsidR="00563CE4">
        <w:rPr>
          <w:rFonts w:ascii="Times New Roman" w:hAnsi="Times New Roman"/>
          <w:sz w:val="32"/>
          <w:szCs w:val="32"/>
        </w:rPr>
        <w:t>2018</w:t>
      </w:r>
    </w:p>
    <w:p w14:paraId="77AD3B12" w14:textId="77777777" w:rsidR="00BC5B66" w:rsidRDefault="00BC5B66">
      <w:pPr>
        <w:rPr>
          <w:rFonts w:ascii="Times New Roman" w:eastAsia="ヒラギノ角ゴ Pro W3" w:hAnsi="Times New Roman" w:cs="Times New Roman"/>
          <w:noProof/>
          <w:color w:val="000000"/>
          <w:lang w:eastAsia="en-US"/>
        </w:rPr>
      </w:pPr>
      <w:r>
        <w:rPr>
          <w:rFonts w:ascii="Times New Roman" w:hAnsi="Times New Roman"/>
        </w:rPr>
        <w:br w:type="page"/>
      </w:r>
    </w:p>
    <w:p w14:paraId="498DC00B" w14:textId="77777777" w:rsidR="0039421E" w:rsidRDefault="0039421E" w:rsidP="00296689">
      <w:pPr>
        <w:pStyle w:val="Heading1"/>
        <w:sectPr w:rsidR="0039421E" w:rsidSect="00507B43">
          <w:headerReference w:type="even" r:id="rId9"/>
          <w:headerReference w:type="default" r:id="rId10"/>
          <w:footerReference w:type="even" r:id="rId11"/>
          <w:footerReference w:type="default" r:id="rId12"/>
          <w:footerReference w:type="first" r:id="rId13"/>
          <w:pgSz w:w="12240" w:h="15840"/>
          <w:pgMar w:top="1440" w:right="1800" w:bottom="1440" w:left="1800" w:header="720" w:footer="720" w:gutter="0"/>
          <w:pgNumType w:start="1"/>
          <w:cols w:space="720"/>
          <w:noEndnote/>
          <w:titlePg/>
          <w:docGrid w:linePitch="326"/>
        </w:sectPr>
      </w:pPr>
      <w:bookmarkStart w:id="2" w:name="_Toc361064342"/>
      <w:bookmarkStart w:id="3" w:name="_Toc375132904"/>
      <w:bookmarkStart w:id="4" w:name="_Toc364636030"/>
    </w:p>
    <w:p w14:paraId="67124A2B" w14:textId="36E35056" w:rsidR="00BC5B66" w:rsidRDefault="00BC5B66" w:rsidP="00296689">
      <w:pPr>
        <w:pStyle w:val="Heading1"/>
      </w:pPr>
      <w:bookmarkStart w:id="5" w:name="_Toc518323188"/>
      <w:r w:rsidRPr="00576ED7">
        <w:lastRenderedPageBreak/>
        <w:t>About the Author</w:t>
      </w:r>
      <w:bookmarkEnd w:id="2"/>
      <w:bookmarkEnd w:id="3"/>
      <w:bookmarkEnd w:id="4"/>
      <w:bookmarkEnd w:id="5"/>
    </w:p>
    <w:p w14:paraId="4BD5857B" w14:textId="77777777" w:rsidR="00BC5B66" w:rsidRDefault="00BC5B66" w:rsidP="00BC5B66">
      <w:pPr>
        <w:pStyle w:val="TitlePage-Author"/>
        <w:rPr>
          <w:rFonts w:ascii="Times New Roman" w:hAnsi="Times New Roman"/>
          <w:sz w:val="24"/>
          <w:szCs w:val="24"/>
        </w:rPr>
      </w:pPr>
    </w:p>
    <w:p w14:paraId="734F87BA" w14:textId="7A01E40B" w:rsidR="00BC5B66" w:rsidRDefault="00BC5B66" w:rsidP="00BC5B66">
      <w:pPr>
        <w:pStyle w:val="TitlePage-Author"/>
        <w:rPr>
          <w:rFonts w:ascii="Times New Roman" w:hAnsi="Times New Roman"/>
          <w:sz w:val="24"/>
          <w:szCs w:val="24"/>
        </w:rPr>
      </w:pPr>
      <w:r w:rsidRPr="00BC5B66">
        <w:rPr>
          <w:rFonts w:ascii="Times New Roman" w:hAnsi="Times New Roman"/>
          <w:sz w:val="24"/>
          <w:szCs w:val="24"/>
        </w:rPr>
        <w:t>John Fabian Witt is Allen H. Duffy Class of 1960 Professor of</w:t>
      </w:r>
      <w:r w:rsidR="0023377A">
        <w:rPr>
          <w:rFonts w:ascii="Times New Roman" w:hAnsi="Times New Roman"/>
          <w:sz w:val="24"/>
          <w:szCs w:val="24"/>
        </w:rPr>
        <w:t xml:space="preserve"> Law at Yale Law School.  He is the author of</w:t>
      </w:r>
      <w:r w:rsidRPr="00BC5B66">
        <w:rPr>
          <w:rFonts w:ascii="Times New Roman" w:hAnsi="Times New Roman"/>
          <w:sz w:val="24"/>
          <w:szCs w:val="24"/>
        </w:rPr>
        <w:t xml:space="preserve"> </w:t>
      </w:r>
      <w:r w:rsidRPr="0023377A">
        <w:rPr>
          <w:rFonts w:ascii="Times New Roman" w:hAnsi="Times New Roman"/>
          <w:i/>
          <w:sz w:val="24"/>
          <w:szCs w:val="24"/>
        </w:rPr>
        <w:t>Lincoln</w:t>
      </w:r>
      <w:r w:rsidR="00B05F31" w:rsidRPr="0023377A">
        <w:rPr>
          <w:rFonts w:ascii="Times New Roman" w:hAnsi="Times New Roman"/>
          <w:i/>
          <w:sz w:val="24"/>
          <w:szCs w:val="24"/>
        </w:rPr>
        <w:t>’</w:t>
      </w:r>
      <w:r w:rsidRPr="0023377A">
        <w:rPr>
          <w:rFonts w:ascii="Times New Roman" w:hAnsi="Times New Roman"/>
          <w:i/>
          <w:sz w:val="24"/>
          <w:szCs w:val="24"/>
        </w:rPr>
        <w:t>s Code: The Laws of War in American History</w:t>
      </w:r>
      <w:r w:rsidR="0023377A">
        <w:rPr>
          <w:rFonts w:ascii="Times New Roman" w:hAnsi="Times New Roman"/>
          <w:sz w:val="24"/>
          <w:szCs w:val="24"/>
        </w:rPr>
        <w:t xml:space="preserve">, which </w:t>
      </w:r>
      <w:r w:rsidRPr="00BC5B66">
        <w:rPr>
          <w:rFonts w:ascii="Times New Roman" w:hAnsi="Times New Roman"/>
          <w:sz w:val="24"/>
          <w:szCs w:val="24"/>
        </w:rPr>
        <w:t>was awarded the American Bar Association</w:t>
      </w:r>
      <w:r w:rsidR="00B05F31">
        <w:rPr>
          <w:rFonts w:ascii="Times New Roman" w:hAnsi="Times New Roman"/>
          <w:sz w:val="24"/>
          <w:szCs w:val="24"/>
        </w:rPr>
        <w:t>’</w:t>
      </w:r>
      <w:r w:rsidRPr="00BC5B66">
        <w:rPr>
          <w:rFonts w:ascii="Times New Roman" w:hAnsi="Times New Roman"/>
          <w:sz w:val="24"/>
          <w:szCs w:val="24"/>
        </w:rPr>
        <w:t xml:space="preserve">s Silver Gavel Award, was selected for the 2013 Bancroft Prize in American history, was a finalist for the Pulitzer Prize, and was a </w:t>
      </w:r>
      <w:r w:rsidRPr="0023377A">
        <w:rPr>
          <w:rFonts w:ascii="Times New Roman" w:hAnsi="Times New Roman"/>
          <w:i/>
          <w:sz w:val="24"/>
          <w:szCs w:val="24"/>
        </w:rPr>
        <w:t>New York Times</w:t>
      </w:r>
      <w:r w:rsidRPr="00BC5B66">
        <w:rPr>
          <w:rFonts w:ascii="Times New Roman" w:hAnsi="Times New Roman"/>
          <w:sz w:val="24"/>
          <w:szCs w:val="24"/>
        </w:rPr>
        <w:t xml:space="preserve"> Notable Book for 2012.  He has taught torts for </w:t>
      </w:r>
      <w:r w:rsidR="00563CE4">
        <w:rPr>
          <w:rFonts w:ascii="Times New Roman" w:hAnsi="Times New Roman"/>
          <w:sz w:val="24"/>
          <w:szCs w:val="24"/>
        </w:rPr>
        <w:t>sixteen</w:t>
      </w:r>
      <w:r w:rsidR="00563CE4" w:rsidRPr="00BC5B66">
        <w:rPr>
          <w:rFonts w:ascii="Times New Roman" w:hAnsi="Times New Roman"/>
          <w:sz w:val="24"/>
          <w:szCs w:val="24"/>
        </w:rPr>
        <w:t xml:space="preserve"> </w:t>
      </w:r>
      <w:r w:rsidRPr="00BC5B66">
        <w:rPr>
          <w:rFonts w:ascii="Times New Roman" w:hAnsi="Times New Roman"/>
          <w:sz w:val="24"/>
          <w:szCs w:val="24"/>
        </w:rPr>
        <w:t xml:space="preserve">years at Yale, Columbia, and Harvard.  </w:t>
      </w:r>
    </w:p>
    <w:p w14:paraId="025C29B7" w14:textId="77777777" w:rsidR="00BC5B66" w:rsidRPr="00BC5B66" w:rsidRDefault="00BC5B66" w:rsidP="00BC5B66">
      <w:pPr>
        <w:pStyle w:val="TitlePage-Author"/>
        <w:rPr>
          <w:rFonts w:ascii="Times New Roman" w:hAnsi="Times New Roman"/>
          <w:sz w:val="24"/>
          <w:szCs w:val="24"/>
        </w:rPr>
      </w:pPr>
    </w:p>
    <w:p w14:paraId="0F4386CC" w14:textId="31E885A1" w:rsidR="00BC5B66" w:rsidRDefault="00BC5B66" w:rsidP="00BC5B66">
      <w:pPr>
        <w:pStyle w:val="TitlePage-Author"/>
        <w:rPr>
          <w:rFonts w:ascii="Times New Roman" w:hAnsi="Times New Roman"/>
          <w:sz w:val="24"/>
          <w:szCs w:val="24"/>
        </w:rPr>
      </w:pPr>
      <w:r w:rsidRPr="00BC5B66">
        <w:rPr>
          <w:rFonts w:ascii="Times New Roman" w:hAnsi="Times New Roman"/>
          <w:sz w:val="24"/>
          <w:szCs w:val="24"/>
        </w:rPr>
        <w:t>Professor Witt</w:t>
      </w:r>
      <w:r w:rsidR="00B05F31">
        <w:rPr>
          <w:rFonts w:ascii="Times New Roman" w:hAnsi="Times New Roman"/>
          <w:sz w:val="24"/>
          <w:szCs w:val="24"/>
        </w:rPr>
        <w:t>’</w:t>
      </w:r>
      <w:r w:rsidRPr="00BC5B66">
        <w:rPr>
          <w:rFonts w:ascii="Times New Roman" w:hAnsi="Times New Roman"/>
          <w:sz w:val="24"/>
          <w:szCs w:val="24"/>
        </w:rPr>
        <w:t xml:space="preserve">s previous writings includes the prizewinning book, </w:t>
      </w:r>
      <w:r w:rsidRPr="0023377A">
        <w:rPr>
          <w:rFonts w:ascii="Times New Roman" w:hAnsi="Times New Roman"/>
          <w:i/>
          <w:sz w:val="24"/>
          <w:szCs w:val="24"/>
        </w:rPr>
        <w:t>The Accidental Republic: Crippled Workingmen, Destitute Widows, and the Remaking of American Law</w:t>
      </w:r>
      <w:r w:rsidRPr="00BC5B66">
        <w:rPr>
          <w:rFonts w:ascii="Times New Roman" w:hAnsi="Times New Roman"/>
          <w:sz w:val="24"/>
          <w:szCs w:val="24"/>
        </w:rPr>
        <w:t xml:space="preserve"> (Harvard University Press, 2004) and </w:t>
      </w:r>
      <w:r w:rsidRPr="0023377A">
        <w:rPr>
          <w:rFonts w:ascii="Times New Roman" w:hAnsi="Times New Roman"/>
          <w:i/>
          <w:sz w:val="24"/>
          <w:szCs w:val="24"/>
        </w:rPr>
        <w:t>Patriots and Cosmopolitans: Hidden Histories of American La</w:t>
      </w:r>
      <w:r w:rsidRPr="00BC5B66">
        <w:rPr>
          <w:rFonts w:ascii="Times New Roman" w:hAnsi="Times New Roman"/>
          <w:sz w:val="24"/>
          <w:szCs w:val="24"/>
        </w:rPr>
        <w:t xml:space="preserve">w (Harvard University Press, 2007).  He has authored articles in the </w:t>
      </w:r>
      <w:r w:rsidRPr="0023377A">
        <w:rPr>
          <w:rFonts w:ascii="Times New Roman" w:hAnsi="Times New Roman"/>
          <w:i/>
          <w:sz w:val="24"/>
          <w:szCs w:val="24"/>
        </w:rPr>
        <w:t>American Historical Review</w:t>
      </w:r>
      <w:r w:rsidRPr="00BC5B66">
        <w:rPr>
          <w:rFonts w:ascii="Times New Roman" w:hAnsi="Times New Roman"/>
          <w:sz w:val="24"/>
          <w:szCs w:val="24"/>
        </w:rPr>
        <w:t xml:space="preserve">, the </w:t>
      </w:r>
      <w:r w:rsidRPr="0023377A">
        <w:rPr>
          <w:rFonts w:ascii="Times New Roman" w:hAnsi="Times New Roman"/>
          <w:i/>
          <w:sz w:val="24"/>
          <w:szCs w:val="24"/>
        </w:rPr>
        <w:t>Columbia Law Review</w:t>
      </w:r>
      <w:r w:rsidRPr="00BC5B66">
        <w:rPr>
          <w:rFonts w:ascii="Times New Roman" w:hAnsi="Times New Roman"/>
          <w:sz w:val="24"/>
          <w:szCs w:val="24"/>
        </w:rPr>
        <w:t xml:space="preserve">, the </w:t>
      </w:r>
      <w:r w:rsidRPr="0023377A">
        <w:rPr>
          <w:rFonts w:ascii="Times New Roman" w:hAnsi="Times New Roman"/>
          <w:i/>
          <w:sz w:val="24"/>
          <w:szCs w:val="24"/>
        </w:rPr>
        <w:t>Harvard Law Review</w:t>
      </w:r>
      <w:r w:rsidRPr="00BC5B66">
        <w:rPr>
          <w:rFonts w:ascii="Times New Roman" w:hAnsi="Times New Roman"/>
          <w:sz w:val="24"/>
          <w:szCs w:val="24"/>
        </w:rPr>
        <w:t xml:space="preserve">, the </w:t>
      </w:r>
      <w:r w:rsidRPr="0023377A">
        <w:rPr>
          <w:rFonts w:ascii="Times New Roman" w:hAnsi="Times New Roman"/>
          <w:i/>
          <w:sz w:val="24"/>
          <w:szCs w:val="24"/>
        </w:rPr>
        <w:t>Yale Law Journal</w:t>
      </w:r>
      <w:r w:rsidRPr="00BC5B66">
        <w:rPr>
          <w:rFonts w:ascii="Times New Roman" w:hAnsi="Times New Roman"/>
          <w:sz w:val="24"/>
          <w:szCs w:val="24"/>
        </w:rPr>
        <w:t xml:space="preserve">, and other scholarly journals. He has written for the </w:t>
      </w:r>
      <w:r w:rsidRPr="0023377A">
        <w:rPr>
          <w:rFonts w:ascii="Times New Roman" w:hAnsi="Times New Roman"/>
          <w:i/>
          <w:sz w:val="24"/>
          <w:szCs w:val="24"/>
        </w:rPr>
        <w:t>New York Times</w:t>
      </w:r>
      <w:r w:rsidRPr="00BC5B66">
        <w:rPr>
          <w:rFonts w:ascii="Times New Roman" w:hAnsi="Times New Roman"/>
          <w:sz w:val="24"/>
          <w:szCs w:val="24"/>
        </w:rPr>
        <w:t xml:space="preserve">, </w:t>
      </w:r>
      <w:r w:rsidRPr="0023377A">
        <w:rPr>
          <w:rFonts w:ascii="Times New Roman" w:hAnsi="Times New Roman"/>
          <w:i/>
          <w:sz w:val="24"/>
          <w:szCs w:val="24"/>
        </w:rPr>
        <w:t>Slate</w:t>
      </w:r>
      <w:r w:rsidRPr="00BC5B66">
        <w:rPr>
          <w:rFonts w:ascii="Times New Roman" w:hAnsi="Times New Roman"/>
          <w:sz w:val="24"/>
          <w:szCs w:val="24"/>
        </w:rPr>
        <w:t xml:space="preserve">, the </w:t>
      </w:r>
      <w:r w:rsidRPr="0023377A">
        <w:rPr>
          <w:rFonts w:ascii="Times New Roman" w:hAnsi="Times New Roman"/>
          <w:i/>
          <w:sz w:val="24"/>
          <w:szCs w:val="24"/>
        </w:rPr>
        <w:t>Wall Street Journal</w:t>
      </w:r>
      <w:r w:rsidRPr="00BC5B66">
        <w:rPr>
          <w:rFonts w:ascii="Times New Roman" w:hAnsi="Times New Roman"/>
          <w:sz w:val="24"/>
          <w:szCs w:val="24"/>
        </w:rPr>
        <w:t xml:space="preserve">, and the </w:t>
      </w:r>
      <w:r w:rsidRPr="0023377A">
        <w:rPr>
          <w:rFonts w:ascii="Times New Roman" w:hAnsi="Times New Roman"/>
          <w:i/>
          <w:sz w:val="24"/>
          <w:szCs w:val="24"/>
        </w:rPr>
        <w:t>Washington Post</w:t>
      </w:r>
      <w:r w:rsidRPr="00BC5B66">
        <w:rPr>
          <w:rFonts w:ascii="Times New Roman" w:hAnsi="Times New Roman"/>
          <w:sz w:val="24"/>
          <w:szCs w:val="24"/>
        </w:rPr>
        <w:t>. In 2010</w:t>
      </w:r>
      <w:r w:rsidR="005F0180">
        <w:rPr>
          <w:rFonts w:ascii="Times New Roman" w:hAnsi="Times New Roman"/>
          <w:sz w:val="24"/>
          <w:szCs w:val="24"/>
        </w:rPr>
        <w:t>,</w:t>
      </w:r>
      <w:r w:rsidRPr="00BC5B66">
        <w:rPr>
          <w:rFonts w:ascii="Times New Roman" w:hAnsi="Times New Roman"/>
          <w:sz w:val="24"/>
          <w:szCs w:val="24"/>
        </w:rPr>
        <w:t xml:space="preserve"> he was awarded a John Simon Guggenheim Memorial Foundation Fellowship for his project on the laws of war in American history. Professor Witt is a graduate of Yale Law School and Yale College</w:t>
      </w:r>
      <w:r w:rsidR="005F0180">
        <w:rPr>
          <w:rFonts w:ascii="Times New Roman" w:hAnsi="Times New Roman"/>
          <w:sz w:val="24"/>
          <w:szCs w:val="24"/>
        </w:rPr>
        <w:t>,</w:t>
      </w:r>
      <w:r w:rsidRPr="00BC5B66">
        <w:rPr>
          <w:rFonts w:ascii="Times New Roman" w:hAnsi="Times New Roman"/>
          <w:sz w:val="24"/>
          <w:szCs w:val="24"/>
        </w:rPr>
        <w:t xml:space="preserve"> and he holds a Ph.D. in history from Yale. He is a fellow of the American Academy of Arts and Sciences. He served as law clerk to Judge Pierre N. Leval on the United States Court of Appeals for the Second Circuit.</w:t>
      </w:r>
    </w:p>
    <w:p w14:paraId="09127635" w14:textId="77777777" w:rsidR="00BC5B66" w:rsidRDefault="00BC5B66" w:rsidP="00BC5B66">
      <w:pPr>
        <w:pStyle w:val="TitlePage-Author"/>
        <w:rPr>
          <w:rFonts w:ascii="Times New Roman" w:hAnsi="Times New Roman"/>
          <w:sz w:val="24"/>
          <w:szCs w:val="24"/>
        </w:rPr>
      </w:pPr>
    </w:p>
    <w:p w14:paraId="4B91BDA2" w14:textId="3124C8DE" w:rsidR="00BC5B66" w:rsidRDefault="00BC5B66">
      <w:pPr>
        <w:rPr>
          <w:rFonts w:ascii="Times New Roman" w:eastAsia="ヒラギノ角ゴ Pro W3" w:hAnsi="Times New Roman" w:cs="Times New Roman"/>
          <w:noProof/>
          <w:color w:val="000000"/>
          <w:lang w:eastAsia="en-US"/>
        </w:rPr>
      </w:pPr>
      <w:r>
        <w:rPr>
          <w:rFonts w:ascii="Times New Roman" w:hAnsi="Times New Roman"/>
        </w:rPr>
        <w:br w:type="page"/>
      </w:r>
    </w:p>
    <w:p w14:paraId="47A7090D" w14:textId="77777777" w:rsidR="00BC5B66" w:rsidRPr="009C7FDC" w:rsidRDefault="00BC5B66" w:rsidP="00296689">
      <w:pPr>
        <w:pStyle w:val="Heading1"/>
        <w:rPr>
          <w:rStyle w:val="Heading2Char"/>
          <w:rFonts w:eastAsia="Times New Roman" w:cs="Times New Roman"/>
          <w:b/>
          <w:bCs w:val="0"/>
          <w:i w:val="0"/>
        </w:rPr>
      </w:pPr>
      <w:bookmarkStart w:id="6" w:name="_Toc348954229"/>
      <w:bookmarkStart w:id="7" w:name="_Toc349741731"/>
      <w:bookmarkStart w:id="8" w:name="_Toc350342086"/>
      <w:bookmarkStart w:id="9" w:name="_Toc356564141"/>
      <w:bookmarkStart w:id="10" w:name="_Toc361064343"/>
      <w:bookmarkStart w:id="11" w:name="_Toc375132905"/>
      <w:bookmarkStart w:id="12" w:name="_Toc364636031"/>
      <w:bookmarkStart w:id="13" w:name="_Toc518323189"/>
      <w:r w:rsidRPr="009C7FDC">
        <w:rPr>
          <w:rStyle w:val="Heading2Char"/>
          <w:rFonts w:eastAsia="Times New Roman" w:cs="Times New Roman"/>
          <w:b/>
          <w:bCs w:val="0"/>
          <w:i w:val="0"/>
        </w:rPr>
        <w:lastRenderedPageBreak/>
        <w:t>Notices</w:t>
      </w:r>
      <w:bookmarkEnd w:id="6"/>
      <w:bookmarkEnd w:id="7"/>
      <w:bookmarkEnd w:id="8"/>
      <w:bookmarkEnd w:id="9"/>
      <w:bookmarkEnd w:id="10"/>
      <w:bookmarkEnd w:id="11"/>
      <w:bookmarkEnd w:id="12"/>
      <w:bookmarkEnd w:id="13"/>
    </w:p>
    <w:p w14:paraId="4AA74D9E" w14:textId="77777777" w:rsidR="00BC5B66" w:rsidRPr="00BC5B66" w:rsidRDefault="00BC5B66" w:rsidP="00BC5B66"/>
    <w:p w14:paraId="454557FB" w14:textId="77777777" w:rsidR="00146231" w:rsidRDefault="750671CE" w:rsidP="00146231">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rPr>
        <w:t xml:space="preserve">This is the </w:t>
      </w:r>
      <w:r w:rsidR="0023377A">
        <w:rPr>
          <w:rFonts w:ascii="Times New Roman" w:eastAsia="Times New Roman" w:hAnsi="Times New Roman"/>
          <w:color w:val="auto"/>
        </w:rPr>
        <w:t>third</w:t>
      </w:r>
      <w:r w:rsidRPr="750671CE">
        <w:rPr>
          <w:rFonts w:ascii="Times New Roman" w:eastAsia="Times New Roman" w:hAnsi="Times New Roman"/>
          <w:color w:val="auto"/>
        </w:rPr>
        <w:t xml:space="preserve"> edition of </w:t>
      </w:r>
      <w:r w:rsidR="0023377A">
        <w:rPr>
          <w:rFonts w:ascii="Times New Roman" w:eastAsia="Times New Roman" w:hAnsi="Times New Roman"/>
          <w:color w:val="auto"/>
        </w:rPr>
        <w:t>this casebook, updated June 2018</w:t>
      </w:r>
      <w:r w:rsidRPr="750671CE">
        <w:rPr>
          <w:rFonts w:ascii="Times New Roman" w:eastAsia="Times New Roman" w:hAnsi="Times New Roman"/>
          <w:color w:val="auto"/>
        </w:rPr>
        <w:t xml:space="preserve">. Visit </w:t>
      </w:r>
      <w:hyperlink r:id="rId14">
        <w:r w:rsidRPr="750671CE">
          <w:rPr>
            <w:rStyle w:val="Hyperlink"/>
            <w:rFonts w:ascii="Times New Roman" w:eastAsia="Times New Roman" w:hAnsi="Times New Roman"/>
            <w:color w:val="auto"/>
          </w:rPr>
          <w:t>http://elangdell.cali.org/</w:t>
        </w:r>
      </w:hyperlink>
      <w:r w:rsidRPr="750671CE">
        <w:rPr>
          <w:rFonts w:ascii="Times New Roman" w:eastAsia="Times New Roman" w:hAnsi="Times New Roman"/>
          <w:color w:val="auto"/>
        </w:rPr>
        <w:t xml:space="preserve"> for the latest version and for revision history.</w:t>
      </w:r>
    </w:p>
    <w:p w14:paraId="40FCA777" w14:textId="77777777" w:rsidR="00146231" w:rsidRDefault="00146231" w:rsidP="00146231">
      <w:pPr>
        <w:pStyle w:val="Body"/>
        <w:spacing w:line="240" w:lineRule="auto"/>
        <w:jc w:val="left"/>
        <w:rPr>
          <w:rFonts w:ascii="Times New Roman" w:eastAsia="Times New Roman" w:hAnsi="Times New Roman"/>
          <w:color w:val="auto"/>
        </w:rPr>
      </w:pPr>
    </w:p>
    <w:p w14:paraId="27FE9DD4" w14:textId="104CFEEB" w:rsidR="00BC5B66" w:rsidRPr="00576ED7" w:rsidRDefault="00BC5B66" w:rsidP="00146231">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rPr>
        <w:t>This work by John Fabian Witt is licensed and published by</w:t>
      </w:r>
      <w:r w:rsidRPr="750671CE">
        <w:rPr>
          <w:rFonts w:ascii="Times New Roman" w:eastAsia="Times New Roman" w:hAnsi="Times New Roman"/>
        </w:rPr>
        <w:t xml:space="preserve"> </w:t>
      </w:r>
      <w:hyperlink r:id="rId15" w:history="1">
        <w:r w:rsidRPr="750671CE">
          <w:rPr>
            <w:rStyle w:val="Hyperlink"/>
            <w:rFonts w:ascii="Times New Roman" w:eastAsia="Times New Roman" w:hAnsi="Times New Roman"/>
          </w:rPr>
          <w:t>CALI eLangdell Press</w:t>
        </w:r>
      </w:hyperlink>
      <w:r w:rsidRPr="750671CE">
        <w:rPr>
          <w:rFonts w:ascii="Times New Roman" w:eastAsia="Times New Roman" w:hAnsi="Times New Roman"/>
          <w:color w:val="auto"/>
        </w:rPr>
        <w:t xml:space="preserve"> under a </w:t>
      </w:r>
      <w:hyperlink r:id="rId16" w:history="1">
        <w:r w:rsidR="001E1FC3" w:rsidRPr="750671CE">
          <w:rPr>
            <w:rStyle w:val="Hyperlink"/>
            <w:rFonts w:ascii="Times New Roman" w:eastAsia="Times New Roman" w:hAnsi="Times New Roman"/>
          </w:rPr>
          <w:t>Creative Commons Attribution-NonCommercial-ShareAlike 4.0 International (CC BY-NC-SA 4.0)</w:t>
        </w:r>
      </w:hyperlink>
      <w:r w:rsidRPr="750671CE">
        <w:rPr>
          <w:rFonts w:ascii="Times New Roman" w:eastAsia="Times New Roman" w:hAnsi="Times New Roman"/>
          <w:color w:val="auto"/>
        </w:rPr>
        <w:t xml:space="preserve">. CALI and CALI eLangdell Press reserve under copyright all rights not expressly granted by this Creative Commons license. </w:t>
      </w:r>
      <w:r w:rsidRPr="750671CE">
        <w:rPr>
          <w:rFonts w:ascii="Times New Roman" w:eastAsia="Times New Roman" w:hAnsi="Times New Roman"/>
          <w:color w:val="auto"/>
          <w:shd w:val="clear" w:color="auto" w:fill="FFFFFF"/>
        </w:rPr>
        <w:t xml:space="preserve">CALI and CALI eLangdell Press do not assert copyright in US Government works or other public domain material included herein. </w:t>
      </w:r>
      <w:r w:rsidRPr="750671CE">
        <w:rPr>
          <w:rFonts w:ascii="Times New Roman" w:eastAsia="Times New Roman" w:hAnsi="Times New Roman"/>
          <w:color w:val="auto"/>
        </w:rPr>
        <w:t xml:space="preserve">Permissions beyond the scope of this license may be available through </w:t>
      </w:r>
      <w:hyperlink r:id="rId17" w:history="1">
        <w:r w:rsidRPr="750671CE">
          <w:rPr>
            <w:rFonts w:ascii="Times New Roman" w:eastAsia="Times New Roman" w:hAnsi="Times New Roman"/>
            <w:color w:val="auto"/>
            <w:u w:val="single"/>
          </w:rPr>
          <w:t>feedback@cali.org</w:t>
        </w:r>
      </w:hyperlink>
      <w:r w:rsidRPr="750671CE">
        <w:rPr>
          <w:rFonts w:ascii="Times New Roman" w:eastAsia="Times New Roman" w:hAnsi="Times New Roman"/>
          <w:color w:val="auto"/>
        </w:rPr>
        <w:t>.</w:t>
      </w:r>
    </w:p>
    <w:p w14:paraId="37B1622A" w14:textId="77777777" w:rsidR="00146231" w:rsidRDefault="00146231" w:rsidP="750671CE">
      <w:pPr>
        <w:pStyle w:val="Body"/>
        <w:jc w:val="left"/>
        <w:rPr>
          <w:rFonts w:ascii="Times New Roman" w:eastAsia="Times New Roman" w:hAnsi="Times New Roman"/>
          <w:color w:val="auto"/>
          <w:shd w:val="clear" w:color="auto" w:fill="FFFFFF"/>
        </w:rPr>
      </w:pPr>
    </w:p>
    <w:p w14:paraId="6DF9A8FA" w14:textId="77777777" w:rsidR="00BC5B66" w:rsidRPr="00576ED7" w:rsidRDefault="00BC5B66" w:rsidP="00146231">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In brief, the terms of that license are that you may copy, distribute, and display this work, or make derivative works, so long as</w:t>
      </w:r>
    </w:p>
    <w:p w14:paraId="1DD46C4B" w14:textId="77777777" w:rsidR="00BC5B66" w:rsidRPr="00576ED7" w:rsidRDefault="00BC5B66" w:rsidP="00BB34A5">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give CALI eLangdell Press and the author credit;</w:t>
      </w:r>
    </w:p>
    <w:p w14:paraId="794B3B41" w14:textId="77777777" w:rsidR="00BC5B66" w:rsidRPr="00576ED7" w:rsidRDefault="00BC5B66" w:rsidP="00BB34A5">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do not use this work for commercial purposes; and</w:t>
      </w:r>
    </w:p>
    <w:p w14:paraId="562D2DCA" w14:textId="77777777" w:rsidR="00BC5B66" w:rsidRPr="00576ED7" w:rsidRDefault="00BC5B66" w:rsidP="00BB34A5">
      <w:pPr>
        <w:pStyle w:val="Body"/>
        <w:numPr>
          <w:ilvl w:val="0"/>
          <w:numId w:val="5"/>
        </w:numPr>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you distribute any works derived from this one under the same licensing terms as this.</w:t>
      </w:r>
    </w:p>
    <w:p w14:paraId="1E427DEB" w14:textId="77777777" w:rsidR="00BC5B66" w:rsidRPr="00576ED7" w:rsidRDefault="750671CE" w:rsidP="750671CE">
      <w:pPr>
        <w:pStyle w:val="Body"/>
        <w:jc w:val="left"/>
        <w:rPr>
          <w:rFonts w:ascii="Times New Roman" w:eastAsia="Times New Roman" w:hAnsi="Times New Roman"/>
          <w:color w:val="auto"/>
        </w:rPr>
      </w:pPr>
      <w:r w:rsidRPr="750671CE">
        <w:rPr>
          <w:rFonts w:ascii="Times New Roman" w:eastAsia="Times New Roman" w:hAnsi="Times New Roman"/>
          <w:color w:val="auto"/>
        </w:rPr>
        <w:t>Suggested attribution format for original work:</w:t>
      </w:r>
    </w:p>
    <w:p w14:paraId="77E56A8C" w14:textId="72E6DBEC" w:rsidR="00BC5B66" w:rsidRDefault="750671CE" w:rsidP="00146231">
      <w:pPr>
        <w:rPr>
          <w:rFonts w:ascii="Times New Roman" w:eastAsia="Times New Roman" w:hAnsi="Times New Roman" w:cs="Times New Roman"/>
        </w:rPr>
      </w:pPr>
      <w:r w:rsidRPr="750671CE">
        <w:rPr>
          <w:rFonts w:ascii="Times New Roman" w:eastAsia="Times New Roman" w:hAnsi="Times New Roman" w:cs="Times New Roman"/>
        </w:rPr>
        <w:t xml:space="preserve">John Fabian Witt, </w:t>
      </w:r>
      <w:r w:rsidRPr="750671CE">
        <w:rPr>
          <w:rFonts w:ascii="Times New Roman" w:eastAsia="Times New Roman" w:hAnsi="Times New Roman" w:cs="Times New Roman"/>
          <w:i/>
          <w:iCs/>
        </w:rPr>
        <w:t xml:space="preserve">Torts: Cases, Principles, and Institutions, </w:t>
      </w:r>
      <w:r w:rsidR="0023377A">
        <w:rPr>
          <w:rFonts w:ascii="Times New Roman" w:eastAsia="Times New Roman" w:hAnsi="Times New Roman" w:cs="Times New Roman"/>
          <w:i/>
          <w:iCs/>
        </w:rPr>
        <w:t>Third</w:t>
      </w:r>
      <w:r w:rsidRPr="750671CE">
        <w:rPr>
          <w:rFonts w:ascii="Times New Roman" w:eastAsia="Times New Roman" w:hAnsi="Times New Roman" w:cs="Times New Roman"/>
          <w:i/>
          <w:iCs/>
        </w:rPr>
        <w:t xml:space="preserve"> Edition</w:t>
      </w:r>
      <w:r w:rsidRPr="750671CE">
        <w:rPr>
          <w:rFonts w:ascii="Times New Roman" w:eastAsia="Times New Roman" w:hAnsi="Times New Roman" w:cs="Times New Roman"/>
        </w:rPr>
        <w:t>, Published by CALI eLangdell Press. Available under a Creative Commons BY-NC-SA 4.0 License.</w:t>
      </w:r>
    </w:p>
    <w:p w14:paraId="2C17CE37" w14:textId="77777777" w:rsidR="001E1FC3" w:rsidRPr="00576ED7" w:rsidRDefault="001E1FC3" w:rsidP="00146231">
      <w:pPr>
        <w:rPr>
          <w:rFonts w:ascii="Times New Roman" w:hAnsi="Times New Roman"/>
        </w:rPr>
      </w:pPr>
    </w:p>
    <w:p w14:paraId="37357652" w14:textId="77777777" w:rsidR="00BC5B66" w:rsidRPr="00576ED7" w:rsidRDefault="00BC5B66" w:rsidP="00146231">
      <w:pPr>
        <w:pStyle w:val="Body"/>
        <w:spacing w:line="240" w:lineRule="auto"/>
        <w:jc w:val="left"/>
        <w:rPr>
          <w:rFonts w:ascii="Times New Roman" w:eastAsia="Times New Roman" w:hAnsi="Times New Roman"/>
          <w:color w:val="auto"/>
        </w:rPr>
      </w:pPr>
      <w:r w:rsidRPr="750671CE">
        <w:rPr>
          <w:rFonts w:ascii="Times New Roman" w:eastAsia="Times New Roman" w:hAnsi="Times New Roman"/>
          <w:color w:val="auto"/>
          <w:shd w:val="clear" w:color="auto" w:fill="FFFFFF"/>
        </w:rPr>
        <w:t>CALI® and eLangdell® are United States federally registered trademarks owned by the Center for Computer-Assisted Legal Instruction. The cover art design is a copyrighted work of CALI, all rights reserved. The CALI graphical logo is a trademark and may not be used without permission.</w:t>
      </w:r>
    </w:p>
    <w:p w14:paraId="065A3427" w14:textId="776B4885" w:rsidR="00BC5B66" w:rsidRDefault="00BC5B66" w:rsidP="00146231">
      <w:pPr>
        <w:pStyle w:val="Body"/>
        <w:spacing w:line="240" w:lineRule="auto"/>
        <w:jc w:val="left"/>
        <w:rPr>
          <w:rFonts w:ascii="Times New Roman" w:eastAsia="Times New Roman" w:hAnsi="Times New Roman"/>
        </w:rPr>
      </w:pPr>
      <w:r w:rsidRPr="750671CE">
        <w:rPr>
          <w:rFonts w:ascii="Times New Roman" w:eastAsia="Times New Roman" w:hAnsi="Times New Roman"/>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77777777" w:rsidR="008E6626" w:rsidRDefault="008E6626" w:rsidP="00146231">
      <w:bookmarkStart w:id="14" w:name="_Toc319930287"/>
      <w:bookmarkStart w:id="15" w:name="_Toc348954230"/>
      <w:bookmarkStart w:id="16" w:name="_Toc349741732"/>
      <w:bookmarkStart w:id="17" w:name="_Toc350342087"/>
      <w:bookmarkStart w:id="18" w:name="_Toc356564142"/>
      <w:bookmarkStart w:id="19" w:name="_Toc361064344"/>
      <w:bookmarkStart w:id="20" w:name="_Toc375132906"/>
      <w:bookmarkStart w:id="21" w:name="_Toc364636032"/>
    </w:p>
    <w:p w14:paraId="7F2C980B" w14:textId="77777777" w:rsidR="008E6626" w:rsidRDefault="008E6626" w:rsidP="00BC5B66"/>
    <w:p w14:paraId="6CD1DD4C" w14:textId="77777777" w:rsidR="008E6626" w:rsidRDefault="008E6626" w:rsidP="00BC5B66"/>
    <w:p w14:paraId="4A239DD3" w14:textId="77777777" w:rsidR="008E6626" w:rsidRDefault="008E6626" w:rsidP="00BC5B66"/>
    <w:p w14:paraId="536A932C" w14:textId="77777777" w:rsidR="008E6626" w:rsidRDefault="008E6626" w:rsidP="00BC5B66"/>
    <w:p w14:paraId="3A9CF1ED" w14:textId="77777777" w:rsidR="008E6626" w:rsidRDefault="008E6626" w:rsidP="00BC5B66"/>
    <w:p w14:paraId="6F6843A5" w14:textId="77777777" w:rsidR="008E6626" w:rsidRDefault="008E6626" w:rsidP="00BC5B66"/>
    <w:p w14:paraId="0DF80C94" w14:textId="77777777" w:rsidR="008E6626" w:rsidRDefault="008E6626" w:rsidP="00BC5B66"/>
    <w:p w14:paraId="00073228" w14:textId="77777777" w:rsidR="008E6626" w:rsidRDefault="008E6626" w:rsidP="00BC5B66"/>
    <w:p w14:paraId="6BEDA518" w14:textId="62FDE3EB" w:rsidR="008E6626" w:rsidRPr="00B908E6" w:rsidRDefault="008E6626" w:rsidP="00BC5B66">
      <w:pPr>
        <w:rPr>
          <w:rFonts w:ascii="Times New Roman" w:hAnsi="Times New Roman" w:cs="Times New Roman"/>
        </w:rPr>
      </w:pPr>
      <w:r w:rsidRPr="00B908E6">
        <w:rPr>
          <w:rFonts w:ascii="Times New Roman" w:hAnsi="Times New Roman" w:cs="Times New Roman"/>
        </w:rPr>
        <w:t>What did the banana say to the judge? I’ll be sure to win my case on a peel.</w:t>
      </w:r>
    </w:p>
    <w:p w14:paraId="2AFDDCD8" w14:textId="77777777" w:rsidR="008E6626" w:rsidRPr="00B908E6" w:rsidRDefault="008E6626" w:rsidP="00BC5B66">
      <w:pPr>
        <w:rPr>
          <w:rFonts w:ascii="Times New Roman" w:hAnsi="Times New Roman" w:cs="Times New Roman"/>
        </w:rPr>
      </w:pPr>
    </w:p>
    <w:p w14:paraId="6670840F" w14:textId="4C59E165" w:rsidR="00BC5B66" w:rsidRPr="00576ED7" w:rsidRDefault="008E6626" w:rsidP="00B908E6">
      <w:pPr>
        <w:ind w:left="1440" w:hanging="720"/>
        <w:rPr>
          <w:rFonts w:eastAsia="ヒラギノ角ゴ Pro W3"/>
        </w:rPr>
      </w:pPr>
      <w:r w:rsidRPr="00B908E6">
        <w:rPr>
          <w:rFonts w:ascii="Times New Roman" w:hAnsi="Times New Roman" w:cs="Times New Roman"/>
        </w:rPr>
        <w:t xml:space="preserve"> </w:t>
      </w:r>
      <w:r w:rsidRPr="00B908E6">
        <w:rPr>
          <w:rFonts w:ascii="Times New Roman" w:hAnsi="Times New Roman" w:cs="Times New Roman"/>
        </w:rPr>
        <w:tab/>
        <w:t xml:space="preserve">August Cooper Witt, July 2017 (h/t </w:t>
      </w:r>
      <w:r w:rsidRPr="00B908E6">
        <w:rPr>
          <w:rFonts w:ascii="Times New Roman" w:hAnsi="Times New Roman" w:cs="Times New Roman"/>
          <w:smallCaps/>
        </w:rPr>
        <w:t xml:space="preserve">Geronimo Stilton, </w:t>
      </w:r>
      <w:r w:rsidRPr="00B908E6">
        <w:rPr>
          <w:rFonts w:ascii="Times New Roman" w:eastAsiaTheme="majorEastAsia" w:hAnsi="Times New Roman" w:cs="Times New Roman"/>
          <w:bCs/>
          <w:smallCaps/>
          <w:lang w:eastAsia="en-US"/>
        </w:rPr>
        <w:t>The Quest for Paradise</w:t>
      </w:r>
      <w:r w:rsidRPr="00B908E6">
        <w:rPr>
          <w:rFonts w:ascii="Times New Roman" w:hAnsi="Times New Roman" w:cs="Times New Roman"/>
          <w:smallCaps/>
        </w:rPr>
        <w:t>: The Return to the Kingdom of Fantasy</w:t>
      </w:r>
      <w:r w:rsidRPr="00B908E6">
        <w:rPr>
          <w:rFonts w:ascii="Times New Roman" w:hAnsi="Times New Roman" w:cs="Times New Roman"/>
        </w:rPr>
        <w:t xml:space="preserve"> 140 (2011))</w:t>
      </w:r>
      <w:bookmarkEnd w:id="14"/>
      <w:bookmarkEnd w:id="15"/>
      <w:bookmarkEnd w:id="16"/>
      <w:bookmarkEnd w:id="17"/>
      <w:bookmarkEnd w:id="18"/>
      <w:bookmarkEnd w:id="19"/>
      <w:bookmarkEnd w:id="20"/>
      <w:bookmarkEnd w:id="21"/>
      <w:r w:rsidR="00BC5B66" w:rsidRPr="00576ED7">
        <w:br w:type="page"/>
      </w:r>
    </w:p>
    <w:p w14:paraId="10247286" w14:textId="77777777" w:rsidR="00CF5414" w:rsidRDefault="00CF5414" w:rsidP="000B1B59">
      <w:pPr>
        <w:pStyle w:val="TOC1"/>
        <w:tabs>
          <w:tab w:val="right" w:leader="dot" w:pos="8630"/>
        </w:tabs>
        <w:sectPr w:rsidR="00CF5414" w:rsidSect="00184225">
          <w:footerReference w:type="default" r:id="rId18"/>
          <w:footerReference w:type="first" r:id="rId19"/>
          <w:type w:val="continuous"/>
          <w:pgSz w:w="12240" w:h="15840"/>
          <w:pgMar w:top="1440" w:right="1800" w:bottom="1440" w:left="1800" w:header="720" w:footer="720" w:gutter="0"/>
          <w:pgNumType w:fmt="lowerRoman" w:start="1"/>
          <w:cols w:space="720"/>
          <w:noEndnote/>
          <w:docGrid w:linePitch="326"/>
        </w:sectPr>
      </w:pPr>
    </w:p>
    <w:p w14:paraId="13F0B36C" w14:textId="77777777" w:rsidR="001853BF" w:rsidRDefault="001646DB">
      <w:pPr>
        <w:pStyle w:val="TOC1"/>
        <w:tabs>
          <w:tab w:val="right" w:leader="dot" w:pos="8630"/>
        </w:tabs>
        <w:rPr>
          <w:noProof/>
        </w:rPr>
      </w:pPr>
      <w:r w:rsidRPr="00B908E6">
        <w:rPr>
          <w:rFonts w:ascii="Times New Roman" w:hAnsi="Times New Roman" w:cs="Times New Roman"/>
        </w:rPr>
        <w:lastRenderedPageBreak/>
        <w:t>Table of Contents</w:t>
      </w:r>
      <w:r w:rsidR="0031785D" w:rsidRPr="00EA551D">
        <w:rPr>
          <w:rFonts w:ascii="Times New Roman" w:hAnsi="Times New Roman" w:cs="Times New Roman"/>
        </w:rPr>
        <w:fldChar w:fldCharType="begin"/>
      </w:r>
      <w:r w:rsidR="0031785D" w:rsidRPr="00B908E6">
        <w:rPr>
          <w:rFonts w:ascii="Times New Roman" w:hAnsi="Times New Roman" w:cs="Times New Roman"/>
        </w:rPr>
        <w:instrText xml:space="preserve"> TOC \o "1-2" \f \h \z \t "Heading 3,3,Heading 4,4,Heading 5,5,Tags,6" </w:instrText>
      </w:r>
      <w:r w:rsidR="0031785D" w:rsidRPr="00EA551D">
        <w:rPr>
          <w:rFonts w:ascii="Times New Roman" w:hAnsi="Times New Roman" w:cs="Times New Roman"/>
        </w:rPr>
        <w:fldChar w:fldCharType="separate"/>
      </w:r>
    </w:p>
    <w:p w14:paraId="14200357" w14:textId="7EAF0BA2" w:rsidR="001853BF" w:rsidRDefault="00E35F15">
      <w:pPr>
        <w:pStyle w:val="TOC1"/>
        <w:tabs>
          <w:tab w:val="right" w:leader="dot" w:pos="8630"/>
        </w:tabs>
        <w:rPr>
          <w:b w:val="0"/>
          <w:noProof/>
          <w:sz w:val="22"/>
          <w:szCs w:val="22"/>
        </w:rPr>
      </w:pPr>
      <w:hyperlink w:anchor="_Toc518323187" w:history="1">
        <w:r w:rsidR="001853BF" w:rsidRPr="000F1856">
          <w:rPr>
            <w:rStyle w:val="Hyperlink"/>
            <w:noProof/>
          </w:rPr>
          <w:t>Torts: Cases, Principles, and Institutions</w:t>
        </w:r>
        <w:r w:rsidR="001853BF">
          <w:rPr>
            <w:noProof/>
            <w:webHidden/>
          </w:rPr>
          <w:tab/>
        </w:r>
        <w:r w:rsidR="001853BF">
          <w:rPr>
            <w:noProof/>
            <w:webHidden/>
          </w:rPr>
          <w:fldChar w:fldCharType="begin"/>
        </w:r>
        <w:r w:rsidR="001853BF">
          <w:rPr>
            <w:noProof/>
            <w:webHidden/>
          </w:rPr>
          <w:instrText xml:space="preserve"> PAGEREF _Toc518323187 \h </w:instrText>
        </w:r>
        <w:r w:rsidR="001853BF">
          <w:rPr>
            <w:noProof/>
            <w:webHidden/>
          </w:rPr>
        </w:r>
        <w:r w:rsidR="001853BF">
          <w:rPr>
            <w:noProof/>
            <w:webHidden/>
          </w:rPr>
          <w:fldChar w:fldCharType="separate"/>
        </w:r>
        <w:r w:rsidR="001853BF">
          <w:rPr>
            <w:noProof/>
            <w:webHidden/>
          </w:rPr>
          <w:t>1</w:t>
        </w:r>
        <w:r w:rsidR="001853BF">
          <w:rPr>
            <w:noProof/>
            <w:webHidden/>
          </w:rPr>
          <w:fldChar w:fldCharType="end"/>
        </w:r>
      </w:hyperlink>
    </w:p>
    <w:p w14:paraId="2B2CD090" w14:textId="77777777" w:rsidR="001853BF" w:rsidRDefault="00E35F15">
      <w:pPr>
        <w:pStyle w:val="TOC1"/>
        <w:tabs>
          <w:tab w:val="right" w:leader="dot" w:pos="8630"/>
        </w:tabs>
        <w:rPr>
          <w:b w:val="0"/>
          <w:noProof/>
          <w:sz w:val="22"/>
          <w:szCs w:val="22"/>
        </w:rPr>
      </w:pPr>
      <w:hyperlink w:anchor="_Toc518323188" w:history="1">
        <w:r w:rsidR="001853BF" w:rsidRPr="000F1856">
          <w:rPr>
            <w:rStyle w:val="Hyperlink"/>
            <w:noProof/>
          </w:rPr>
          <w:t>About the Author</w:t>
        </w:r>
        <w:r w:rsidR="001853BF">
          <w:rPr>
            <w:noProof/>
            <w:webHidden/>
          </w:rPr>
          <w:tab/>
        </w:r>
        <w:r w:rsidR="001853BF">
          <w:rPr>
            <w:noProof/>
            <w:webHidden/>
          </w:rPr>
          <w:fldChar w:fldCharType="begin"/>
        </w:r>
        <w:r w:rsidR="001853BF">
          <w:rPr>
            <w:noProof/>
            <w:webHidden/>
          </w:rPr>
          <w:instrText xml:space="preserve"> PAGEREF _Toc518323188 \h </w:instrText>
        </w:r>
        <w:r w:rsidR="001853BF">
          <w:rPr>
            <w:noProof/>
            <w:webHidden/>
          </w:rPr>
        </w:r>
        <w:r w:rsidR="001853BF">
          <w:rPr>
            <w:noProof/>
            <w:webHidden/>
          </w:rPr>
          <w:fldChar w:fldCharType="separate"/>
        </w:r>
        <w:r w:rsidR="001853BF">
          <w:rPr>
            <w:noProof/>
            <w:webHidden/>
          </w:rPr>
          <w:t>i</w:t>
        </w:r>
        <w:r w:rsidR="001853BF">
          <w:rPr>
            <w:noProof/>
            <w:webHidden/>
          </w:rPr>
          <w:fldChar w:fldCharType="end"/>
        </w:r>
      </w:hyperlink>
    </w:p>
    <w:p w14:paraId="7149E160" w14:textId="77777777" w:rsidR="001853BF" w:rsidRDefault="00E35F15">
      <w:pPr>
        <w:pStyle w:val="TOC1"/>
        <w:tabs>
          <w:tab w:val="right" w:leader="dot" w:pos="8630"/>
        </w:tabs>
        <w:rPr>
          <w:b w:val="0"/>
          <w:noProof/>
          <w:sz w:val="22"/>
          <w:szCs w:val="22"/>
        </w:rPr>
      </w:pPr>
      <w:hyperlink w:anchor="_Toc518323189" w:history="1">
        <w:r w:rsidR="001853BF" w:rsidRPr="000F1856">
          <w:rPr>
            <w:rStyle w:val="Hyperlink"/>
            <w:noProof/>
          </w:rPr>
          <w:t>Notices</w:t>
        </w:r>
        <w:r w:rsidR="001853BF">
          <w:rPr>
            <w:noProof/>
            <w:webHidden/>
          </w:rPr>
          <w:tab/>
        </w:r>
        <w:r w:rsidR="001853BF">
          <w:rPr>
            <w:noProof/>
            <w:webHidden/>
          </w:rPr>
          <w:fldChar w:fldCharType="begin"/>
        </w:r>
        <w:r w:rsidR="001853BF">
          <w:rPr>
            <w:noProof/>
            <w:webHidden/>
          </w:rPr>
          <w:instrText xml:space="preserve"> PAGEREF _Toc518323189 \h </w:instrText>
        </w:r>
        <w:r w:rsidR="001853BF">
          <w:rPr>
            <w:noProof/>
            <w:webHidden/>
          </w:rPr>
        </w:r>
        <w:r w:rsidR="001853BF">
          <w:rPr>
            <w:noProof/>
            <w:webHidden/>
          </w:rPr>
          <w:fldChar w:fldCharType="separate"/>
        </w:r>
        <w:r w:rsidR="001853BF">
          <w:rPr>
            <w:noProof/>
            <w:webHidden/>
          </w:rPr>
          <w:t>ii</w:t>
        </w:r>
        <w:r w:rsidR="001853BF">
          <w:rPr>
            <w:noProof/>
            <w:webHidden/>
          </w:rPr>
          <w:fldChar w:fldCharType="end"/>
        </w:r>
      </w:hyperlink>
    </w:p>
    <w:p w14:paraId="3A582180" w14:textId="77777777" w:rsidR="001853BF" w:rsidRDefault="00E35F15">
      <w:pPr>
        <w:pStyle w:val="TOC1"/>
        <w:tabs>
          <w:tab w:val="right" w:leader="dot" w:pos="8630"/>
        </w:tabs>
        <w:rPr>
          <w:b w:val="0"/>
          <w:noProof/>
          <w:sz w:val="22"/>
          <w:szCs w:val="22"/>
        </w:rPr>
      </w:pPr>
      <w:hyperlink w:anchor="_Toc518323190" w:history="1">
        <w:r w:rsidR="001853BF" w:rsidRPr="000F1856">
          <w:rPr>
            <w:rStyle w:val="Hyperlink"/>
            <w:noProof/>
          </w:rPr>
          <w:t>CHAPTER 1. AN INTRODUCTION TO AMERICAN TORT LAW</w:t>
        </w:r>
        <w:r w:rsidR="001853BF">
          <w:rPr>
            <w:noProof/>
            <w:webHidden/>
          </w:rPr>
          <w:tab/>
        </w:r>
        <w:r w:rsidR="001853BF">
          <w:rPr>
            <w:noProof/>
            <w:webHidden/>
          </w:rPr>
          <w:fldChar w:fldCharType="begin"/>
        </w:r>
        <w:r w:rsidR="001853BF">
          <w:rPr>
            <w:noProof/>
            <w:webHidden/>
          </w:rPr>
          <w:instrText xml:space="preserve"> PAGEREF _Toc518323190 \h </w:instrText>
        </w:r>
        <w:r w:rsidR="001853BF">
          <w:rPr>
            <w:noProof/>
            <w:webHidden/>
          </w:rPr>
        </w:r>
        <w:r w:rsidR="001853BF">
          <w:rPr>
            <w:noProof/>
            <w:webHidden/>
          </w:rPr>
          <w:fldChar w:fldCharType="separate"/>
        </w:r>
        <w:r w:rsidR="001853BF">
          <w:rPr>
            <w:noProof/>
            <w:webHidden/>
          </w:rPr>
          <w:t>1</w:t>
        </w:r>
        <w:r w:rsidR="001853BF">
          <w:rPr>
            <w:noProof/>
            <w:webHidden/>
          </w:rPr>
          <w:fldChar w:fldCharType="end"/>
        </w:r>
      </w:hyperlink>
    </w:p>
    <w:p w14:paraId="620A0EA1" w14:textId="77777777" w:rsidR="001853BF" w:rsidRDefault="00E35F15">
      <w:pPr>
        <w:pStyle w:val="TOC2"/>
        <w:tabs>
          <w:tab w:val="right" w:leader="dot" w:pos="8630"/>
        </w:tabs>
        <w:rPr>
          <w:b w:val="0"/>
          <w:noProof/>
        </w:rPr>
      </w:pPr>
      <w:hyperlink w:anchor="_Toc518323191" w:history="1">
        <w:r w:rsidR="001853BF" w:rsidRPr="000F1856">
          <w:rPr>
            <w:rStyle w:val="Hyperlink"/>
            <w:noProof/>
          </w:rPr>
          <w:t>A.  Principles and Institutions</w:t>
        </w:r>
        <w:r w:rsidR="001853BF">
          <w:rPr>
            <w:noProof/>
            <w:webHidden/>
          </w:rPr>
          <w:tab/>
        </w:r>
        <w:r w:rsidR="001853BF">
          <w:rPr>
            <w:noProof/>
            <w:webHidden/>
          </w:rPr>
          <w:fldChar w:fldCharType="begin"/>
        </w:r>
        <w:r w:rsidR="001853BF">
          <w:rPr>
            <w:noProof/>
            <w:webHidden/>
          </w:rPr>
          <w:instrText xml:space="preserve"> PAGEREF _Toc518323191 \h </w:instrText>
        </w:r>
        <w:r w:rsidR="001853BF">
          <w:rPr>
            <w:noProof/>
            <w:webHidden/>
          </w:rPr>
        </w:r>
        <w:r w:rsidR="001853BF">
          <w:rPr>
            <w:noProof/>
            <w:webHidden/>
          </w:rPr>
          <w:fldChar w:fldCharType="separate"/>
        </w:r>
        <w:r w:rsidR="001853BF">
          <w:rPr>
            <w:noProof/>
            <w:webHidden/>
          </w:rPr>
          <w:t>1</w:t>
        </w:r>
        <w:r w:rsidR="001853BF">
          <w:rPr>
            <w:noProof/>
            <w:webHidden/>
          </w:rPr>
          <w:fldChar w:fldCharType="end"/>
        </w:r>
      </w:hyperlink>
    </w:p>
    <w:p w14:paraId="36E01C3E" w14:textId="77777777" w:rsidR="001853BF" w:rsidRDefault="00E35F15">
      <w:pPr>
        <w:pStyle w:val="TOC2"/>
        <w:tabs>
          <w:tab w:val="right" w:leader="dot" w:pos="8630"/>
        </w:tabs>
        <w:rPr>
          <w:b w:val="0"/>
          <w:noProof/>
        </w:rPr>
      </w:pPr>
      <w:hyperlink w:anchor="_Toc518323192" w:history="1">
        <w:r w:rsidR="001853BF" w:rsidRPr="000F1856">
          <w:rPr>
            <w:rStyle w:val="Hyperlink"/>
            <w:noProof/>
          </w:rPr>
          <w:t>B.  An Introductory Case: The Tort of Battery</w:t>
        </w:r>
        <w:r w:rsidR="001853BF">
          <w:rPr>
            <w:noProof/>
            <w:webHidden/>
          </w:rPr>
          <w:tab/>
        </w:r>
        <w:r w:rsidR="001853BF">
          <w:rPr>
            <w:noProof/>
            <w:webHidden/>
          </w:rPr>
          <w:fldChar w:fldCharType="begin"/>
        </w:r>
        <w:r w:rsidR="001853BF">
          <w:rPr>
            <w:noProof/>
            <w:webHidden/>
          </w:rPr>
          <w:instrText xml:space="preserve"> PAGEREF _Toc518323192 \h </w:instrText>
        </w:r>
        <w:r w:rsidR="001853BF">
          <w:rPr>
            <w:noProof/>
            <w:webHidden/>
          </w:rPr>
        </w:r>
        <w:r w:rsidR="001853BF">
          <w:rPr>
            <w:noProof/>
            <w:webHidden/>
          </w:rPr>
          <w:fldChar w:fldCharType="separate"/>
        </w:r>
        <w:r w:rsidR="001853BF">
          <w:rPr>
            <w:noProof/>
            <w:webHidden/>
          </w:rPr>
          <w:t>4</w:t>
        </w:r>
        <w:r w:rsidR="001853BF">
          <w:rPr>
            <w:noProof/>
            <w:webHidden/>
          </w:rPr>
          <w:fldChar w:fldCharType="end"/>
        </w:r>
      </w:hyperlink>
    </w:p>
    <w:p w14:paraId="4EA843A0" w14:textId="77777777" w:rsidR="001853BF" w:rsidRDefault="00E35F15">
      <w:pPr>
        <w:pStyle w:val="TOC3"/>
        <w:tabs>
          <w:tab w:val="right" w:leader="dot" w:pos="8630"/>
        </w:tabs>
        <w:rPr>
          <w:noProof/>
        </w:rPr>
      </w:pPr>
      <w:hyperlink w:anchor="_Toc518323193" w:history="1">
        <w:r w:rsidR="001853BF" w:rsidRPr="000F1856">
          <w:rPr>
            <w:rStyle w:val="Hyperlink"/>
            <w:noProof/>
          </w:rPr>
          <w:t xml:space="preserve">1. </w:t>
        </w:r>
        <w:r w:rsidR="001853BF" w:rsidRPr="000F1856">
          <w:rPr>
            <w:rStyle w:val="Hyperlink"/>
            <w:i/>
            <w:noProof/>
          </w:rPr>
          <w:t>Vosburg v. Putney</w:t>
        </w:r>
        <w:r w:rsidR="001853BF">
          <w:rPr>
            <w:noProof/>
            <w:webHidden/>
          </w:rPr>
          <w:tab/>
        </w:r>
        <w:r w:rsidR="001853BF">
          <w:rPr>
            <w:noProof/>
            <w:webHidden/>
          </w:rPr>
          <w:fldChar w:fldCharType="begin"/>
        </w:r>
        <w:r w:rsidR="001853BF">
          <w:rPr>
            <w:noProof/>
            <w:webHidden/>
          </w:rPr>
          <w:instrText xml:space="preserve"> PAGEREF _Toc518323193 \h </w:instrText>
        </w:r>
        <w:r w:rsidR="001853BF">
          <w:rPr>
            <w:noProof/>
            <w:webHidden/>
          </w:rPr>
        </w:r>
        <w:r w:rsidR="001853BF">
          <w:rPr>
            <w:noProof/>
            <w:webHidden/>
          </w:rPr>
          <w:fldChar w:fldCharType="separate"/>
        </w:r>
        <w:r w:rsidR="001853BF">
          <w:rPr>
            <w:noProof/>
            <w:webHidden/>
          </w:rPr>
          <w:t>4</w:t>
        </w:r>
        <w:r w:rsidR="001853BF">
          <w:rPr>
            <w:noProof/>
            <w:webHidden/>
          </w:rPr>
          <w:fldChar w:fldCharType="end"/>
        </w:r>
      </w:hyperlink>
    </w:p>
    <w:p w14:paraId="28372772" w14:textId="77777777" w:rsidR="001853BF" w:rsidRDefault="00E35F15">
      <w:pPr>
        <w:pStyle w:val="TOC3"/>
        <w:tabs>
          <w:tab w:val="right" w:leader="dot" w:pos="8630"/>
        </w:tabs>
        <w:rPr>
          <w:noProof/>
        </w:rPr>
      </w:pPr>
      <w:hyperlink w:anchor="_Toc518323194" w:history="1">
        <w:r w:rsidR="001853BF" w:rsidRPr="000F1856">
          <w:rPr>
            <w:rStyle w:val="Hyperlink"/>
            <w:noProof/>
          </w:rPr>
          <w:t>2. Anatomy of a Torts Case</w:t>
        </w:r>
        <w:r w:rsidR="001853BF">
          <w:rPr>
            <w:noProof/>
            <w:webHidden/>
          </w:rPr>
          <w:tab/>
        </w:r>
        <w:r w:rsidR="001853BF">
          <w:rPr>
            <w:noProof/>
            <w:webHidden/>
          </w:rPr>
          <w:fldChar w:fldCharType="begin"/>
        </w:r>
        <w:r w:rsidR="001853BF">
          <w:rPr>
            <w:noProof/>
            <w:webHidden/>
          </w:rPr>
          <w:instrText xml:space="preserve"> PAGEREF _Toc518323194 \h </w:instrText>
        </w:r>
        <w:r w:rsidR="001853BF">
          <w:rPr>
            <w:noProof/>
            <w:webHidden/>
          </w:rPr>
        </w:r>
        <w:r w:rsidR="001853BF">
          <w:rPr>
            <w:noProof/>
            <w:webHidden/>
          </w:rPr>
          <w:fldChar w:fldCharType="separate"/>
        </w:r>
        <w:r w:rsidR="001853BF">
          <w:rPr>
            <w:noProof/>
            <w:webHidden/>
          </w:rPr>
          <w:t>7</w:t>
        </w:r>
        <w:r w:rsidR="001853BF">
          <w:rPr>
            <w:noProof/>
            <w:webHidden/>
          </w:rPr>
          <w:fldChar w:fldCharType="end"/>
        </w:r>
      </w:hyperlink>
    </w:p>
    <w:p w14:paraId="66F0FD7B" w14:textId="77777777" w:rsidR="001853BF" w:rsidRDefault="00E35F15">
      <w:pPr>
        <w:pStyle w:val="TOC3"/>
        <w:tabs>
          <w:tab w:val="right" w:leader="dot" w:pos="8630"/>
        </w:tabs>
        <w:rPr>
          <w:noProof/>
        </w:rPr>
      </w:pPr>
      <w:hyperlink w:anchor="_Toc518323195" w:history="1">
        <w:r w:rsidR="001853BF" w:rsidRPr="000F1856">
          <w:rPr>
            <w:rStyle w:val="Hyperlink"/>
            <w:noProof/>
          </w:rPr>
          <w:t>3. The Pervasiveness of Settlement</w:t>
        </w:r>
        <w:r w:rsidR="001853BF">
          <w:rPr>
            <w:noProof/>
            <w:webHidden/>
          </w:rPr>
          <w:tab/>
        </w:r>
        <w:r w:rsidR="001853BF">
          <w:rPr>
            <w:noProof/>
            <w:webHidden/>
          </w:rPr>
          <w:fldChar w:fldCharType="begin"/>
        </w:r>
        <w:r w:rsidR="001853BF">
          <w:rPr>
            <w:noProof/>
            <w:webHidden/>
          </w:rPr>
          <w:instrText xml:space="preserve"> PAGEREF _Toc518323195 \h </w:instrText>
        </w:r>
        <w:r w:rsidR="001853BF">
          <w:rPr>
            <w:noProof/>
            <w:webHidden/>
          </w:rPr>
        </w:r>
        <w:r w:rsidR="001853BF">
          <w:rPr>
            <w:noProof/>
            <w:webHidden/>
          </w:rPr>
          <w:fldChar w:fldCharType="separate"/>
        </w:r>
        <w:r w:rsidR="001853BF">
          <w:rPr>
            <w:noProof/>
            <w:webHidden/>
          </w:rPr>
          <w:t>9</w:t>
        </w:r>
        <w:r w:rsidR="001853BF">
          <w:rPr>
            <w:noProof/>
            <w:webHidden/>
          </w:rPr>
          <w:fldChar w:fldCharType="end"/>
        </w:r>
      </w:hyperlink>
    </w:p>
    <w:p w14:paraId="463932F2" w14:textId="77777777" w:rsidR="001853BF" w:rsidRDefault="00E35F15">
      <w:pPr>
        <w:pStyle w:val="TOC3"/>
        <w:tabs>
          <w:tab w:val="right" w:leader="dot" w:pos="8630"/>
        </w:tabs>
        <w:rPr>
          <w:noProof/>
        </w:rPr>
      </w:pPr>
      <w:hyperlink w:anchor="_Toc518323196" w:history="1">
        <w:r w:rsidR="001853BF" w:rsidRPr="000F1856">
          <w:rPr>
            <w:rStyle w:val="Hyperlink"/>
            <w:noProof/>
          </w:rPr>
          <w:t>4. The Size of the Tort System</w:t>
        </w:r>
        <w:r w:rsidR="001853BF">
          <w:rPr>
            <w:noProof/>
            <w:webHidden/>
          </w:rPr>
          <w:tab/>
        </w:r>
        <w:r w:rsidR="001853BF">
          <w:rPr>
            <w:noProof/>
            <w:webHidden/>
          </w:rPr>
          <w:fldChar w:fldCharType="begin"/>
        </w:r>
        <w:r w:rsidR="001853BF">
          <w:rPr>
            <w:noProof/>
            <w:webHidden/>
          </w:rPr>
          <w:instrText xml:space="preserve"> PAGEREF _Toc518323196 \h </w:instrText>
        </w:r>
        <w:r w:rsidR="001853BF">
          <w:rPr>
            <w:noProof/>
            <w:webHidden/>
          </w:rPr>
        </w:r>
        <w:r w:rsidR="001853BF">
          <w:rPr>
            <w:noProof/>
            <w:webHidden/>
          </w:rPr>
          <w:fldChar w:fldCharType="separate"/>
        </w:r>
        <w:r w:rsidR="001853BF">
          <w:rPr>
            <w:noProof/>
            <w:webHidden/>
          </w:rPr>
          <w:t>11</w:t>
        </w:r>
        <w:r w:rsidR="001853BF">
          <w:rPr>
            <w:noProof/>
            <w:webHidden/>
          </w:rPr>
          <w:fldChar w:fldCharType="end"/>
        </w:r>
      </w:hyperlink>
    </w:p>
    <w:p w14:paraId="1B6450E6" w14:textId="77777777" w:rsidR="001853BF" w:rsidRDefault="00E35F15">
      <w:pPr>
        <w:pStyle w:val="TOC3"/>
        <w:tabs>
          <w:tab w:val="right" w:leader="dot" w:pos="8630"/>
        </w:tabs>
        <w:rPr>
          <w:noProof/>
        </w:rPr>
      </w:pPr>
      <w:hyperlink w:anchor="_Toc518323197" w:history="1">
        <w:r w:rsidR="001853BF" w:rsidRPr="000F1856">
          <w:rPr>
            <w:rStyle w:val="Hyperlink"/>
            <w:noProof/>
          </w:rPr>
          <w:t>5. Accident Rates and the Deterrence Goal</w:t>
        </w:r>
        <w:r w:rsidR="001853BF">
          <w:rPr>
            <w:noProof/>
            <w:webHidden/>
          </w:rPr>
          <w:tab/>
        </w:r>
        <w:r w:rsidR="001853BF">
          <w:rPr>
            <w:noProof/>
            <w:webHidden/>
          </w:rPr>
          <w:fldChar w:fldCharType="begin"/>
        </w:r>
        <w:r w:rsidR="001853BF">
          <w:rPr>
            <w:noProof/>
            <w:webHidden/>
          </w:rPr>
          <w:instrText xml:space="preserve"> PAGEREF _Toc518323197 \h </w:instrText>
        </w:r>
        <w:r w:rsidR="001853BF">
          <w:rPr>
            <w:noProof/>
            <w:webHidden/>
          </w:rPr>
        </w:r>
        <w:r w:rsidR="001853BF">
          <w:rPr>
            <w:noProof/>
            <w:webHidden/>
          </w:rPr>
          <w:fldChar w:fldCharType="separate"/>
        </w:r>
        <w:r w:rsidR="001853BF">
          <w:rPr>
            <w:noProof/>
            <w:webHidden/>
          </w:rPr>
          <w:t>15</w:t>
        </w:r>
        <w:r w:rsidR="001853BF">
          <w:rPr>
            <w:noProof/>
            <w:webHidden/>
          </w:rPr>
          <w:fldChar w:fldCharType="end"/>
        </w:r>
      </w:hyperlink>
    </w:p>
    <w:p w14:paraId="72803901" w14:textId="77777777" w:rsidR="001853BF" w:rsidRDefault="00E35F15">
      <w:pPr>
        <w:pStyle w:val="TOC3"/>
        <w:tabs>
          <w:tab w:val="right" w:leader="dot" w:pos="8630"/>
        </w:tabs>
        <w:rPr>
          <w:noProof/>
        </w:rPr>
      </w:pPr>
      <w:hyperlink w:anchor="_Toc518323198" w:history="1">
        <w:r w:rsidR="001853BF" w:rsidRPr="000F1856">
          <w:rPr>
            <w:rStyle w:val="Hyperlink"/>
            <w:noProof/>
          </w:rPr>
          <w:t>6. Intent and Corrective Justice in the Battery Cause of Action</w:t>
        </w:r>
        <w:r w:rsidR="001853BF">
          <w:rPr>
            <w:noProof/>
            <w:webHidden/>
          </w:rPr>
          <w:tab/>
        </w:r>
        <w:r w:rsidR="001853BF">
          <w:rPr>
            <w:noProof/>
            <w:webHidden/>
          </w:rPr>
          <w:fldChar w:fldCharType="begin"/>
        </w:r>
        <w:r w:rsidR="001853BF">
          <w:rPr>
            <w:noProof/>
            <w:webHidden/>
          </w:rPr>
          <w:instrText xml:space="preserve"> PAGEREF _Toc518323198 \h </w:instrText>
        </w:r>
        <w:r w:rsidR="001853BF">
          <w:rPr>
            <w:noProof/>
            <w:webHidden/>
          </w:rPr>
        </w:r>
        <w:r w:rsidR="001853BF">
          <w:rPr>
            <w:noProof/>
            <w:webHidden/>
          </w:rPr>
          <w:fldChar w:fldCharType="separate"/>
        </w:r>
        <w:r w:rsidR="001853BF">
          <w:rPr>
            <w:noProof/>
            <w:webHidden/>
          </w:rPr>
          <w:t>19</w:t>
        </w:r>
        <w:r w:rsidR="001853BF">
          <w:rPr>
            <w:noProof/>
            <w:webHidden/>
          </w:rPr>
          <w:fldChar w:fldCharType="end"/>
        </w:r>
      </w:hyperlink>
    </w:p>
    <w:p w14:paraId="3C17D712" w14:textId="77777777" w:rsidR="001853BF" w:rsidRDefault="00E35F15">
      <w:pPr>
        <w:pStyle w:val="TOC3"/>
        <w:tabs>
          <w:tab w:val="right" w:leader="dot" w:pos="8630"/>
        </w:tabs>
        <w:rPr>
          <w:noProof/>
        </w:rPr>
      </w:pPr>
      <w:hyperlink w:anchor="_Toc518323199" w:history="1">
        <w:r w:rsidR="001853BF" w:rsidRPr="000F1856">
          <w:rPr>
            <w:rStyle w:val="Hyperlink"/>
            <w:noProof/>
          </w:rPr>
          <w:t xml:space="preserve">7. </w:t>
        </w:r>
        <w:r w:rsidR="001853BF" w:rsidRPr="001B0F83">
          <w:rPr>
            <w:rStyle w:val="Hyperlink"/>
            <w:i/>
            <w:noProof/>
          </w:rPr>
          <w:t>Garratt v. Dailey</w:t>
        </w:r>
        <w:r w:rsidR="001853BF">
          <w:rPr>
            <w:noProof/>
            <w:webHidden/>
          </w:rPr>
          <w:tab/>
        </w:r>
        <w:r w:rsidR="001853BF">
          <w:rPr>
            <w:noProof/>
            <w:webHidden/>
          </w:rPr>
          <w:fldChar w:fldCharType="begin"/>
        </w:r>
        <w:r w:rsidR="001853BF">
          <w:rPr>
            <w:noProof/>
            <w:webHidden/>
          </w:rPr>
          <w:instrText xml:space="preserve"> PAGEREF _Toc518323199 \h </w:instrText>
        </w:r>
        <w:r w:rsidR="001853BF">
          <w:rPr>
            <w:noProof/>
            <w:webHidden/>
          </w:rPr>
        </w:r>
        <w:r w:rsidR="001853BF">
          <w:rPr>
            <w:noProof/>
            <w:webHidden/>
          </w:rPr>
          <w:fldChar w:fldCharType="separate"/>
        </w:r>
        <w:r w:rsidR="001853BF">
          <w:rPr>
            <w:noProof/>
            <w:webHidden/>
          </w:rPr>
          <w:t>20</w:t>
        </w:r>
        <w:r w:rsidR="001853BF">
          <w:rPr>
            <w:noProof/>
            <w:webHidden/>
          </w:rPr>
          <w:fldChar w:fldCharType="end"/>
        </w:r>
      </w:hyperlink>
    </w:p>
    <w:p w14:paraId="79A2A32E" w14:textId="77777777" w:rsidR="001853BF" w:rsidRDefault="00E35F15">
      <w:pPr>
        <w:pStyle w:val="TOC4"/>
        <w:tabs>
          <w:tab w:val="right" w:leader="dot" w:pos="8630"/>
        </w:tabs>
        <w:rPr>
          <w:noProof/>
          <w:sz w:val="22"/>
          <w:szCs w:val="22"/>
        </w:rPr>
      </w:pPr>
      <w:hyperlink w:anchor="_Toc51832320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_Toc518323200 \h </w:instrText>
        </w:r>
        <w:r w:rsidR="001853BF">
          <w:rPr>
            <w:noProof/>
            <w:webHidden/>
          </w:rPr>
        </w:r>
        <w:r w:rsidR="001853BF">
          <w:rPr>
            <w:noProof/>
            <w:webHidden/>
          </w:rPr>
          <w:fldChar w:fldCharType="separate"/>
        </w:r>
        <w:r w:rsidR="001853BF">
          <w:rPr>
            <w:noProof/>
            <w:webHidden/>
          </w:rPr>
          <w:t>23</w:t>
        </w:r>
        <w:r w:rsidR="001853BF">
          <w:rPr>
            <w:noProof/>
            <w:webHidden/>
          </w:rPr>
          <w:fldChar w:fldCharType="end"/>
        </w:r>
      </w:hyperlink>
    </w:p>
    <w:p w14:paraId="6F5B0D26" w14:textId="77777777" w:rsidR="001853BF" w:rsidRDefault="00E35F15">
      <w:pPr>
        <w:pStyle w:val="TOC1"/>
        <w:tabs>
          <w:tab w:val="right" w:leader="dot" w:pos="8630"/>
        </w:tabs>
        <w:rPr>
          <w:b w:val="0"/>
          <w:noProof/>
          <w:sz w:val="22"/>
          <w:szCs w:val="22"/>
        </w:rPr>
      </w:pPr>
      <w:hyperlink w:anchor="_Toc518323201" w:history="1">
        <w:r w:rsidR="001853BF" w:rsidRPr="000F1856">
          <w:rPr>
            <w:rStyle w:val="Hyperlink"/>
            <w:noProof/>
          </w:rPr>
          <w:t>CHAPTER 2. INTENTIONALLY INFLICTED PHYSICAL HARMS</w:t>
        </w:r>
        <w:r w:rsidR="001853BF">
          <w:rPr>
            <w:noProof/>
            <w:webHidden/>
          </w:rPr>
          <w:tab/>
        </w:r>
        <w:r w:rsidR="001853BF">
          <w:rPr>
            <w:noProof/>
            <w:webHidden/>
          </w:rPr>
          <w:fldChar w:fldCharType="begin"/>
        </w:r>
        <w:r w:rsidR="001853BF">
          <w:rPr>
            <w:noProof/>
            <w:webHidden/>
          </w:rPr>
          <w:instrText xml:space="preserve"> PAGEREF _Toc518323201 \h </w:instrText>
        </w:r>
        <w:r w:rsidR="001853BF">
          <w:rPr>
            <w:noProof/>
            <w:webHidden/>
          </w:rPr>
        </w:r>
        <w:r w:rsidR="001853BF">
          <w:rPr>
            <w:noProof/>
            <w:webHidden/>
          </w:rPr>
          <w:fldChar w:fldCharType="separate"/>
        </w:r>
        <w:r w:rsidR="001853BF">
          <w:rPr>
            <w:noProof/>
            <w:webHidden/>
          </w:rPr>
          <w:t>33</w:t>
        </w:r>
        <w:r w:rsidR="001853BF">
          <w:rPr>
            <w:noProof/>
            <w:webHidden/>
          </w:rPr>
          <w:fldChar w:fldCharType="end"/>
        </w:r>
      </w:hyperlink>
    </w:p>
    <w:p w14:paraId="13146B4F" w14:textId="3ED33D8A" w:rsidR="001853BF" w:rsidRDefault="00E35F15">
      <w:pPr>
        <w:pStyle w:val="TOC2"/>
        <w:tabs>
          <w:tab w:val="right" w:leader="dot" w:pos="8630"/>
        </w:tabs>
        <w:rPr>
          <w:b w:val="0"/>
          <w:noProof/>
        </w:rPr>
      </w:pPr>
      <w:hyperlink w:anchor="_Toc518323202" w:history="1">
        <w:r w:rsidR="001853BF" w:rsidRPr="000F1856">
          <w:rPr>
            <w:rStyle w:val="Hyperlink"/>
            <w:smallCaps/>
            <w:noProof/>
          </w:rPr>
          <w:t>A.</w:t>
        </w:r>
        <w:r w:rsidR="001853BF" w:rsidRPr="000F1856">
          <w:rPr>
            <w:rStyle w:val="Hyperlink"/>
            <w:noProof/>
          </w:rPr>
          <w:t xml:space="preserve"> </w:t>
        </w:r>
        <w:r w:rsidR="00F24618">
          <w:rPr>
            <w:rStyle w:val="Hyperlink"/>
            <w:noProof/>
          </w:rPr>
          <w:t xml:space="preserve"> </w:t>
        </w:r>
        <w:r w:rsidR="001853BF" w:rsidRPr="000F1856">
          <w:rPr>
            <w:rStyle w:val="Hyperlink"/>
            <w:noProof/>
          </w:rPr>
          <w:t>Trespass</w:t>
        </w:r>
        <w:r w:rsidR="001853BF">
          <w:rPr>
            <w:noProof/>
            <w:webHidden/>
          </w:rPr>
          <w:tab/>
        </w:r>
        <w:r w:rsidR="001853BF">
          <w:rPr>
            <w:noProof/>
            <w:webHidden/>
          </w:rPr>
          <w:fldChar w:fldCharType="begin"/>
        </w:r>
        <w:r w:rsidR="001853BF">
          <w:rPr>
            <w:noProof/>
            <w:webHidden/>
          </w:rPr>
          <w:instrText xml:space="preserve"> PAGEREF _Toc518323202 \h </w:instrText>
        </w:r>
        <w:r w:rsidR="001853BF">
          <w:rPr>
            <w:noProof/>
            <w:webHidden/>
          </w:rPr>
        </w:r>
        <w:r w:rsidR="001853BF">
          <w:rPr>
            <w:noProof/>
            <w:webHidden/>
          </w:rPr>
          <w:fldChar w:fldCharType="separate"/>
        </w:r>
        <w:r w:rsidR="001853BF">
          <w:rPr>
            <w:noProof/>
            <w:webHidden/>
          </w:rPr>
          <w:t>33</w:t>
        </w:r>
        <w:r w:rsidR="001853BF">
          <w:rPr>
            <w:noProof/>
            <w:webHidden/>
          </w:rPr>
          <w:fldChar w:fldCharType="end"/>
        </w:r>
      </w:hyperlink>
    </w:p>
    <w:p w14:paraId="11657CF6" w14:textId="77777777" w:rsidR="001853BF" w:rsidRDefault="00E35F15">
      <w:pPr>
        <w:pStyle w:val="TOC3"/>
        <w:tabs>
          <w:tab w:val="right" w:leader="dot" w:pos="8630"/>
        </w:tabs>
        <w:rPr>
          <w:noProof/>
        </w:rPr>
      </w:pPr>
      <w:hyperlink w:anchor="_Toc518323203" w:history="1">
        <w:r w:rsidR="001853BF" w:rsidRPr="000F1856">
          <w:rPr>
            <w:rStyle w:val="Hyperlink"/>
            <w:smallCaps/>
            <w:noProof/>
          </w:rPr>
          <w:t xml:space="preserve">1.  </w:t>
        </w:r>
        <w:r w:rsidR="001853BF" w:rsidRPr="000F1856">
          <w:rPr>
            <w:rStyle w:val="Hyperlink"/>
            <w:noProof/>
          </w:rPr>
          <w:t>Trespass to Land</w:t>
        </w:r>
        <w:r w:rsidR="001853BF">
          <w:rPr>
            <w:noProof/>
            <w:webHidden/>
          </w:rPr>
          <w:tab/>
        </w:r>
        <w:r w:rsidR="001853BF">
          <w:rPr>
            <w:noProof/>
            <w:webHidden/>
          </w:rPr>
          <w:fldChar w:fldCharType="begin"/>
        </w:r>
        <w:r w:rsidR="001853BF">
          <w:rPr>
            <w:noProof/>
            <w:webHidden/>
          </w:rPr>
          <w:instrText xml:space="preserve"> PAGEREF _Toc518323203 \h </w:instrText>
        </w:r>
        <w:r w:rsidR="001853BF">
          <w:rPr>
            <w:noProof/>
            <w:webHidden/>
          </w:rPr>
        </w:r>
        <w:r w:rsidR="001853BF">
          <w:rPr>
            <w:noProof/>
            <w:webHidden/>
          </w:rPr>
          <w:fldChar w:fldCharType="separate"/>
        </w:r>
        <w:r w:rsidR="001853BF">
          <w:rPr>
            <w:noProof/>
            <w:webHidden/>
          </w:rPr>
          <w:t>33</w:t>
        </w:r>
        <w:r w:rsidR="001853BF">
          <w:rPr>
            <w:noProof/>
            <w:webHidden/>
          </w:rPr>
          <w:fldChar w:fldCharType="end"/>
        </w:r>
      </w:hyperlink>
    </w:p>
    <w:p w14:paraId="7D7792E0" w14:textId="77777777" w:rsidR="001853BF" w:rsidRDefault="00E35F15">
      <w:pPr>
        <w:pStyle w:val="TOC4"/>
        <w:tabs>
          <w:tab w:val="right" w:leader="dot" w:pos="8630"/>
        </w:tabs>
        <w:rPr>
          <w:noProof/>
          <w:sz w:val="22"/>
          <w:szCs w:val="22"/>
        </w:rPr>
      </w:pPr>
      <w:hyperlink w:anchor="_Toc518323204" w:history="1">
        <w:r w:rsidR="001853BF" w:rsidRPr="001B0F83">
          <w:rPr>
            <w:rStyle w:val="Hyperlink"/>
            <w:i/>
            <w:noProof/>
          </w:rPr>
          <w:t>Dougherty v. Stepp</w:t>
        </w:r>
        <w:r w:rsidR="001853BF">
          <w:rPr>
            <w:noProof/>
            <w:webHidden/>
          </w:rPr>
          <w:tab/>
        </w:r>
        <w:r w:rsidR="001853BF">
          <w:rPr>
            <w:noProof/>
            <w:webHidden/>
          </w:rPr>
          <w:fldChar w:fldCharType="begin"/>
        </w:r>
        <w:r w:rsidR="001853BF">
          <w:rPr>
            <w:noProof/>
            <w:webHidden/>
          </w:rPr>
          <w:instrText xml:space="preserve"> PAGEREF _Toc518323204 \h </w:instrText>
        </w:r>
        <w:r w:rsidR="001853BF">
          <w:rPr>
            <w:noProof/>
            <w:webHidden/>
          </w:rPr>
        </w:r>
        <w:r w:rsidR="001853BF">
          <w:rPr>
            <w:noProof/>
            <w:webHidden/>
          </w:rPr>
          <w:fldChar w:fldCharType="separate"/>
        </w:r>
        <w:r w:rsidR="001853BF">
          <w:rPr>
            <w:noProof/>
            <w:webHidden/>
          </w:rPr>
          <w:t>33</w:t>
        </w:r>
        <w:r w:rsidR="001853BF">
          <w:rPr>
            <w:noProof/>
            <w:webHidden/>
          </w:rPr>
          <w:fldChar w:fldCharType="end"/>
        </w:r>
      </w:hyperlink>
    </w:p>
    <w:p w14:paraId="6F4A8D57" w14:textId="77777777" w:rsidR="001853BF" w:rsidRDefault="00E35F15">
      <w:pPr>
        <w:pStyle w:val="TOC4"/>
        <w:tabs>
          <w:tab w:val="right" w:leader="dot" w:pos="8630"/>
        </w:tabs>
        <w:rPr>
          <w:noProof/>
          <w:sz w:val="22"/>
          <w:szCs w:val="22"/>
        </w:rPr>
      </w:pPr>
      <w:hyperlink w:anchor="_Toc51832320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_Toc518323205 \h </w:instrText>
        </w:r>
        <w:r w:rsidR="001853BF">
          <w:rPr>
            <w:noProof/>
            <w:webHidden/>
          </w:rPr>
        </w:r>
        <w:r w:rsidR="001853BF">
          <w:rPr>
            <w:noProof/>
            <w:webHidden/>
          </w:rPr>
          <w:fldChar w:fldCharType="separate"/>
        </w:r>
        <w:r w:rsidR="001853BF">
          <w:rPr>
            <w:noProof/>
            <w:webHidden/>
          </w:rPr>
          <w:t>34</w:t>
        </w:r>
        <w:r w:rsidR="001853BF">
          <w:rPr>
            <w:noProof/>
            <w:webHidden/>
          </w:rPr>
          <w:fldChar w:fldCharType="end"/>
        </w:r>
      </w:hyperlink>
    </w:p>
    <w:p w14:paraId="1A1D2716" w14:textId="77777777" w:rsidR="001853BF" w:rsidRDefault="00E35F15">
      <w:pPr>
        <w:pStyle w:val="TOC3"/>
        <w:tabs>
          <w:tab w:val="right" w:leader="dot" w:pos="8630"/>
        </w:tabs>
        <w:rPr>
          <w:noProof/>
        </w:rPr>
      </w:pPr>
      <w:hyperlink w:anchor="_Toc518323206" w:history="1">
        <w:r w:rsidR="001853BF" w:rsidRPr="000F1856">
          <w:rPr>
            <w:rStyle w:val="Hyperlink"/>
            <w:smallCaps/>
            <w:noProof/>
          </w:rPr>
          <w:t xml:space="preserve">2. </w:t>
        </w:r>
        <w:r w:rsidR="001853BF" w:rsidRPr="000F1856">
          <w:rPr>
            <w:rStyle w:val="Hyperlink"/>
            <w:noProof/>
          </w:rPr>
          <w:t>Trespass to Chattels</w:t>
        </w:r>
        <w:r w:rsidR="001853BF">
          <w:rPr>
            <w:noProof/>
            <w:webHidden/>
          </w:rPr>
          <w:tab/>
        </w:r>
        <w:r w:rsidR="001853BF">
          <w:rPr>
            <w:noProof/>
            <w:webHidden/>
          </w:rPr>
          <w:fldChar w:fldCharType="begin"/>
        </w:r>
        <w:r w:rsidR="001853BF">
          <w:rPr>
            <w:noProof/>
            <w:webHidden/>
          </w:rPr>
          <w:instrText xml:space="preserve"> PAGEREF _Toc518323206 \h </w:instrText>
        </w:r>
        <w:r w:rsidR="001853BF">
          <w:rPr>
            <w:noProof/>
            <w:webHidden/>
          </w:rPr>
        </w:r>
        <w:r w:rsidR="001853BF">
          <w:rPr>
            <w:noProof/>
            <w:webHidden/>
          </w:rPr>
          <w:fldChar w:fldCharType="separate"/>
        </w:r>
        <w:r w:rsidR="001853BF">
          <w:rPr>
            <w:noProof/>
            <w:webHidden/>
          </w:rPr>
          <w:t>36</w:t>
        </w:r>
        <w:r w:rsidR="001853BF">
          <w:rPr>
            <w:noProof/>
            <w:webHidden/>
          </w:rPr>
          <w:fldChar w:fldCharType="end"/>
        </w:r>
      </w:hyperlink>
    </w:p>
    <w:p w14:paraId="6B7140CB" w14:textId="77777777" w:rsidR="001853BF" w:rsidRDefault="00E35F15">
      <w:pPr>
        <w:pStyle w:val="TOC4"/>
        <w:tabs>
          <w:tab w:val="right" w:leader="dot" w:pos="8630"/>
        </w:tabs>
        <w:rPr>
          <w:noProof/>
          <w:sz w:val="22"/>
          <w:szCs w:val="22"/>
        </w:rPr>
      </w:pPr>
      <w:hyperlink w:anchor="_Toc518323207" w:history="1">
        <w:r w:rsidR="001853BF" w:rsidRPr="001B0F83">
          <w:rPr>
            <w:rStyle w:val="Hyperlink"/>
            <w:i/>
            <w:noProof/>
          </w:rPr>
          <w:t>Intel Corp. v. Hamidi</w:t>
        </w:r>
        <w:r w:rsidR="001853BF">
          <w:rPr>
            <w:noProof/>
            <w:webHidden/>
          </w:rPr>
          <w:tab/>
        </w:r>
        <w:r w:rsidR="001853BF">
          <w:rPr>
            <w:noProof/>
            <w:webHidden/>
          </w:rPr>
          <w:fldChar w:fldCharType="begin"/>
        </w:r>
        <w:r w:rsidR="001853BF">
          <w:rPr>
            <w:noProof/>
            <w:webHidden/>
          </w:rPr>
          <w:instrText xml:space="preserve"> PAGEREF _Toc518323207 \h </w:instrText>
        </w:r>
        <w:r w:rsidR="001853BF">
          <w:rPr>
            <w:noProof/>
            <w:webHidden/>
          </w:rPr>
        </w:r>
        <w:r w:rsidR="001853BF">
          <w:rPr>
            <w:noProof/>
            <w:webHidden/>
          </w:rPr>
          <w:fldChar w:fldCharType="separate"/>
        </w:r>
        <w:r w:rsidR="001853BF">
          <w:rPr>
            <w:noProof/>
            <w:webHidden/>
          </w:rPr>
          <w:t>38</w:t>
        </w:r>
        <w:r w:rsidR="001853BF">
          <w:rPr>
            <w:noProof/>
            <w:webHidden/>
          </w:rPr>
          <w:fldChar w:fldCharType="end"/>
        </w:r>
      </w:hyperlink>
    </w:p>
    <w:p w14:paraId="72CFA8B9" w14:textId="77777777" w:rsidR="001853BF" w:rsidRDefault="00E35F15">
      <w:pPr>
        <w:pStyle w:val="TOC4"/>
        <w:tabs>
          <w:tab w:val="right" w:leader="dot" w:pos="8630"/>
        </w:tabs>
        <w:rPr>
          <w:noProof/>
          <w:sz w:val="22"/>
          <w:szCs w:val="22"/>
        </w:rPr>
      </w:pPr>
      <w:hyperlink w:anchor="_Toc51832320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_Toc518323208 \h </w:instrText>
        </w:r>
        <w:r w:rsidR="001853BF">
          <w:rPr>
            <w:noProof/>
            <w:webHidden/>
          </w:rPr>
        </w:r>
        <w:r w:rsidR="001853BF">
          <w:rPr>
            <w:noProof/>
            <w:webHidden/>
          </w:rPr>
          <w:fldChar w:fldCharType="separate"/>
        </w:r>
        <w:r w:rsidR="001853BF">
          <w:rPr>
            <w:noProof/>
            <w:webHidden/>
          </w:rPr>
          <w:t>44</w:t>
        </w:r>
        <w:r w:rsidR="001853BF">
          <w:rPr>
            <w:noProof/>
            <w:webHidden/>
          </w:rPr>
          <w:fldChar w:fldCharType="end"/>
        </w:r>
      </w:hyperlink>
    </w:p>
    <w:p w14:paraId="2388C083" w14:textId="48ECBEAF" w:rsidR="001853BF" w:rsidRDefault="00E35F15">
      <w:pPr>
        <w:pStyle w:val="TOC2"/>
        <w:tabs>
          <w:tab w:val="right" w:leader="dot" w:pos="8630"/>
        </w:tabs>
        <w:rPr>
          <w:b w:val="0"/>
          <w:noProof/>
        </w:rPr>
      </w:pPr>
      <w:hyperlink w:anchor="_Toc518323209" w:history="1">
        <w:r w:rsidR="001853BF">
          <w:rPr>
            <w:rStyle w:val="Hyperlink"/>
            <w:noProof/>
          </w:rPr>
          <w:t>B.</w:t>
        </w:r>
        <w:r w:rsidR="00F24618">
          <w:rPr>
            <w:rStyle w:val="Hyperlink"/>
            <w:noProof/>
          </w:rPr>
          <w:t xml:space="preserve"> </w:t>
        </w:r>
        <w:r w:rsidR="001853BF">
          <w:rPr>
            <w:rStyle w:val="Hyperlink"/>
            <w:noProof/>
          </w:rPr>
          <w:t xml:space="preserve"> </w:t>
        </w:r>
        <w:r w:rsidR="001853BF" w:rsidRPr="000F1856">
          <w:rPr>
            <w:rStyle w:val="Hyperlink"/>
            <w:noProof/>
          </w:rPr>
          <w:t>Defenses to Trespass</w:t>
        </w:r>
        <w:r w:rsidR="001853BF">
          <w:rPr>
            <w:noProof/>
            <w:webHidden/>
          </w:rPr>
          <w:tab/>
        </w:r>
        <w:r w:rsidR="001853BF">
          <w:rPr>
            <w:noProof/>
            <w:webHidden/>
          </w:rPr>
          <w:fldChar w:fldCharType="begin"/>
        </w:r>
        <w:r w:rsidR="001853BF">
          <w:rPr>
            <w:noProof/>
            <w:webHidden/>
          </w:rPr>
          <w:instrText xml:space="preserve"> PAGEREF _Toc518323209 \h </w:instrText>
        </w:r>
        <w:r w:rsidR="001853BF">
          <w:rPr>
            <w:noProof/>
            <w:webHidden/>
          </w:rPr>
        </w:r>
        <w:r w:rsidR="001853BF">
          <w:rPr>
            <w:noProof/>
            <w:webHidden/>
          </w:rPr>
          <w:fldChar w:fldCharType="separate"/>
        </w:r>
        <w:r w:rsidR="001853BF">
          <w:rPr>
            <w:noProof/>
            <w:webHidden/>
          </w:rPr>
          <w:t>46</w:t>
        </w:r>
        <w:r w:rsidR="001853BF">
          <w:rPr>
            <w:noProof/>
            <w:webHidden/>
          </w:rPr>
          <w:fldChar w:fldCharType="end"/>
        </w:r>
      </w:hyperlink>
    </w:p>
    <w:p w14:paraId="504E2C71" w14:textId="77777777" w:rsidR="001853BF" w:rsidRDefault="00E35F15">
      <w:pPr>
        <w:pStyle w:val="TOC3"/>
        <w:tabs>
          <w:tab w:val="right" w:leader="dot" w:pos="8630"/>
        </w:tabs>
        <w:rPr>
          <w:noProof/>
        </w:rPr>
      </w:pPr>
      <w:hyperlink w:anchor="_Toc518323210" w:history="1">
        <w:r w:rsidR="001853BF" w:rsidRPr="000F1856">
          <w:rPr>
            <w:rStyle w:val="Hyperlink"/>
            <w:noProof/>
          </w:rPr>
          <w:t>1.  Self-Defense</w:t>
        </w:r>
        <w:r w:rsidR="001853BF">
          <w:rPr>
            <w:noProof/>
            <w:webHidden/>
          </w:rPr>
          <w:tab/>
        </w:r>
        <w:r w:rsidR="001853BF">
          <w:rPr>
            <w:noProof/>
            <w:webHidden/>
          </w:rPr>
          <w:fldChar w:fldCharType="begin"/>
        </w:r>
        <w:r w:rsidR="001853BF">
          <w:rPr>
            <w:noProof/>
            <w:webHidden/>
          </w:rPr>
          <w:instrText xml:space="preserve"> PAGEREF _Toc518323210 \h </w:instrText>
        </w:r>
        <w:r w:rsidR="001853BF">
          <w:rPr>
            <w:noProof/>
            <w:webHidden/>
          </w:rPr>
        </w:r>
        <w:r w:rsidR="001853BF">
          <w:rPr>
            <w:noProof/>
            <w:webHidden/>
          </w:rPr>
          <w:fldChar w:fldCharType="separate"/>
        </w:r>
        <w:r w:rsidR="001853BF">
          <w:rPr>
            <w:noProof/>
            <w:webHidden/>
          </w:rPr>
          <w:t>46</w:t>
        </w:r>
        <w:r w:rsidR="001853BF">
          <w:rPr>
            <w:noProof/>
            <w:webHidden/>
          </w:rPr>
          <w:fldChar w:fldCharType="end"/>
        </w:r>
      </w:hyperlink>
    </w:p>
    <w:p w14:paraId="620BD67F" w14:textId="77777777" w:rsidR="001853BF" w:rsidRDefault="00E35F15">
      <w:pPr>
        <w:pStyle w:val="TOC4"/>
        <w:tabs>
          <w:tab w:val="right" w:leader="dot" w:pos="8630"/>
        </w:tabs>
        <w:rPr>
          <w:noProof/>
          <w:sz w:val="22"/>
          <w:szCs w:val="22"/>
        </w:rPr>
      </w:pPr>
      <w:hyperlink w:anchor="_Toc518323211" w:history="1">
        <w:r w:rsidR="001853BF" w:rsidRPr="001B0F83">
          <w:rPr>
            <w:rStyle w:val="Hyperlink"/>
            <w:i/>
            <w:noProof/>
          </w:rPr>
          <w:t>Courvoisier v. Raymond</w:t>
        </w:r>
        <w:r w:rsidR="001853BF">
          <w:rPr>
            <w:noProof/>
            <w:webHidden/>
          </w:rPr>
          <w:tab/>
        </w:r>
        <w:r w:rsidR="001853BF">
          <w:rPr>
            <w:noProof/>
            <w:webHidden/>
          </w:rPr>
          <w:fldChar w:fldCharType="begin"/>
        </w:r>
        <w:r w:rsidR="001853BF">
          <w:rPr>
            <w:noProof/>
            <w:webHidden/>
          </w:rPr>
          <w:instrText xml:space="preserve"> PAGEREF _Toc518323211 \h </w:instrText>
        </w:r>
        <w:r w:rsidR="001853BF">
          <w:rPr>
            <w:noProof/>
            <w:webHidden/>
          </w:rPr>
        </w:r>
        <w:r w:rsidR="001853BF">
          <w:rPr>
            <w:noProof/>
            <w:webHidden/>
          </w:rPr>
          <w:fldChar w:fldCharType="separate"/>
        </w:r>
        <w:r w:rsidR="001853BF">
          <w:rPr>
            <w:noProof/>
            <w:webHidden/>
          </w:rPr>
          <w:t>46</w:t>
        </w:r>
        <w:r w:rsidR="001853BF">
          <w:rPr>
            <w:noProof/>
            <w:webHidden/>
          </w:rPr>
          <w:fldChar w:fldCharType="end"/>
        </w:r>
      </w:hyperlink>
    </w:p>
    <w:p w14:paraId="7B30B21B" w14:textId="77777777" w:rsidR="001853BF" w:rsidRDefault="00E35F15">
      <w:pPr>
        <w:pStyle w:val="TOC4"/>
        <w:tabs>
          <w:tab w:val="right" w:leader="dot" w:pos="8630"/>
        </w:tabs>
        <w:rPr>
          <w:noProof/>
          <w:sz w:val="22"/>
          <w:szCs w:val="22"/>
        </w:rPr>
      </w:pPr>
      <w:hyperlink w:anchor="_Toc51832321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_Toc518323212 \h </w:instrText>
        </w:r>
        <w:r w:rsidR="001853BF">
          <w:rPr>
            <w:noProof/>
            <w:webHidden/>
          </w:rPr>
        </w:r>
        <w:r w:rsidR="001853BF">
          <w:rPr>
            <w:noProof/>
            <w:webHidden/>
          </w:rPr>
          <w:fldChar w:fldCharType="separate"/>
        </w:r>
        <w:r w:rsidR="001853BF">
          <w:rPr>
            <w:noProof/>
            <w:webHidden/>
          </w:rPr>
          <w:t>48</w:t>
        </w:r>
        <w:r w:rsidR="001853BF">
          <w:rPr>
            <w:noProof/>
            <w:webHidden/>
          </w:rPr>
          <w:fldChar w:fldCharType="end"/>
        </w:r>
      </w:hyperlink>
    </w:p>
    <w:p w14:paraId="162DAC33" w14:textId="77777777" w:rsidR="001853BF" w:rsidRDefault="00E35F15">
      <w:pPr>
        <w:pStyle w:val="TOC3"/>
        <w:tabs>
          <w:tab w:val="right" w:leader="dot" w:pos="8630"/>
        </w:tabs>
        <w:rPr>
          <w:noProof/>
        </w:rPr>
      </w:pPr>
      <w:hyperlink w:anchor="_Toc518323213" w:history="1">
        <w:r w:rsidR="001853BF" w:rsidRPr="000F1856">
          <w:rPr>
            <w:rStyle w:val="Hyperlink"/>
            <w:noProof/>
          </w:rPr>
          <w:t>2.  Defense of Real Property</w:t>
        </w:r>
        <w:r w:rsidR="001853BF">
          <w:rPr>
            <w:noProof/>
            <w:webHidden/>
          </w:rPr>
          <w:tab/>
        </w:r>
        <w:r w:rsidR="001853BF">
          <w:rPr>
            <w:noProof/>
            <w:webHidden/>
          </w:rPr>
          <w:fldChar w:fldCharType="begin"/>
        </w:r>
        <w:r w:rsidR="001853BF">
          <w:rPr>
            <w:noProof/>
            <w:webHidden/>
          </w:rPr>
          <w:instrText xml:space="preserve"> PAGEREF _Toc518323213 \h </w:instrText>
        </w:r>
        <w:r w:rsidR="001853BF">
          <w:rPr>
            <w:noProof/>
            <w:webHidden/>
          </w:rPr>
        </w:r>
        <w:r w:rsidR="001853BF">
          <w:rPr>
            <w:noProof/>
            <w:webHidden/>
          </w:rPr>
          <w:fldChar w:fldCharType="separate"/>
        </w:r>
        <w:r w:rsidR="001853BF">
          <w:rPr>
            <w:noProof/>
            <w:webHidden/>
          </w:rPr>
          <w:t>51</w:t>
        </w:r>
        <w:r w:rsidR="001853BF">
          <w:rPr>
            <w:noProof/>
            <w:webHidden/>
          </w:rPr>
          <w:fldChar w:fldCharType="end"/>
        </w:r>
      </w:hyperlink>
    </w:p>
    <w:p w14:paraId="7133D3B3" w14:textId="77777777" w:rsidR="001853BF" w:rsidRDefault="00E35F15">
      <w:pPr>
        <w:pStyle w:val="TOC4"/>
        <w:tabs>
          <w:tab w:val="right" w:leader="dot" w:pos="8630"/>
        </w:tabs>
        <w:rPr>
          <w:noProof/>
          <w:sz w:val="22"/>
          <w:szCs w:val="22"/>
        </w:rPr>
      </w:pPr>
      <w:hyperlink w:anchor="_Toc518323214" w:history="1">
        <w:r w:rsidR="001853BF" w:rsidRPr="001B0F83">
          <w:rPr>
            <w:rStyle w:val="Hyperlink"/>
            <w:i/>
            <w:noProof/>
          </w:rPr>
          <w:t>Bird v. Holbrook</w:t>
        </w:r>
        <w:r w:rsidR="001853BF">
          <w:rPr>
            <w:noProof/>
            <w:webHidden/>
          </w:rPr>
          <w:tab/>
        </w:r>
        <w:r w:rsidR="001853BF">
          <w:rPr>
            <w:noProof/>
            <w:webHidden/>
          </w:rPr>
          <w:fldChar w:fldCharType="begin"/>
        </w:r>
        <w:r w:rsidR="001853BF">
          <w:rPr>
            <w:noProof/>
            <w:webHidden/>
          </w:rPr>
          <w:instrText xml:space="preserve"> PAGEREF _Toc518323214 \h </w:instrText>
        </w:r>
        <w:r w:rsidR="001853BF">
          <w:rPr>
            <w:noProof/>
            <w:webHidden/>
          </w:rPr>
        </w:r>
        <w:r w:rsidR="001853BF">
          <w:rPr>
            <w:noProof/>
            <w:webHidden/>
          </w:rPr>
          <w:fldChar w:fldCharType="separate"/>
        </w:r>
        <w:r w:rsidR="001853BF">
          <w:rPr>
            <w:noProof/>
            <w:webHidden/>
          </w:rPr>
          <w:t>51</w:t>
        </w:r>
        <w:r w:rsidR="001853BF">
          <w:rPr>
            <w:noProof/>
            <w:webHidden/>
          </w:rPr>
          <w:fldChar w:fldCharType="end"/>
        </w:r>
      </w:hyperlink>
    </w:p>
    <w:p w14:paraId="6C4D7C8D" w14:textId="77777777" w:rsidR="001853BF" w:rsidRDefault="00E35F15">
      <w:pPr>
        <w:pStyle w:val="TOC4"/>
        <w:tabs>
          <w:tab w:val="right" w:leader="dot" w:pos="8630"/>
        </w:tabs>
        <w:rPr>
          <w:noProof/>
          <w:sz w:val="22"/>
          <w:szCs w:val="22"/>
        </w:rPr>
      </w:pPr>
      <w:hyperlink w:anchor="_Toc51832321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_Toc518323215 \h </w:instrText>
        </w:r>
        <w:r w:rsidR="001853BF">
          <w:rPr>
            <w:noProof/>
            <w:webHidden/>
          </w:rPr>
        </w:r>
        <w:r w:rsidR="001853BF">
          <w:rPr>
            <w:noProof/>
            <w:webHidden/>
          </w:rPr>
          <w:fldChar w:fldCharType="separate"/>
        </w:r>
        <w:r w:rsidR="001853BF">
          <w:rPr>
            <w:noProof/>
            <w:webHidden/>
          </w:rPr>
          <w:t>53</w:t>
        </w:r>
        <w:r w:rsidR="001853BF">
          <w:rPr>
            <w:noProof/>
            <w:webHidden/>
          </w:rPr>
          <w:fldChar w:fldCharType="end"/>
        </w:r>
      </w:hyperlink>
    </w:p>
    <w:p w14:paraId="73B0173E" w14:textId="77777777" w:rsidR="001853BF" w:rsidRDefault="00E35F15">
      <w:pPr>
        <w:pStyle w:val="TOC3"/>
        <w:tabs>
          <w:tab w:val="right" w:leader="dot" w:pos="8630"/>
        </w:tabs>
        <w:rPr>
          <w:noProof/>
        </w:rPr>
      </w:pPr>
      <w:hyperlink w:anchor="_Toc518323216" w:history="1">
        <w:r w:rsidR="001853BF" w:rsidRPr="000F1856">
          <w:rPr>
            <w:rStyle w:val="Hyperlink"/>
            <w:noProof/>
          </w:rPr>
          <w:t>3.  Defense of Chattels</w:t>
        </w:r>
        <w:r w:rsidR="001853BF">
          <w:rPr>
            <w:noProof/>
            <w:webHidden/>
          </w:rPr>
          <w:tab/>
        </w:r>
        <w:r w:rsidR="001853BF">
          <w:rPr>
            <w:noProof/>
            <w:webHidden/>
          </w:rPr>
          <w:fldChar w:fldCharType="begin"/>
        </w:r>
        <w:r w:rsidR="001853BF">
          <w:rPr>
            <w:noProof/>
            <w:webHidden/>
          </w:rPr>
          <w:instrText xml:space="preserve"> PAGEREF _Toc518323216 \h </w:instrText>
        </w:r>
        <w:r w:rsidR="001853BF">
          <w:rPr>
            <w:noProof/>
            <w:webHidden/>
          </w:rPr>
        </w:r>
        <w:r w:rsidR="001853BF">
          <w:rPr>
            <w:noProof/>
            <w:webHidden/>
          </w:rPr>
          <w:fldChar w:fldCharType="separate"/>
        </w:r>
        <w:r w:rsidR="001853BF">
          <w:rPr>
            <w:noProof/>
            <w:webHidden/>
          </w:rPr>
          <w:t>55</w:t>
        </w:r>
        <w:r w:rsidR="001853BF">
          <w:rPr>
            <w:noProof/>
            <w:webHidden/>
          </w:rPr>
          <w:fldChar w:fldCharType="end"/>
        </w:r>
      </w:hyperlink>
    </w:p>
    <w:p w14:paraId="4578A6A0" w14:textId="77777777" w:rsidR="001853BF" w:rsidRDefault="00E35F15">
      <w:pPr>
        <w:pStyle w:val="TOC4"/>
        <w:tabs>
          <w:tab w:val="right" w:leader="dot" w:pos="8630"/>
        </w:tabs>
        <w:rPr>
          <w:noProof/>
          <w:sz w:val="22"/>
          <w:szCs w:val="22"/>
        </w:rPr>
      </w:pPr>
      <w:hyperlink w:anchor="_Toc518323217" w:history="1">
        <w:r w:rsidR="001853BF" w:rsidRPr="001B0F83">
          <w:rPr>
            <w:rStyle w:val="Hyperlink"/>
            <w:i/>
            <w:noProof/>
          </w:rPr>
          <w:t>Gortarez v. Smitty’s Super Valu</w:t>
        </w:r>
        <w:r w:rsidR="001853BF">
          <w:rPr>
            <w:noProof/>
            <w:webHidden/>
          </w:rPr>
          <w:tab/>
        </w:r>
        <w:r w:rsidR="001853BF">
          <w:rPr>
            <w:noProof/>
            <w:webHidden/>
          </w:rPr>
          <w:fldChar w:fldCharType="begin"/>
        </w:r>
        <w:r w:rsidR="001853BF">
          <w:rPr>
            <w:noProof/>
            <w:webHidden/>
          </w:rPr>
          <w:instrText xml:space="preserve"> PAGEREF _Toc518323217 \h </w:instrText>
        </w:r>
        <w:r w:rsidR="001853BF">
          <w:rPr>
            <w:noProof/>
            <w:webHidden/>
          </w:rPr>
        </w:r>
        <w:r w:rsidR="001853BF">
          <w:rPr>
            <w:noProof/>
            <w:webHidden/>
          </w:rPr>
          <w:fldChar w:fldCharType="separate"/>
        </w:r>
        <w:r w:rsidR="001853BF">
          <w:rPr>
            <w:noProof/>
            <w:webHidden/>
          </w:rPr>
          <w:t>55</w:t>
        </w:r>
        <w:r w:rsidR="001853BF">
          <w:rPr>
            <w:noProof/>
            <w:webHidden/>
          </w:rPr>
          <w:fldChar w:fldCharType="end"/>
        </w:r>
      </w:hyperlink>
    </w:p>
    <w:p w14:paraId="409D20C4" w14:textId="77777777" w:rsidR="001853BF" w:rsidRDefault="00E35F15">
      <w:pPr>
        <w:pStyle w:val="TOC4"/>
        <w:tabs>
          <w:tab w:val="right" w:leader="dot" w:pos="8630"/>
        </w:tabs>
        <w:rPr>
          <w:noProof/>
          <w:sz w:val="22"/>
          <w:szCs w:val="22"/>
        </w:rPr>
      </w:pPr>
      <w:hyperlink w:anchor="_Toc51832321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_Toc518323218 \h </w:instrText>
        </w:r>
        <w:r w:rsidR="001853BF">
          <w:rPr>
            <w:noProof/>
            <w:webHidden/>
          </w:rPr>
        </w:r>
        <w:r w:rsidR="001853BF">
          <w:rPr>
            <w:noProof/>
            <w:webHidden/>
          </w:rPr>
          <w:fldChar w:fldCharType="separate"/>
        </w:r>
        <w:r w:rsidR="001853BF">
          <w:rPr>
            <w:noProof/>
            <w:webHidden/>
          </w:rPr>
          <w:t>58</w:t>
        </w:r>
        <w:r w:rsidR="001853BF">
          <w:rPr>
            <w:noProof/>
            <w:webHidden/>
          </w:rPr>
          <w:fldChar w:fldCharType="end"/>
        </w:r>
      </w:hyperlink>
    </w:p>
    <w:p w14:paraId="66FED478" w14:textId="77777777" w:rsidR="001853BF" w:rsidRDefault="00E35F15">
      <w:pPr>
        <w:pStyle w:val="TOC3"/>
        <w:tabs>
          <w:tab w:val="right" w:leader="dot" w:pos="8630"/>
        </w:tabs>
        <w:rPr>
          <w:noProof/>
        </w:rPr>
      </w:pPr>
      <w:hyperlink w:anchor="_Toc518323219" w:history="1">
        <w:r w:rsidR="001853BF" w:rsidRPr="000F1856">
          <w:rPr>
            <w:rStyle w:val="Hyperlink"/>
            <w:noProof/>
          </w:rPr>
          <w:t>4.  Consent</w:t>
        </w:r>
        <w:r w:rsidR="001853BF">
          <w:rPr>
            <w:noProof/>
            <w:webHidden/>
          </w:rPr>
          <w:tab/>
        </w:r>
        <w:r w:rsidR="001853BF">
          <w:rPr>
            <w:noProof/>
            <w:webHidden/>
          </w:rPr>
          <w:fldChar w:fldCharType="begin"/>
        </w:r>
        <w:r w:rsidR="001853BF">
          <w:rPr>
            <w:noProof/>
            <w:webHidden/>
          </w:rPr>
          <w:instrText xml:space="preserve"> PAGEREF _Toc518323219 \h </w:instrText>
        </w:r>
        <w:r w:rsidR="001853BF">
          <w:rPr>
            <w:noProof/>
            <w:webHidden/>
          </w:rPr>
        </w:r>
        <w:r w:rsidR="001853BF">
          <w:rPr>
            <w:noProof/>
            <w:webHidden/>
          </w:rPr>
          <w:fldChar w:fldCharType="separate"/>
        </w:r>
        <w:r w:rsidR="001853BF">
          <w:rPr>
            <w:noProof/>
            <w:webHidden/>
          </w:rPr>
          <w:t>59</w:t>
        </w:r>
        <w:r w:rsidR="001853BF">
          <w:rPr>
            <w:noProof/>
            <w:webHidden/>
          </w:rPr>
          <w:fldChar w:fldCharType="end"/>
        </w:r>
      </w:hyperlink>
    </w:p>
    <w:p w14:paraId="5929F48E" w14:textId="77777777" w:rsidR="001853BF" w:rsidRDefault="00E35F15">
      <w:pPr>
        <w:pStyle w:val="TOC4"/>
        <w:tabs>
          <w:tab w:val="right" w:leader="dot" w:pos="8630"/>
        </w:tabs>
        <w:rPr>
          <w:noProof/>
          <w:sz w:val="22"/>
          <w:szCs w:val="22"/>
        </w:rPr>
      </w:pPr>
      <w:hyperlink w:anchor="_Toc518323220" w:history="1">
        <w:r w:rsidR="001853BF" w:rsidRPr="001B0F83">
          <w:rPr>
            <w:rStyle w:val="Hyperlink"/>
            <w:i/>
            <w:noProof/>
          </w:rPr>
          <w:t>Mohr v. Williams</w:t>
        </w:r>
        <w:r w:rsidR="001853BF">
          <w:rPr>
            <w:noProof/>
            <w:webHidden/>
          </w:rPr>
          <w:tab/>
        </w:r>
        <w:r w:rsidR="001853BF">
          <w:rPr>
            <w:noProof/>
            <w:webHidden/>
          </w:rPr>
          <w:fldChar w:fldCharType="begin"/>
        </w:r>
        <w:r w:rsidR="001853BF">
          <w:rPr>
            <w:noProof/>
            <w:webHidden/>
          </w:rPr>
          <w:instrText xml:space="preserve"> PAGEREF _Toc518323220 \h </w:instrText>
        </w:r>
        <w:r w:rsidR="001853BF">
          <w:rPr>
            <w:noProof/>
            <w:webHidden/>
          </w:rPr>
        </w:r>
        <w:r w:rsidR="001853BF">
          <w:rPr>
            <w:noProof/>
            <w:webHidden/>
          </w:rPr>
          <w:fldChar w:fldCharType="separate"/>
        </w:r>
        <w:r w:rsidR="001853BF">
          <w:rPr>
            <w:noProof/>
            <w:webHidden/>
          </w:rPr>
          <w:t>59</w:t>
        </w:r>
        <w:r w:rsidR="001853BF">
          <w:rPr>
            <w:noProof/>
            <w:webHidden/>
          </w:rPr>
          <w:fldChar w:fldCharType="end"/>
        </w:r>
      </w:hyperlink>
    </w:p>
    <w:p w14:paraId="3997DA2E" w14:textId="77777777" w:rsidR="001853BF" w:rsidRDefault="00E35F15">
      <w:pPr>
        <w:pStyle w:val="TOC4"/>
        <w:tabs>
          <w:tab w:val="right" w:leader="dot" w:pos="8630"/>
        </w:tabs>
        <w:rPr>
          <w:noProof/>
          <w:sz w:val="22"/>
          <w:szCs w:val="22"/>
        </w:rPr>
      </w:pPr>
      <w:hyperlink w:anchor="_Toc51832322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_Toc518323221 \h </w:instrText>
        </w:r>
        <w:r w:rsidR="001853BF">
          <w:rPr>
            <w:noProof/>
            <w:webHidden/>
          </w:rPr>
        </w:r>
        <w:r w:rsidR="001853BF">
          <w:rPr>
            <w:noProof/>
            <w:webHidden/>
          </w:rPr>
          <w:fldChar w:fldCharType="separate"/>
        </w:r>
        <w:r w:rsidR="001853BF">
          <w:rPr>
            <w:noProof/>
            <w:webHidden/>
          </w:rPr>
          <w:t>61</w:t>
        </w:r>
        <w:r w:rsidR="001853BF">
          <w:rPr>
            <w:noProof/>
            <w:webHidden/>
          </w:rPr>
          <w:fldChar w:fldCharType="end"/>
        </w:r>
      </w:hyperlink>
    </w:p>
    <w:p w14:paraId="1199F473" w14:textId="77777777" w:rsidR="001853BF" w:rsidRDefault="00E35F15">
      <w:pPr>
        <w:pStyle w:val="TOC3"/>
        <w:tabs>
          <w:tab w:val="right" w:leader="dot" w:pos="8630"/>
        </w:tabs>
        <w:rPr>
          <w:noProof/>
        </w:rPr>
      </w:pPr>
      <w:hyperlink w:anchor="_Toc518323222" w:history="1">
        <w:r w:rsidR="001853BF" w:rsidRPr="000F1856">
          <w:rPr>
            <w:rStyle w:val="Hyperlink"/>
            <w:noProof/>
          </w:rPr>
          <w:t>5.  Necessity</w:t>
        </w:r>
        <w:r w:rsidR="001853BF">
          <w:rPr>
            <w:noProof/>
            <w:webHidden/>
          </w:rPr>
          <w:tab/>
        </w:r>
        <w:r w:rsidR="001853BF">
          <w:rPr>
            <w:noProof/>
            <w:webHidden/>
          </w:rPr>
          <w:fldChar w:fldCharType="begin"/>
        </w:r>
        <w:r w:rsidR="001853BF">
          <w:rPr>
            <w:noProof/>
            <w:webHidden/>
          </w:rPr>
          <w:instrText xml:space="preserve"> PAGEREF _Toc518323222 \h </w:instrText>
        </w:r>
        <w:r w:rsidR="001853BF">
          <w:rPr>
            <w:noProof/>
            <w:webHidden/>
          </w:rPr>
        </w:r>
        <w:r w:rsidR="001853BF">
          <w:rPr>
            <w:noProof/>
            <w:webHidden/>
          </w:rPr>
          <w:fldChar w:fldCharType="separate"/>
        </w:r>
        <w:r w:rsidR="001853BF">
          <w:rPr>
            <w:noProof/>
            <w:webHidden/>
          </w:rPr>
          <w:t>63</w:t>
        </w:r>
        <w:r w:rsidR="001853BF">
          <w:rPr>
            <w:noProof/>
            <w:webHidden/>
          </w:rPr>
          <w:fldChar w:fldCharType="end"/>
        </w:r>
      </w:hyperlink>
    </w:p>
    <w:p w14:paraId="5A439C2B" w14:textId="77777777" w:rsidR="001853BF" w:rsidRDefault="00E35F15">
      <w:pPr>
        <w:pStyle w:val="TOC4"/>
        <w:tabs>
          <w:tab w:val="right" w:leader="dot" w:pos="8630"/>
        </w:tabs>
        <w:rPr>
          <w:noProof/>
          <w:sz w:val="22"/>
          <w:szCs w:val="22"/>
        </w:rPr>
      </w:pPr>
      <w:hyperlink w:anchor="_Toc518323223" w:history="1">
        <w:r w:rsidR="001853BF" w:rsidRPr="001B0F83">
          <w:rPr>
            <w:rStyle w:val="Hyperlink"/>
            <w:i/>
            <w:noProof/>
          </w:rPr>
          <w:t>Ploof v. Putnam</w:t>
        </w:r>
        <w:r w:rsidR="001853BF">
          <w:rPr>
            <w:noProof/>
            <w:webHidden/>
          </w:rPr>
          <w:tab/>
        </w:r>
        <w:r w:rsidR="001853BF">
          <w:rPr>
            <w:noProof/>
            <w:webHidden/>
          </w:rPr>
          <w:fldChar w:fldCharType="begin"/>
        </w:r>
        <w:r w:rsidR="001853BF">
          <w:rPr>
            <w:noProof/>
            <w:webHidden/>
          </w:rPr>
          <w:instrText xml:space="preserve"> PAGEREF _Toc518323223 \h </w:instrText>
        </w:r>
        <w:r w:rsidR="001853BF">
          <w:rPr>
            <w:noProof/>
            <w:webHidden/>
          </w:rPr>
        </w:r>
        <w:r w:rsidR="001853BF">
          <w:rPr>
            <w:noProof/>
            <w:webHidden/>
          </w:rPr>
          <w:fldChar w:fldCharType="separate"/>
        </w:r>
        <w:r w:rsidR="001853BF">
          <w:rPr>
            <w:noProof/>
            <w:webHidden/>
          </w:rPr>
          <w:t>63</w:t>
        </w:r>
        <w:r w:rsidR="001853BF">
          <w:rPr>
            <w:noProof/>
            <w:webHidden/>
          </w:rPr>
          <w:fldChar w:fldCharType="end"/>
        </w:r>
      </w:hyperlink>
    </w:p>
    <w:p w14:paraId="6ECB06E5" w14:textId="77777777" w:rsidR="001853BF" w:rsidRDefault="00E35F15">
      <w:pPr>
        <w:pStyle w:val="TOC4"/>
        <w:tabs>
          <w:tab w:val="right" w:leader="dot" w:pos="8630"/>
        </w:tabs>
        <w:rPr>
          <w:noProof/>
          <w:sz w:val="22"/>
          <w:szCs w:val="22"/>
        </w:rPr>
      </w:pPr>
      <w:hyperlink w:anchor="_Toc518323224" w:history="1">
        <w:r w:rsidR="001853BF" w:rsidRPr="001B0F83">
          <w:rPr>
            <w:rStyle w:val="Hyperlink"/>
            <w:i/>
            <w:noProof/>
          </w:rPr>
          <w:t>Vincent v. Lake Erie Transp. Co.</w:t>
        </w:r>
        <w:r w:rsidR="001853BF">
          <w:rPr>
            <w:noProof/>
            <w:webHidden/>
          </w:rPr>
          <w:tab/>
        </w:r>
        <w:r w:rsidR="001853BF">
          <w:rPr>
            <w:noProof/>
            <w:webHidden/>
          </w:rPr>
          <w:fldChar w:fldCharType="begin"/>
        </w:r>
        <w:r w:rsidR="001853BF">
          <w:rPr>
            <w:noProof/>
            <w:webHidden/>
          </w:rPr>
          <w:instrText xml:space="preserve"> PAGEREF _Toc518323224 \h </w:instrText>
        </w:r>
        <w:r w:rsidR="001853BF">
          <w:rPr>
            <w:noProof/>
            <w:webHidden/>
          </w:rPr>
        </w:r>
        <w:r w:rsidR="001853BF">
          <w:rPr>
            <w:noProof/>
            <w:webHidden/>
          </w:rPr>
          <w:fldChar w:fldCharType="separate"/>
        </w:r>
        <w:r w:rsidR="001853BF">
          <w:rPr>
            <w:noProof/>
            <w:webHidden/>
          </w:rPr>
          <w:t>65</w:t>
        </w:r>
        <w:r w:rsidR="001853BF">
          <w:rPr>
            <w:noProof/>
            <w:webHidden/>
          </w:rPr>
          <w:fldChar w:fldCharType="end"/>
        </w:r>
      </w:hyperlink>
    </w:p>
    <w:p w14:paraId="7DD460E5" w14:textId="77777777" w:rsidR="001853BF" w:rsidRDefault="00E35F15">
      <w:pPr>
        <w:pStyle w:val="TOC4"/>
        <w:tabs>
          <w:tab w:val="right" w:leader="dot" w:pos="8630"/>
        </w:tabs>
        <w:rPr>
          <w:noProof/>
          <w:sz w:val="22"/>
          <w:szCs w:val="22"/>
        </w:rPr>
      </w:pPr>
      <w:hyperlink w:anchor="_Toc51832322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_Toc518323225 \h </w:instrText>
        </w:r>
        <w:r w:rsidR="001853BF">
          <w:rPr>
            <w:noProof/>
            <w:webHidden/>
          </w:rPr>
        </w:r>
        <w:r w:rsidR="001853BF">
          <w:rPr>
            <w:noProof/>
            <w:webHidden/>
          </w:rPr>
          <w:fldChar w:fldCharType="separate"/>
        </w:r>
        <w:r w:rsidR="001853BF">
          <w:rPr>
            <w:noProof/>
            <w:webHidden/>
          </w:rPr>
          <w:t>68</w:t>
        </w:r>
        <w:r w:rsidR="001853BF">
          <w:rPr>
            <w:noProof/>
            <w:webHidden/>
          </w:rPr>
          <w:fldChar w:fldCharType="end"/>
        </w:r>
      </w:hyperlink>
    </w:p>
    <w:p w14:paraId="57962BFF" w14:textId="3D5C1A76" w:rsidR="001853BF" w:rsidRDefault="00E35F15">
      <w:pPr>
        <w:pStyle w:val="TOC2"/>
        <w:tabs>
          <w:tab w:val="right" w:leader="dot" w:pos="8630"/>
        </w:tabs>
        <w:rPr>
          <w:b w:val="0"/>
          <w:noProof/>
        </w:rPr>
      </w:pPr>
      <w:hyperlink w:anchor="_Toc518323226" w:history="1">
        <w:r w:rsidR="001853BF">
          <w:rPr>
            <w:rStyle w:val="Hyperlink"/>
            <w:noProof/>
          </w:rPr>
          <w:t xml:space="preserve">C. </w:t>
        </w:r>
        <w:r w:rsidR="00F24618">
          <w:rPr>
            <w:rStyle w:val="Hyperlink"/>
            <w:noProof/>
          </w:rPr>
          <w:t xml:space="preserve"> </w:t>
        </w:r>
        <w:r w:rsidR="001853BF" w:rsidRPr="000F1856">
          <w:rPr>
            <w:rStyle w:val="Hyperlink"/>
            <w:noProof/>
          </w:rPr>
          <w:t>Emotional and Dignitary Harms: The Example of Assault</w:t>
        </w:r>
        <w:r w:rsidR="001853BF">
          <w:rPr>
            <w:noProof/>
            <w:webHidden/>
          </w:rPr>
          <w:tab/>
        </w:r>
        <w:r w:rsidR="001853BF">
          <w:rPr>
            <w:noProof/>
            <w:webHidden/>
          </w:rPr>
          <w:fldChar w:fldCharType="begin"/>
        </w:r>
        <w:r w:rsidR="001853BF">
          <w:rPr>
            <w:noProof/>
            <w:webHidden/>
          </w:rPr>
          <w:instrText xml:space="preserve"> PAGEREF _Toc518323226 \h </w:instrText>
        </w:r>
        <w:r w:rsidR="001853BF">
          <w:rPr>
            <w:noProof/>
            <w:webHidden/>
          </w:rPr>
        </w:r>
        <w:r w:rsidR="001853BF">
          <w:rPr>
            <w:noProof/>
            <w:webHidden/>
          </w:rPr>
          <w:fldChar w:fldCharType="separate"/>
        </w:r>
        <w:r w:rsidR="001853BF">
          <w:rPr>
            <w:noProof/>
            <w:webHidden/>
          </w:rPr>
          <w:t>74</w:t>
        </w:r>
        <w:r w:rsidR="001853BF">
          <w:rPr>
            <w:noProof/>
            <w:webHidden/>
          </w:rPr>
          <w:fldChar w:fldCharType="end"/>
        </w:r>
      </w:hyperlink>
    </w:p>
    <w:p w14:paraId="3722CAC0" w14:textId="77777777" w:rsidR="001853BF" w:rsidRDefault="00E35F15">
      <w:pPr>
        <w:pStyle w:val="TOC4"/>
        <w:tabs>
          <w:tab w:val="right" w:leader="dot" w:pos="8630"/>
        </w:tabs>
        <w:rPr>
          <w:noProof/>
          <w:sz w:val="22"/>
          <w:szCs w:val="22"/>
        </w:rPr>
      </w:pPr>
      <w:hyperlink w:anchor="_Toc518323227" w:history="1">
        <w:r w:rsidR="001853BF" w:rsidRPr="001B0F83">
          <w:rPr>
            <w:rStyle w:val="Hyperlink"/>
            <w:i/>
            <w:noProof/>
          </w:rPr>
          <w:t>I. de S. &amp; Wife v. W. de S. Assizes</w:t>
        </w:r>
        <w:r w:rsidR="001853BF">
          <w:rPr>
            <w:noProof/>
            <w:webHidden/>
          </w:rPr>
          <w:tab/>
        </w:r>
        <w:r w:rsidR="001853BF">
          <w:rPr>
            <w:noProof/>
            <w:webHidden/>
          </w:rPr>
          <w:fldChar w:fldCharType="begin"/>
        </w:r>
        <w:r w:rsidR="001853BF">
          <w:rPr>
            <w:noProof/>
            <w:webHidden/>
          </w:rPr>
          <w:instrText xml:space="preserve"> PAGEREF _Toc518323227 \h </w:instrText>
        </w:r>
        <w:r w:rsidR="001853BF">
          <w:rPr>
            <w:noProof/>
            <w:webHidden/>
          </w:rPr>
        </w:r>
        <w:r w:rsidR="001853BF">
          <w:rPr>
            <w:noProof/>
            <w:webHidden/>
          </w:rPr>
          <w:fldChar w:fldCharType="separate"/>
        </w:r>
        <w:r w:rsidR="001853BF">
          <w:rPr>
            <w:noProof/>
            <w:webHidden/>
          </w:rPr>
          <w:t>74</w:t>
        </w:r>
        <w:r w:rsidR="001853BF">
          <w:rPr>
            <w:noProof/>
            <w:webHidden/>
          </w:rPr>
          <w:fldChar w:fldCharType="end"/>
        </w:r>
      </w:hyperlink>
    </w:p>
    <w:p w14:paraId="4CC8FDEB" w14:textId="77777777" w:rsidR="001853BF" w:rsidRDefault="00E35F15">
      <w:pPr>
        <w:pStyle w:val="TOC4"/>
        <w:tabs>
          <w:tab w:val="right" w:leader="dot" w:pos="8630"/>
        </w:tabs>
        <w:rPr>
          <w:noProof/>
          <w:sz w:val="22"/>
          <w:szCs w:val="22"/>
        </w:rPr>
      </w:pPr>
      <w:hyperlink w:anchor="_Toc51832322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_Toc518323228 \h </w:instrText>
        </w:r>
        <w:r w:rsidR="001853BF">
          <w:rPr>
            <w:noProof/>
            <w:webHidden/>
          </w:rPr>
        </w:r>
        <w:r w:rsidR="001853BF">
          <w:rPr>
            <w:noProof/>
            <w:webHidden/>
          </w:rPr>
          <w:fldChar w:fldCharType="separate"/>
        </w:r>
        <w:r w:rsidR="001853BF">
          <w:rPr>
            <w:noProof/>
            <w:webHidden/>
          </w:rPr>
          <w:t>75</w:t>
        </w:r>
        <w:r w:rsidR="001853BF">
          <w:rPr>
            <w:noProof/>
            <w:webHidden/>
          </w:rPr>
          <w:fldChar w:fldCharType="end"/>
        </w:r>
      </w:hyperlink>
    </w:p>
    <w:p w14:paraId="55C1F5DD" w14:textId="77777777" w:rsidR="001853BF" w:rsidRDefault="00E35F15">
      <w:pPr>
        <w:pStyle w:val="TOC4"/>
        <w:tabs>
          <w:tab w:val="right" w:leader="dot" w:pos="8630"/>
        </w:tabs>
        <w:rPr>
          <w:noProof/>
          <w:sz w:val="22"/>
          <w:szCs w:val="22"/>
        </w:rPr>
      </w:pPr>
      <w:hyperlink w:anchor="_Toc518323229" w:history="1">
        <w:r w:rsidR="001853BF" w:rsidRPr="001B0F83">
          <w:rPr>
            <w:rStyle w:val="Hyperlink"/>
            <w:i/>
            <w:noProof/>
          </w:rPr>
          <w:t>Speicher v. Rajitora</w:t>
        </w:r>
        <w:r w:rsidR="001853BF">
          <w:rPr>
            <w:noProof/>
            <w:webHidden/>
          </w:rPr>
          <w:tab/>
        </w:r>
        <w:r w:rsidR="001853BF">
          <w:rPr>
            <w:noProof/>
            <w:webHidden/>
          </w:rPr>
          <w:fldChar w:fldCharType="begin"/>
        </w:r>
        <w:r w:rsidR="001853BF">
          <w:rPr>
            <w:noProof/>
            <w:webHidden/>
          </w:rPr>
          <w:instrText xml:space="preserve"> PAGEREF _Toc518323229 \h </w:instrText>
        </w:r>
        <w:r w:rsidR="001853BF">
          <w:rPr>
            <w:noProof/>
            <w:webHidden/>
          </w:rPr>
        </w:r>
        <w:r w:rsidR="001853BF">
          <w:rPr>
            <w:noProof/>
            <w:webHidden/>
          </w:rPr>
          <w:fldChar w:fldCharType="separate"/>
        </w:r>
        <w:r w:rsidR="001853BF">
          <w:rPr>
            <w:noProof/>
            <w:webHidden/>
          </w:rPr>
          <w:t>77</w:t>
        </w:r>
        <w:r w:rsidR="001853BF">
          <w:rPr>
            <w:noProof/>
            <w:webHidden/>
          </w:rPr>
          <w:fldChar w:fldCharType="end"/>
        </w:r>
      </w:hyperlink>
    </w:p>
    <w:p w14:paraId="0D0202CB" w14:textId="77777777" w:rsidR="001853BF" w:rsidRDefault="00E35F15">
      <w:pPr>
        <w:pStyle w:val="TOC4"/>
        <w:tabs>
          <w:tab w:val="right" w:leader="dot" w:pos="8630"/>
        </w:tabs>
        <w:rPr>
          <w:noProof/>
          <w:sz w:val="22"/>
          <w:szCs w:val="22"/>
        </w:rPr>
      </w:pPr>
      <w:hyperlink w:anchor="_Toc518323230"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_Toc518323230 \h </w:instrText>
        </w:r>
        <w:r w:rsidR="001853BF">
          <w:rPr>
            <w:noProof/>
            <w:webHidden/>
          </w:rPr>
        </w:r>
        <w:r w:rsidR="001853BF">
          <w:rPr>
            <w:noProof/>
            <w:webHidden/>
          </w:rPr>
          <w:fldChar w:fldCharType="separate"/>
        </w:r>
        <w:r w:rsidR="001853BF">
          <w:rPr>
            <w:noProof/>
            <w:webHidden/>
          </w:rPr>
          <w:t>78</w:t>
        </w:r>
        <w:r w:rsidR="001853BF">
          <w:rPr>
            <w:noProof/>
            <w:webHidden/>
          </w:rPr>
          <w:fldChar w:fldCharType="end"/>
        </w:r>
      </w:hyperlink>
    </w:p>
    <w:p w14:paraId="2131E19E" w14:textId="77777777" w:rsidR="001853BF" w:rsidRDefault="00E35F15">
      <w:pPr>
        <w:pStyle w:val="TOC1"/>
        <w:tabs>
          <w:tab w:val="right" w:leader="dot" w:pos="8630"/>
        </w:tabs>
        <w:rPr>
          <w:b w:val="0"/>
          <w:noProof/>
          <w:sz w:val="22"/>
          <w:szCs w:val="22"/>
        </w:rPr>
      </w:pPr>
      <w:hyperlink w:anchor="_Toc518323231" w:history="1">
        <w:r w:rsidR="001853BF" w:rsidRPr="000F1856">
          <w:rPr>
            <w:rStyle w:val="Hyperlink"/>
            <w:noProof/>
          </w:rPr>
          <w:t>CHAPTER 3. STRICT LIABILITY AND NEGLIGENCE: HISTORY AND INTRODUCTION</w:t>
        </w:r>
        <w:r w:rsidR="001853BF">
          <w:rPr>
            <w:noProof/>
            <w:webHidden/>
          </w:rPr>
          <w:tab/>
        </w:r>
        <w:r w:rsidR="001853BF">
          <w:rPr>
            <w:noProof/>
            <w:webHidden/>
          </w:rPr>
          <w:fldChar w:fldCharType="begin"/>
        </w:r>
        <w:r w:rsidR="001853BF">
          <w:rPr>
            <w:noProof/>
            <w:webHidden/>
          </w:rPr>
          <w:instrText xml:space="preserve"> PAGEREF _Toc518323231 \h </w:instrText>
        </w:r>
        <w:r w:rsidR="001853BF">
          <w:rPr>
            <w:noProof/>
            <w:webHidden/>
          </w:rPr>
        </w:r>
        <w:r w:rsidR="001853BF">
          <w:rPr>
            <w:noProof/>
            <w:webHidden/>
          </w:rPr>
          <w:fldChar w:fldCharType="separate"/>
        </w:r>
        <w:r w:rsidR="001853BF">
          <w:rPr>
            <w:noProof/>
            <w:webHidden/>
          </w:rPr>
          <w:t>79</w:t>
        </w:r>
        <w:r w:rsidR="001853BF">
          <w:rPr>
            <w:noProof/>
            <w:webHidden/>
          </w:rPr>
          <w:fldChar w:fldCharType="end"/>
        </w:r>
      </w:hyperlink>
    </w:p>
    <w:p w14:paraId="11A922E6" w14:textId="77777777" w:rsidR="001853BF" w:rsidRDefault="00E35F15">
      <w:pPr>
        <w:pStyle w:val="TOC2"/>
        <w:tabs>
          <w:tab w:val="right" w:leader="dot" w:pos="8630"/>
        </w:tabs>
        <w:rPr>
          <w:b w:val="0"/>
          <w:noProof/>
        </w:rPr>
      </w:pPr>
      <w:hyperlink w:anchor="_Toc518323232" w:history="1">
        <w:r w:rsidR="001853BF" w:rsidRPr="000F1856">
          <w:rPr>
            <w:rStyle w:val="Hyperlink"/>
            <w:noProof/>
          </w:rPr>
          <w:t>A.  Common Law Beginnings</w:t>
        </w:r>
        <w:r w:rsidR="001853BF">
          <w:rPr>
            <w:noProof/>
            <w:webHidden/>
          </w:rPr>
          <w:tab/>
        </w:r>
        <w:r w:rsidR="001853BF">
          <w:rPr>
            <w:noProof/>
            <w:webHidden/>
          </w:rPr>
          <w:fldChar w:fldCharType="begin"/>
        </w:r>
        <w:r w:rsidR="001853BF">
          <w:rPr>
            <w:noProof/>
            <w:webHidden/>
          </w:rPr>
          <w:instrText xml:space="preserve"> PAGEREF _Toc518323232 \h </w:instrText>
        </w:r>
        <w:r w:rsidR="001853BF">
          <w:rPr>
            <w:noProof/>
            <w:webHidden/>
          </w:rPr>
        </w:r>
        <w:r w:rsidR="001853BF">
          <w:rPr>
            <w:noProof/>
            <w:webHidden/>
          </w:rPr>
          <w:fldChar w:fldCharType="separate"/>
        </w:r>
        <w:r w:rsidR="001853BF">
          <w:rPr>
            <w:noProof/>
            <w:webHidden/>
          </w:rPr>
          <w:t>79</w:t>
        </w:r>
        <w:r w:rsidR="001853BF">
          <w:rPr>
            <w:noProof/>
            <w:webHidden/>
          </w:rPr>
          <w:fldChar w:fldCharType="end"/>
        </w:r>
      </w:hyperlink>
    </w:p>
    <w:p w14:paraId="20AC8362" w14:textId="77777777" w:rsidR="001853BF" w:rsidRDefault="00E35F15">
      <w:pPr>
        <w:pStyle w:val="TOC3"/>
        <w:tabs>
          <w:tab w:val="right" w:leader="dot" w:pos="8630"/>
        </w:tabs>
        <w:rPr>
          <w:noProof/>
        </w:rPr>
      </w:pPr>
      <w:hyperlink w:anchor="_Toc518323233" w:history="1">
        <w:r w:rsidR="001853BF" w:rsidRPr="000F1856">
          <w:rPr>
            <w:rStyle w:val="Hyperlink"/>
            <w:i/>
            <w:noProof/>
          </w:rPr>
          <w:t>Hulle v. Orynge (The Case of the Thorns)</w:t>
        </w:r>
        <w:r w:rsidR="001853BF" w:rsidRPr="000F1856">
          <w:rPr>
            <w:rStyle w:val="Hyperlink"/>
            <w:noProof/>
          </w:rPr>
          <w:t>,</w:t>
        </w:r>
        <w:r w:rsidR="001853BF">
          <w:rPr>
            <w:noProof/>
            <w:webHidden/>
          </w:rPr>
          <w:tab/>
        </w:r>
        <w:r w:rsidR="001853BF">
          <w:rPr>
            <w:noProof/>
            <w:webHidden/>
          </w:rPr>
          <w:fldChar w:fldCharType="begin"/>
        </w:r>
        <w:r w:rsidR="001853BF">
          <w:rPr>
            <w:noProof/>
            <w:webHidden/>
          </w:rPr>
          <w:instrText xml:space="preserve"> PAGEREF _Toc518323233 \h </w:instrText>
        </w:r>
        <w:r w:rsidR="001853BF">
          <w:rPr>
            <w:noProof/>
            <w:webHidden/>
          </w:rPr>
        </w:r>
        <w:r w:rsidR="001853BF">
          <w:rPr>
            <w:noProof/>
            <w:webHidden/>
          </w:rPr>
          <w:fldChar w:fldCharType="separate"/>
        </w:r>
        <w:r w:rsidR="001853BF">
          <w:rPr>
            <w:noProof/>
            <w:webHidden/>
          </w:rPr>
          <w:t>81</w:t>
        </w:r>
        <w:r w:rsidR="001853BF">
          <w:rPr>
            <w:noProof/>
            <w:webHidden/>
          </w:rPr>
          <w:fldChar w:fldCharType="end"/>
        </w:r>
      </w:hyperlink>
    </w:p>
    <w:p w14:paraId="1539186D" w14:textId="77777777" w:rsidR="001853BF" w:rsidRDefault="00E35F15">
      <w:pPr>
        <w:pStyle w:val="TOC4"/>
        <w:tabs>
          <w:tab w:val="right" w:leader="dot" w:pos="8630"/>
        </w:tabs>
        <w:rPr>
          <w:noProof/>
          <w:sz w:val="22"/>
          <w:szCs w:val="22"/>
        </w:rPr>
      </w:pPr>
      <w:hyperlink w:anchor="_Toc51832323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_Toc518323234 \h </w:instrText>
        </w:r>
        <w:r w:rsidR="001853BF">
          <w:rPr>
            <w:noProof/>
            <w:webHidden/>
          </w:rPr>
        </w:r>
        <w:r w:rsidR="001853BF">
          <w:rPr>
            <w:noProof/>
            <w:webHidden/>
          </w:rPr>
          <w:fldChar w:fldCharType="separate"/>
        </w:r>
        <w:r w:rsidR="001853BF">
          <w:rPr>
            <w:noProof/>
            <w:webHidden/>
          </w:rPr>
          <w:t>82</w:t>
        </w:r>
        <w:r w:rsidR="001853BF">
          <w:rPr>
            <w:noProof/>
            <w:webHidden/>
          </w:rPr>
          <w:fldChar w:fldCharType="end"/>
        </w:r>
      </w:hyperlink>
    </w:p>
    <w:p w14:paraId="4A6ACE8F" w14:textId="77777777" w:rsidR="001853BF" w:rsidRDefault="00E35F15">
      <w:pPr>
        <w:pStyle w:val="TOC3"/>
        <w:tabs>
          <w:tab w:val="right" w:leader="dot" w:pos="8630"/>
        </w:tabs>
        <w:rPr>
          <w:noProof/>
        </w:rPr>
      </w:pPr>
      <w:hyperlink w:anchor="_Toc518323235" w:history="1">
        <w:r w:rsidR="001853BF" w:rsidRPr="000F1856">
          <w:rPr>
            <w:rStyle w:val="Hyperlink"/>
            <w:i/>
            <w:noProof/>
          </w:rPr>
          <w:t>Weaver v. Ward</w:t>
        </w:r>
        <w:r w:rsidR="001853BF">
          <w:rPr>
            <w:noProof/>
            <w:webHidden/>
          </w:rPr>
          <w:tab/>
        </w:r>
        <w:r w:rsidR="001853BF">
          <w:rPr>
            <w:noProof/>
            <w:webHidden/>
          </w:rPr>
          <w:fldChar w:fldCharType="begin"/>
        </w:r>
        <w:r w:rsidR="001853BF">
          <w:rPr>
            <w:noProof/>
            <w:webHidden/>
          </w:rPr>
          <w:instrText xml:space="preserve"> PAGEREF _Toc518323235 \h </w:instrText>
        </w:r>
        <w:r w:rsidR="001853BF">
          <w:rPr>
            <w:noProof/>
            <w:webHidden/>
          </w:rPr>
        </w:r>
        <w:r w:rsidR="001853BF">
          <w:rPr>
            <w:noProof/>
            <w:webHidden/>
          </w:rPr>
          <w:fldChar w:fldCharType="separate"/>
        </w:r>
        <w:r w:rsidR="001853BF">
          <w:rPr>
            <w:noProof/>
            <w:webHidden/>
          </w:rPr>
          <w:t>83</w:t>
        </w:r>
        <w:r w:rsidR="001853BF">
          <w:rPr>
            <w:noProof/>
            <w:webHidden/>
          </w:rPr>
          <w:fldChar w:fldCharType="end"/>
        </w:r>
      </w:hyperlink>
    </w:p>
    <w:p w14:paraId="7E83304B" w14:textId="77777777" w:rsidR="001853BF" w:rsidRDefault="00E35F15">
      <w:pPr>
        <w:pStyle w:val="TOC4"/>
        <w:tabs>
          <w:tab w:val="right" w:leader="dot" w:pos="8630"/>
        </w:tabs>
        <w:rPr>
          <w:noProof/>
          <w:sz w:val="22"/>
          <w:szCs w:val="22"/>
        </w:rPr>
      </w:pPr>
      <w:hyperlink w:anchor="_Toc51832323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_Toc518323236 \h </w:instrText>
        </w:r>
        <w:r w:rsidR="001853BF">
          <w:rPr>
            <w:noProof/>
            <w:webHidden/>
          </w:rPr>
        </w:r>
        <w:r w:rsidR="001853BF">
          <w:rPr>
            <w:noProof/>
            <w:webHidden/>
          </w:rPr>
          <w:fldChar w:fldCharType="separate"/>
        </w:r>
        <w:r w:rsidR="001853BF">
          <w:rPr>
            <w:noProof/>
            <w:webHidden/>
          </w:rPr>
          <w:t>84</w:t>
        </w:r>
        <w:r w:rsidR="001853BF">
          <w:rPr>
            <w:noProof/>
            <w:webHidden/>
          </w:rPr>
          <w:fldChar w:fldCharType="end"/>
        </w:r>
      </w:hyperlink>
    </w:p>
    <w:p w14:paraId="09E0A01D" w14:textId="77777777" w:rsidR="001853BF" w:rsidRDefault="00E35F15">
      <w:pPr>
        <w:pStyle w:val="TOC3"/>
        <w:tabs>
          <w:tab w:val="right" w:leader="dot" w:pos="8630"/>
        </w:tabs>
        <w:rPr>
          <w:noProof/>
        </w:rPr>
      </w:pPr>
      <w:hyperlink w:anchor="_Toc518323237" w:history="1">
        <w:r w:rsidR="001853BF" w:rsidRPr="000F1856">
          <w:rPr>
            <w:rStyle w:val="Hyperlink"/>
            <w:i/>
            <w:noProof/>
          </w:rPr>
          <w:t>Scott v. Shepherd</w:t>
        </w:r>
        <w:r w:rsidR="001853BF">
          <w:rPr>
            <w:noProof/>
            <w:webHidden/>
          </w:rPr>
          <w:tab/>
        </w:r>
        <w:r w:rsidR="001853BF">
          <w:rPr>
            <w:noProof/>
            <w:webHidden/>
          </w:rPr>
          <w:fldChar w:fldCharType="begin"/>
        </w:r>
        <w:r w:rsidR="001853BF">
          <w:rPr>
            <w:noProof/>
            <w:webHidden/>
          </w:rPr>
          <w:instrText xml:space="preserve"> PAGEREF _Toc518323237 \h </w:instrText>
        </w:r>
        <w:r w:rsidR="001853BF">
          <w:rPr>
            <w:noProof/>
            <w:webHidden/>
          </w:rPr>
        </w:r>
        <w:r w:rsidR="001853BF">
          <w:rPr>
            <w:noProof/>
            <w:webHidden/>
          </w:rPr>
          <w:fldChar w:fldCharType="separate"/>
        </w:r>
        <w:r w:rsidR="001853BF">
          <w:rPr>
            <w:noProof/>
            <w:webHidden/>
          </w:rPr>
          <w:t>85</w:t>
        </w:r>
        <w:r w:rsidR="001853BF">
          <w:rPr>
            <w:noProof/>
            <w:webHidden/>
          </w:rPr>
          <w:fldChar w:fldCharType="end"/>
        </w:r>
      </w:hyperlink>
    </w:p>
    <w:p w14:paraId="096B3D8C" w14:textId="77777777" w:rsidR="001853BF" w:rsidRDefault="00E35F15">
      <w:pPr>
        <w:pStyle w:val="TOC4"/>
        <w:tabs>
          <w:tab w:val="right" w:leader="dot" w:pos="8630"/>
        </w:tabs>
        <w:rPr>
          <w:noProof/>
          <w:sz w:val="22"/>
          <w:szCs w:val="22"/>
        </w:rPr>
      </w:pPr>
      <w:hyperlink w:anchor="_Toc51832323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_Toc518323238 \h </w:instrText>
        </w:r>
        <w:r w:rsidR="001853BF">
          <w:rPr>
            <w:noProof/>
            <w:webHidden/>
          </w:rPr>
        </w:r>
        <w:r w:rsidR="001853BF">
          <w:rPr>
            <w:noProof/>
            <w:webHidden/>
          </w:rPr>
          <w:fldChar w:fldCharType="separate"/>
        </w:r>
        <w:r w:rsidR="001853BF">
          <w:rPr>
            <w:noProof/>
            <w:webHidden/>
          </w:rPr>
          <w:t>88</w:t>
        </w:r>
        <w:r w:rsidR="001853BF">
          <w:rPr>
            <w:noProof/>
            <w:webHidden/>
          </w:rPr>
          <w:fldChar w:fldCharType="end"/>
        </w:r>
      </w:hyperlink>
    </w:p>
    <w:p w14:paraId="7224E27F" w14:textId="77777777" w:rsidR="001853BF" w:rsidRDefault="00E35F15">
      <w:pPr>
        <w:pStyle w:val="TOC3"/>
        <w:tabs>
          <w:tab w:val="right" w:leader="dot" w:pos="8630"/>
        </w:tabs>
        <w:rPr>
          <w:noProof/>
        </w:rPr>
      </w:pPr>
      <w:hyperlink w:anchor="_Toc518323239" w:history="1">
        <w:r w:rsidR="001853BF" w:rsidRPr="000F1856">
          <w:rPr>
            <w:rStyle w:val="Hyperlink"/>
            <w:i/>
            <w:noProof/>
          </w:rPr>
          <w:t>Gibbons v. Pepper</w:t>
        </w:r>
        <w:r w:rsidR="001853BF">
          <w:rPr>
            <w:noProof/>
            <w:webHidden/>
          </w:rPr>
          <w:tab/>
        </w:r>
        <w:r w:rsidR="001853BF">
          <w:rPr>
            <w:noProof/>
            <w:webHidden/>
          </w:rPr>
          <w:fldChar w:fldCharType="begin"/>
        </w:r>
        <w:r w:rsidR="001853BF">
          <w:rPr>
            <w:noProof/>
            <w:webHidden/>
          </w:rPr>
          <w:instrText xml:space="preserve"> PAGEREF _Toc518323239 \h </w:instrText>
        </w:r>
        <w:r w:rsidR="001853BF">
          <w:rPr>
            <w:noProof/>
            <w:webHidden/>
          </w:rPr>
        </w:r>
        <w:r w:rsidR="001853BF">
          <w:rPr>
            <w:noProof/>
            <w:webHidden/>
          </w:rPr>
          <w:fldChar w:fldCharType="separate"/>
        </w:r>
        <w:r w:rsidR="001853BF">
          <w:rPr>
            <w:noProof/>
            <w:webHidden/>
          </w:rPr>
          <w:t>89</w:t>
        </w:r>
        <w:r w:rsidR="001853BF">
          <w:rPr>
            <w:noProof/>
            <w:webHidden/>
          </w:rPr>
          <w:fldChar w:fldCharType="end"/>
        </w:r>
      </w:hyperlink>
    </w:p>
    <w:p w14:paraId="0C121CA6" w14:textId="77777777" w:rsidR="001853BF" w:rsidRDefault="00E35F15">
      <w:pPr>
        <w:pStyle w:val="TOC4"/>
        <w:tabs>
          <w:tab w:val="right" w:leader="dot" w:pos="8630"/>
        </w:tabs>
        <w:rPr>
          <w:noProof/>
          <w:sz w:val="22"/>
          <w:szCs w:val="22"/>
        </w:rPr>
      </w:pPr>
      <w:hyperlink w:anchor="_Toc51832324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_Toc518323240 \h </w:instrText>
        </w:r>
        <w:r w:rsidR="001853BF">
          <w:rPr>
            <w:noProof/>
            <w:webHidden/>
          </w:rPr>
        </w:r>
        <w:r w:rsidR="001853BF">
          <w:rPr>
            <w:noProof/>
            <w:webHidden/>
          </w:rPr>
          <w:fldChar w:fldCharType="separate"/>
        </w:r>
        <w:r w:rsidR="001853BF">
          <w:rPr>
            <w:noProof/>
            <w:webHidden/>
          </w:rPr>
          <w:t>90</w:t>
        </w:r>
        <w:r w:rsidR="001853BF">
          <w:rPr>
            <w:noProof/>
            <w:webHidden/>
          </w:rPr>
          <w:fldChar w:fldCharType="end"/>
        </w:r>
      </w:hyperlink>
    </w:p>
    <w:p w14:paraId="2DE1BF2F" w14:textId="77777777" w:rsidR="001853BF" w:rsidRDefault="00E35F15">
      <w:pPr>
        <w:pStyle w:val="TOC3"/>
        <w:tabs>
          <w:tab w:val="right" w:leader="dot" w:pos="8630"/>
        </w:tabs>
        <w:rPr>
          <w:noProof/>
        </w:rPr>
      </w:pPr>
      <w:hyperlink w:anchor="_Toc518323241" w:history="1">
        <w:r w:rsidR="001853BF" w:rsidRPr="000F1856">
          <w:rPr>
            <w:rStyle w:val="Hyperlink"/>
            <w:i/>
            <w:noProof/>
          </w:rPr>
          <w:t>Leame v. Bray</w:t>
        </w:r>
        <w:r w:rsidR="001853BF">
          <w:rPr>
            <w:noProof/>
            <w:webHidden/>
          </w:rPr>
          <w:tab/>
        </w:r>
        <w:r w:rsidR="001853BF">
          <w:rPr>
            <w:noProof/>
            <w:webHidden/>
          </w:rPr>
          <w:fldChar w:fldCharType="begin"/>
        </w:r>
        <w:r w:rsidR="001853BF">
          <w:rPr>
            <w:noProof/>
            <w:webHidden/>
          </w:rPr>
          <w:instrText xml:space="preserve"> PAGEREF _Toc518323241 \h </w:instrText>
        </w:r>
        <w:r w:rsidR="001853BF">
          <w:rPr>
            <w:noProof/>
            <w:webHidden/>
          </w:rPr>
        </w:r>
        <w:r w:rsidR="001853BF">
          <w:rPr>
            <w:noProof/>
            <w:webHidden/>
          </w:rPr>
          <w:fldChar w:fldCharType="separate"/>
        </w:r>
        <w:r w:rsidR="001853BF">
          <w:rPr>
            <w:noProof/>
            <w:webHidden/>
          </w:rPr>
          <w:t>92</w:t>
        </w:r>
        <w:r w:rsidR="001853BF">
          <w:rPr>
            <w:noProof/>
            <w:webHidden/>
          </w:rPr>
          <w:fldChar w:fldCharType="end"/>
        </w:r>
      </w:hyperlink>
    </w:p>
    <w:p w14:paraId="48702E5D" w14:textId="77777777" w:rsidR="001853BF" w:rsidRDefault="00E35F15">
      <w:pPr>
        <w:pStyle w:val="TOC4"/>
        <w:tabs>
          <w:tab w:val="right" w:leader="dot" w:pos="8630"/>
        </w:tabs>
        <w:rPr>
          <w:noProof/>
          <w:sz w:val="22"/>
          <w:szCs w:val="22"/>
        </w:rPr>
      </w:pPr>
      <w:hyperlink w:anchor="_Toc518323242"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_Toc518323242 \h </w:instrText>
        </w:r>
        <w:r w:rsidR="001853BF">
          <w:rPr>
            <w:noProof/>
            <w:webHidden/>
          </w:rPr>
        </w:r>
        <w:r w:rsidR="001853BF">
          <w:rPr>
            <w:noProof/>
            <w:webHidden/>
          </w:rPr>
          <w:fldChar w:fldCharType="separate"/>
        </w:r>
        <w:r w:rsidR="001853BF">
          <w:rPr>
            <w:noProof/>
            <w:webHidden/>
          </w:rPr>
          <w:t>93</w:t>
        </w:r>
        <w:r w:rsidR="001853BF">
          <w:rPr>
            <w:noProof/>
            <w:webHidden/>
          </w:rPr>
          <w:fldChar w:fldCharType="end"/>
        </w:r>
      </w:hyperlink>
    </w:p>
    <w:p w14:paraId="12AF79C8" w14:textId="77777777" w:rsidR="001853BF" w:rsidRDefault="00E35F15">
      <w:pPr>
        <w:pStyle w:val="TOC3"/>
        <w:tabs>
          <w:tab w:val="right" w:leader="dot" w:pos="8630"/>
        </w:tabs>
        <w:rPr>
          <w:noProof/>
        </w:rPr>
      </w:pPr>
      <w:hyperlink w:anchor="_Toc518323243" w:history="1">
        <w:r w:rsidR="001853BF" w:rsidRPr="000F1856">
          <w:rPr>
            <w:rStyle w:val="Hyperlink"/>
            <w:i/>
            <w:noProof/>
          </w:rPr>
          <w:t>Williams v. Holland</w:t>
        </w:r>
        <w:r w:rsidR="001853BF">
          <w:rPr>
            <w:noProof/>
            <w:webHidden/>
          </w:rPr>
          <w:tab/>
        </w:r>
        <w:r w:rsidR="001853BF">
          <w:rPr>
            <w:noProof/>
            <w:webHidden/>
          </w:rPr>
          <w:fldChar w:fldCharType="begin"/>
        </w:r>
        <w:r w:rsidR="001853BF">
          <w:rPr>
            <w:noProof/>
            <w:webHidden/>
          </w:rPr>
          <w:instrText xml:space="preserve"> PAGEREF _Toc518323243 \h </w:instrText>
        </w:r>
        <w:r w:rsidR="001853BF">
          <w:rPr>
            <w:noProof/>
            <w:webHidden/>
          </w:rPr>
        </w:r>
        <w:r w:rsidR="001853BF">
          <w:rPr>
            <w:noProof/>
            <w:webHidden/>
          </w:rPr>
          <w:fldChar w:fldCharType="separate"/>
        </w:r>
        <w:r w:rsidR="001853BF">
          <w:rPr>
            <w:noProof/>
            <w:webHidden/>
          </w:rPr>
          <w:t>94</w:t>
        </w:r>
        <w:r w:rsidR="001853BF">
          <w:rPr>
            <w:noProof/>
            <w:webHidden/>
          </w:rPr>
          <w:fldChar w:fldCharType="end"/>
        </w:r>
      </w:hyperlink>
    </w:p>
    <w:p w14:paraId="70DFB8E2" w14:textId="77777777" w:rsidR="001853BF" w:rsidRDefault="00E35F15">
      <w:pPr>
        <w:pStyle w:val="TOC4"/>
        <w:tabs>
          <w:tab w:val="right" w:leader="dot" w:pos="8630"/>
        </w:tabs>
        <w:rPr>
          <w:noProof/>
          <w:sz w:val="22"/>
          <w:szCs w:val="22"/>
        </w:rPr>
      </w:pPr>
      <w:hyperlink w:anchor="_Toc51832324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_Toc518323244 \h </w:instrText>
        </w:r>
        <w:r w:rsidR="001853BF">
          <w:rPr>
            <w:noProof/>
            <w:webHidden/>
          </w:rPr>
        </w:r>
        <w:r w:rsidR="001853BF">
          <w:rPr>
            <w:noProof/>
            <w:webHidden/>
          </w:rPr>
          <w:fldChar w:fldCharType="separate"/>
        </w:r>
        <w:r w:rsidR="001853BF">
          <w:rPr>
            <w:noProof/>
            <w:webHidden/>
          </w:rPr>
          <w:t>95</w:t>
        </w:r>
        <w:r w:rsidR="001853BF">
          <w:rPr>
            <w:noProof/>
            <w:webHidden/>
          </w:rPr>
          <w:fldChar w:fldCharType="end"/>
        </w:r>
      </w:hyperlink>
    </w:p>
    <w:p w14:paraId="51C49E07" w14:textId="77777777" w:rsidR="001853BF" w:rsidRDefault="00E35F15">
      <w:pPr>
        <w:pStyle w:val="TOC2"/>
        <w:tabs>
          <w:tab w:val="right" w:leader="dot" w:pos="8630"/>
        </w:tabs>
        <w:rPr>
          <w:b w:val="0"/>
          <w:noProof/>
        </w:rPr>
      </w:pPr>
      <w:hyperlink w:anchor="_Toc518323245" w:history="1">
        <w:r w:rsidR="001853BF" w:rsidRPr="000F1856">
          <w:rPr>
            <w:rStyle w:val="Hyperlink"/>
            <w:noProof/>
          </w:rPr>
          <w:t>B.  Negligence Versus Strict Liability</w:t>
        </w:r>
        <w:r w:rsidR="001853BF">
          <w:rPr>
            <w:noProof/>
            <w:webHidden/>
          </w:rPr>
          <w:tab/>
        </w:r>
        <w:r w:rsidR="001853BF">
          <w:rPr>
            <w:noProof/>
            <w:webHidden/>
          </w:rPr>
          <w:fldChar w:fldCharType="begin"/>
        </w:r>
        <w:r w:rsidR="001853BF">
          <w:rPr>
            <w:noProof/>
            <w:webHidden/>
          </w:rPr>
          <w:instrText xml:space="preserve"> PAGEREF _Toc518323245 \h </w:instrText>
        </w:r>
        <w:r w:rsidR="001853BF">
          <w:rPr>
            <w:noProof/>
            <w:webHidden/>
          </w:rPr>
        </w:r>
        <w:r w:rsidR="001853BF">
          <w:rPr>
            <w:noProof/>
            <w:webHidden/>
          </w:rPr>
          <w:fldChar w:fldCharType="separate"/>
        </w:r>
        <w:r w:rsidR="001853BF">
          <w:rPr>
            <w:noProof/>
            <w:webHidden/>
          </w:rPr>
          <w:t>96</w:t>
        </w:r>
        <w:r w:rsidR="001853BF">
          <w:rPr>
            <w:noProof/>
            <w:webHidden/>
          </w:rPr>
          <w:fldChar w:fldCharType="end"/>
        </w:r>
      </w:hyperlink>
    </w:p>
    <w:p w14:paraId="7EEF49FB" w14:textId="77777777" w:rsidR="001853BF" w:rsidRDefault="00E35F15">
      <w:pPr>
        <w:pStyle w:val="TOC3"/>
        <w:tabs>
          <w:tab w:val="right" w:leader="dot" w:pos="8630"/>
        </w:tabs>
        <w:rPr>
          <w:noProof/>
        </w:rPr>
      </w:pPr>
      <w:hyperlink w:anchor="_Toc518323246" w:history="1">
        <w:r w:rsidR="001853BF" w:rsidRPr="000F1856">
          <w:rPr>
            <w:rStyle w:val="Hyperlink"/>
            <w:i/>
            <w:noProof/>
          </w:rPr>
          <w:t>Brown v. Kendall</w:t>
        </w:r>
        <w:r w:rsidR="001853BF">
          <w:rPr>
            <w:noProof/>
            <w:webHidden/>
          </w:rPr>
          <w:tab/>
        </w:r>
        <w:r w:rsidR="001853BF">
          <w:rPr>
            <w:noProof/>
            <w:webHidden/>
          </w:rPr>
          <w:fldChar w:fldCharType="begin"/>
        </w:r>
        <w:r w:rsidR="001853BF">
          <w:rPr>
            <w:noProof/>
            <w:webHidden/>
          </w:rPr>
          <w:instrText xml:space="preserve"> PAGEREF _Toc518323246 \h </w:instrText>
        </w:r>
        <w:r w:rsidR="001853BF">
          <w:rPr>
            <w:noProof/>
            <w:webHidden/>
          </w:rPr>
        </w:r>
        <w:r w:rsidR="001853BF">
          <w:rPr>
            <w:noProof/>
            <w:webHidden/>
          </w:rPr>
          <w:fldChar w:fldCharType="separate"/>
        </w:r>
        <w:r w:rsidR="001853BF">
          <w:rPr>
            <w:noProof/>
            <w:webHidden/>
          </w:rPr>
          <w:t>96</w:t>
        </w:r>
        <w:r w:rsidR="001853BF">
          <w:rPr>
            <w:noProof/>
            <w:webHidden/>
          </w:rPr>
          <w:fldChar w:fldCharType="end"/>
        </w:r>
      </w:hyperlink>
    </w:p>
    <w:p w14:paraId="3CF6216A" w14:textId="77777777" w:rsidR="001853BF" w:rsidRDefault="00E35F15">
      <w:pPr>
        <w:pStyle w:val="TOC4"/>
        <w:tabs>
          <w:tab w:val="right" w:leader="dot" w:pos="8630"/>
        </w:tabs>
        <w:rPr>
          <w:noProof/>
          <w:sz w:val="22"/>
          <w:szCs w:val="22"/>
        </w:rPr>
      </w:pPr>
      <w:hyperlink w:anchor="_Toc51832324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_Toc518323247 \h </w:instrText>
        </w:r>
        <w:r w:rsidR="001853BF">
          <w:rPr>
            <w:noProof/>
            <w:webHidden/>
          </w:rPr>
        </w:r>
        <w:r w:rsidR="001853BF">
          <w:rPr>
            <w:noProof/>
            <w:webHidden/>
          </w:rPr>
          <w:fldChar w:fldCharType="separate"/>
        </w:r>
        <w:r w:rsidR="001853BF">
          <w:rPr>
            <w:noProof/>
            <w:webHidden/>
          </w:rPr>
          <w:t>99</w:t>
        </w:r>
        <w:r w:rsidR="001853BF">
          <w:rPr>
            <w:noProof/>
            <w:webHidden/>
          </w:rPr>
          <w:fldChar w:fldCharType="end"/>
        </w:r>
      </w:hyperlink>
    </w:p>
    <w:p w14:paraId="496CA378" w14:textId="77777777" w:rsidR="001853BF" w:rsidRDefault="00E35F15">
      <w:pPr>
        <w:pStyle w:val="TOC3"/>
        <w:tabs>
          <w:tab w:val="right" w:leader="dot" w:pos="8630"/>
        </w:tabs>
        <w:rPr>
          <w:noProof/>
        </w:rPr>
      </w:pPr>
      <w:hyperlink w:anchor="_Toc518323248" w:history="1">
        <w:r w:rsidR="001853BF" w:rsidRPr="000F1856">
          <w:rPr>
            <w:rStyle w:val="Hyperlink"/>
            <w:smallCaps/>
            <w:noProof/>
          </w:rPr>
          <w:t>Oliver Wendell Holmes, Jr., The Common Law</w:t>
        </w:r>
        <w:r w:rsidR="001853BF">
          <w:rPr>
            <w:noProof/>
            <w:webHidden/>
          </w:rPr>
          <w:tab/>
        </w:r>
        <w:r w:rsidR="001853BF">
          <w:rPr>
            <w:noProof/>
            <w:webHidden/>
          </w:rPr>
          <w:fldChar w:fldCharType="begin"/>
        </w:r>
        <w:r w:rsidR="001853BF">
          <w:rPr>
            <w:noProof/>
            <w:webHidden/>
          </w:rPr>
          <w:instrText xml:space="preserve"> PAGEREF _Toc518323248 \h </w:instrText>
        </w:r>
        <w:r w:rsidR="001853BF">
          <w:rPr>
            <w:noProof/>
            <w:webHidden/>
          </w:rPr>
        </w:r>
        <w:r w:rsidR="001853BF">
          <w:rPr>
            <w:noProof/>
            <w:webHidden/>
          </w:rPr>
          <w:fldChar w:fldCharType="separate"/>
        </w:r>
        <w:r w:rsidR="001853BF">
          <w:rPr>
            <w:noProof/>
            <w:webHidden/>
          </w:rPr>
          <w:t>102</w:t>
        </w:r>
        <w:r w:rsidR="001853BF">
          <w:rPr>
            <w:noProof/>
            <w:webHidden/>
          </w:rPr>
          <w:fldChar w:fldCharType="end"/>
        </w:r>
      </w:hyperlink>
    </w:p>
    <w:p w14:paraId="67C802C4" w14:textId="77777777" w:rsidR="001853BF" w:rsidRDefault="00E35F15">
      <w:pPr>
        <w:pStyle w:val="TOC4"/>
        <w:tabs>
          <w:tab w:val="right" w:leader="dot" w:pos="8630"/>
        </w:tabs>
        <w:rPr>
          <w:noProof/>
          <w:sz w:val="22"/>
          <w:szCs w:val="22"/>
        </w:rPr>
      </w:pPr>
      <w:hyperlink w:anchor="_Toc518323249"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_Toc518323249 \h </w:instrText>
        </w:r>
        <w:r w:rsidR="001853BF">
          <w:rPr>
            <w:noProof/>
            <w:webHidden/>
          </w:rPr>
        </w:r>
        <w:r w:rsidR="001853BF">
          <w:rPr>
            <w:noProof/>
            <w:webHidden/>
          </w:rPr>
          <w:fldChar w:fldCharType="separate"/>
        </w:r>
        <w:r w:rsidR="001853BF">
          <w:rPr>
            <w:noProof/>
            <w:webHidden/>
          </w:rPr>
          <w:t>106</w:t>
        </w:r>
        <w:r w:rsidR="001853BF">
          <w:rPr>
            <w:noProof/>
            <w:webHidden/>
          </w:rPr>
          <w:fldChar w:fldCharType="end"/>
        </w:r>
      </w:hyperlink>
    </w:p>
    <w:p w14:paraId="7F1F00AD" w14:textId="77777777" w:rsidR="001853BF" w:rsidRDefault="00E35F15">
      <w:pPr>
        <w:pStyle w:val="TOC3"/>
        <w:tabs>
          <w:tab w:val="right" w:leader="dot" w:pos="8630"/>
        </w:tabs>
        <w:rPr>
          <w:noProof/>
        </w:rPr>
      </w:pPr>
      <w:hyperlink w:anchor="_Toc518323250" w:history="1">
        <w:r w:rsidR="001853BF" w:rsidRPr="001B0F83">
          <w:rPr>
            <w:rStyle w:val="Hyperlink"/>
            <w:i/>
            <w:noProof/>
          </w:rPr>
          <w:t>Fletcher v. Rylands</w:t>
        </w:r>
        <w:r w:rsidR="001853BF" w:rsidRPr="000F1856">
          <w:rPr>
            <w:rStyle w:val="Hyperlink"/>
            <w:noProof/>
          </w:rPr>
          <w:t>,</w:t>
        </w:r>
        <w:r w:rsidR="001853BF">
          <w:rPr>
            <w:noProof/>
            <w:webHidden/>
          </w:rPr>
          <w:tab/>
        </w:r>
        <w:r w:rsidR="001853BF">
          <w:rPr>
            <w:noProof/>
            <w:webHidden/>
          </w:rPr>
          <w:fldChar w:fldCharType="begin"/>
        </w:r>
        <w:r w:rsidR="001853BF">
          <w:rPr>
            <w:noProof/>
            <w:webHidden/>
          </w:rPr>
          <w:instrText xml:space="preserve"> PAGEREF _Toc518323250 \h </w:instrText>
        </w:r>
        <w:r w:rsidR="001853BF">
          <w:rPr>
            <w:noProof/>
            <w:webHidden/>
          </w:rPr>
        </w:r>
        <w:r w:rsidR="001853BF">
          <w:rPr>
            <w:noProof/>
            <w:webHidden/>
          </w:rPr>
          <w:fldChar w:fldCharType="separate"/>
        </w:r>
        <w:r w:rsidR="001853BF">
          <w:rPr>
            <w:noProof/>
            <w:webHidden/>
          </w:rPr>
          <w:t>107</w:t>
        </w:r>
        <w:r w:rsidR="001853BF">
          <w:rPr>
            <w:noProof/>
            <w:webHidden/>
          </w:rPr>
          <w:fldChar w:fldCharType="end"/>
        </w:r>
      </w:hyperlink>
    </w:p>
    <w:p w14:paraId="6369E721" w14:textId="77777777" w:rsidR="001853BF" w:rsidRDefault="00E35F15">
      <w:pPr>
        <w:pStyle w:val="TOC3"/>
        <w:tabs>
          <w:tab w:val="right" w:leader="dot" w:pos="8630"/>
        </w:tabs>
        <w:rPr>
          <w:noProof/>
        </w:rPr>
      </w:pPr>
      <w:hyperlink w:anchor="_Toc518323251" w:history="1">
        <w:r w:rsidR="001853BF" w:rsidRPr="000F1856">
          <w:rPr>
            <w:rStyle w:val="Hyperlink"/>
            <w:rFonts w:eastAsia="Times New Roman"/>
            <w:noProof/>
          </w:rPr>
          <w:t>Court of Exchequer Chamber</w:t>
        </w:r>
        <w:r w:rsidR="001853BF">
          <w:rPr>
            <w:noProof/>
            <w:webHidden/>
          </w:rPr>
          <w:tab/>
        </w:r>
        <w:r w:rsidR="001853BF">
          <w:rPr>
            <w:noProof/>
            <w:webHidden/>
          </w:rPr>
          <w:fldChar w:fldCharType="begin"/>
        </w:r>
        <w:r w:rsidR="001853BF">
          <w:rPr>
            <w:noProof/>
            <w:webHidden/>
          </w:rPr>
          <w:instrText xml:space="preserve"> PAGEREF _Toc518323251 \h </w:instrText>
        </w:r>
        <w:r w:rsidR="001853BF">
          <w:rPr>
            <w:noProof/>
            <w:webHidden/>
          </w:rPr>
        </w:r>
        <w:r w:rsidR="001853BF">
          <w:rPr>
            <w:noProof/>
            <w:webHidden/>
          </w:rPr>
          <w:fldChar w:fldCharType="separate"/>
        </w:r>
        <w:r w:rsidR="001853BF">
          <w:rPr>
            <w:noProof/>
            <w:webHidden/>
          </w:rPr>
          <w:t>109</w:t>
        </w:r>
        <w:r w:rsidR="001853BF">
          <w:rPr>
            <w:noProof/>
            <w:webHidden/>
          </w:rPr>
          <w:fldChar w:fldCharType="end"/>
        </w:r>
      </w:hyperlink>
    </w:p>
    <w:p w14:paraId="70D4C79C" w14:textId="77777777" w:rsidR="001853BF" w:rsidRDefault="00E35F15">
      <w:pPr>
        <w:pStyle w:val="TOC3"/>
        <w:tabs>
          <w:tab w:val="right" w:leader="dot" w:pos="8630"/>
        </w:tabs>
        <w:rPr>
          <w:noProof/>
        </w:rPr>
      </w:pPr>
      <w:hyperlink w:anchor="_Toc518323252" w:history="1">
        <w:r w:rsidR="001853BF" w:rsidRPr="000F1856">
          <w:rPr>
            <w:rStyle w:val="Hyperlink"/>
            <w:i/>
            <w:noProof/>
          </w:rPr>
          <w:t>House of Lords</w:t>
        </w:r>
        <w:r w:rsidR="001853BF">
          <w:rPr>
            <w:noProof/>
            <w:webHidden/>
          </w:rPr>
          <w:tab/>
        </w:r>
        <w:r w:rsidR="001853BF">
          <w:rPr>
            <w:noProof/>
            <w:webHidden/>
          </w:rPr>
          <w:fldChar w:fldCharType="begin"/>
        </w:r>
        <w:r w:rsidR="001853BF">
          <w:rPr>
            <w:noProof/>
            <w:webHidden/>
          </w:rPr>
          <w:instrText xml:space="preserve"> PAGEREF _Toc518323252 \h </w:instrText>
        </w:r>
        <w:r w:rsidR="001853BF">
          <w:rPr>
            <w:noProof/>
            <w:webHidden/>
          </w:rPr>
        </w:r>
        <w:r w:rsidR="001853BF">
          <w:rPr>
            <w:noProof/>
            <w:webHidden/>
          </w:rPr>
          <w:fldChar w:fldCharType="separate"/>
        </w:r>
        <w:r w:rsidR="001853BF">
          <w:rPr>
            <w:noProof/>
            <w:webHidden/>
          </w:rPr>
          <w:t>110</w:t>
        </w:r>
        <w:r w:rsidR="001853BF">
          <w:rPr>
            <w:noProof/>
            <w:webHidden/>
          </w:rPr>
          <w:fldChar w:fldCharType="end"/>
        </w:r>
      </w:hyperlink>
    </w:p>
    <w:p w14:paraId="2DFA97B8" w14:textId="77777777" w:rsidR="001853BF" w:rsidRDefault="00E35F15">
      <w:pPr>
        <w:pStyle w:val="TOC4"/>
        <w:tabs>
          <w:tab w:val="right" w:leader="dot" w:pos="8630"/>
        </w:tabs>
        <w:rPr>
          <w:noProof/>
          <w:sz w:val="22"/>
          <w:szCs w:val="22"/>
        </w:rPr>
      </w:pPr>
      <w:hyperlink w:anchor="_Toc51832325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_Toc518323253 \h </w:instrText>
        </w:r>
        <w:r w:rsidR="001853BF">
          <w:rPr>
            <w:noProof/>
            <w:webHidden/>
          </w:rPr>
        </w:r>
        <w:r w:rsidR="001853BF">
          <w:rPr>
            <w:noProof/>
            <w:webHidden/>
          </w:rPr>
          <w:fldChar w:fldCharType="separate"/>
        </w:r>
        <w:r w:rsidR="001853BF">
          <w:rPr>
            <w:noProof/>
            <w:webHidden/>
          </w:rPr>
          <w:t>111</w:t>
        </w:r>
        <w:r w:rsidR="001853BF">
          <w:rPr>
            <w:noProof/>
            <w:webHidden/>
          </w:rPr>
          <w:fldChar w:fldCharType="end"/>
        </w:r>
      </w:hyperlink>
    </w:p>
    <w:p w14:paraId="019B44FD" w14:textId="77777777" w:rsidR="001853BF" w:rsidRDefault="00E35F15">
      <w:pPr>
        <w:pStyle w:val="TOC3"/>
        <w:tabs>
          <w:tab w:val="right" w:leader="dot" w:pos="8630"/>
        </w:tabs>
        <w:rPr>
          <w:noProof/>
        </w:rPr>
      </w:pPr>
      <w:hyperlink w:anchor="_Toc518323254" w:history="1">
        <w:r w:rsidR="001853BF" w:rsidRPr="000F1856">
          <w:rPr>
            <w:rStyle w:val="Hyperlink"/>
            <w:i/>
            <w:noProof/>
          </w:rPr>
          <w:t>Brown v. Collins</w:t>
        </w:r>
        <w:r w:rsidR="001853BF">
          <w:rPr>
            <w:noProof/>
            <w:webHidden/>
          </w:rPr>
          <w:tab/>
        </w:r>
        <w:r w:rsidR="001853BF">
          <w:rPr>
            <w:noProof/>
            <w:webHidden/>
          </w:rPr>
          <w:fldChar w:fldCharType="begin"/>
        </w:r>
        <w:r w:rsidR="001853BF">
          <w:rPr>
            <w:noProof/>
            <w:webHidden/>
          </w:rPr>
          <w:instrText xml:space="preserve"> PAGEREF _Toc518323254 \h </w:instrText>
        </w:r>
        <w:r w:rsidR="001853BF">
          <w:rPr>
            <w:noProof/>
            <w:webHidden/>
          </w:rPr>
        </w:r>
        <w:r w:rsidR="001853BF">
          <w:rPr>
            <w:noProof/>
            <w:webHidden/>
          </w:rPr>
          <w:fldChar w:fldCharType="separate"/>
        </w:r>
        <w:r w:rsidR="001853BF">
          <w:rPr>
            <w:noProof/>
            <w:webHidden/>
          </w:rPr>
          <w:t>113</w:t>
        </w:r>
        <w:r w:rsidR="001853BF">
          <w:rPr>
            <w:noProof/>
            <w:webHidden/>
          </w:rPr>
          <w:fldChar w:fldCharType="end"/>
        </w:r>
      </w:hyperlink>
    </w:p>
    <w:p w14:paraId="3CB25AE7" w14:textId="77777777" w:rsidR="001853BF" w:rsidRDefault="00E35F15">
      <w:pPr>
        <w:pStyle w:val="TOC4"/>
        <w:tabs>
          <w:tab w:val="right" w:leader="dot" w:pos="8630"/>
        </w:tabs>
        <w:rPr>
          <w:noProof/>
          <w:sz w:val="22"/>
          <w:szCs w:val="22"/>
        </w:rPr>
      </w:pPr>
      <w:hyperlink w:anchor="_Toc518323255"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_Toc518323255 \h </w:instrText>
        </w:r>
        <w:r w:rsidR="001853BF">
          <w:rPr>
            <w:noProof/>
            <w:webHidden/>
          </w:rPr>
        </w:r>
        <w:r w:rsidR="001853BF">
          <w:rPr>
            <w:noProof/>
            <w:webHidden/>
          </w:rPr>
          <w:fldChar w:fldCharType="separate"/>
        </w:r>
        <w:r w:rsidR="001853BF">
          <w:rPr>
            <w:noProof/>
            <w:webHidden/>
          </w:rPr>
          <w:t>114</w:t>
        </w:r>
        <w:r w:rsidR="001853BF">
          <w:rPr>
            <w:noProof/>
            <w:webHidden/>
          </w:rPr>
          <w:fldChar w:fldCharType="end"/>
        </w:r>
      </w:hyperlink>
    </w:p>
    <w:p w14:paraId="21562437" w14:textId="77777777" w:rsidR="001853BF" w:rsidRDefault="00E35F15">
      <w:pPr>
        <w:pStyle w:val="TOC3"/>
        <w:tabs>
          <w:tab w:val="right" w:leader="dot" w:pos="8630"/>
        </w:tabs>
        <w:rPr>
          <w:noProof/>
        </w:rPr>
      </w:pPr>
      <w:hyperlink w:anchor="_Toc518323256" w:history="1">
        <w:r w:rsidR="001853BF" w:rsidRPr="000F1856">
          <w:rPr>
            <w:rStyle w:val="Hyperlink"/>
            <w:i/>
            <w:noProof/>
          </w:rPr>
          <w:t>Losee v. Buchanan</w:t>
        </w:r>
        <w:r w:rsidR="001853BF">
          <w:rPr>
            <w:noProof/>
            <w:webHidden/>
          </w:rPr>
          <w:tab/>
        </w:r>
        <w:r w:rsidR="001853BF">
          <w:rPr>
            <w:noProof/>
            <w:webHidden/>
          </w:rPr>
          <w:fldChar w:fldCharType="begin"/>
        </w:r>
        <w:r w:rsidR="001853BF">
          <w:rPr>
            <w:noProof/>
            <w:webHidden/>
          </w:rPr>
          <w:instrText xml:space="preserve"> PAGEREF _Toc518323256 \h </w:instrText>
        </w:r>
        <w:r w:rsidR="001853BF">
          <w:rPr>
            <w:noProof/>
            <w:webHidden/>
          </w:rPr>
        </w:r>
        <w:r w:rsidR="001853BF">
          <w:rPr>
            <w:noProof/>
            <w:webHidden/>
          </w:rPr>
          <w:fldChar w:fldCharType="separate"/>
        </w:r>
        <w:r w:rsidR="001853BF">
          <w:rPr>
            <w:noProof/>
            <w:webHidden/>
          </w:rPr>
          <w:t>114</w:t>
        </w:r>
        <w:r w:rsidR="001853BF">
          <w:rPr>
            <w:noProof/>
            <w:webHidden/>
          </w:rPr>
          <w:fldChar w:fldCharType="end"/>
        </w:r>
      </w:hyperlink>
    </w:p>
    <w:p w14:paraId="00B81E30" w14:textId="77777777" w:rsidR="001853BF" w:rsidRDefault="00E35F15">
      <w:pPr>
        <w:pStyle w:val="TOC4"/>
        <w:tabs>
          <w:tab w:val="right" w:leader="dot" w:pos="8630"/>
        </w:tabs>
        <w:rPr>
          <w:noProof/>
          <w:sz w:val="22"/>
          <w:szCs w:val="22"/>
        </w:rPr>
      </w:pPr>
      <w:hyperlink w:anchor="_Toc51832325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_Toc518323257 \h </w:instrText>
        </w:r>
        <w:r w:rsidR="001853BF">
          <w:rPr>
            <w:noProof/>
            <w:webHidden/>
          </w:rPr>
        </w:r>
        <w:r w:rsidR="001853BF">
          <w:rPr>
            <w:noProof/>
            <w:webHidden/>
          </w:rPr>
          <w:fldChar w:fldCharType="separate"/>
        </w:r>
        <w:r w:rsidR="001853BF">
          <w:rPr>
            <w:noProof/>
            <w:webHidden/>
          </w:rPr>
          <w:t>115</w:t>
        </w:r>
        <w:r w:rsidR="001853BF">
          <w:rPr>
            <w:noProof/>
            <w:webHidden/>
          </w:rPr>
          <w:fldChar w:fldCharType="end"/>
        </w:r>
      </w:hyperlink>
    </w:p>
    <w:p w14:paraId="326AC080" w14:textId="77777777" w:rsidR="001853BF" w:rsidRDefault="00E35F15">
      <w:pPr>
        <w:pStyle w:val="TOC3"/>
        <w:tabs>
          <w:tab w:val="right" w:leader="dot" w:pos="8630"/>
        </w:tabs>
        <w:rPr>
          <w:noProof/>
        </w:rPr>
      </w:pPr>
      <w:hyperlink w:anchor="_Toc518323258" w:history="1">
        <w:r w:rsidR="001853BF" w:rsidRPr="000F1856">
          <w:rPr>
            <w:rStyle w:val="Hyperlink"/>
            <w:i/>
            <w:noProof/>
          </w:rPr>
          <w:t>Ives v. South Buffalo Ry</w:t>
        </w:r>
        <w:r w:rsidR="001853BF">
          <w:rPr>
            <w:noProof/>
            <w:webHidden/>
          </w:rPr>
          <w:tab/>
        </w:r>
        <w:r w:rsidR="001853BF">
          <w:rPr>
            <w:noProof/>
            <w:webHidden/>
          </w:rPr>
          <w:fldChar w:fldCharType="begin"/>
        </w:r>
        <w:r w:rsidR="001853BF">
          <w:rPr>
            <w:noProof/>
            <w:webHidden/>
          </w:rPr>
          <w:instrText xml:space="preserve"> PAGEREF _Toc518323258 \h </w:instrText>
        </w:r>
        <w:r w:rsidR="001853BF">
          <w:rPr>
            <w:noProof/>
            <w:webHidden/>
          </w:rPr>
        </w:r>
        <w:r w:rsidR="001853BF">
          <w:rPr>
            <w:noProof/>
            <w:webHidden/>
          </w:rPr>
          <w:fldChar w:fldCharType="separate"/>
        </w:r>
        <w:r w:rsidR="001853BF">
          <w:rPr>
            <w:noProof/>
            <w:webHidden/>
          </w:rPr>
          <w:t>116</w:t>
        </w:r>
        <w:r w:rsidR="001853BF">
          <w:rPr>
            <w:noProof/>
            <w:webHidden/>
          </w:rPr>
          <w:fldChar w:fldCharType="end"/>
        </w:r>
      </w:hyperlink>
    </w:p>
    <w:p w14:paraId="4467B6A8" w14:textId="77777777" w:rsidR="001853BF" w:rsidRDefault="00E35F15">
      <w:pPr>
        <w:pStyle w:val="TOC4"/>
        <w:tabs>
          <w:tab w:val="right" w:leader="dot" w:pos="8630"/>
        </w:tabs>
        <w:rPr>
          <w:noProof/>
          <w:sz w:val="22"/>
          <w:szCs w:val="22"/>
        </w:rPr>
      </w:pPr>
      <w:hyperlink w:anchor="_Toc51832325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_Toc518323259 \h </w:instrText>
        </w:r>
        <w:r w:rsidR="001853BF">
          <w:rPr>
            <w:noProof/>
            <w:webHidden/>
          </w:rPr>
        </w:r>
        <w:r w:rsidR="001853BF">
          <w:rPr>
            <w:noProof/>
            <w:webHidden/>
          </w:rPr>
          <w:fldChar w:fldCharType="separate"/>
        </w:r>
        <w:r w:rsidR="001853BF">
          <w:rPr>
            <w:noProof/>
            <w:webHidden/>
          </w:rPr>
          <w:t>119</w:t>
        </w:r>
        <w:r w:rsidR="001853BF">
          <w:rPr>
            <w:noProof/>
            <w:webHidden/>
          </w:rPr>
          <w:fldChar w:fldCharType="end"/>
        </w:r>
      </w:hyperlink>
    </w:p>
    <w:p w14:paraId="59D72D4C" w14:textId="77777777" w:rsidR="001853BF" w:rsidRDefault="00E35F15">
      <w:pPr>
        <w:pStyle w:val="TOC1"/>
        <w:tabs>
          <w:tab w:val="right" w:leader="dot" w:pos="8630"/>
        </w:tabs>
        <w:rPr>
          <w:b w:val="0"/>
          <w:noProof/>
          <w:sz w:val="22"/>
          <w:szCs w:val="22"/>
        </w:rPr>
      </w:pPr>
      <w:hyperlink w:anchor="_Toc518323260" w:history="1">
        <w:r w:rsidR="001853BF" w:rsidRPr="000F1856">
          <w:rPr>
            <w:rStyle w:val="Hyperlink"/>
            <w:noProof/>
          </w:rPr>
          <w:t>CHAPTER 4.  THE NEGLIGENCE STANDARD</w:t>
        </w:r>
        <w:r w:rsidR="001853BF">
          <w:rPr>
            <w:noProof/>
            <w:webHidden/>
          </w:rPr>
          <w:tab/>
        </w:r>
        <w:r w:rsidR="001853BF">
          <w:rPr>
            <w:noProof/>
            <w:webHidden/>
          </w:rPr>
          <w:fldChar w:fldCharType="begin"/>
        </w:r>
        <w:r w:rsidR="001853BF">
          <w:rPr>
            <w:noProof/>
            <w:webHidden/>
          </w:rPr>
          <w:instrText xml:space="preserve"> PAGEREF _Toc518323260 \h </w:instrText>
        </w:r>
        <w:r w:rsidR="001853BF">
          <w:rPr>
            <w:noProof/>
            <w:webHidden/>
          </w:rPr>
        </w:r>
        <w:r w:rsidR="001853BF">
          <w:rPr>
            <w:noProof/>
            <w:webHidden/>
          </w:rPr>
          <w:fldChar w:fldCharType="separate"/>
        </w:r>
        <w:r w:rsidR="001853BF">
          <w:rPr>
            <w:noProof/>
            <w:webHidden/>
          </w:rPr>
          <w:t>123</w:t>
        </w:r>
        <w:r w:rsidR="001853BF">
          <w:rPr>
            <w:noProof/>
            <w:webHidden/>
          </w:rPr>
          <w:fldChar w:fldCharType="end"/>
        </w:r>
      </w:hyperlink>
    </w:p>
    <w:p w14:paraId="2EF1B219" w14:textId="77777777" w:rsidR="001853BF" w:rsidRDefault="00E35F15">
      <w:pPr>
        <w:pStyle w:val="TOC2"/>
        <w:tabs>
          <w:tab w:val="right" w:leader="dot" w:pos="8630"/>
        </w:tabs>
        <w:rPr>
          <w:b w:val="0"/>
          <w:noProof/>
        </w:rPr>
      </w:pPr>
      <w:hyperlink w:anchor="_Toc518323261" w:history="1">
        <w:r w:rsidR="001853BF" w:rsidRPr="000F1856">
          <w:rPr>
            <w:rStyle w:val="Hyperlink"/>
            <w:noProof/>
          </w:rPr>
          <w:t>A.  The Reasonable Person</w:t>
        </w:r>
        <w:r w:rsidR="001853BF">
          <w:rPr>
            <w:noProof/>
            <w:webHidden/>
          </w:rPr>
          <w:tab/>
        </w:r>
        <w:r w:rsidR="001853BF">
          <w:rPr>
            <w:noProof/>
            <w:webHidden/>
          </w:rPr>
          <w:fldChar w:fldCharType="begin"/>
        </w:r>
        <w:r w:rsidR="001853BF">
          <w:rPr>
            <w:noProof/>
            <w:webHidden/>
          </w:rPr>
          <w:instrText xml:space="preserve"> PAGEREF _Toc518323261 \h </w:instrText>
        </w:r>
        <w:r w:rsidR="001853BF">
          <w:rPr>
            <w:noProof/>
            <w:webHidden/>
          </w:rPr>
        </w:r>
        <w:r w:rsidR="001853BF">
          <w:rPr>
            <w:noProof/>
            <w:webHidden/>
          </w:rPr>
          <w:fldChar w:fldCharType="separate"/>
        </w:r>
        <w:r w:rsidR="001853BF">
          <w:rPr>
            <w:noProof/>
            <w:webHidden/>
          </w:rPr>
          <w:t>123</w:t>
        </w:r>
        <w:r w:rsidR="001853BF">
          <w:rPr>
            <w:noProof/>
            <w:webHidden/>
          </w:rPr>
          <w:fldChar w:fldCharType="end"/>
        </w:r>
      </w:hyperlink>
    </w:p>
    <w:p w14:paraId="094A3BBB" w14:textId="77777777" w:rsidR="001853BF" w:rsidRDefault="00E35F15">
      <w:pPr>
        <w:pStyle w:val="TOC3"/>
        <w:tabs>
          <w:tab w:val="right" w:leader="dot" w:pos="8630"/>
        </w:tabs>
        <w:rPr>
          <w:noProof/>
        </w:rPr>
      </w:pPr>
      <w:hyperlink w:anchor="_Toc518323262" w:history="1">
        <w:r w:rsidR="001853BF" w:rsidRPr="000F1856">
          <w:rPr>
            <w:rStyle w:val="Hyperlink"/>
            <w:noProof/>
          </w:rPr>
          <w:t>1.  Introduction</w:t>
        </w:r>
        <w:r w:rsidR="001853BF">
          <w:rPr>
            <w:noProof/>
            <w:webHidden/>
          </w:rPr>
          <w:tab/>
        </w:r>
        <w:r w:rsidR="001853BF">
          <w:rPr>
            <w:noProof/>
            <w:webHidden/>
          </w:rPr>
          <w:fldChar w:fldCharType="begin"/>
        </w:r>
        <w:r w:rsidR="001853BF">
          <w:rPr>
            <w:noProof/>
            <w:webHidden/>
          </w:rPr>
          <w:instrText xml:space="preserve"> PAGEREF _Toc518323262 \h </w:instrText>
        </w:r>
        <w:r w:rsidR="001853BF">
          <w:rPr>
            <w:noProof/>
            <w:webHidden/>
          </w:rPr>
        </w:r>
        <w:r w:rsidR="001853BF">
          <w:rPr>
            <w:noProof/>
            <w:webHidden/>
          </w:rPr>
          <w:fldChar w:fldCharType="separate"/>
        </w:r>
        <w:r w:rsidR="001853BF">
          <w:rPr>
            <w:noProof/>
            <w:webHidden/>
          </w:rPr>
          <w:t>123</w:t>
        </w:r>
        <w:r w:rsidR="001853BF">
          <w:rPr>
            <w:noProof/>
            <w:webHidden/>
          </w:rPr>
          <w:fldChar w:fldCharType="end"/>
        </w:r>
      </w:hyperlink>
    </w:p>
    <w:p w14:paraId="7FE235D1" w14:textId="77777777" w:rsidR="001853BF" w:rsidRDefault="00E35F15">
      <w:pPr>
        <w:pStyle w:val="TOC4"/>
        <w:tabs>
          <w:tab w:val="right" w:leader="dot" w:pos="8630"/>
        </w:tabs>
        <w:rPr>
          <w:noProof/>
          <w:sz w:val="22"/>
          <w:szCs w:val="22"/>
        </w:rPr>
      </w:pPr>
      <w:hyperlink w:anchor="_Toc518323263" w:history="1">
        <w:r w:rsidR="001853BF" w:rsidRPr="001B0F83">
          <w:rPr>
            <w:rStyle w:val="Hyperlink"/>
            <w:i/>
            <w:noProof/>
          </w:rPr>
          <w:t>Vaughn v. Menlove</w:t>
        </w:r>
        <w:r w:rsidR="001853BF">
          <w:rPr>
            <w:noProof/>
            <w:webHidden/>
          </w:rPr>
          <w:tab/>
        </w:r>
        <w:r w:rsidR="001853BF">
          <w:rPr>
            <w:noProof/>
            <w:webHidden/>
          </w:rPr>
          <w:fldChar w:fldCharType="begin"/>
        </w:r>
        <w:r w:rsidR="001853BF">
          <w:rPr>
            <w:noProof/>
            <w:webHidden/>
          </w:rPr>
          <w:instrText xml:space="preserve"> PAGEREF _Toc518323263 \h </w:instrText>
        </w:r>
        <w:r w:rsidR="001853BF">
          <w:rPr>
            <w:noProof/>
            <w:webHidden/>
          </w:rPr>
        </w:r>
        <w:r w:rsidR="001853BF">
          <w:rPr>
            <w:noProof/>
            <w:webHidden/>
          </w:rPr>
          <w:fldChar w:fldCharType="separate"/>
        </w:r>
        <w:r w:rsidR="001853BF">
          <w:rPr>
            <w:noProof/>
            <w:webHidden/>
          </w:rPr>
          <w:t>123</w:t>
        </w:r>
        <w:r w:rsidR="001853BF">
          <w:rPr>
            <w:noProof/>
            <w:webHidden/>
          </w:rPr>
          <w:fldChar w:fldCharType="end"/>
        </w:r>
      </w:hyperlink>
    </w:p>
    <w:p w14:paraId="24379EAB" w14:textId="77777777" w:rsidR="001853BF" w:rsidRDefault="00E35F15">
      <w:pPr>
        <w:pStyle w:val="TOC4"/>
        <w:tabs>
          <w:tab w:val="right" w:leader="dot" w:pos="8630"/>
        </w:tabs>
        <w:rPr>
          <w:noProof/>
          <w:sz w:val="22"/>
          <w:szCs w:val="22"/>
        </w:rPr>
      </w:pPr>
      <w:hyperlink w:anchor="_Toc518323264" w:history="1">
        <w:r w:rsidR="001853BF" w:rsidRPr="000F1856">
          <w:rPr>
            <w:rStyle w:val="Hyperlink"/>
            <w:smallCaps/>
            <w:noProof/>
          </w:rPr>
          <w:t>Oliver Wendell Holmes, Jr., The Common Law</w:t>
        </w:r>
        <w:r w:rsidR="001853BF">
          <w:rPr>
            <w:noProof/>
            <w:webHidden/>
          </w:rPr>
          <w:tab/>
        </w:r>
        <w:r w:rsidR="001853BF">
          <w:rPr>
            <w:noProof/>
            <w:webHidden/>
          </w:rPr>
          <w:fldChar w:fldCharType="begin"/>
        </w:r>
        <w:r w:rsidR="001853BF">
          <w:rPr>
            <w:noProof/>
            <w:webHidden/>
          </w:rPr>
          <w:instrText xml:space="preserve"> PAGEREF _Toc518323264 \h </w:instrText>
        </w:r>
        <w:r w:rsidR="001853BF">
          <w:rPr>
            <w:noProof/>
            <w:webHidden/>
          </w:rPr>
        </w:r>
        <w:r w:rsidR="001853BF">
          <w:rPr>
            <w:noProof/>
            <w:webHidden/>
          </w:rPr>
          <w:fldChar w:fldCharType="separate"/>
        </w:r>
        <w:r w:rsidR="001853BF">
          <w:rPr>
            <w:noProof/>
            <w:webHidden/>
          </w:rPr>
          <w:t>125</w:t>
        </w:r>
        <w:r w:rsidR="001853BF">
          <w:rPr>
            <w:noProof/>
            <w:webHidden/>
          </w:rPr>
          <w:fldChar w:fldCharType="end"/>
        </w:r>
      </w:hyperlink>
    </w:p>
    <w:p w14:paraId="04CED6D3" w14:textId="77777777" w:rsidR="001853BF" w:rsidRDefault="00E35F15">
      <w:pPr>
        <w:pStyle w:val="TOC4"/>
        <w:tabs>
          <w:tab w:val="right" w:leader="dot" w:pos="8630"/>
        </w:tabs>
        <w:rPr>
          <w:noProof/>
          <w:sz w:val="22"/>
          <w:szCs w:val="22"/>
        </w:rPr>
      </w:pPr>
      <w:hyperlink w:anchor="_Toc51832326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_Toc518323265 \h </w:instrText>
        </w:r>
        <w:r w:rsidR="001853BF">
          <w:rPr>
            <w:noProof/>
            <w:webHidden/>
          </w:rPr>
        </w:r>
        <w:r w:rsidR="001853BF">
          <w:rPr>
            <w:noProof/>
            <w:webHidden/>
          </w:rPr>
          <w:fldChar w:fldCharType="separate"/>
        </w:r>
        <w:r w:rsidR="001853BF">
          <w:rPr>
            <w:noProof/>
            <w:webHidden/>
          </w:rPr>
          <w:t>126</w:t>
        </w:r>
        <w:r w:rsidR="001853BF">
          <w:rPr>
            <w:noProof/>
            <w:webHidden/>
          </w:rPr>
          <w:fldChar w:fldCharType="end"/>
        </w:r>
      </w:hyperlink>
    </w:p>
    <w:p w14:paraId="0E1401D2" w14:textId="77777777" w:rsidR="001853BF" w:rsidRDefault="00E35F15">
      <w:pPr>
        <w:pStyle w:val="TOC3"/>
        <w:tabs>
          <w:tab w:val="right" w:leader="dot" w:pos="8630"/>
        </w:tabs>
        <w:rPr>
          <w:noProof/>
        </w:rPr>
      </w:pPr>
      <w:hyperlink w:anchor="_Toc518323266" w:history="1">
        <w:r w:rsidR="001853BF" w:rsidRPr="000F1856">
          <w:rPr>
            <w:rStyle w:val="Hyperlink"/>
            <w:noProof/>
          </w:rPr>
          <w:t>2.  Physical Traits</w:t>
        </w:r>
        <w:r w:rsidR="001853BF">
          <w:rPr>
            <w:noProof/>
            <w:webHidden/>
          </w:rPr>
          <w:tab/>
        </w:r>
        <w:r w:rsidR="001853BF">
          <w:rPr>
            <w:noProof/>
            <w:webHidden/>
          </w:rPr>
          <w:fldChar w:fldCharType="begin"/>
        </w:r>
        <w:r w:rsidR="001853BF">
          <w:rPr>
            <w:noProof/>
            <w:webHidden/>
          </w:rPr>
          <w:instrText xml:space="preserve"> PAGEREF _Toc518323266 \h </w:instrText>
        </w:r>
        <w:r w:rsidR="001853BF">
          <w:rPr>
            <w:noProof/>
            <w:webHidden/>
          </w:rPr>
        </w:r>
        <w:r w:rsidR="001853BF">
          <w:rPr>
            <w:noProof/>
            <w:webHidden/>
          </w:rPr>
          <w:fldChar w:fldCharType="separate"/>
        </w:r>
        <w:r w:rsidR="001853BF">
          <w:rPr>
            <w:noProof/>
            <w:webHidden/>
          </w:rPr>
          <w:t>127</w:t>
        </w:r>
        <w:r w:rsidR="001853BF">
          <w:rPr>
            <w:noProof/>
            <w:webHidden/>
          </w:rPr>
          <w:fldChar w:fldCharType="end"/>
        </w:r>
      </w:hyperlink>
    </w:p>
    <w:p w14:paraId="30968C5D" w14:textId="77777777" w:rsidR="001853BF" w:rsidRDefault="00E35F15">
      <w:pPr>
        <w:pStyle w:val="TOC4"/>
        <w:tabs>
          <w:tab w:val="right" w:leader="dot" w:pos="8630"/>
        </w:tabs>
        <w:rPr>
          <w:noProof/>
          <w:sz w:val="22"/>
          <w:szCs w:val="22"/>
        </w:rPr>
      </w:pPr>
      <w:hyperlink w:anchor="_Toc518323267" w:history="1">
        <w:r w:rsidR="001853BF" w:rsidRPr="001B0F83">
          <w:rPr>
            <w:rStyle w:val="Hyperlink"/>
            <w:i/>
            <w:noProof/>
          </w:rPr>
          <w:t>Smith v. Sneller</w:t>
        </w:r>
        <w:r w:rsidR="001853BF">
          <w:rPr>
            <w:noProof/>
            <w:webHidden/>
          </w:rPr>
          <w:tab/>
        </w:r>
        <w:r w:rsidR="001853BF">
          <w:rPr>
            <w:noProof/>
            <w:webHidden/>
          </w:rPr>
          <w:fldChar w:fldCharType="begin"/>
        </w:r>
        <w:r w:rsidR="001853BF">
          <w:rPr>
            <w:noProof/>
            <w:webHidden/>
          </w:rPr>
          <w:instrText xml:space="preserve"> PAGEREF _Toc518323267 \h </w:instrText>
        </w:r>
        <w:r w:rsidR="001853BF">
          <w:rPr>
            <w:noProof/>
            <w:webHidden/>
          </w:rPr>
        </w:r>
        <w:r w:rsidR="001853BF">
          <w:rPr>
            <w:noProof/>
            <w:webHidden/>
          </w:rPr>
          <w:fldChar w:fldCharType="separate"/>
        </w:r>
        <w:r w:rsidR="001853BF">
          <w:rPr>
            <w:noProof/>
            <w:webHidden/>
          </w:rPr>
          <w:t>127</w:t>
        </w:r>
        <w:r w:rsidR="001853BF">
          <w:rPr>
            <w:noProof/>
            <w:webHidden/>
          </w:rPr>
          <w:fldChar w:fldCharType="end"/>
        </w:r>
      </w:hyperlink>
    </w:p>
    <w:p w14:paraId="1A9392AC" w14:textId="77777777" w:rsidR="001853BF" w:rsidRDefault="00E35F15">
      <w:pPr>
        <w:pStyle w:val="TOC4"/>
        <w:tabs>
          <w:tab w:val="right" w:leader="dot" w:pos="8630"/>
        </w:tabs>
        <w:rPr>
          <w:noProof/>
          <w:sz w:val="22"/>
          <w:szCs w:val="22"/>
        </w:rPr>
      </w:pPr>
      <w:hyperlink w:anchor="_Toc518323268" w:history="1">
        <w:r w:rsidR="001853BF" w:rsidRPr="001B0F83">
          <w:rPr>
            <w:rStyle w:val="Hyperlink"/>
            <w:i/>
            <w:noProof/>
          </w:rPr>
          <w:t>Davis v. Feinstein</w:t>
        </w:r>
        <w:r w:rsidR="001853BF">
          <w:rPr>
            <w:noProof/>
            <w:webHidden/>
          </w:rPr>
          <w:tab/>
        </w:r>
        <w:r w:rsidR="001853BF">
          <w:rPr>
            <w:noProof/>
            <w:webHidden/>
          </w:rPr>
          <w:fldChar w:fldCharType="begin"/>
        </w:r>
        <w:r w:rsidR="001853BF">
          <w:rPr>
            <w:noProof/>
            <w:webHidden/>
          </w:rPr>
          <w:instrText xml:space="preserve"> PAGEREF _Toc518323268 \h </w:instrText>
        </w:r>
        <w:r w:rsidR="001853BF">
          <w:rPr>
            <w:noProof/>
            <w:webHidden/>
          </w:rPr>
        </w:r>
        <w:r w:rsidR="001853BF">
          <w:rPr>
            <w:noProof/>
            <w:webHidden/>
          </w:rPr>
          <w:fldChar w:fldCharType="separate"/>
        </w:r>
        <w:r w:rsidR="001853BF">
          <w:rPr>
            <w:noProof/>
            <w:webHidden/>
          </w:rPr>
          <w:t>128</w:t>
        </w:r>
        <w:r w:rsidR="001853BF">
          <w:rPr>
            <w:noProof/>
            <w:webHidden/>
          </w:rPr>
          <w:fldChar w:fldCharType="end"/>
        </w:r>
      </w:hyperlink>
    </w:p>
    <w:p w14:paraId="2A6E7D85" w14:textId="77777777" w:rsidR="001853BF" w:rsidRDefault="00E35F15">
      <w:pPr>
        <w:pStyle w:val="TOC4"/>
        <w:tabs>
          <w:tab w:val="right" w:leader="dot" w:pos="8630"/>
        </w:tabs>
        <w:rPr>
          <w:noProof/>
          <w:sz w:val="22"/>
          <w:szCs w:val="22"/>
        </w:rPr>
      </w:pPr>
      <w:hyperlink w:anchor="_Toc51832326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_Toc518323269 \h </w:instrText>
        </w:r>
        <w:r w:rsidR="001853BF">
          <w:rPr>
            <w:noProof/>
            <w:webHidden/>
          </w:rPr>
        </w:r>
        <w:r w:rsidR="001853BF">
          <w:rPr>
            <w:noProof/>
            <w:webHidden/>
          </w:rPr>
          <w:fldChar w:fldCharType="separate"/>
        </w:r>
        <w:r w:rsidR="001853BF">
          <w:rPr>
            <w:noProof/>
            <w:webHidden/>
          </w:rPr>
          <w:t>129</w:t>
        </w:r>
        <w:r w:rsidR="001853BF">
          <w:rPr>
            <w:noProof/>
            <w:webHidden/>
          </w:rPr>
          <w:fldChar w:fldCharType="end"/>
        </w:r>
      </w:hyperlink>
    </w:p>
    <w:p w14:paraId="6BD21129" w14:textId="77777777" w:rsidR="001853BF" w:rsidRDefault="00E35F15">
      <w:pPr>
        <w:pStyle w:val="TOC3"/>
        <w:tabs>
          <w:tab w:val="right" w:leader="dot" w:pos="8630"/>
        </w:tabs>
        <w:rPr>
          <w:noProof/>
        </w:rPr>
      </w:pPr>
      <w:hyperlink w:anchor="_Toc518323270" w:history="1">
        <w:r w:rsidR="001853BF" w:rsidRPr="000F1856">
          <w:rPr>
            <w:rStyle w:val="Hyperlink"/>
            <w:noProof/>
          </w:rPr>
          <w:t>3.  Children</w:t>
        </w:r>
        <w:r w:rsidR="001853BF">
          <w:rPr>
            <w:noProof/>
            <w:webHidden/>
          </w:rPr>
          <w:tab/>
        </w:r>
        <w:r w:rsidR="001853BF">
          <w:rPr>
            <w:noProof/>
            <w:webHidden/>
          </w:rPr>
          <w:fldChar w:fldCharType="begin"/>
        </w:r>
        <w:r w:rsidR="001853BF">
          <w:rPr>
            <w:noProof/>
            <w:webHidden/>
          </w:rPr>
          <w:instrText xml:space="preserve"> PAGEREF _Toc518323270 \h </w:instrText>
        </w:r>
        <w:r w:rsidR="001853BF">
          <w:rPr>
            <w:noProof/>
            <w:webHidden/>
          </w:rPr>
        </w:r>
        <w:r w:rsidR="001853BF">
          <w:rPr>
            <w:noProof/>
            <w:webHidden/>
          </w:rPr>
          <w:fldChar w:fldCharType="separate"/>
        </w:r>
        <w:r w:rsidR="001853BF">
          <w:rPr>
            <w:noProof/>
            <w:webHidden/>
          </w:rPr>
          <w:t>130</w:t>
        </w:r>
        <w:r w:rsidR="001853BF">
          <w:rPr>
            <w:noProof/>
            <w:webHidden/>
          </w:rPr>
          <w:fldChar w:fldCharType="end"/>
        </w:r>
      </w:hyperlink>
    </w:p>
    <w:p w14:paraId="74E9346C" w14:textId="77777777" w:rsidR="001853BF" w:rsidRDefault="00E35F15">
      <w:pPr>
        <w:pStyle w:val="TOC4"/>
        <w:tabs>
          <w:tab w:val="right" w:leader="dot" w:pos="8630"/>
        </w:tabs>
        <w:rPr>
          <w:noProof/>
          <w:sz w:val="22"/>
          <w:szCs w:val="22"/>
        </w:rPr>
      </w:pPr>
      <w:hyperlink w:anchor="_Toc518323271" w:history="1">
        <w:r w:rsidR="001853BF" w:rsidRPr="001B0F83">
          <w:rPr>
            <w:rStyle w:val="Hyperlink"/>
            <w:i/>
            <w:noProof/>
          </w:rPr>
          <w:t>Dellwo v. Pearson</w:t>
        </w:r>
        <w:r w:rsidR="001853BF">
          <w:rPr>
            <w:noProof/>
            <w:webHidden/>
          </w:rPr>
          <w:tab/>
        </w:r>
        <w:r w:rsidR="001853BF">
          <w:rPr>
            <w:noProof/>
            <w:webHidden/>
          </w:rPr>
          <w:fldChar w:fldCharType="begin"/>
        </w:r>
        <w:r w:rsidR="001853BF">
          <w:rPr>
            <w:noProof/>
            <w:webHidden/>
          </w:rPr>
          <w:instrText xml:space="preserve"> PAGEREF _Toc518323271 \h </w:instrText>
        </w:r>
        <w:r w:rsidR="001853BF">
          <w:rPr>
            <w:noProof/>
            <w:webHidden/>
          </w:rPr>
        </w:r>
        <w:r w:rsidR="001853BF">
          <w:rPr>
            <w:noProof/>
            <w:webHidden/>
          </w:rPr>
          <w:fldChar w:fldCharType="separate"/>
        </w:r>
        <w:r w:rsidR="001853BF">
          <w:rPr>
            <w:noProof/>
            <w:webHidden/>
          </w:rPr>
          <w:t>130</w:t>
        </w:r>
        <w:r w:rsidR="001853BF">
          <w:rPr>
            <w:noProof/>
            <w:webHidden/>
          </w:rPr>
          <w:fldChar w:fldCharType="end"/>
        </w:r>
      </w:hyperlink>
    </w:p>
    <w:p w14:paraId="318D0E0B" w14:textId="77777777" w:rsidR="001853BF" w:rsidRDefault="00E35F15">
      <w:pPr>
        <w:pStyle w:val="TOC4"/>
        <w:tabs>
          <w:tab w:val="right" w:leader="dot" w:pos="8630"/>
        </w:tabs>
        <w:rPr>
          <w:noProof/>
          <w:sz w:val="22"/>
          <w:szCs w:val="22"/>
        </w:rPr>
      </w:pPr>
      <w:hyperlink w:anchor="_Toc51832327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_Toc518323272 \h </w:instrText>
        </w:r>
        <w:r w:rsidR="001853BF">
          <w:rPr>
            <w:noProof/>
            <w:webHidden/>
          </w:rPr>
        </w:r>
        <w:r w:rsidR="001853BF">
          <w:rPr>
            <w:noProof/>
            <w:webHidden/>
          </w:rPr>
          <w:fldChar w:fldCharType="separate"/>
        </w:r>
        <w:r w:rsidR="001853BF">
          <w:rPr>
            <w:noProof/>
            <w:webHidden/>
          </w:rPr>
          <w:t>132</w:t>
        </w:r>
        <w:r w:rsidR="001853BF">
          <w:rPr>
            <w:noProof/>
            <w:webHidden/>
          </w:rPr>
          <w:fldChar w:fldCharType="end"/>
        </w:r>
      </w:hyperlink>
    </w:p>
    <w:p w14:paraId="0B608AC0" w14:textId="77777777" w:rsidR="001853BF" w:rsidRDefault="00E35F15">
      <w:pPr>
        <w:pStyle w:val="TOC3"/>
        <w:tabs>
          <w:tab w:val="right" w:leader="dot" w:pos="8630"/>
        </w:tabs>
        <w:rPr>
          <w:noProof/>
        </w:rPr>
      </w:pPr>
      <w:hyperlink w:anchor="_Toc518323273" w:history="1">
        <w:r w:rsidR="001853BF" w:rsidRPr="000F1856">
          <w:rPr>
            <w:rStyle w:val="Hyperlink"/>
            <w:noProof/>
          </w:rPr>
          <w:t>4.  Mental Illness</w:t>
        </w:r>
        <w:r w:rsidR="001853BF">
          <w:rPr>
            <w:noProof/>
            <w:webHidden/>
          </w:rPr>
          <w:tab/>
        </w:r>
        <w:r w:rsidR="001853BF">
          <w:rPr>
            <w:noProof/>
            <w:webHidden/>
          </w:rPr>
          <w:fldChar w:fldCharType="begin"/>
        </w:r>
        <w:r w:rsidR="001853BF">
          <w:rPr>
            <w:noProof/>
            <w:webHidden/>
          </w:rPr>
          <w:instrText xml:space="preserve"> PAGEREF _Toc518323273 \h </w:instrText>
        </w:r>
        <w:r w:rsidR="001853BF">
          <w:rPr>
            <w:noProof/>
            <w:webHidden/>
          </w:rPr>
        </w:r>
        <w:r w:rsidR="001853BF">
          <w:rPr>
            <w:noProof/>
            <w:webHidden/>
          </w:rPr>
          <w:fldChar w:fldCharType="separate"/>
        </w:r>
        <w:r w:rsidR="001853BF">
          <w:rPr>
            <w:noProof/>
            <w:webHidden/>
          </w:rPr>
          <w:t>134</w:t>
        </w:r>
        <w:r w:rsidR="001853BF">
          <w:rPr>
            <w:noProof/>
            <w:webHidden/>
          </w:rPr>
          <w:fldChar w:fldCharType="end"/>
        </w:r>
      </w:hyperlink>
    </w:p>
    <w:p w14:paraId="11B7978F" w14:textId="77777777" w:rsidR="001853BF" w:rsidRDefault="00E35F15">
      <w:pPr>
        <w:pStyle w:val="TOC4"/>
        <w:tabs>
          <w:tab w:val="right" w:leader="dot" w:pos="8630"/>
        </w:tabs>
        <w:rPr>
          <w:noProof/>
          <w:sz w:val="22"/>
          <w:szCs w:val="22"/>
        </w:rPr>
      </w:pPr>
      <w:hyperlink w:anchor="_Toc518323274" w:history="1">
        <w:r w:rsidR="001853BF" w:rsidRPr="001B0F83">
          <w:rPr>
            <w:rStyle w:val="Hyperlink"/>
            <w:i/>
            <w:noProof/>
          </w:rPr>
          <w:t>Breunig v. American Family Ins. Co</w:t>
        </w:r>
        <w:r w:rsidR="001853BF">
          <w:rPr>
            <w:noProof/>
            <w:webHidden/>
          </w:rPr>
          <w:tab/>
        </w:r>
        <w:r w:rsidR="001853BF">
          <w:rPr>
            <w:noProof/>
            <w:webHidden/>
          </w:rPr>
          <w:fldChar w:fldCharType="begin"/>
        </w:r>
        <w:r w:rsidR="001853BF">
          <w:rPr>
            <w:noProof/>
            <w:webHidden/>
          </w:rPr>
          <w:instrText xml:space="preserve"> PAGEREF _Toc518323274 \h </w:instrText>
        </w:r>
        <w:r w:rsidR="001853BF">
          <w:rPr>
            <w:noProof/>
            <w:webHidden/>
          </w:rPr>
        </w:r>
        <w:r w:rsidR="001853BF">
          <w:rPr>
            <w:noProof/>
            <w:webHidden/>
          </w:rPr>
          <w:fldChar w:fldCharType="separate"/>
        </w:r>
        <w:r w:rsidR="001853BF">
          <w:rPr>
            <w:noProof/>
            <w:webHidden/>
          </w:rPr>
          <w:t>134</w:t>
        </w:r>
        <w:r w:rsidR="001853BF">
          <w:rPr>
            <w:noProof/>
            <w:webHidden/>
          </w:rPr>
          <w:fldChar w:fldCharType="end"/>
        </w:r>
      </w:hyperlink>
    </w:p>
    <w:p w14:paraId="4B3DF814" w14:textId="77777777" w:rsidR="001853BF" w:rsidRDefault="00E35F15">
      <w:pPr>
        <w:pStyle w:val="TOC4"/>
        <w:tabs>
          <w:tab w:val="right" w:leader="dot" w:pos="8630"/>
        </w:tabs>
        <w:rPr>
          <w:noProof/>
          <w:sz w:val="22"/>
          <w:szCs w:val="22"/>
        </w:rPr>
      </w:pPr>
      <w:hyperlink w:anchor="_Toc51832327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_Toc518323275 \h </w:instrText>
        </w:r>
        <w:r w:rsidR="001853BF">
          <w:rPr>
            <w:noProof/>
            <w:webHidden/>
          </w:rPr>
        </w:r>
        <w:r w:rsidR="001853BF">
          <w:rPr>
            <w:noProof/>
            <w:webHidden/>
          </w:rPr>
          <w:fldChar w:fldCharType="separate"/>
        </w:r>
        <w:r w:rsidR="001853BF">
          <w:rPr>
            <w:noProof/>
            <w:webHidden/>
          </w:rPr>
          <w:t>136</w:t>
        </w:r>
        <w:r w:rsidR="001853BF">
          <w:rPr>
            <w:noProof/>
            <w:webHidden/>
          </w:rPr>
          <w:fldChar w:fldCharType="end"/>
        </w:r>
      </w:hyperlink>
    </w:p>
    <w:p w14:paraId="2362FAC6" w14:textId="77777777" w:rsidR="001853BF" w:rsidRDefault="00E35F15">
      <w:pPr>
        <w:pStyle w:val="TOC4"/>
        <w:tabs>
          <w:tab w:val="right" w:leader="dot" w:pos="8630"/>
        </w:tabs>
        <w:rPr>
          <w:noProof/>
          <w:sz w:val="22"/>
          <w:szCs w:val="22"/>
        </w:rPr>
      </w:pPr>
      <w:hyperlink w:anchor="_Toc518323276" w:history="1">
        <w:r w:rsidR="001853BF" w:rsidRPr="001B0F83">
          <w:rPr>
            <w:rStyle w:val="Hyperlink"/>
            <w:i/>
            <w:noProof/>
          </w:rPr>
          <w:t>Gould v. American Family Mut. Ins. Co</w:t>
        </w:r>
        <w:r w:rsidR="001853BF">
          <w:rPr>
            <w:noProof/>
            <w:webHidden/>
          </w:rPr>
          <w:tab/>
        </w:r>
        <w:r w:rsidR="001853BF">
          <w:rPr>
            <w:noProof/>
            <w:webHidden/>
          </w:rPr>
          <w:fldChar w:fldCharType="begin"/>
        </w:r>
        <w:r w:rsidR="001853BF">
          <w:rPr>
            <w:noProof/>
            <w:webHidden/>
          </w:rPr>
          <w:instrText xml:space="preserve"> PAGEREF _Toc518323276 \h </w:instrText>
        </w:r>
        <w:r w:rsidR="001853BF">
          <w:rPr>
            <w:noProof/>
            <w:webHidden/>
          </w:rPr>
        </w:r>
        <w:r w:rsidR="001853BF">
          <w:rPr>
            <w:noProof/>
            <w:webHidden/>
          </w:rPr>
          <w:fldChar w:fldCharType="separate"/>
        </w:r>
        <w:r w:rsidR="001853BF">
          <w:rPr>
            <w:noProof/>
            <w:webHidden/>
          </w:rPr>
          <w:t>138</w:t>
        </w:r>
        <w:r w:rsidR="001853BF">
          <w:rPr>
            <w:noProof/>
            <w:webHidden/>
          </w:rPr>
          <w:fldChar w:fldCharType="end"/>
        </w:r>
      </w:hyperlink>
    </w:p>
    <w:p w14:paraId="273B39CD" w14:textId="77777777" w:rsidR="001853BF" w:rsidRDefault="00E35F15">
      <w:pPr>
        <w:pStyle w:val="TOC4"/>
        <w:tabs>
          <w:tab w:val="right" w:leader="dot" w:pos="8630"/>
        </w:tabs>
        <w:rPr>
          <w:noProof/>
          <w:sz w:val="22"/>
          <w:szCs w:val="22"/>
        </w:rPr>
      </w:pPr>
      <w:hyperlink w:anchor="_Toc518323277" w:history="1">
        <w:r w:rsidR="001853BF" w:rsidRPr="000F1856">
          <w:rPr>
            <w:rStyle w:val="Hyperlink"/>
            <w:noProof/>
            <w:bdr w:val="none" w:sz="0" w:space="0" w:color="auto" w:frame="1"/>
          </w:rPr>
          <w:t>Notes</w:t>
        </w:r>
        <w:r w:rsidR="001853BF">
          <w:rPr>
            <w:noProof/>
            <w:webHidden/>
          </w:rPr>
          <w:tab/>
        </w:r>
        <w:r w:rsidR="001853BF">
          <w:rPr>
            <w:noProof/>
            <w:webHidden/>
          </w:rPr>
          <w:fldChar w:fldCharType="begin"/>
        </w:r>
        <w:r w:rsidR="001853BF">
          <w:rPr>
            <w:noProof/>
            <w:webHidden/>
          </w:rPr>
          <w:instrText xml:space="preserve"> PAGEREF _Toc518323277 \h </w:instrText>
        </w:r>
        <w:r w:rsidR="001853BF">
          <w:rPr>
            <w:noProof/>
            <w:webHidden/>
          </w:rPr>
        </w:r>
        <w:r w:rsidR="001853BF">
          <w:rPr>
            <w:noProof/>
            <w:webHidden/>
          </w:rPr>
          <w:fldChar w:fldCharType="separate"/>
        </w:r>
        <w:r w:rsidR="001853BF">
          <w:rPr>
            <w:noProof/>
            <w:webHidden/>
          </w:rPr>
          <w:t>139</w:t>
        </w:r>
        <w:r w:rsidR="001853BF">
          <w:rPr>
            <w:noProof/>
            <w:webHidden/>
          </w:rPr>
          <w:fldChar w:fldCharType="end"/>
        </w:r>
      </w:hyperlink>
    </w:p>
    <w:p w14:paraId="262525F8" w14:textId="77777777" w:rsidR="001853BF" w:rsidRDefault="00E35F15">
      <w:pPr>
        <w:pStyle w:val="TOC3"/>
        <w:tabs>
          <w:tab w:val="right" w:leader="dot" w:pos="8630"/>
        </w:tabs>
        <w:rPr>
          <w:noProof/>
        </w:rPr>
      </w:pPr>
      <w:hyperlink w:anchor="_Toc518323278" w:history="1">
        <w:r w:rsidR="001853BF" w:rsidRPr="000F1856">
          <w:rPr>
            <w:rStyle w:val="Hyperlink"/>
            <w:noProof/>
            <w:bdr w:val="none" w:sz="0" w:space="0" w:color="auto" w:frame="1"/>
          </w:rPr>
          <w:t>5.  Rationales for Choosing Between Subjective and Objective?</w:t>
        </w:r>
        <w:r w:rsidR="001853BF">
          <w:rPr>
            <w:noProof/>
            <w:webHidden/>
          </w:rPr>
          <w:tab/>
        </w:r>
        <w:r w:rsidR="001853BF">
          <w:rPr>
            <w:noProof/>
            <w:webHidden/>
          </w:rPr>
          <w:fldChar w:fldCharType="begin"/>
        </w:r>
        <w:r w:rsidR="001853BF">
          <w:rPr>
            <w:noProof/>
            <w:webHidden/>
          </w:rPr>
          <w:instrText xml:space="preserve"> PAGEREF _Toc518323278 \h </w:instrText>
        </w:r>
        <w:r w:rsidR="001853BF">
          <w:rPr>
            <w:noProof/>
            <w:webHidden/>
          </w:rPr>
        </w:r>
        <w:r w:rsidR="001853BF">
          <w:rPr>
            <w:noProof/>
            <w:webHidden/>
          </w:rPr>
          <w:fldChar w:fldCharType="separate"/>
        </w:r>
        <w:r w:rsidR="001853BF">
          <w:rPr>
            <w:noProof/>
            <w:webHidden/>
          </w:rPr>
          <w:t>139</w:t>
        </w:r>
        <w:r w:rsidR="001853BF">
          <w:rPr>
            <w:noProof/>
            <w:webHidden/>
          </w:rPr>
          <w:fldChar w:fldCharType="end"/>
        </w:r>
      </w:hyperlink>
    </w:p>
    <w:p w14:paraId="7A2E7348" w14:textId="77777777" w:rsidR="001853BF" w:rsidRDefault="00E35F15">
      <w:pPr>
        <w:pStyle w:val="TOC3"/>
        <w:tabs>
          <w:tab w:val="right" w:leader="dot" w:pos="8630"/>
        </w:tabs>
        <w:rPr>
          <w:noProof/>
        </w:rPr>
      </w:pPr>
      <w:hyperlink w:anchor="_Toc518323279" w:history="1">
        <w:r w:rsidR="001853BF" w:rsidRPr="000F1856">
          <w:rPr>
            <w:rStyle w:val="Hyperlink"/>
            <w:noProof/>
          </w:rPr>
          <w:t>6.  Unreasonable Faiths?</w:t>
        </w:r>
        <w:r w:rsidR="001853BF">
          <w:rPr>
            <w:noProof/>
            <w:webHidden/>
          </w:rPr>
          <w:tab/>
        </w:r>
        <w:r w:rsidR="001853BF">
          <w:rPr>
            <w:noProof/>
            <w:webHidden/>
          </w:rPr>
          <w:fldChar w:fldCharType="begin"/>
        </w:r>
        <w:r w:rsidR="001853BF">
          <w:rPr>
            <w:noProof/>
            <w:webHidden/>
          </w:rPr>
          <w:instrText xml:space="preserve"> PAGEREF _Toc518323279 \h </w:instrText>
        </w:r>
        <w:r w:rsidR="001853BF">
          <w:rPr>
            <w:noProof/>
            <w:webHidden/>
          </w:rPr>
        </w:r>
        <w:r w:rsidR="001853BF">
          <w:rPr>
            <w:noProof/>
            <w:webHidden/>
          </w:rPr>
          <w:fldChar w:fldCharType="separate"/>
        </w:r>
        <w:r w:rsidR="001853BF">
          <w:rPr>
            <w:noProof/>
            <w:webHidden/>
          </w:rPr>
          <w:t>141</w:t>
        </w:r>
        <w:r w:rsidR="001853BF">
          <w:rPr>
            <w:noProof/>
            <w:webHidden/>
          </w:rPr>
          <w:fldChar w:fldCharType="end"/>
        </w:r>
      </w:hyperlink>
    </w:p>
    <w:p w14:paraId="63098957" w14:textId="77777777" w:rsidR="001853BF" w:rsidRDefault="00E35F15">
      <w:pPr>
        <w:pStyle w:val="TOC3"/>
        <w:tabs>
          <w:tab w:val="right" w:leader="dot" w:pos="8630"/>
        </w:tabs>
        <w:rPr>
          <w:noProof/>
        </w:rPr>
      </w:pPr>
      <w:hyperlink w:anchor="_Toc518323280" w:history="1">
        <w:r w:rsidR="001853BF" w:rsidRPr="000F1856">
          <w:rPr>
            <w:rStyle w:val="Hyperlink"/>
            <w:noProof/>
          </w:rPr>
          <w:t>7.  Unreasonable Women?</w:t>
        </w:r>
        <w:r w:rsidR="001853BF">
          <w:rPr>
            <w:noProof/>
            <w:webHidden/>
          </w:rPr>
          <w:tab/>
        </w:r>
        <w:r w:rsidR="001853BF">
          <w:rPr>
            <w:noProof/>
            <w:webHidden/>
          </w:rPr>
          <w:fldChar w:fldCharType="begin"/>
        </w:r>
        <w:r w:rsidR="001853BF">
          <w:rPr>
            <w:noProof/>
            <w:webHidden/>
          </w:rPr>
          <w:instrText xml:space="preserve"> PAGEREF _Toc518323280 \h </w:instrText>
        </w:r>
        <w:r w:rsidR="001853BF">
          <w:rPr>
            <w:noProof/>
            <w:webHidden/>
          </w:rPr>
        </w:r>
        <w:r w:rsidR="001853BF">
          <w:rPr>
            <w:noProof/>
            <w:webHidden/>
          </w:rPr>
          <w:fldChar w:fldCharType="separate"/>
        </w:r>
        <w:r w:rsidR="001853BF">
          <w:rPr>
            <w:noProof/>
            <w:webHidden/>
          </w:rPr>
          <w:t>143</w:t>
        </w:r>
        <w:r w:rsidR="001853BF">
          <w:rPr>
            <w:noProof/>
            <w:webHidden/>
          </w:rPr>
          <w:fldChar w:fldCharType="end"/>
        </w:r>
      </w:hyperlink>
    </w:p>
    <w:p w14:paraId="7FE6B5EE" w14:textId="77777777" w:rsidR="001853BF" w:rsidRDefault="00E35F15">
      <w:pPr>
        <w:pStyle w:val="TOC2"/>
        <w:tabs>
          <w:tab w:val="right" w:leader="dot" w:pos="8630"/>
        </w:tabs>
        <w:rPr>
          <w:b w:val="0"/>
          <w:noProof/>
        </w:rPr>
      </w:pPr>
      <w:hyperlink w:anchor="_Toc518323281" w:history="1">
        <w:r w:rsidR="001853BF" w:rsidRPr="000F1856">
          <w:rPr>
            <w:rStyle w:val="Hyperlink"/>
            <w:noProof/>
          </w:rPr>
          <w:t>B.  Cost / Benefit Calculations and the Learned Hand Formula</w:t>
        </w:r>
        <w:r w:rsidR="001853BF">
          <w:rPr>
            <w:noProof/>
            <w:webHidden/>
          </w:rPr>
          <w:tab/>
        </w:r>
        <w:r w:rsidR="001853BF">
          <w:rPr>
            <w:noProof/>
            <w:webHidden/>
          </w:rPr>
          <w:fldChar w:fldCharType="begin"/>
        </w:r>
        <w:r w:rsidR="001853BF">
          <w:rPr>
            <w:noProof/>
            <w:webHidden/>
          </w:rPr>
          <w:instrText xml:space="preserve"> PAGEREF _Toc518323281 \h </w:instrText>
        </w:r>
        <w:r w:rsidR="001853BF">
          <w:rPr>
            <w:noProof/>
            <w:webHidden/>
          </w:rPr>
        </w:r>
        <w:r w:rsidR="001853BF">
          <w:rPr>
            <w:noProof/>
            <w:webHidden/>
          </w:rPr>
          <w:fldChar w:fldCharType="separate"/>
        </w:r>
        <w:r w:rsidR="001853BF">
          <w:rPr>
            <w:noProof/>
            <w:webHidden/>
          </w:rPr>
          <w:t>146</w:t>
        </w:r>
        <w:r w:rsidR="001853BF">
          <w:rPr>
            <w:noProof/>
            <w:webHidden/>
          </w:rPr>
          <w:fldChar w:fldCharType="end"/>
        </w:r>
      </w:hyperlink>
    </w:p>
    <w:p w14:paraId="50DE57CE" w14:textId="77777777" w:rsidR="001853BF" w:rsidRDefault="00E35F15">
      <w:pPr>
        <w:pStyle w:val="TOC3"/>
        <w:tabs>
          <w:tab w:val="right" w:leader="dot" w:pos="8630"/>
        </w:tabs>
        <w:rPr>
          <w:noProof/>
        </w:rPr>
      </w:pPr>
      <w:hyperlink w:anchor="_Toc518323282" w:history="1">
        <w:r w:rsidR="001853BF" w:rsidRPr="000F1856">
          <w:rPr>
            <w:rStyle w:val="Hyperlink"/>
            <w:noProof/>
          </w:rPr>
          <w:t>1.  Negligence Basics</w:t>
        </w:r>
        <w:r w:rsidR="001853BF">
          <w:rPr>
            <w:noProof/>
            <w:webHidden/>
          </w:rPr>
          <w:tab/>
        </w:r>
        <w:r w:rsidR="001853BF">
          <w:rPr>
            <w:noProof/>
            <w:webHidden/>
          </w:rPr>
          <w:fldChar w:fldCharType="begin"/>
        </w:r>
        <w:r w:rsidR="001853BF">
          <w:rPr>
            <w:noProof/>
            <w:webHidden/>
          </w:rPr>
          <w:instrText xml:space="preserve"> PAGEREF _Toc518323282 \h </w:instrText>
        </w:r>
        <w:r w:rsidR="001853BF">
          <w:rPr>
            <w:noProof/>
            <w:webHidden/>
          </w:rPr>
        </w:r>
        <w:r w:rsidR="001853BF">
          <w:rPr>
            <w:noProof/>
            <w:webHidden/>
          </w:rPr>
          <w:fldChar w:fldCharType="separate"/>
        </w:r>
        <w:r w:rsidR="001853BF">
          <w:rPr>
            <w:noProof/>
            <w:webHidden/>
          </w:rPr>
          <w:t>147</w:t>
        </w:r>
        <w:r w:rsidR="001853BF">
          <w:rPr>
            <w:noProof/>
            <w:webHidden/>
          </w:rPr>
          <w:fldChar w:fldCharType="end"/>
        </w:r>
      </w:hyperlink>
    </w:p>
    <w:p w14:paraId="7CDB6CD9" w14:textId="77777777" w:rsidR="001853BF" w:rsidRDefault="00E35F15">
      <w:pPr>
        <w:pStyle w:val="TOC4"/>
        <w:tabs>
          <w:tab w:val="right" w:leader="dot" w:pos="8630"/>
        </w:tabs>
        <w:rPr>
          <w:noProof/>
          <w:sz w:val="22"/>
          <w:szCs w:val="22"/>
        </w:rPr>
      </w:pPr>
      <w:hyperlink w:anchor="_Toc518323283" w:history="1">
        <w:r w:rsidR="001853BF" w:rsidRPr="001B0F83">
          <w:rPr>
            <w:rStyle w:val="Hyperlink"/>
            <w:i/>
            <w:noProof/>
          </w:rPr>
          <w:t>Stone v. Bolton</w:t>
        </w:r>
        <w:r w:rsidR="001853BF">
          <w:rPr>
            <w:noProof/>
            <w:webHidden/>
          </w:rPr>
          <w:tab/>
        </w:r>
        <w:r w:rsidR="001853BF">
          <w:rPr>
            <w:noProof/>
            <w:webHidden/>
          </w:rPr>
          <w:fldChar w:fldCharType="begin"/>
        </w:r>
        <w:r w:rsidR="001853BF">
          <w:rPr>
            <w:noProof/>
            <w:webHidden/>
          </w:rPr>
          <w:instrText xml:space="preserve"> PAGEREF _Toc518323283 \h </w:instrText>
        </w:r>
        <w:r w:rsidR="001853BF">
          <w:rPr>
            <w:noProof/>
            <w:webHidden/>
          </w:rPr>
        </w:r>
        <w:r w:rsidR="001853BF">
          <w:rPr>
            <w:noProof/>
            <w:webHidden/>
          </w:rPr>
          <w:fldChar w:fldCharType="separate"/>
        </w:r>
        <w:r w:rsidR="001853BF">
          <w:rPr>
            <w:noProof/>
            <w:webHidden/>
          </w:rPr>
          <w:t>147</w:t>
        </w:r>
        <w:r w:rsidR="001853BF">
          <w:rPr>
            <w:noProof/>
            <w:webHidden/>
          </w:rPr>
          <w:fldChar w:fldCharType="end"/>
        </w:r>
      </w:hyperlink>
    </w:p>
    <w:p w14:paraId="08EBBA12" w14:textId="77777777" w:rsidR="001853BF" w:rsidRDefault="00E35F15">
      <w:pPr>
        <w:pStyle w:val="TOC4"/>
        <w:tabs>
          <w:tab w:val="right" w:leader="dot" w:pos="8630"/>
        </w:tabs>
        <w:rPr>
          <w:noProof/>
          <w:sz w:val="22"/>
          <w:szCs w:val="22"/>
        </w:rPr>
      </w:pPr>
      <w:hyperlink w:anchor="_Toc518323284" w:history="1">
        <w:r w:rsidR="001853BF" w:rsidRPr="001B0F83">
          <w:rPr>
            <w:rStyle w:val="Hyperlink"/>
            <w:i/>
            <w:noProof/>
          </w:rPr>
          <w:t>Bolton v. Stone</w:t>
        </w:r>
        <w:r w:rsidR="001853BF">
          <w:rPr>
            <w:noProof/>
            <w:webHidden/>
          </w:rPr>
          <w:tab/>
        </w:r>
        <w:r w:rsidR="001853BF">
          <w:rPr>
            <w:noProof/>
            <w:webHidden/>
          </w:rPr>
          <w:fldChar w:fldCharType="begin"/>
        </w:r>
        <w:r w:rsidR="001853BF">
          <w:rPr>
            <w:noProof/>
            <w:webHidden/>
          </w:rPr>
          <w:instrText xml:space="preserve"> PAGEREF _Toc518323284 \h </w:instrText>
        </w:r>
        <w:r w:rsidR="001853BF">
          <w:rPr>
            <w:noProof/>
            <w:webHidden/>
          </w:rPr>
        </w:r>
        <w:r w:rsidR="001853BF">
          <w:rPr>
            <w:noProof/>
            <w:webHidden/>
          </w:rPr>
          <w:fldChar w:fldCharType="separate"/>
        </w:r>
        <w:r w:rsidR="001853BF">
          <w:rPr>
            <w:noProof/>
            <w:webHidden/>
          </w:rPr>
          <w:t>149</w:t>
        </w:r>
        <w:r w:rsidR="001853BF">
          <w:rPr>
            <w:noProof/>
            <w:webHidden/>
          </w:rPr>
          <w:fldChar w:fldCharType="end"/>
        </w:r>
      </w:hyperlink>
    </w:p>
    <w:p w14:paraId="564DF41E" w14:textId="77777777" w:rsidR="001853BF" w:rsidRDefault="00E35F15">
      <w:pPr>
        <w:pStyle w:val="TOC4"/>
        <w:tabs>
          <w:tab w:val="right" w:leader="dot" w:pos="8630"/>
        </w:tabs>
        <w:rPr>
          <w:noProof/>
          <w:sz w:val="22"/>
          <w:szCs w:val="22"/>
        </w:rPr>
      </w:pPr>
      <w:hyperlink w:anchor="_Toc51832328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_Toc518323285 \h </w:instrText>
        </w:r>
        <w:r w:rsidR="001853BF">
          <w:rPr>
            <w:noProof/>
            <w:webHidden/>
          </w:rPr>
        </w:r>
        <w:r w:rsidR="001853BF">
          <w:rPr>
            <w:noProof/>
            <w:webHidden/>
          </w:rPr>
          <w:fldChar w:fldCharType="separate"/>
        </w:r>
        <w:r w:rsidR="001853BF">
          <w:rPr>
            <w:noProof/>
            <w:webHidden/>
          </w:rPr>
          <w:t>151</w:t>
        </w:r>
        <w:r w:rsidR="001853BF">
          <w:rPr>
            <w:noProof/>
            <w:webHidden/>
          </w:rPr>
          <w:fldChar w:fldCharType="end"/>
        </w:r>
      </w:hyperlink>
    </w:p>
    <w:p w14:paraId="079B09DB" w14:textId="77777777" w:rsidR="001853BF" w:rsidRDefault="00E35F15">
      <w:pPr>
        <w:pStyle w:val="TOC4"/>
        <w:tabs>
          <w:tab w:val="right" w:leader="dot" w:pos="8630"/>
        </w:tabs>
        <w:rPr>
          <w:noProof/>
          <w:sz w:val="22"/>
          <w:szCs w:val="22"/>
        </w:rPr>
      </w:pPr>
      <w:hyperlink w:anchor="_Toc518323286" w:history="1">
        <w:r w:rsidR="001853BF" w:rsidRPr="00FD75E5">
          <w:rPr>
            <w:rStyle w:val="Hyperlink"/>
            <w:i/>
            <w:noProof/>
          </w:rPr>
          <w:t>United States v. Carroll Towing Co</w:t>
        </w:r>
        <w:r w:rsidR="001853BF">
          <w:rPr>
            <w:noProof/>
            <w:webHidden/>
          </w:rPr>
          <w:tab/>
        </w:r>
        <w:r w:rsidR="001853BF">
          <w:rPr>
            <w:noProof/>
            <w:webHidden/>
          </w:rPr>
          <w:fldChar w:fldCharType="begin"/>
        </w:r>
        <w:r w:rsidR="001853BF">
          <w:rPr>
            <w:noProof/>
            <w:webHidden/>
          </w:rPr>
          <w:instrText xml:space="preserve"> PAGEREF _Toc518323286 \h </w:instrText>
        </w:r>
        <w:r w:rsidR="001853BF">
          <w:rPr>
            <w:noProof/>
            <w:webHidden/>
          </w:rPr>
        </w:r>
        <w:r w:rsidR="001853BF">
          <w:rPr>
            <w:noProof/>
            <w:webHidden/>
          </w:rPr>
          <w:fldChar w:fldCharType="separate"/>
        </w:r>
        <w:r w:rsidR="001853BF">
          <w:rPr>
            <w:noProof/>
            <w:webHidden/>
          </w:rPr>
          <w:t>151</w:t>
        </w:r>
        <w:r w:rsidR="001853BF">
          <w:rPr>
            <w:noProof/>
            <w:webHidden/>
          </w:rPr>
          <w:fldChar w:fldCharType="end"/>
        </w:r>
      </w:hyperlink>
    </w:p>
    <w:p w14:paraId="61D5B9B3" w14:textId="77777777" w:rsidR="001853BF" w:rsidRDefault="00E35F15">
      <w:pPr>
        <w:pStyle w:val="TOC4"/>
        <w:tabs>
          <w:tab w:val="right" w:leader="dot" w:pos="8630"/>
        </w:tabs>
        <w:rPr>
          <w:noProof/>
          <w:sz w:val="22"/>
          <w:szCs w:val="22"/>
        </w:rPr>
      </w:pPr>
      <w:hyperlink w:anchor="_Toc51832328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_Toc518323287 \h </w:instrText>
        </w:r>
        <w:r w:rsidR="001853BF">
          <w:rPr>
            <w:noProof/>
            <w:webHidden/>
          </w:rPr>
        </w:r>
        <w:r w:rsidR="001853BF">
          <w:rPr>
            <w:noProof/>
            <w:webHidden/>
          </w:rPr>
          <w:fldChar w:fldCharType="separate"/>
        </w:r>
        <w:r w:rsidR="001853BF">
          <w:rPr>
            <w:noProof/>
            <w:webHidden/>
          </w:rPr>
          <w:t>153</w:t>
        </w:r>
        <w:r w:rsidR="001853BF">
          <w:rPr>
            <w:noProof/>
            <w:webHidden/>
          </w:rPr>
          <w:fldChar w:fldCharType="end"/>
        </w:r>
      </w:hyperlink>
    </w:p>
    <w:p w14:paraId="5F41E922" w14:textId="77777777" w:rsidR="001853BF" w:rsidRDefault="00E35F15">
      <w:pPr>
        <w:pStyle w:val="TOC3"/>
        <w:tabs>
          <w:tab w:val="right" w:leader="dot" w:pos="8630"/>
        </w:tabs>
        <w:rPr>
          <w:noProof/>
        </w:rPr>
      </w:pPr>
      <w:hyperlink w:anchor="_Toc518323288" w:history="1">
        <w:r w:rsidR="001853BF" w:rsidRPr="000F1856">
          <w:rPr>
            <w:rStyle w:val="Hyperlink"/>
            <w:noProof/>
          </w:rPr>
          <w:t>2.  Critiques of Cost-Benefit Reasoning</w:t>
        </w:r>
        <w:r w:rsidR="001853BF">
          <w:rPr>
            <w:noProof/>
            <w:webHidden/>
          </w:rPr>
          <w:tab/>
        </w:r>
        <w:r w:rsidR="001853BF">
          <w:rPr>
            <w:noProof/>
            <w:webHidden/>
          </w:rPr>
          <w:fldChar w:fldCharType="begin"/>
        </w:r>
        <w:r w:rsidR="001853BF">
          <w:rPr>
            <w:noProof/>
            <w:webHidden/>
          </w:rPr>
          <w:instrText xml:space="preserve"> PAGEREF _Toc518323288 \h </w:instrText>
        </w:r>
        <w:r w:rsidR="001853BF">
          <w:rPr>
            <w:noProof/>
            <w:webHidden/>
          </w:rPr>
        </w:r>
        <w:r w:rsidR="001853BF">
          <w:rPr>
            <w:noProof/>
            <w:webHidden/>
          </w:rPr>
          <w:fldChar w:fldCharType="separate"/>
        </w:r>
        <w:r w:rsidR="001853BF">
          <w:rPr>
            <w:noProof/>
            <w:webHidden/>
          </w:rPr>
          <w:t>157</w:t>
        </w:r>
        <w:r w:rsidR="001853BF">
          <w:rPr>
            <w:noProof/>
            <w:webHidden/>
          </w:rPr>
          <w:fldChar w:fldCharType="end"/>
        </w:r>
      </w:hyperlink>
    </w:p>
    <w:p w14:paraId="7E99A6C6" w14:textId="77777777" w:rsidR="001853BF" w:rsidRDefault="00E35F15">
      <w:pPr>
        <w:pStyle w:val="TOC4"/>
        <w:tabs>
          <w:tab w:val="right" w:leader="dot" w:pos="8630"/>
        </w:tabs>
        <w:rPr>
          <w:noProof/>
          <w:sz w:val="22"/>
          <w:szCs w:val="22"/>
        </w:rPr>
      </w:pPr>
      <w:hyperlink w:anchor="_Toc518323289" w:history="1">
        <w:r w:rsidR="001853BF" w:rsidRPr="000F1856">
          <w:rPr>
            <w:rStyle w:val="Hyperlink"/>
            <w:noProof/>
          </w:rPr>
          <w:t>Critiques from First Principles</w:t>
        </w:r>
        <w:r w:rsidR="001853BF">
          <w:rPr>
            <w:noProof/>
            <w:webHidden/>
          </w:rPr>
          <w:tab/>
        </w:r>
        <w:r w:rsidR="001853BF">
          <w:rPr>
            <w:noProof/>
            <w:webHidden/>
          </w:rPr>
          <w:fldChar w:fldCharType="begin"/>
        </w:r>
        <w:r w:rsidR="001853BF">
          <w:rPr>
            <w:noProof/>
            <w:webHidden/>
          </w:rPr>
          <w:instrText xml:space="preserve"> PAGEREF _Toc518323289 \h </w:instrText>
        </w:r>
        <w:r w:rsidR="001853BF">
          <w:rPr>
            <w:noProof/>
            <w:webHidden/>
          </w:rPr>
        </w:r>
        <w:r w:rsidR="001853BF">
          <w:rPr>
            <w:noProof/>
            <w:webHidden/>
          </w:rPr>
          <w:fldChar w:fldCharType="separate"/>
        </w:r>
        <w:r w:rsidR="001853BF">
          <w:rPr>
            <w:noProof/>
            <w:webHidden/>
          </w:rPr>
          <w:t>157</w:t>
        </w:r>
        <w:r w:rsidR="001853BF">
          <w:rPr>
            <w:noProof/>
            <w:webHidden/>
          </w:rPr>
          <w:fldChar w:fldCharType="end"/>
        </w:r>
      </w:hyperlink>
    </w:p>
    <w:p w14:paraId="679FE992" w14:textId="77777777" w:rsidR="001853BF" w:rsidRDefault="00E35F15">
      <w:pPr>
        <w:pStyle w:val="TOC4"/>
        <w:tabs>
          <w:tab w:val="right" w:leader="dot" w:pos="8630"/>
        </w:tabs>
        <w:rPr>
          <w:noProof/>
          <w:sz w:val="22"/>
          <w:szCs w:val="22"/>
        </w:rPr>
      </w:pPr>
      <w:hyperlink w:anchor="_Toc518323290" w:history="1">
        <w:r w:rsidR="001853BF" w:rsidRPr="000F1856">
          <w:rPr>
            <w:rStyle w:val="Hyperlink"/>
            <w:noProof/>
          </w:rPr>
          <w:t>Critiques from Administrability</w:t>
        </w:r>
        <w:r w:rsidR="001853BF">
          <w:rPr>
            <w:noProof/>
            <w:webHidden/>
          </w:rPr>
          <w:tab/>
        </w:r>
        <w:r w:rsidR="001853BF">
          <w:rPr>
            <w:noProof/>
            <w:webHidden/>
          </w:rPr>
          <w:fldChar w:fldCharType="begin"/>
        </w:r>
        <w:r w:rsidR="001853BF">
          <w:rPr>
            <w:noProof/>
            <w:webHidden/>
          </w:rPr>
          <w:instrText xml:space="preserve"> PAGEREF _Toc518323290 \h </w:instrText>
        </w:r>
        <w:r w:rsidR="001853BF">
          <w:rPr>
            <w:noProof/>
            <w:webHidden/>
          </w:rPr>
        </w:r>
        <w:r w:rsidR="001853BF">
          <w:rPr>
            <w:noProof/>
            <w:webHidden/>
          </w:rPr>
          <w:fldChar w:fldCharType="separate"/>
        </w:r>
        <w:r w:rsidR="001853BF">
          <w:rPr>
            <w:noProof/>
            <w:webHidden/>
          </w:rPr>
          <w:t>159</w:t>
        </w:r>
        <w:r w:rsidR="001853BF">
          <w:rPr>
            <w:noProof/>
            <w:webHidden/>
          </w:rPr>
          <w:fldChar w:fldCharType="end"/>
        </w:r>
      </w:hyperlink>
    </w:p>
    <w:p w14:paraId="7CD078C0" w14:textId="77777777" w:rsidR="001853BF" w:rsidRDefault="00E35F15">
      <w:pPr>
        <w:pStyle w:val="TOC4"/>
        <w:tabs>
          <w:tab w:val="right" w:leader="dot" w:pos="8630"/>
        </w:tabs>
        <w:rPr>
          <w:noProof/>
          <w:sz w:val="22"/>
          <w:szCs w:val="22"/>
        </w:rPr>
      </w:pPr>
      <w:hyperlink w:anchor="_Toc518323291" w:history="1">
        <w:r w:rsidR="001853BF" w:rsidRPr="000F1856">
          <w:rPr>
            <w:rStyle w:val="Hyperlink"/>
            <w:noProof/>
          </w:rPr>
          <w:t>A Precautionary Alternative?</w:t>
        </w:r>
        <w:r w:rsidR="001853BF">
          <w:rPr>
            <w:noProof/>
            <w:webHidden/>
          </w:rPr>
          <w:tab/>
        </w:r>
        <w:r w:rsidR="001853BF">
          <w:rPr>
            <w:noProof/>
            <w:webHidden/>
          </w:rPr>
          <w:fldChar w:fldCharType="begin"/>
        </w:r>
        <w:r w:rsidR="001853BF">
          <w:rPr>
            <w:noProof/>
            <w:webHidden/>
          </w:rPr>
          <w:instrText xml:space="preserve"> PAGEREF _Toc518323291 \h </w:instrText>
        </w:r>
        <w:r w:rsidR="001853BF">
          <w:rPr>
            <w:noProof/>
            <w:webHidden/>
          </w:rPr>
        </w:r>
        <w:r w:rsidR="001853BF">
          <w:rPr>
            <w:noProof/>
            <w:webHidden/>
          </w:rPr>
          <w:fldChar w:fldCharType="separate"/>
        </w:r>
        <w:r w:rsidR="001853BF">
          <w:rPr>
            <w:noProof/>
            <w:webHidden/>
          </w:rPr>
          <w:t>159</w:t>
        </w:r>
        <w:r w:rsidR="001853BF">
          <w:rPr>
            <w:noProof/>
            <w:webHidden/>
          </w:rPr>
          <w:fldChar w:fldCharType="end"/>
        </w:r>
      </w:hyperlink>
    </w:p>
    <w:p w14:paraId="64B56179" w14:textId="77777777" w:rsidR="001853BF" w:rsidRDefault="00E35F15">
      <w:pPr>
        <w:pStyle w:val="TOC4"/>
        <w:tabs>
          <w:tab w:val="right" w:leader="dot" w:pos="8630"/>
        </w:tabs>
        <w:rPr>
          <w:noProof/>
          <w:sz w:val="22"/>
          <w:szCs w:val="22"/>
        </w:rPr>
      </w:pPr>
      <w:hyperlink w:anchor="_Toc518323292" w:history="1">
        <w:r w:rsidR="001853BF" w:rsidRPr="000F1856">
          <w:rPr>
            <w:rStyle w:val="Hyperlink"/>
            <w:noProof/>
          </w:rPr>
          <w:t>Kysar’s Constructivist Critique</w:t>
        </w:r>
        <w:r w:rsidR="001853BF">
          <w:rPr>
            <w:noProof/>
            <w:webHidden/>
          </w:rPr>
          <w:tab/>
        </w:r>
        <w:r w:rsidR="001853BF">
          <w:rPr>
            <w:noProof/>
            <w:webHidden/>
          </w:rPr>
          <w:fldChar w:fldCharType="begin"/>
        </w:r>
        <w:r w:rsidR="001853BF">
          <w:rPr>
            <w:noProof/>
            <w:webHidden/>
          </w:rPr>
          <w:instrText xml:space="preserve"> PAGEREF _Toc518323292 \h </w:instrText>
        </w:r>
        <w:r w:rsidR="001853BF">
          <w:rPr>
            <w:noProof/>
            <w:webHidden/>
          </w:rPr>
        </w:r>
        <w:r w:rsidR="001853BF">
          <w:rPr>
            <w:noProof/>
            <w:webHidden/>
          </w:rPr>
          <w:fldChar w:fldCharType="separate"/>
        </w:r>
        <w:r w:rsidR="001853BF">
          <w:rPr>
            <w:noProof/>
            <w:webHidden/>
          </w:rPr>
          <w:t>160</w:t>
        </w:r>
        <w:r w:rsidR="001853BF">
          <w:rPr>
            <w:noProof/>
            <w:webHidden/>
          </w:rPr>
          <w:fldChar w:fldCharType="end"/>
        </w:r>
      </w:hyperlink>
    </w:p>
    <w:p w14:paraId="1D694563" w14:textId="77777777" w:rsidR="001853BF" w:rsidRDefault="00E35F15">
      <w:pPr>
        <w:pStyle w:val="TOC3"/>
        <w:tabs>
          <w:tab w:val="right" w:leader="dot" w:pos="8630"/>
        </w:tabs>
        <w:rPr>
          <w:noProof/>
        </w:rPr>
      </w:pPr>
      <w:hyperlink w:anchor="_Toc518323293" w:history="1">
        <w:r w:rsidR="001853BF" w:rsidRPr="000F1856">
          <w:rPr>
            <w:rStyle w:val="Hyperlink"/>
            <w:noProof/>
          </w:rPr>
          <w:t>3. In Defense of Cost-Benefit Reasoning</w:t>
        </w:r>
        <w:r w:rsidR="001853BF">
          <w:rPr>
            <w:noProof/>
            <w:webHidden/>
          </w:rPr>
          <w:tab/>
        </w:r>
        <w:r w:rsidR="001853BF">
          <w:rPr>
            <w:noProof/>
            <w:webHidden/>
          </w:rPr>
          <w:fldChar w:fldCharType="begin"/>
        </w:r>
        <w:r w:rsidR="001853BF">
          <w:rPr>
            <w:noProof/>
            <w:webHidden/>
          </w:rPr>
          <w:instrText xml:space="preserve"> PAGEREF _Toc518323293 \h </w:instrText>
        </w:r>
        <w:r w:rsidR="001853BF">
          <w:rPr>
            <w:noProof/>
            <w:webHidden/>
          </w:rPr>
        </w:r>
        <w:r w:rsidR="001853BF">
          <w:rPr>
            <w:noProof/>
            <w:webHidden/>
          </w:rPr>
          <w:fldChar w:fldCharType="separate"/>
        </w:r>
        <w:r w:rsidR="001853BF">
          <w:rPr>
            <w:noProof/>
            <w:webHidden/>
          </w:rPr>
          <w:t>161</w:t>
        </w:r>
        <w:r w:rsidR="001853BF">
          <w:rPr>
            <w:noProof/>
            <w:webHidden/>
          </w:rPr>
          <w:fldChar w:fldCharType="end"/>
        </w:r>
      </w:hyperlink>
    </w:p>
    <w:p w14:paraId="6A97A60D" w14:textId="77777777" w:rsidR="001853BF" w:rsidRDefault="00E35F15">
      <w:pPr>
        <w:pStyle w:val="TOC4"/>
        <w:tabs>
          <w:tab w:val="right" w:leader="dot" w:pos="8630"/>
        </w:tabs>
        <w:rPr>
          <w:noProof/>
          <w:sz w:val="22"/>
          <w:szCs w:val="22"/>
        </w:rPr>
      </w:pPr>
      <w:hyperlink w:anchor="_Toc518323294" w:history="1">
        <w:r w:rsidR="001853BF" w:rsidRPr="000F1856">
          <w:rPr>
            <w:rStyle w:val="Hyperlink"/>
            <w:noProof/>
          </w:rPr>
          <w:t>Robert H. Frank, Why is Cost-Benefit Analysis so Controversial?</w:t>
        </w:r>
        <w:r w:rsidR="001853BF">
          <w:rPr>
            <w:noProof/>
            <w:webHidden/>
          </w:rPr>
          <w:tab/>
        </w:r>
        <w:r w:rsidR="001853BF">
          <w:rPr>
            <w:noProof/>
            <w:webHidden/>
          </w:rPr>
          <w:fldChar w:fldCharType="begin"/>
        </w:r>
        <w:r w:rsidR="001853BF">
          <w:rPr>
            <w:noProof/>
            <w:webHidden/>
          </w:rPr>
          <w:instrText xml:space="preserve"> PAGEREF _Toc518323294 \h </w:instrText>
        </w:r>
        <w:r w:rsidR="001853BF">
          <w:rPr>
            <w:noProof/>
            <w:webHidden/>
          </w:rPr>
        </w:r>
        <w:r w:rsidR="001853BF">
          <w:rPr>
            <w:noProof/>
            <w:webHidden/>
          </w:rPr>
          <w:fldChar w:fldCharType="separate"/>
        </w:r>
        <w:r w:rsidR="001853BF">
          <w:rPr>
            <w:noProof/>
            <w:webHidden/>
          </w:rPr>
          <w:t>161</w:t>
        </w:r>
        <w:r w:rsidR="001853BF">
          <w:rPr>
            <w:noProof/>
            <w:webHidden/>
          </w:rPr>
          <w:fldChar w:fldCharType="end"/>
        </w:r>
      </w:hyperlink>
    </w:p>
    <w:p w14:paraId="56CA3EAD" w14:textId="7595EF4E" w:rsidR="001853BF" w:rsidRDefault="00E35F15">
      <w:pPr>
        <w:pStyle w:val="TOC4"/>
        <w:tabs>
          <w:tab w:val="right" w:leader="dot" w:pos="8630"/>
        </w:tabs>
        <w:rPr>
          <w:noProof/>
          <w:sz w:val="22"/>
          <w:szCs w:val="22"/>
        </w:rPr>
      </w:pPr>
      <w:hyperlink w:anchor="_Toc518323295" w:history="1">
        <w:r w:rsidR="001853BF" w:rsidRPr="000F1856">
          <w:rPr>
            <w:rStyle w:val="Hyperlink"/>
            <w:noProof/>
          </w:rPr>
          <w:t xml:space="preserve"> Sunstein, Cognition and Cost-Benefit Analysis</w:t>
        </w:r>
        <w:r w:rsidR="001853BF">
          <w:rPr>
            <w:noProof/>
            <w:webHidden/>
          </w:rPr>
          <w:tab/>
        </w:r>
        <w:r w:rsidR="001853BF">
          <w:rPr>
            <w:noProof/>
            <w:webHidden/>
          </w:rPr>
          <w:fldChar w:fldCharType="begin"/>
        </w:r>
        <w:r w:rsidR="001853BF">
          <w:rPr>
            <w:noProof/>
            <w:webHidden/>
          </w:rPr>
          <w:instrText xml:space="preserve"> PAGEREF _Toc518323295 \h </w:instrText>
        </w:r>
        <w:r w:rsidR="001853BF">
          <w:rPr>
            <w:noProof/>
            <w:webHidden/>
          </w:rPr>
        </w:r>
        <w:r w:rsidR="001853BF">
          <w:rPr>
            <w:noProof/>
            <w:webHidden/>
          </w:rPr>
          <w:fldChar w:fldCharType="separate"/>
        </w:r>
        <w:r w:rsidR="001853BF">
          <w:rPr>
            <w:noProof/>
            <w:webHidden/>
          </w:rPr>
          <w:t>162</w:t>
        </w:r>
        <w:r w:rsidR="001853BF">
          <w:rPr>
            <w:noProof/>
            <w:webHidden/>
          </w:rPr>
          <w:fldChar w:fldCharType="end"/>
        </w:r>
      </w:hyperlink>
    </w:p>
    <w:p w14:paraId="27D359A7" w14:textId="140A86B0" w:rsidR="001853BF" w:rsidRDefault="00E35F15">
      <w:pPr>
        <w:pStyle w:val="TOC4"/>
        <w:tabs>
          <w:tab w:val="right" w:leader="dot" w:pos="8630"/>
        </w:tabs>
        <w:rPr>
          <w:noProof/>
          <w:sz w:val="22"/>
          <w:szCs w:val="22"/>
        </w:rPr>
      </w:pPr>
      <w:hyperlink w:anchor="_Toc518323296" w:history="1">
        <w:r w:rsidR="001853BF" w:rsidRPr="000F1856">
          <w:rPr>
            <w:rStyle w:val="Hyperlink"/>
            <w:noProof/>
          </w:rPr>
          <w:t>Sunstein, Moral Heuristics</w:t>
        </w:r>
        <w:r w:rsidR="001853BF">
          <w:rPr>
            <w:noProof/>
            <w:webHidden/>
          </w:rPr>
          <w:tab/>
        </w:r>
        <w:r w:rsidR="001853BF">
          <w:rPr>
            <w:noProof/>
            <w:webHidden/>
          </w:rPr>
          <w:fldChar w:fldCharType="begin"/>
        </w:r>
        <w:r w:rsidR="001853BF">
          <w:rPr>
            <w:noProof/>
            <w:webHidden/>
          </w:rPr>
          <w:instrText xml:space="preserve"> PAGEREF _Toc518323296 \h </w:instrText>
        </w:r>
        <w:r w:rsidR="001853BF">
          <w:rPr>
            <w:noProof/>
            <w:webHidden/>
          </w:rPr>
        </w:r>
        <w:r w:rsidR="001853BF">
          <w:rPr>
            <w:noProof/>
            <w:webHidden/>
          </w:rPr>
          <w:fldChar w:fldCharType="separate"/>
        </w:r>
        <w:r w:rsidR="001853BF">
          <w:rPr>
            <w:noProof/>
            <w:webHidden/>
          </w:rPr>
          <w:t>162</w:t>
        </w:r>
        <w:r w:rsidR="001853BF">
          <w:rPr>
            <w:noProof/>
            <w:webHidden/>
          </w:rPr>
          <w:fldChar w:fldCharType="end"/>
        </w:r>
      </w:hyperlink>
    </w:p>
    <w:p w14:paraId="7223173C" w14:textId="77777777" w:rsidR="001853BF" w:rsidRDefault="00E35F15">
      <w:pPr>
        <w:pStyle w:val="TOC3"/>
        <w:tabs>
          <w:tab w:val="right" w:leader="dot" w:pos="8630"/>
        </w:tabs>
        <w:rPr>
          <w:noProof/>
        </w:rPr>
      </w:pPr>
      <w:hyperlink w:anchor="_Toc518323297" w:history="1">
        <w:r w:rsidR="001853BF" w:rsidRPr="000F1856">
          <w:rPr>
            <w:rStyle w:val="Hyperlink"/>
            <w:noProof/>
          </w:rPr>
          <w:t>4.  The Logic of Cost-Benefit</w:t>
        </w:r>
        <w:r w:rsidR="001853BF">
          <w:rPr>
            <w:noProof/>
            <w:webHidden/>
          </w:rPr>
          <w:tab/>
        </w:r>
        <w:r w:rsidR="001853BF">
          <w:rPr>
            <w:noProof/>
            <w:webHidden/>
          </w:rPr>
          <w:fldChar w:fldCharType="begin"/>
        </w:r>
        <w:r w:rsidR="001853BF">
          <w:rPr>
            <w:noProof/>
            <w:webHidden/>
          </w:rPr>
          <w:instrText xml:space="preserve"> PAGEREF _Toc518323297 \h </w:instrText>
        </w:r>
        <w:r w:rsidR="001853BF">
          <w:rPr>
            <w:noProof/>
            <w:webHidden/>
          </w:rPr>
        </w:r>
        <w:r w:rsidR="001853BF">
          <w:rPr>
            <w:noProof/>
            <w:webHidden/>
          </w:rPr>
          <w:fldChar w:fldCharType="separate"/>
        </w:r>
        <w:r w:rsidR="001853BF">
          <w:rPr>
            <w:noProof/>
            <w:webHidden/>
          </w:rPr>
          <w:t>163</w:t>
        </w:r>
        <w:r w:rsidR="001853BF">
          <w:rPr>
            <w:noProof/>
            <w:webHidden/>
          </w:rPr>
          <w:fldChar w:fldCharType="end"/>
        </w:r>
      </w:hyperlink>
    </w:p>
    <w:p w14:paraId="473F4225" w14:textId="77777777" w:rsidR="001853BF" w:rsidRDefault="00E35F15">
      <w:pPr>
        <w:pStyle w:val="TOC4"/>
        <w:tabs>
          <w:tab w:val="right" w:leader="dot" w:pos="8630"/>
        </w:tabs>
        <w:rPr>
          <w:noProof/>
          <w:sz w:val="22"/>
          <w:szCs w:val="22"/>
        </w:rPr>
      </w:pPr>
      <w:hyperlink w:anchor="_Toc518323298" w:history="1">
        <w:r w:rsidR="001853BF" w:rsidRPr="00FD75E5">
          <w:rPr>
            <w:rStyle w:val="Hyperlink"/>
            <w:i/>
            <w:noProof/>
          </w:rPr>
          <w:t>Cooley v. Public Service Co</w:t>
        </w:r>
        <w:r w:rsidR="001853BF">
          <w:rPr>
            <w:noProof/>
            <w:webHidden/>
          </w:rPr>
          <w:tab/>
        </w:r>
        <w:r w:rsidR="001853BF">
          <w:rPr>
            <w:noProof/>
            <w:webHidden/>
          </w:rPr>
          <w:fldChar w:fldCharType="begin"/>
        </w:r>
        <w:r w:rsidR="001853BF">
          <w:rPr>
            <w:noProof/>
            <w:webHidden/>
          </w:rPr>
          <w:instrText xml:space="preserve"> PAGEREF _Toc518323298 \h </w:instrText>
        </w:r>
        <w:r w:rsidR="001853BF">
          <w:rPr>
            <w:noProof/>
            <w:webHidden/>
          </w:rPr>
        </w:r>
        <w:r w:rsidR="001853BF">
          <w:rPr>
            <w:noProof/>
            <w:webHidden/>
          </w:rPr>
          <w:fldChar w:fldCharType="separate"/>
        </w:r>
        <w:r w:rsidR="001853BF">
          <w:rPr>
            <w:noProof/>
            <w:webHidden/>
          </w:rPr>
          <w:t>163</w:t>
        </w:r>
        <w:r w:rsidR="001853BF">
          <w:rPr>
            <w:noProof/>
            <w:webHidden/>
          </w:rPr>
          <w:fldChar w:fldCharType="end"/>
        </w:r>
      </w:hyperlink>
    </w:p>
    <w:p w14:paraId="60D96E44" w14:textId="77777777" w:rsidR="001853BF" w:rsidRDefault="00E35F15">
      <w:pPr>
        <w:pStyle w:val="TOC4"/>
        <w:tabs>
          <w:tab w:val="right" w:leader="dot" w:pos="8630"/>
        </w:tabs>
        <w:rPr>
          <w:noProof/>
          <w:sz w:val="22"/>
          <w:szCs w:val="22"/>
        </w:rPr>
      </w:pPr>
      <w:hyperlink w:anchor="_Toc51832329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_Toc518323299 \h </w:instrText>
        </w:r>
        <w:r w:rsidR="001853BF">
          <w:rPr>
            <w:noProof/>
            <w:webHidden/>
          </w:rPr>
        </w:r>
        <w:r w:rsidR="001853BF">
          <w:rPr>
            <w:noProof/>
            <w:webHidden/>
          </w:rPr>
          <w:fldChar w:fldCharType="separate"/>
        </w:r>
        <w:r w:rsidR="001853BF">
          <w:rPr>
            <w:noProof/>
            <w:webHidden/>
          </w:rPr>
          <w:t>166</w:t>
        </w:r>
        <w:r w:rsidR="001853BF">
          <w:rPr>
            <w:noProof/>
            <w:webHidden/>
          </w:rPr>
          <w:fldChar w:fldCharType="end"/>
        </w:r>
      </w:hyperlink>
    </w:p>
    <w:p w14:paraId="106804F7" w14:textId="72DDDCFC" w:rsidR="001853BF" w:rsidRDefault="00E35F15">
      <w:pPr>
        <w:pStyle w:val="TOC4"/>
        <w:tabs>
          <w:tab w:val="right" w:leader="dot" w:pos="8630"/>
        </w:tabs>
        <w:rPr>
          <w:noProof/>
          <w:sz w:val="22"/>
          <w:szCs w:val="22"/>
        </w:rPr>
      </w:pPr>
      <w:hyperlink w:anchor="_Toc518323300" w:history="1">
        <w:r w:rsidR="001853BF" w:rsidRPr="000F1856">
          <w:rPr>
            <w:rStyle w:val="Hyperlink"/>
            <w:rFonts w:eastAsia="ヒラギノ角ゴ Pro W3"/>
            <w:noProof/>
          </w:rPr>
          <w:t>Shavell, Strict Liability versus Negligence</w:t>
        </w:r>
        <w:r w:rsidR="001853BF">
          <w:rPr>
            <w:noProof/>
            <w:webHidden/>
          </w:rPr>
          <w:tab/>
        </w:r>
        <w:r w:rsidR="001853BF">
          <w:rPr>
            <w:noProof/>
            <w:webHidden/>
          </w:rPr>
          <w:fldChar w:fldCharType="begin"/>
        </w:r>
        <w:r w:rsidR="001853BF">
          <w:rPr>
            <w:noProof/>
            <w:webHidden/>
          </w:rPr>
          <w:instrText xml:space="preserve"> PAGEREF _Toc518323300 \h </w:instrText>
        </w:r>
        <w:r w:rsidR="001853BF">
          <w:rPr>
            <w:noProof/>
            <w:webHidden/>
          </w:rPr>
        </w:r>
        <w:r w:rsidR="001853BF">
          <w:rPr>
            <w:noProof/>
            <w:webHidden/>
          </w:rPr>
          <w:fldChar w:fldCharType="separate"/>
        </w:r>
        <w:r w:rsidR="001853BF">
          <w:rPr>
            <w:noProof/>
            <w:webHidden/>
          </w:rPr>
          <w:t>167</w:t>
        </w:r>
        <w:r w:rsidR="001853BF">
          <w:rPr>
            <w:noProof/>
            <w:webHidden/>
          </w:rPr>
          <w:fldChar w:fldCharType="end"/>
        </w:r>
      </w:hyperlink>
    </w:p>
    <w:p w14:paraId="01933E8B" w14:textId="73B3DD07" w:rsidR="001853BF" w:rsidRDefault="00E35F15">
      <w:pPr>
        <w:pStyle w:val="TOC4"/>
        <w:tabs>
          <w:tab w:val="right" w:leader="dot" w:pos="8630"/>
        </w:tabs>
        <w:rPr>
          <w:noProof/>
          <w:sz w:val="22"/>
          <w:szCs w:val="22"/>
        </w:rPr>
      </w:pPr>
      <w:hyperlink w:anchor="_Toc518323301" w:history="1">
        <w:r w:rsidR="001853BF" w:rsidRPr="000F1856">
          <w:rPr>
            <w:rStyle w:val="Hyperlink"/>
            <w:noProof/>
          </w:rPr>
          <w:t>Calabresi, The Decision for Accidents</w:t>
        </w:r>
        <w:r w:rsidR="001853BF">
          <w:rPr>
            <w:noProof/>
            <w:webHidden/>
          </w:rPr>
          <w:tab/>
        </w:r>
        <w:r w:rsidR="001853BF">
          <w:rPr>
            <w:noProof/>
            <w:webHidden/>
          </w:rPr>
          <w:fldChar w:fldCharType="begin"/>
        </w:r>
        <w:r w:rsidR="001853BF">
          <w:rPr>
            <w:noProof/>
            <w:webHidden/>
          </w:rPr>
          <w:instrText xml:space="preserve"> PAGEREF _Toc518323301 \h </w:instrText>
        </w:r>
        <w:r w:rsidR="001853BF">
          <w:rPr>
            <w:noProof/>
            <w:webHidden/>
          </w:rPr>
        </w:r>
        <w:r w:rsidR="001853BF">
          <w:rPr>
            <w:noProof/>
            <w:webHidden/>
          </w:rPr>
          <w:fldChar w:fldCharType="separate"/>
        </w:r>
        <w:r w:rsidR="001853BF">
          <w:rPr>
            <w:noProof/>
            <w:webHidden/>
          </w:rPr>
          <w:t>168</w:t>
        </w:r>
        <w:r w:rsidR="001853BF">
          <w:rPr>
            <w:noProof/>
            <w:webHidden/>
          </w:rPr>
          <w:fldChar w:fldCharType="end"/>
        </w:r>
      </w:hyperlink>
    </w:p>
    <w:p w14:paraId="08D30090" w14:textId="496C4482" w:rsidR="001853BF" w:rsidRDefault="00E35F15">
      <w:pPr>
        <w:pStyle w:val="TOC4"/>
        <w:tabs>
          <w:tab w:val="right" w:leader="dot" w:pos="8630"/>
        </w:tabs>
        <w:rPr>
          <w:noProof/>
          <w:sz w:val="22"/>
          <w:szCs w:val="22"/>
        </w:rPr>
      </w:pPr>
      <w:hyperlink w:anchor="_Toc518323302" w:history="1">
        <w:r w:rsidR="001853BF" w:rsidRPr="000F1856">
          <w:rPr>
            <w:rStyle w:val="Hyperlink"/>
            <w:noProof/>
          </w:rPr>
          <w:t>Calabresi &amp; Hirschoff, Toward a Te</w:t>
        </w:r>
        <w:r w:rsidR="00475AE3">
          <w:rPr>
            <w:rStyle w:val="Hyperlink"/>
            <w:noProof/>
          </w:rPr>
          <w:t>st for Strict Liability</w:t>
        </w:r>
        <w:r w:rsidR="001853BF">
          <w:rPr>
            <w:noProof/>
            <w:webHidden/>
          </w:rPr>
          <w:tab/>
        </w:r>
        <w:r w:rsidR="001853BF">
          <w:rPr>
            <w:noProof/>
            <w:webHidden/>
          </w:rPr>
          <w:fldChar w:fldCharType="begin"/>
        </w:r>
        <w:r w:rsidR="001853BF">
          <w:rPr>
            <w:noProof/>
            <w:webHidden/>
          </w:rPr>
          <w:instrText xml:space="preserve"> PAGEREF _Toc518323302 \h </w:instrText>
        </w:r>
        <w:r w:rsidR="001853BF">
          <w:rPr>
            <w:noProof/>
            <w:webHidden/>
          </w:rPr>
        </w:r>
        <w:r w:rsidR="001853BF">
          <w:rPr>
            <w:noProof/>
            <w:webHidden/>
          </w:rPr>
          <w:fldChar w:fldCharType="separate"/>
        </w:r>
        <w:r w:rsidR="001853BF">
          <w:rPr>
            <w:noProof/>
            <w:webHidden/>
          </w:rPr>
          <w:t>168</w:t>
        </w:r>
        <w:r w:rsidR="001853BF">
          <w:rPr>
            <w:noProof/>
            <w:webHidden/>
          </w:rPr>
          <w:fldChar w:fldCharType="end"/>
        </w:r>
      </w:hyperlink>
    </w:p>
    <w:p w14:paraId="21C95248" w14:textId="77777777" w:rsidR="001853BF" w:rsidRDefault="00E35F15">
      <w:pPr>
        <w:pStyle w:val="TOC4"/>
        <w:tabs>
          <w:tab w:val="right" w:leader="dot" w:pos="8630"/>
        </w:tabs>
        <w:rPr>
          <w:noProof/>
          <w:sz w:val="22"/>
          <w:szCs w:val="22"/>
        </w:rPr>
      </w:pPr>
      <w:hyperlink w:anchor="_Toc518323303" w:history="1">
        <w:r w:rsidR="001853BF" w:rsidRPr="00FD75E5">
          <w:rPr>
            <w:rStyle w:val="Hyperlink"/>
            <w:i/>
            <w:noProof/>
          </w:rPr>
          <w:t>Andrews v. United Airlines</w:t>
        </w:r>
        <w:r w:rsidR="001853BF">
          <w:rPr>
            <w:noProof/>
            <w:webHidden/>
          </w:rPr>
          <w:tab/>
        </w:r>
        <w:r w:rsidR="001853BF">
          <w:rPr>
            <w:noProof/>
            <w:webHidden/>
          </w:rPr>
          <w:fldChar w:fldCharType="begin"/>
        </w:r>
        <w:r w:rsidR="001853BF">
          <w:rPr>
            <w:noProof/>
            <w:webHidden/>
          </w:rPr>
          <w:instrText xml:space="preserve"> PAGEREF _Toc518323303 \h </w:instrText>
        </w:r>
        <w:r w:rsidR="001853BF">
          <w:rPr>
            <w:noProof/>
            <w:webHidden/>
          </w:rPr>
        </w:r>
        <w:r w:rsidR="001853BF">
          <w:rPr>
            <w:noProof/>
            <w:webHidden/>
          </w:rPr>
          <w:fldChar w:fldCharType="separate"/>
        </w:r>
        <w:r w:rsidR="001853BF">
          <w:rPr>
            <w:noProof/>
            <w:webHidden/>
          </w:rPr>
          <w:t>172</w:t>
        </w:r>
        <w:r w:rsidR="001853BF">
          <w:rPr>
            <w:noProof/>
            <w:webHidden/>
          </w:rPr>
          <w:fldChar w:fldCharType="end"/>
        </w:r>
      </w:hyperlink>
    </w:p>
    <w:p w14:paraId="43665B73" w14:textId="77777777" w:rsidR="001853BF" w:rsidRDefault="00E35F15">
      <w:pPr>
        <w:pStyle w:val="TOC4"/>
        <w:tabs>
          <w:tab w:val="right" w:leader="dot" w:pos="8630"/>
        </w:tabs>
        <w:rPr>
          <w:noProof/>
          <w:sz w:val="22"/>
          <w:szCs w:val="22"/>
        </w:rPr>
      </w:pPr>
      <w:hyperlink w:anchor="_Toc518323304"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_Toc518323304 \h </w:instrText>
        </w:r>
        <w:r w:rsidR="001853BF">
          <w:rPr>
            <w:noProof/>
            <w:webHidden/>
          </w:rPr>
        </w:r>
        <w:r w:rsidR="001853BF">
          <w:rPr>
            <w:noProof/>
            <w:webHidden/>
          </w:rPr>
          <w:fldChar w:fldCharType="separate"/>
        </w:r>
        <w:r w:rsidR="001853BF">
          <w:rPr>
            <w:noProof/>
            <w:webHidden/>
          </w:rPr>
          <w:t>174</w:t>
        </w:r>
        <w:r w:rsidR="001853BF">
          <w:rPr>
            <w:noProof/>
            <w:webHidden/>
          </w:rPr>
          <w:fldChar w:fldCharType="end"/>
        </w:r>
      </w:hyperlink>
    </w:p>
    <w:p w14:paraId="48CF3151" w14:textId="77777777" w:rsidR="001853BF" w:rsidRDefault="00E35F15">
      <w:pPr>
        <w:pStyle w:val="TOC3"/>
        <w:tabs>
          <w:tab w:val="right" w:leader="dot" w:pos="8630"/>
        </w:tabs>
        <w:rPr>
          <w:noProof/>
        </w:rPr>
      </w:pPr>
      <w:hyperlink w:anchor="_Toc518323305" w:history="1">
        <w:r w:rsidR="001853BF" w:rsidRPr="000F1856">
          <w:rPr>
            <w:rStyle w:val="Hyperlink"/>
            <w:noProof/>
          </w:rPr>
          <w:t>5.  Claim Resolution in the Real World</w:t>
        </w:r>
        <w:r w:rsidR="001853BF">
          <w:rPr>
            <w:noProof/>
            <w:webHidden/>
          </w:rPr>
          <w:tab/>
        </w:r>
        <w:r w:rsidR="001853BF">
          <w:rPr>
            <w:noProof/>
            <w:webHidden/>
          </w:rPr>
          <w:fldChar w:fldCharType="begin"/>
        </w:r>
        <w:r w:rsidR="001853BF">
          <w:rPr>
            <w:noProof/>
            <w:webHidden/>
          </w:rPr>
          <w:instrText xml:space="preserve"> PAGEREF _Toc518323305 \h </w:instrText>
        </w:r>
        <w:r w:rsidR="001853BF">
          <w:rPr>
            <w:noProof/>
            <w:webHidden/>
          </w:rPr>
        </w:r>
        <w:r w:rsidR="001853BF">
          <w:rPr>
            <w:noProof/>
            <w:webHidden/>
          </w:rPr>
          <w:fldChar w:fldCharType="separate"/>
        </w:r>
        <w:r w:rsidR="001853BF">
          <w:rPr>
            <w:noProof/>
            <w:webHidden/>
          </w:rPr>
          <w:t>174</w:t>
        </w:r>
        <w:r w:rsidR="001853BF">
          <w:rPr>
            <w:noProof/>
            <w:webHidden/>
          </w:rPr>
          <w:fldChar w:fldCharType="end"/>
        </w:r>
      </w:hyperlink>
    </w:p>
    <w:p w14:paraId="4FA3CD30" w14:textId="77777777" w:rsidR="001853BF" w:rsidRDefault="00E35F15">
      <w:pPr>
        <w:pStyle w:val="TOC4"/>
        <w:tabs>
          <w:tab w:val="right" w:leader="dot" w:pos="8630"/>
        </w:tabs>
        <w:rPr>
          <w:noProof/>
          <w:sz w:val="22"/>
          <w:szCs w:val="22"/>
        </w:rPr>
      </w:pPr>
      <w:hyperlink w:anchor="_Toc518323306" w:history="1">
        <w:r w:rsidR="001853BF" w:rsidRPr="000F1856">
          <w:rPr>
            <w:rStyle w:val="Hyperlink"/>
            <w:noProof/>
          </w:rPr>
          <w:t>Rules of Thumb in Auto Collision Cases</w:t>
        </w:r>
        <w:r w:rsidR="001853BF">
          <w:rPr>
            <w:noProof/>
            <w:webHidden/>
          </w:rPr>
          <w:tab/>
        </w:r>
        <w:r w:rsidR="001853BF">
          <w:rPr>
            <w:noProof/>
            <w:webHidden/>
          </w:rPr>
          <w:fldChar w:fldCharType="begin"/>
        </w:r>
        <w:r w:rsidR="001853BF">
          <w:rPr>
            <w:noProof/>
            <w:webHidden/>
          </w:rPr>
          <w:instrText xml:space="preserve"> PAGEREF _Toc518323306 \h </w:instrText>
        </w:r>
        <w:r w:rsidR="001853BF">
          <w:rPr>
            <w:noProof/>
            <w:webHidden/>
          </w:rPr>
        </w:r>
        <w:r w:rsidR="001853BF">
          <w:rPr>
            <w:noProof/>
            <w:webHidden/>
          </w:rPr>
          <w:fldChar w:fldCharType="separate"/>
        </w:r>
        <w:r w:rsidR="001853BF">
          <w:rPr>
            <w:noProof/>
            <w:webHidden/>
          </w:rPr>
          <w:t>174</w:t>
        </w:r>
        <w:r w:rsidR="001853BF">
          <w:rPr>
            <w:noProof/>
            <w:webHidden/>
          </w:rPr>
          <w:fldChar w:fldCharType="end"/>
        </w:r>
      </w:hyperlink>
    </w:p>
    <w:p w14:paraId="5A037F54" w14:textId="77777777" w:rsidR="001853BF" w:rsidRDefault="00E35F15">
      <w:pPr>
        <w:pStyle w:val="TOC4"/>
        <w:tabs>
          <w:tab w:val="right" w:leader="dot" w:pos="8630"/>
        </w:tabs>
        <w:rPr>
          <w:noProof/>
          <w:sz w:val="22"/>
          <w:szCs w:val="22"/>
        </w:rPr>
      </w:pPr>
      <w:hyperlink w:anchor="_Toc518323307" w:history="1">
        <w:r w:rsidR="001853BF" w:rsidRPr="000F1856">
          <w:rPr>
            <w:rStyle w:val="Hyperlink"/>
            <w:noProof/>
          </w:rPr>
          <w:t>The Failure of No-Fault Auto</w:t>
        </w:r>
        <w:r w:rsidR="001853BF">
          <w:rPr>
            <w:noProof/>
            <w:webHidden/>
          </w:rPr>
          <w:tab/>
        </w:r>
        <w:r w:rsidR="001853BF">
          <w:rPr>
            <w:noProof/>
            <w:webHidden/>
          </w:rPr>
          <w:fldChar w:fldCharType="begin"/>
        </w:r>
        <w:r w:rsidR="001853BF">
          <w:rPr>
            <w:noProof/>
            <w:webHidden/>
          </w:rPr>
          <w:instrText xml:space="preserve"> PAGEREF _Toc518323307 \h </w:instrText>
        </w:r>
        <w:r w:rsidR="001853BF">
          <w:rPr>
            <w:noProof/>
            <w:webHidden/>
          </w:rPr>
        </w:r>
        <w:r w:rsidR="001853BF">
          <w:rPr>
            <w:noProof/>
            <w:webHidden/>
          </w:rPr>
          <w:fldChar w:fldCharType="separate"/>
        </w:r>
        <w:r w:rsidR="001853BF">
          <w:rPr>
            <w:noProof/>
            <w:webHidden/>
          </w:rPr>
          <w:t>176</w:t>
        </w:r>
        <w:r w:rsidR="001853BF">
          <w:rPr>
            <w:noProof/>
            <w:webHidden/>
          </w:rPr>
          <w:fldChar w:fldCharType="end"/>
        </w:r>
      </w:hyperlink>
    </w:p>
    <w:p w14:paraId="5338B200" w14:textId="77777777" w:rsidR="001853BF" w:rsidRDefault="00E35F15">
      <w:pPr>
        <w:pStyle w:val="TOC2"/>
        <w:tabs>
          <w:tab w:val="right" w:leader="dot" w:pos="8630"/>
        </w:tabs>
        <w:rPr>
          <w:b w:val="0"/>
          <w:noProof/>
        </w:rPr>
      </w:pPr>
      <w:hyperlink w:anchor="_Toc518323308" w:history="1">
        <w:r w:rsidR="001853BF" w:rsidRPr="000F1856">
          <w:rPr>
            <w:rStyle w:val="Hyperlink"/>
            <w:noProof/>
          </w:rPr>
          <w:t>C.  Judges and Juries</w:t>
        </w:r>
        <w:r w:rsidR="001853BF">
          <w:rPr>
            <w:noProof/>
            <w:webHidden/>
          </w:rPr>
          <w:tab/>
        </w:r>
        <w:r w:rsidR="001853BF">
          <w:rPr>
            <w:noProof/>
            <w:webHidden/>
          </w:rPr>
          <w:fldChar w:fldCharType="begin"/>
        </w:r>
        <w:r w:rsidR="001853BF">
          <w:rPr>
            <w:noProof/>
            <w:webHidden/>
          </w:rPr>
          <w:instrText xml:space="preserve"> PAGEREF _Toc518323308 \h </w:instrText>
        </w:r>
        <w:r w:rsidR="001853BF">
          <w:rPr>
            <w:noProof/>
            <w:webHidden/>
          </w:rPr>
        </w:r>
        <w:r w:rsidR="001853BF">
          <w:rPr>
            <w:noProof/>
            <w:webHidden/>
          </w:rPr>
          <w:fldChar w:fldCharType="separate"/>
        </w:r>
        <w:r w:rsidR="001853BF">
          <w:rPr>
            <w:noProof/>
            <w:webHidden/>
          </w:rPr>
          <w:t>177</w:t>
        </w:r>
        <w:r w:rsidR="001853BF">
          <w:rPr>
            <w:noProof/>
            <w:webHidden/>
          </w:rPr>
          <w:fldChar w:fldCharType="end"/>
        </w:r>
      </w:hyperlink>
    </w:p>
    <w:p w14:paraId="411186D6" w14:textId="77777777" w:rsidR="001853BF" w:rsidRDefault="00E35F15">
      <w:pPr>
        <w:pStyle w:val="TOC3"/>
        <w:tabs>
          <w:tab w:val="right" w:leader="dot" w:pos="8630"/>
        </w:tabs>
        <w:rPr>
          <w:noProof/>
        </w:rPr>
      </w:pPr>
      <w:hyperlink w:anchor="_Toc518323309" w:history="1">
        <w:r w:rsidR="001853BF" w:rsidRPr="000F1856">
          <w:rPr>
            <w:rStyle w:val="Hyperlink"/>
            <w:i/>
            <w:noProof/>
          </w:rPr>
          <w:t>Baltimore &amp; Ohio Railroad Co. v. Goodman</w:t>
        </w:r>
        <w:r w:rsidR="001853BF">
          <w:rPr>
            <w:noProof/>
            <w:webHidden/>
          </w:rPr>
          <w:tab/>
        </w:r>
        <w:r w:rsidR="001853BF">
          <w:rPr>
            <w:noProof/>
            <w:webHidden/>
          </w:rPr>
          <w:fldChar w:fldCharType="begin"/>
        </w:r>
        <w:r w:rsidR="001853BF">
          <w:rPr>
            <w:noProof/>
            <w:webHidden/>
          </w:rPr>
          <w:instrText xml:space="preserve"> PAGEREF _Toc518323309 \h </w:instrText>
        </w:r>
        <w:r w:rsidR="001853BF">
          <w:rPr>
            <w:noProof/>
            <w:webHidden/>
          </w:rPr>
        </w:r>
        <w:r w:rsidR="001853BF">
          <w:rPr>
            <w:noProof/>
            <w:webHidden/>
          </w:rPr>
          <w:fldChar w:fldCharType="separate"/>
        </w:r>
        <w:r w:rsidR="001853BF">
          <w:rPr>
            <w:noProof/>
            <w:webHidden/>
          </w:rPr>
          <w:t>177</w:t>
        </w:r>
        <w:r w:rsidR="001853BF">
          <w:rPr>
            <w:noProof/>
            <w:webHidden/>
          </w:rPr>
          <w:fldChar w:fldCharType="end"/>
        </w:r>
      </w:hyperlink>
    </w:p>
    <w:p w14:paraId="586E9B9A" w14:textId="77777777" w:rsidR="001853BF" w:rsidRDefault="00E35F15">
      <w:pPr>
        <w:pStyle w:val="TOC3"/>
        <w:tabs>
          <w:tab w:val="right" w:leader="dot" w:pos="8630"/>
        </w:tabs>
        <w:rPr>
          <w:noProof/>
        </w:rPr>
      </w:pPr>
      <w:hyperlink w:anchor="_Toc518323310" w:history="1">
        <w:r w:rsidR="001853BF" w:rsidRPr="000F1856">
          <w:rPr>
            <w:rStyle w:val="Hyperlink"/>
            <w:smallCaps/>
            <w:noProof/>
          </w:rPr>
          <w:t>Oliver Wendell Holmes, Jr., The Common Law</w:t>
        </w:r>
        <w:r w:rsidR="001853BF">
          <w:rPr>
            <w:noProof/>
            <w:webHidden/>
          </w:rPr>
          <w:tab/>
        </w:r>
        <w:r w:rsidR="001853BF">
          <w:rPr>
            <w:noProof/>
            <w:webHidden/>
          </w:rPr>
          <w:fldChar w:fldCharType="begin"/>
        </w:r>
        <w:r w:rsidR="001853BF">
          <w:rPr>
            <w:noProof/>
            <w:webHidden/>
          </w:rPr>
          <w:instrText xml:space="preserve"> PAGEREF _Toc518323310 \h </w:instrText>
        </w:r>
        <w:r w:rsidR="001853BF">
          <w:rPr>
            <w:noProof/>
            <w:webHidden/>
          </w:rPr>
        </w:r>
        <w:r w:rsidR="001853BF">
          <w:rPr>
            <w:noProof/>
            <w:webHidden/>
          </w:rPr>
          <w:fldChar w:fldCharType="separate"/>
        </w:r>
        <w:r w:rsidR="001853BF">
          <w:rPr>
            <w:noProof/>
            <w:webHidden/>
          </w:rPr>
          <w:t>178</w:t>
        </w:r>
        <w:r w:rsidR="001853BF">
          <w:rPr>
            <w:noProof/>
            <w:webHidden/>
          </w:rPr>
          <w:fldChar w:fldCharType="end"/>
        </w:r>
      </w:hyperlink>
    </w:p>
    <w:p w14:paraId="26545750" w14:textId="77777777" w:rsidR="001853BF" w:rsidRDefault="00E35F15">
      <w:pPr>
        <w:pStyle w:val="TOC4"/>
        <w:tabs>
          <w:tab w:val="right" w:leader="dot" w:pos="8630"/>
        </w:tabs>
        <w:rPr>
          <w:noProof/>
          <w:sz w:val="22"/>
          <w:szCs w:val="22"/>
        </w:rPr>
      </w:pPr>
      <w:hyperlink w:anchor="_Toc51832331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_Toc518323311 \h </w:instrText>
        </w:r>
        <w:r w:rsidR="001853BF">
          <w:rPr>
            <w:noProof/>
            <w:webHidden/>
          </w:rPr>
        </w:r>
        <w:r w:rsidR="001853BF">
          <w:rPr>
            <w:noProof/>
            <w:webHidden/>
          </w:rPr>
          <w:fldChar w:fldCharType="separate"/>
        </w:r>
        <w:r w:rsidR="001853BF">
          <w:rPr>
            <w:noProof/>
            <w:webHidden/>
          </w:rPr>
          <w:t>179</w:t>
        </w:r>
        <w:r w:rsidR="001853BF">
          <w:rPr>
            <w:noProof/>
            <w:webHidden/>
          </w:rPr>
          <w:fldChar w:fldCharType="end"/>
        </w:r>
      </w:hyperlink>
    </w:p>
    <w:p w14:paraId="0CA64EEA" w14:textId="77777777" w:rsidR="001853BF" w:rsidRDefault="00E35F15">
      <w:pPr>
        <w:pStyle w:val="TOC3"/>
        <w:tabs>
          <w:tab w:val="right" w:leader="dot" w:pos="8630"/>
        </w:tabs>
        <w:rPr>
          <w:noProof/>
        </w:rPr>
      </w:pPr>
      <w:hyperlink w:anchor="_Toc518323312" w:history="1">
        <w:r w:rsidR="001853BF" w:rsidRPr="000F1856">
          <w:rPr>
            <w:rStyle w:val="Hyperlink"/>
            <w:i/>
            <w:noProof/>
          </w:rPr>
          <w:t>Pokora v. Wabash Railroad Co</w:t>
        </w:r>
        <w:r w:rsidR="001853BF">
          <w:rPr>
            <w:noProof/>
            <w:webHidden/>
          </w:rPr>
          <w:tab/>
        </w:r>
        <w:r w:rsidR="001853BF">
          <w:rPr>
            <w:noProof/>
            <w:webHidden/>
          </w:rPr>
          <w:fldChar w:fldCharType="begin"/>
        </w:r>
        <w:r w:rsidR="001853BF">
          <w:rPr>
            <w:noProof/>
            <w:webHidden/>
          </w:rPr>
          <w:instrText xml:space="preserve"> PAGEREF _Toc518323312 \h </w:instrText>
        </w:r>
        <w:r w:rsidR="001853BF">
          <w:rPr>
            <w:noProof/>
            <w:webHidden/>
          </w:rPr>
        </w:r>
        <w:r w:rsidR="001853BF">
          <w:rPr>
            <w:noProof/>
            <w:webHidden/>
          </w:rPr>
          <w:fldChar w:fldCharType="separate"/>
        </w:r>
        <w:r w:rsidR="001853BF">
          <w:rPr>
            <w:noProof/>
            <w:webHidden/>
          </w:rPr>
          <w:t>180</w:t>
        </w:r>
        <w:r w:rsidR="001853BF">
          <w:rPr>
            <w:noProof/>
            <w:webHidden/>
          </w:rPr>
          <w:fldChar w:fldCharType="end"/>
        </w:r>
      </w:hyperlink>
    </w:p>
    <w:p w14:paraId="632E18FC" w14:textId="77777777" w:rsidR="001853BF" w:rsidRDefault="00E35F15">
      <w:pPr>
        <w:pStyle w:val="TOC4"/>
        <w:tabs>
          <w:tab w:val="right" w:leader="dot" w:pos="8630"/>
        </w:tabs>
        <w:rPr>
          <w:noProof/>
          <w:sz w:val="22"/>
          <w:szCs w:val="22"/>
        </w:rPr>
      </w:pPr>
      <w:hyperlink w:anchor="_Toc51832331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_Toc518323313 \h </w:instrText>
        </w:r>
        <w:r w:rsidR="001853BF">
          <w:rPr>
            <w:noProof/>
            <w:webHidden/>
          </w:rPr>
        </w:r>
        <w:r w:rsidR="001853BF">
          <w:rPr>
            <w:noProof/>
            <w:webHidden/>
          </w:rPr>
          <w:fldChar w:fldCharType="separate"/>
        </w:r>
        <w:r w:rsidR="001853BF">
          <w:rPr>
            <w:noProof/>
            <w:webHidden/>
          </w:rPr>
          <w:t>182</w:t>
        </w:r>
        <w:r w:rsidR="001853BF">
          <w:rPr>
            <w:noProof/>
            <w:webHidden/>
          </w:rPr>
          <w:fldChar w:fldCharType="end"/>
        </w:r>
      </w:hyperlink>
    </w:p>
    <w:p w14:paraId="7A815B4D" w14:textId="77777777" w:rsidR="001853BF" w:rsidRDefault="00E35F15">
      <w:pPr>
        <w:pStyle w:val="TOC2"/>
        <w:tabs>
          <w:tab w:val="right" w:leader="dot" w:pos="8630"/>
        </w:tabs>
        <w:rPr>
          <w:b w:val="0"/>
          <w:noProof/>
        </w:rPr>
      </w:pPr>
      <w:hyperlink w:anchor="_Toc518323314" w:history="1">
        <w:r w:rsidR="001853BF" w:rsidRPr="000F1856">
          <w:rPr>
            <w:rStyle w:val="Hyperlink"/>
            <w:noProof/>
          </w:rPr>
          <w:t>D.  Custom</w:t>
        </w:r>
        <w:r w:rsidR="001853BF">
          <w:rPr>
            <w:noProof/>
            <w:webHidden/>
          </w:rPr>
          <w:tab/>
        </w:r>
        <w:r w:rsidR="001853BF">
          <w:rPr>
            <w:noProof/>
            <w:webHidden/>
          </w:rPr>
          <w:fldChar w:fldCharType="begin"/>
        </w:r>
        <w:r w:rsidR="001853BF">
          <w:rPr>
            <w:noProof/>
            <w:webHidden/>
          </w:rPr>
          <w:instrText xml:space="preserve"> PAGEREF _Toc518323314 \h </w:instrText>
        </w:r>
        <w:r w:rsidR="001853BF">
          <w:rPr>
            <w:noProof/>
            <w:webHidden/>
          </w:rPr>
        </w:r>
        <w:r w:rsidR="001853BF">
          <w:rPr>
            <w:noProof/>
            <w:webHidden/>
          </w:rPr>
          <w:fldChar w:fldCharType="separate"/>
        </w:r>
        <w:r w:rsidR="001853BF">
          <w:rPr>
            <w:noProof/>
            <w:webHidden/>
          </w:rPr>
          <w:t>188</w:t>
        </w:r>
        <w:r w:rsidR="001853BF">
          <w:rPr>
            <w:noProof/>
            <w:webHidden/>
          </w:rPr>
          <w:fldChar w:fldCharType="end"/>
        </w:r>
      </w:hyperlink>
    </w:p>
    <w:p w14:paraId="4F989E6B" w14:textId="77777777" w:rsidR="001853BF" w:rsidRDefault="00E35F15">
      <w:pPr>
        <w:pStyle w:val="TOC3"/>
        <w:tabs>
          <w:tab w:val="right" w:leader="dot" w:pos="8630"/>
        </w:tabs>
        <w:rPr>
          <w:noProof/>
        </w:rPr>
      </w:pPr>
      <w:hyperlink w:anchor="_Toc518323315" w:history="1">
        <w:r w:rsidR="001853BF" w:rsidRPr="000F1856">
          <w:rPr>
            <w:rStyle w:val="Hyperlink"/>
            <w:noProof/>
          </w:rPr>
          <w:t>1. The Basic Rule—and Its Functions</w:t>
        </w:r>
        <w:r w:rsidR="001853BF">
          <w:rPr>
            <w:noProof/>
            <w:webHidden/>
          </w:rPr>
          <w:tab/>
        </w:r>
        <w:r w:rsidR="001853BF">
          <w:rPr>
            <w:noProof/>
            <w:webHidden/>
          </w:rPr>
          <w:fldChar w:fldCharType="begin"/>
        </w:r>
        <w:r w:rsidR="001853BF">
          <w:rPr>
            <w:noProof/>
            <w:webHidden/>
          </w:rPr>
          <w:instrText xml:space="preserve"> PAGEREF _Toc518323315 \h </w:instrText>
        </w:r>
        <w:r w:rsidR="001853BF">
          <w:rPr>
            <w:noProof/>
            <w:webHidden/>
          </w:rPr>
        </w:r>
        <w:r w:rsidR="001853BF">
          <w:rPr>
            <w:noProof/>
            <w:webHidden/>
          </w:rPr>
          <w:fldChar w:fldCharType="separate"/>
        </w:r>
        <w:r w:rsidR="001853BF">
          <w:rPr>
            <w:noProof/>
            <w:webHidden/>
          </w:rPr>
          <w:t>188</w:t>
        </w:r>
        <w:r w:rsidR="001853BF">
          <w:rPr>
            <w:noProof/>
            <w:webHidden/>
          </w:rPr>
          <w:fldChar w:fldCharType="end"/>
        </w:r>
      </w:hyperlink>
    </w:p>
    <w:p w14:paraId="2D025C0B" w14:textId="77777777" w:rsidR="001853BF" w:rsidRDefault="00E35F15">
      <w:pPr>
        <w:pStyle w:val="TOC4"/>
        <w:tabs>
          <w:tab w:val="right" w:leader="dot" w:pos="8630"/>
        </w:tabs>
        <w:rPr>
          <w:noProof/>
          <w:sz w:val="22"/>
          <w:szCs w:val="22"/>
        </w:rPr>
      </w:pPr>
      <w:hyperlink w:anchor="_Toc518323316" w:history="1">
        <w:r w:rsidR="001853BF" w:rsidRPr="00FD75E5">
          <w:rPr>
            <w:rStyle w:val="Hyperlink"/>
            <w:i/>
            <w:noProof/>
          </w:rPr>
          <w:t>The T.J. Hooper</w:t>
        </w:r>
        <w:r w:rsidR="001853BF" w:rsidRPr="000F1856">
          <w:rPr>
            <w:rStyle w:val="Hyperlink"/>
            <w:noProof/>
          </w:rPr>
          <w:t>, 53 F.2d 107 (S.D.N.Y. 1931)</w:t>
        </w:r>
        <w:r w:rsidR="001853BF">
          <w:rPr>
            <w:noProof/>
            <w:webHidden/>
          </w:rPr>
          <w:tab/>
        </w:r>
        <w:r w:rsidR="001853BF">
          <w:rPr>
            <w:noProof/>
            <w:webHidden/>
          </w:rPr>
          <w:fldChar w:fldCharType="begin"/>
        </w:r>
        <w:r w:rsidR="001853BF">
          <w:rPr>
            <w:noProof/>
            <w:webHidden/>
          </w:rPr>
          <w:instrText xml:space="preserve"> PAGEREF _Toc518323316 \h </w:instrText>
        </w:r>
        <w:r w:rsidR="001853BF">
          <w:rPr>
            <w:noProof/>
            <w:webHidden/>
          </w:rPr>
        </w:r>
        <w:r w:rsidR="001853BF">
          <w:rPr>
            <w:noProof/>
            <w:webHidden/>
          </w:rPr>
          <w:fldChar w:fldCharType="separate"/>
        </w:r>
        <w:r w:rsidR="001853BF">
          <w:rPr>
            <w:noProof/>
            <w:webHidden/>
          </w:rPr>
          <w:t>188</w:t>
        </w:r>
        <w:r w:rsidR="001853BF">
          <w:rPr>
            <w:noProof/>
            <w:webHidden/>
          </w:rPr>
          <w:fldChar w:fldCharType="end"/>
        </w:r>
      </w:hyperlink>
    </w:p>
    <w:p w14:paraId="4E91DE6C" w14:textId="77777777" w:rsidR="001853BF" w:rsidRDefault="00E35F15">
      <w:pPr>
        <w:pStyle w:val="TOC4"/>
        <w:tabs>
          <w:tab w:val="right" w:leader="dot" w:pos="8630"/>
        </w:tabs>
        <w:rPr>
          <w:noProof/>
          <w:sz w:val="22"/>
          <w:szCs w:val="22"/>
        </w:rPr>
      </w:pPr>
      <w:hyperlink w:anchor="_Toc518323317" w:history="1">
        <w:r w:rsidR="001853BF" w:rsidRPr="00FD75E5">
          <w:rPr>
            <w:rStyle w:val="Hyperlink"/>
            <w:i/>
            <w:noProof/>
          </w:rPr>
          <w:t>The T.J. Hooper</w:t>
        </w:r>
        <w:r w:rsidR="001853BF" w:rsidRPr="000F1856">
          <w:rPr>
            <w:rStyle w:val="Hyperlink"/>
            <w:noProof/>
          </w:rPr>
          <w:t>, 60 F.2d 737 (2d Cir. 1932)</w:t>
        </w:r>
        <w:r w:rsidR="001853BF">
          <w:rPr>
            <w:noProof/>
            <w:webHidden/>
          </w:rPr>
          <w:tab/>
        </w:r>
        <w:r w:rsidR="001853BF">
          <w:rPr>
            <w:noProof/>
            <w:webHidden/>
          </w:rPr>
          <w:fldChar w:fldCharType="begin"/>
        </w:r>
        <w:r w:rsidR="001853BF">
          <w:rPr>
            <w:noProof/>
            <w:webHidden/>
          </w:rPr>
          <w:instrText xml:space="preserve"> PAGEREF _Toc518323317 \h </w:instrText>
        </w:r>
        <w:r w:rsidR="001853BF">
          <w:rPr>
            <w:noProof/>
            <w:webHidden/>
          </w:rPr>
        </w:r>
        <w:r w:rsidR="001853BF">
          <w:rPr>
            <w:noProof/>
            <w:webHidden/>
          </w:rPr>
          <w:fldChar w:fldCharType="separate"/>
        </w:r>
        <w:r w:rsidR="001853BF">
          <w:rPr>
            <w:noProof/>
            <w:webHidden/>
          </w:rPr>
          <w:t>190</w:t>
        </w:r>
        <w:r w:rsidR="001853BF">
          <w:rPr>
            <w:noProof/>
            <w:webHidden/>
          </w:rPr>
          <w:fldChar w:fldCharType="end"/>
        </w:r>
      </w:hyperlink>
    </w:p>
    <w:p w14:paraId="4D0EB990" w14:textId="77777777" w:rsidR="001853BF" w:rsidRDefault="00E35F15">
      <w:pPr>
        <w:pStyle w:val="TOC4"/>
        <w:tabs>
          <w:tab w:val="right" w:leader="dot" w:pos="8630"/>
        </w:tabs>
        <w:rPr>
          <w:noProof/>
          <w:sz w:val="22"/>
          <w:szCs w:val="22"/>
        </w:rPr>
      </w:pPr>
      <w:hyperlink w:anchor="_Toc51832331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_Toc518323318 \h </w:instrText>
        </w:r>
        <w:r w:rsidR="001853BF">
          <w:rPr>
            <w:noProof/>
            <w:webHidden/>
          </w:rPr>
        </w:r>
        <w:r w:rsidR="001853BF">
          <w:rPr>
            <w:noProof/>
            <w:webHidden/>
          </w:rPr>
          <w:fldChar w:fldCharType="separate"/>
        </w:r>
        <w:r w:rsidR="001853BF">
          <w:rPr>
            <w:noProof/>
            <w:webHidden/>
          </w:rPr>
          <w:t>191</w:t>
        </w:r>
        <w:r w:rsidR="001853BF">
          <w:rPr>
            <w:noProof/>
            <w:webHidden/>
          </w:rPr>
          <w:fldChar w:fldCharType="end"/>
        </w:r>
      </w:hyperlink>
    </w:p>
    <w:p w14:paraId="48F1AB78" w14:textId="77777777" w:rsidR="001853BF" w:rsidRDefault="00E35F15">
      <w:pPr>
        <w:pStyle w:val="TOC4"/>
        <w:tabs>
          <w:tab w:val="right" w:leader="dot" w:pos="8630"/>
        </w:tabs>
        <w:rPr>
          <w:noProof/>
          <w:sz w:val="22"/>
          <w:szCs w:val="22"/>
        </w:rPr>
      </w:pPr>
      <w:hyperlink w:anchor="_Toc518323319" w:history="1">
        <w:r w:rsidR="001853BF" w:rsidRPr="00FD75E5">
          <w:rPr>
            <w:rStyle w:val="Hyperlink"/>
            <w:i/>
            <w:noProof/>
          </w:rPr>
          <w:t>Trimarco v. Klein</w:t>
        </w:r>
        <w:r w:rsidR="001853BF">
          <w:rPr>
            <w:noProof/>
            <w:webHidden/>
          </w:rPr>
          <w:tab/>
        </w:r>
        <w:r w:rsidR="001853BF">
          <w:rPr>
            <w:noProof/>
            <w:webHidden/>
          </w:rPr>
          <w:fldChar w:fldCharType="begin"/>
        </w:r>
        <w:r w:rsidR="001853BF">
          <w:rPr>
            <w:noProof/>
            <w:webHidden/>
          </w:rPr>
          <w:instrText xml:space="preserve"> PAGEREF _Toc518323319 \h </w:instrText>
        </w:r>
        <w:r w:rsidR="001853BF">
          <w:rPr>
            <w:noProof/>
            <w:webHidden/>
          </w:rPr>
        </w:r>
        <w:r w:rsidR="001853BF">
          <w:rPr>
            <w:noProof/>
            <w:webHidden/>
          </w:rPr>
          <w:fldChar w:fldCharType="separate"/>
        </w:r>
        <w:r w:rsidR="001853BF">
          <w:rPr>
            <w:noProof/>
            <w:webHidden/>
          </w:rPr>
          <w:t>193</w:t>
        </w:r>
        <w:r w:rsidR="001853BF">
          <w:rPr>
            <w:noProof/>
            <w:webHidden/>
          </w:rPr>
          <w:fldChar w:fldCharType="end"/>
        </w:r>
      </w:hyperlink>
    </w:p>
    <w:p w14:paraId="7A4BF27B" w14:textId="77777777" w:rsidR="001853BF" w:rsidRDefault="00E35F15">
      <w:pPr>
        <w:pStyle w:val="TOC4"/>
        <w:tabs>
          <w:tab w:val="right" w:leader="dot" w:pos="8630"/>
        </w:tabs>
        <w:rPr>
          <w:noProof/>
          <w:sz w:val="22"/>
          <w:szCs w:val="22"/>
        </w:rPr>
      </w:pPr>
      <w:hyperlink w:anchor="_Toc51832332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_Toc518323320 \h </w:instrText>
        </w:r>
        <w:r w:rsidR="001853BF">
          <w:rPr>
            <w:noProof/>
            <w:webHidden/>
          </w:rPr>
        </w:r>
        <w:r w:rsidR="001853BF">
          <w:rPr>
            <w:noProof/>
            <w:webHidden/>
          </w:rPr>
          <w:fldChar w:fldCharType="separate"/>
        </w:r>
        <w:r w:rsidR="001853BF">
          <w:rPr>
            <w:noProof/>
            <w:webHidden/>
          </w:rPr>
          <w:t>195</w:t>
        </w:r>
        <w:r w:rsidR="001853BF">
          <w:rPr>
            <w:noProof/>
            <w:webHidden/>
          </w:rPr>
          <w:fldChar w:fldCharType="end"/>
        </w:r>
      </w:hyperlink>
    </w:p>
    <w:p w14:paraId="4EA25B5C" w14:textId="77777777" w:rsidR="001853BF" w:rsidRDefault="00E35F15">
      <w:pPr>
        <w:pStyle w:val="TOC3"/>
        <w:tabs>
          <w:tab w:val="right" w:leader="dot" w:pos="8630"/>
        </w:tabs>
        <w:rPr>
          <w:noProof/>
        </w:rPr>
      </w:pPr>
      <w:hyperlink w:anchor="_Toc518323321" w:history="1">
        <w:r w:rsidR="001853BF" w:rsidRPr="000F1856">
          <w:rPr>
            <w:rStyle w:val="Hyperlink"/>
            <w:noProof/>
          </w:rPr>
          <w:t>2.  Custom and Medical Malpractice Cases</w:t>
        </w:r>
        <w:r w:rsidR="001853BF">
          <w:rPr>
            <w:noProof/>
            <w:webHidden/>
          </w:rPr>
          <w:tab/>
        </w:r>
        <w:r w:rsidR="001853BF">
          <w:rPr>
            <w:noProof/>
            <w:webHidden/>
          </w:rPr>
          <w:fldChar w:fldCharType="begin"/>
        </w:r>
        <w:r w:rsidR="001853BF">
          <w:rPr>
            <w:noProof/>
            <w:webHidden/>
          </w:rPr>
          <w:instrText xml:space="preserve"> PAGEREF _Toc518323321 \h </w:instrText>
        </w:r>
        <w:r w:rsidR="001853BF">
          <w:rPr>
            <w:noProof/>
            <w:webHidden/>
          </w:rPr>
        </w:r>
        <w:r w:rsidR="001853BF">
          <w:rPr>
            <w:noProof/>
            <w:webHidden/>
          </w:rPr>
          <w:fldChar w:fldCharType="separate"/>
        </w:r>
        <w:r w:rsidR="001853BF">
          <w:rPr>
            <w:noProof/>
            <w:webHidden/>
          </w:rPr>
          <w:t>196</w:t>
        </w:r>
        <w:r w:rsidR="001853BF">
          <w:rPr>
            <w:noProof/>
            <w:webHidden/>
          </w:rPr>
          <w:fldChar w:fldCharType="end"/>
        </w:r>
      </w:hyperlink>
    </w:p>
    <w:p w14:paraId="4597A9DE" w14:textId="77777777" w:rsidR="001853BF" w:rsidRDefault="00E35F15">
      <w:pPr>
        <w:pStyle w:val="TOC4"/>
        <w:tabs>
          <w:tab w:val="right" w:leader="dot" w:pos="8630"/>
        </w:tabs>
        <w:rPr>
          <w:noProof/>
          <w:sz w:val="22"/>
          <w:szCs w:val="22"/>
        </w:rPr>
      </w:pPr>
      <w:hyperlink w:anchor="_Toc518323322" w:history="1">
        <w:r w:rsidR="001853BF" w:rsidRPr="00FD75E5">
          <w:rPr>
            <w:rStyle w:val="Hyperlink"/>
            <w:i/>
            <w:noProof/>
          </w:rPr>
          <w:t>Brune v. Belinkoff</w:t>
        </w:r>
        <w:r w:rsidR="001853BF">
          <w:rPr>
            <w:noProof/>
            <w:webHidden/>
          </w:rPr>
          <w:tab/>
        </w:r>
        <w:r w:rsidR="001853BF">
          <w:rPr>
            <w:noProof/>
            <w:webHidden/>
          </w:rPr>
          <w:fldChar w:fldCharType="begin"/>
        </w:r>
        <w:r w:rsidR="001853BF">
          <w:rPr>
            <w:noProof/>
            <w:webHidden/>
          </w:rPr>
          <w:instrText xml:space="preserve"> PAGEREF _Toc518323322 \h </w:instrText>
        </w:r>
        <w:r w:rsidR="001853BF">
          <w:rPr>
            <w:noProof/>
            <w:webHidden/>
          </w:rPr>
        </w:r>
        <w:r w:rsidR="001853BF">
          <w:rPr>
            <w:noProof/>
            <w:webHidden/>
          </w:rPr>
          <w:fldChar w:fldCharType="separate"/>
        </w:r>
        <w:r w:rsidR="001853BF">
          <w:rPr>
            <w:noProof/>
            <w:webHidden/>
          </w:rPr>
          <w:t>196</w:t>
        </w:r>
        <w:r w:rsidR="001853BF">
          <w:rPr>
            <w:noProof/>
            <w:webHidden/>
          </w:rPr>
          <w:fldChar w:fldCharType="end"/>
        </w:r>
      </w:hyperlink>
    </w:p>
    <w:p w14:paraId="665C947F" w14:textId="77777777" w:rsidR="001853BF" w:rsidRDefault="00E35F15">
      <w:pPr>
        <w:pStyle w:val="TOC4"/>
        <w:tabs>
          <w:tab w:val="right" w:leader="dot" w:pos="8630"/>
        </w:tabs>
        <w:rPr>
          <w:noProof/>
          <w:sz w:val="22"/>
          <w:szCs w:val="22"/>
        </w:rPr>
      </w:pPr>
      <w:hyperlink w:anchor="_Toc51832332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_Toc518323323 \h </w:instrText>
        </w:r>
        <w:r w:rsidR="001853BF">
          <w:rPr>
            <w:noProof/>
            <w:webHidden/>
          </w:rPr>
        </w:r>
        <w:r w:rsidR="001853BF">
          <w:rPr>
            <w:noProof/>
            <w:webHidden/>
          </w:rPr>
          <w:fldChar w:fldCharType="separate"/>
        </w:r>
        <w:r w:rsidR="001853BF">
          <w:rPr>
            <w:noProof/>
            <w:webHidden/>
          </w:rPr>
          <w:t>199</w:t>
        </w:r>
        <w:r w:rsidR="001853BF">
          <w:rPr>
            <w:noProof/>
            <w:webHidden/>
          </w:rPr>
          <w:fldChar w:fldCharType="end"/>
        </w:r>
      </w:hyperlink>
    </w:p>
    <w:p w14:paraId="08B9A6BB" w14:textId="03456772" w:rsidR="001853BF" w:rsidRDefault="00E35F15">
      <w:pPr>
        <w:pStyle w:val="TOC4"/>
        <w:tabs>
          <w:tab w:val="right" w:leader="dot" w:pos="8630"/>
        </w:tabs>
        <w:rPr>
          <w:noProof/>
          <w:sz w:val="22"/>
          <w:szCs w:val="22"/>
        </w:rPr>
      </w:pPr>
      <w:hyperlink w:anchor="_Toc518323324" w:history="1">
        <w:r w:rsidR="001853BF" w:rsidRPr="000F1856">
          <w:rPr>
            <w:rStyle w:val="Hyperlink"/>
            <w:noProof/>
          </w:rPr>
          <w:t>Studdert</w:t>
        </w:r>
        <w:r w:rsidR="00475AE3">
          <w:rPr>
            <w:rStyle w:val="Hyperlink"/>
            <w:noProof/>
          </w:rPr>
          <w:t xml:space="preserve">, Mello &amp; </w:t>
        </w:r>
        <w:r w:rsidR="001853BF" w:rsidRPr="000F1856">
          <w:rPr>
            <w:rStyle w:val="Hyperlink"/>
            <w:noProof/>
          </w:rPr>
          <w:t>Brennan, Medical Malpractice</w:t>
        </w:r>
        <w:r w:rsidR="001853BF">
          <w:rPr>
            <w:noProof/>
            <w:webHidden/>
          </w:rPr>
          <w:tab/>
        </w:r>
        <w:r w:rsidR="001853BF">
          <w:rPr>
            <w:noProof/>
            <w:webHidden/>
          </w:rPr>
          <w:fldChar w:fldCharType="begin"/>
        </w:r>
        <w:r w:rsidR="001853BF">
          <w:rPr>
            <w:noProof/>
            <w:webHidden/>
          </w:rPr>
          <w:instrText xml:space="preserve"> PAGEREF _Toc518323324 \h </w:instrText>
        </w:r>
        <w:r w:rsidR="001853BF">
          <w:rPr>
            <w:noProof/>
            <w:webHidden/>
          </w:rPr>
        </w:r>
        <w:r w:rsidR="001853BF">
          <w:rPr>
            <w:noProof/>
            <w:webHidden/>
          </w:rPr>
          <w:fldChar w:fldCharType="separate"/>
        </w:r>
        <w:r w:rsidR="001853BF">
          <w:rPr>
            <w:noProof/>
            <w:webHidden/>
          </w:rPr>
          <w:t>200</w:t>
        </w:r>
        <w:r w:rsidR="001853BF">
          <w:rPr>
            <w:noProof/>
            <w:webHidden/>
          </w:rPr>
          <w:fldChar w:fldCharType="end"/>
        </w:r>
      </w:hyperlink>
    </w:p>
    <w:p w14:paraId="553DF833" w14:textId="77777777" w:rsidR="001853BF" w:rsidRDefault="00E35F15">
      <w:pPr>
        <w:pStyle w:val="TOC4"/>
        <w:tabs>
          <w:tab w:val="right" w:leader="dot" w:pos="8630"/>
        </w:tabs>
        <w:rPr>
          <w:noProof/>
          <w:sz w:val="22"/>
          <w:szCs w:val="22"/>
        </w:rPr>
      </w:pPr>
      <w:hyperlink w:anchor="_Toc51832332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_Toc518323325 \h </w:instrText>
        </w:r>
        <w:r w:rsidR="001853BF">
          <w:rPr>
            <w:noProof/>
            <w:webHidden/>
          </w:rPr>
        </w:r>
        <w:r w:rsidR="001853BF">
          <w:rPr>
            <w:noProof/>
            <w:webHidden/>
          </w:rPr>
          <w:fldChar w:fldCharType="separate"/>
        </w:r>
        <w:r w:rsidR="001853BF">
          <w:rPr>
            <w:noProof/>
            <w:webHidden/>
          </w:rPr>
          <w:t>200</w:t>
        </w:r>
        <w:r w:rsidR="001853BF">
          <w:rPr>
            <w:noProof/>
            <w:webHidden/>
          </w:rPr>
          <w:fldChar w:fldCharType="end"/>
        </w:r>
      </w:hyperlink>
    </w:p>
    <w:p w14:paraId="45679312" w14:textId="77777777" w:rsidR="001853BF" w:rsidRDefault="00E35F15">
      <w:pPr>
        <w:pStyle w:val="TOC2"/>
        <w:tabs>
          <w:tab w:val="right" w:leader="dot" w:pos="8630"/>
        </w:tabs>
        <w:rPr>
          <w:b w:val="0"/>
          <w:noProof/>
        </w:rPr>
      </w:pPr>
      <w:hyperlink w:anchor="_Toc518323326" w:history="1">
        <w:r w:rsidR="001853BF" w:rsidRPr="000F1856">
          <w:rPr>
            <w:rStyle w:val="Hyperlink"/>
            <w:noProof/>
          </w:rPr>
          <w:t>E.  Statutes and Regulations</w:t>
        </w:r>
        <w:r w:rsidR="001853BF">
          <w:rPr>
            <w:noProof/>
            <w:webHidden/>
          </w:rPr>
          <w:tab/>
        </w:r>
        <w:r w:rsidR="001853BF">
          <w:rPr>
            <w:noProof/>
            <w:webHidden/>
          </w:rPr>
          <w:fldChar w:fldCharType="begin"/>
        </w:r>
        <w:r w:rsidR="001853BF">
          <w:rPr>
            <w:noProof/>
            <w:webHidden/>
          </w:rPr>
          <w:instrText xml:space="preserve"> PAGEREF _Toc518323326 \h </w:instrText>
        </w:r>
        <w:r w:rsidR="001853BF">
          <w:rPr>
            <w:noProof/>
            <w:webHidden/>
          </w:rPr>
        </w:r>
        <w:r w:rsidR="001853BF">
          <w:rPr>
            <w:noProof/>
            <w:webHidden/>
          </w:rPr>
          <w:fldChar w:fldCharType="separate"/>
        </w:r>
        <w:r w:rsidR="001853BF">
          <w:rPr>
            <w:noProof/>
            <w:webHidden/>
          </w:rPr>
          <w:t>203</w:t>
        </w:r>
        <w:r w:rsidR="001853BF">
          <w:rPr>
            <w:noProof/>
            <w:webHidden/>
          </w:rPr>
          <w:fldChar w:fldCharType="end"/>
        </w:r>
      </w:hyperlink>
    </w:p>
    <w:p w14:paraId="3181EB83" w14:textId="77777777" w:rsidR="001853BF" w:rsidRDefault="00E35F15">
      <w:pPr>
        <w:pStyle w:val="TOC3"/>
        <w:tabs>
          <w:tab w:val="right" w:leader="dot" w:pos="8630"/>
        </w:tabs>
        <w:rPr>
          <w:noProof/>
        </w:rPr>
      </w:pPr>
      <w:hyperlink w:anchor="_Toc518323327" w:history="1">
        <w:r w:rsidR="001853BF" w:rsidRPr="000F1856">
          <w:rPr>
            <w:rStyle w:val="Hyperlink"/>
            <w:noProof/>
          </w:rPr>
          <w:t>1.  Violations of Statutory Standards</w:t>
        </w:r>
        <w:r w:rsidR="001853BF">
          <w:rPr>
            <w:noProof/>
            <w:webHidden/>
          </w:rPr>
          <w:tab/>
        </w:r>
        <w:r w:rsidR="001853BF">
          <w:rPr>
            <w:noProof/>
            <w:webHidden/>
          </w:rPr>
          <w:fldChar w:fldCharType="begin"/>
        </w:r>
        <w:r w:rsidR="001853BF">
          <w:rPr>
            <w:noProof/>
            <w:webHidden/>
          </w:rPr>
          <w:instrText xml:space="preserve"> PAGEREF _Toc518323327 \h </w:instrText>
        </w:r>
        <w:r w:rsidR="001853BF">
          <w:rPr>
            <w:noProof/>
            <w:webHidden/>
          </w:rPr>
        </w:r>
        <w:r w:rsidR="001853BF">
          <w:rPr>
            <w:noProof/>
            <w:webHidden/>
          </w:rPr>
          <w:fldChar w:fldCharType="separate"/>
        </w:r>
        <w:r w:rsidR="001853BF">
          <w:rPr>
            <w:noProof/>
            <w:webHidden/>
          </w:rPr>
          <w:t>204</w:t>
        </w:r>
        <w:r w:rsidR="001853BF">
          <w:rPr>
            <w:noProof/>
            <w:webHidden/>
          </w:rPr>
          <w:fldChar w:fldCharType="end"/>
        </w:r>
      </w:hyperlink>
    </w:p>
    <w:p w14:paraId="6034CF7D" w14:textId="77777777" w:rsidR="001853BF" w:rsidRDefault="00E35F15">
      <w:pPr>
        <w:pStyle w:val="TOC4"/>
        <w:tabs>
          <w:tab w:val="right" w:leader="dot" w:pos="8630"/>
        </w:tabs>
        <w:rPr>
          <w:noProof/>
          <w:sz w:val="22"/>
          <w:szCs w:val="22"/>
        </w:rPr>
      </w:pPr>
      <w:hyperlink w:anchor="_Toc518323328" w:history="1">
        <w:r w:rsidR="001853BF" w:rsidRPr="00FD75E5">
          <w:rPr>
            <w:rStyle w:val="Hyperlink"/>
            <w:rFonts w:ascii="Times" w:hAnsi="Times" w:cstheme="minorEastAsia"/>
            <w:i/>
            <w:noProof/>
          </w:rPr>
          <w:t>Martin v. Herzog</w:t>
        </w:r>
        <w:r w:rsidR="001853BF" w:rsidRPr="000F1856">
          <w:rPr>
            <w:rStyle w:val="Hyperlink"/>
            <w:rFonts w:ascii="Times" w:hAnsi="Times" w:cstheme="minorEastAsia"/>
            <w:noProof/>
          </w:rPr>
          <w:t>,</w:t>
        </w:r>
        <w:r w:rsidR="001853BF">
          <w:rPr>
            <w:noProof/>
            <w:webHidden/>
          </w:rPr>
          <w:tab/>
        </w:r>
        <w:r w:rsidR="001853BF">
          <w:rPr>
            <w:noProof/>
            <w:webHidden/>
          </w:rPr>
          <w:fldChar w:fldCharType="begin"/>
        </w:r>
        <w:r w:rsidR="001853BF">
          <w:rPr>
            <w:noProof/>
            <w:webHidden/>
          </w:rPr>
          <w:instrText xml:space="preserve"> PAGEREF _Toc518323328 \h </w:instrText>
        </w:r>
        <w:r w:rsidR="001853BF">
          <w:rPr>
            <w:noProof/>
            <w:webHidden/>
          </w:rPr>
        </w:r>
        <w:r w:rsidR="001853BF">
          <w:rPr>
            <w:noProof/>
            <w:webHidden/>
          </w:rPr>
          <w:fldChar w:fldCharType="separate"/>
        </w:r>
        <w:r w:rsidR="001853BF">
          <w:rPr>
            <w:noProof/>
            <w:webHidden/>
          </w:rPr>
          <w:t>204</w:t>
        </w:r>
        <w:r w:rsidR="001853BF">
          <w:rPr>
            <w:noProof/>
            <w:webHidden/>
          </w:rPr>
          <w:fldChar w:fldCharType="end"/>
        </w:r>
      </w:hyperlink>
    </w:p>
    <w:p w14:paraId="6508D283" w14:textId="77777777" w:rsidR="001853BF" w:rsidRDefault="00E35F15">
      <w:pPr>
        <w:pStyle w:val="TOC4"/>
        <w:tabs>
          <w:tab w:val="right" w:leader="dot" w:pos="8630"/>
        </w:tabs>
        <w:rPr>
          <w:noProof/>
          <w:sz w:val="22"/>
          <w:szCs w:val="22"/>
        </w:rPr>
      </w:pPr>
      <w:hyperlink w:anchor="_Toc518323329"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_Toc518323329 \h </w:instrText>
        </w:r>
        <w:r w:rsidR="001853BF">
          <w:rPr>
            <w:noProof/>
            <w:webHidden/>
          </w:rPr>
        </w:r>
        <w:r w:rsidR="001853BF">
          <w:rPr>
            <w:noProof/>
            <w:webHidden/>
          </w:rPr>
          <w:fldChar w:fldCharType="separate"/>
        </w:r>
        <w:r w:rsidR="001853BF">
          <w:rPr>
            <w:noProof/>
            <w:webHidden/>
          </w:rPr>
          <w:t>206</w:t>
        </w:r>
        <w:r w:rsidR="001853BF">
          <w:rPr>
            <w:noProof/>
            <w:webHidden/>
          </w:rPr>
          <w:fldChar w:fldCharType="end"/>
        </w:r>
      </w:hyperlink>
    </w:p>
    <w:p w14:paraId="1E80DF35" w14:textId="77777777" w:rsidR="001853BF" w:rsidRDefault="00E35F15">
      <w:pPr>
        <w:pStyle w:val="TOC4"/>
        <w:tabs>
          <w:tab w:val="right" w:leader="dot" w:pos="8630"/>
        </w:tabs>
        <w:rPr>
          <w:noProof/>
          <w:sz w:val="22"/>
          <w:szCs w:val="22"/>
        </w:rPr>
      </w:pPr>
      <w:hyperlink w:anchor="_Toc518323330" w:history="1">
        <w:r w:rsidR="001853BF" w:rsidRPr="00FD75E5">
          <w:rPr>
            <w:rStyle w:val="Hyperlink"/>
            <w:rFonts w:ascii="Times" w:hAnsi="Times" w:cstheme="minorEastAsia"/>
            <w:i/>
            <w:noProof/>
          </w:rPr>
          <w:t>Tedla v. Ellman</w:t>
        </w:r>
        <w:r w:rsidR="001853BF">
          <w:rPr>
            <w:noProof/>
            <w:webHidden/>
          </w:rPr>
          <w:tab/>
        </w:r>
        <w:r w:rsidR="001853BF">
          <w:rPr>
            <w:noProof/>
            <w:webHidden/>
          </w:rPr>
          <w:fldChar w:fldCharType="begin"/>
        </w:r>
        <w:r w:rsidR="001853BF">
          <w:rPr>
            <w:noProof/>
            <w:webHidden/>
          </w:rPr>
          <w:instrText xml:space="preserve"> PAGEREF _Toc518323330 \h </w:instrText>
        </w:r>
        <w:r w:rsidR="001853BF">
          <w:rPr>
            <w:noProof/>
            <w:webHidden/>
          </w:rPr>
        </w:r>
        <w:r w:rsidR="001853BF">
          <w:rPr>
            <w:noProof/>
            <w:webHidden/>
          </w:rPr>
          <w:fldChar w:fldCharType="separate"/>
        </w:r>
        <w:r w:rsidR="001853BF">
          <w:rPr>
            <w:noProof/>
            <w:webHidden/>
          </w:rPr>
          <w:t>206</w:t>
        </w:r>
        <w:r w:rsidR="001853BF">
          <w:rPr>
            <w:noProof/>
            <w:webHidden/>
          </w:rPr>
          <w:fldChar w:fldCharType="end"/>
        </w:r>
      </w:hyperlink>
    </w:p>
    <w:p w14:paraId="50FFB225" w14:textId="77777777" w:rsidR="001853BF" w:rsidRDefault="00E35F15">
      <w:pPr>
        <w:pStyle w:val="TOC4"/>
        <w:tabs>
          <w:tab w:val="right" w:leader="dot" w:pos="8630"/>
        </w:tabs>
        <w:rPr>
          <w:noProof/>
          <w:sz w:val="22"/>
          <w:szCs w:val="22"/>
        </w:rPr>
      </w:pPr>
      <w:hyperlink w:anchor="_Toc51832333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_Toc518323331 \h </w:instrText>
        </w:r>
        <w:r w:rsidR="001853BF">
          <w:rPr>
            <w:noProof/>
            <w:webHidden/>
          </w:rPr>
        </w:r>
        <w:r w:rsidR="001853BF">
          <w:rPr>
            <w:noProof/>
            <w:webHidden/>
          </w:rPr>
          <w:fldChar w:fldCharType="separate"/>
        </w:r>
        <w:r w:rsidR="001853BF">
          <w:rPr>
            <w:noProof/>
            <w:webHidden/>
          </w:rPr>
          <w:t>209</w:t>
        </w:r>
        <w:r w:rsidR="001853BF">
          <w:rPr>
            <w:noProof/>
            <w:webHidden/>
          </w:rPr>
          <w:fldChar w:fldCharType="end"/>
        </w:r>
      </w:hyperlink>
    </w:p>
    <w:p w14:paraId="7C6210A0" w14:textId="77777777" w:rsidR="001853BF" w:rsidRDefault="00E35F15">
      <w:pPr>
        <w:pStyle w:val="TOC4"/>
        <w:tabs>
          <w:tab w:val="right" w:leader="dot" w:pos="8630"/>
        </w:tabs>
        <w:rPr>
          <w:noProof/>
          <w:sz w:val="22"/>
          <w:szCs w:val="22"/>
        </w:rPr>
      </w:pPr>
      <w:hyperlink w:anchor="_Toc518323332" w:history="1">
        <w:r w:rsidR="001853BF" w:rsidRPr="00FD75E5">
          <w:rPr>
            <w:rStyle w:val="Hyperlink"/>
            <w:rFonts w:ascii="Times" w:hAnsi="Times" w:cstheme="minorEastAsia"/>
            <w:i/>
            <w:noProof/>
          </w:rPr>
          <w:t>Gorris v. Scott</w:t>
        </w:r>
        <w:r w:rsidR="001853BF">
          <w:rPr>
            <w:noProof/>
            <w:webHidden/>
          </w:rPr>
          <w:tab/>
        </w:r>
        <w:r w:rsidR="001853BF">
          <w:rPr>
            <w:noProof/>
            <w:webHidden/>
          </w:rPr>
          <w:fldChar w:fldCharType="begin"/>
        </w:r>
        <w:r w:rsidR="001853BF">
          <w:rPr>
            <w:noProof/>
            <w:webHidden/>
          </w:rPr>
          <w:instrText xml:space="preserve"> PAGEREF _Toc518323332 \h </w:instrText>
        </w:r>
        <w:r w:rsidR="001853BF">
          <w:rPr>
            <w:noProof/>
            <w:webHidden/>
          </w:rPr>
        </w:r>
        <w:r w:rsidR="001853BF">
          <w:rPr>
            <w:noProof/>
            <w:webHidden/>
          </w:rPr>
          <w:fldChar w:fldCharType="separate"/>
        </w:r>
        <w:r w:rsidR="001853BF">
          <w:rPr>
            <w:noProof/>
            <w:webHidden/>
          </w:rPr>
          <w:t>210</w:t>
        </w:r>
        <w:r w:rsidR="001853BF">
          <w:rPr>
            <w:noProof/>
            <w:webHidden/>
          </w:rPr>
          <w:fldChar w:fldCharType="end"/>
        </w:r>
      </w:hyperlink>
    </w:p>
    <w:p w14:paraId="5924CC80" w14:textId="77777777" w:rsidR="001853BF" w:rsidRDefault="00E35F15">
      <w:pPr>
        <w:pStyle w:val="TOC4"/>
        <w:tabs>
          <w:tab w:val="right" w:leader="dot" w:pos="8630"/>
        </w:tabs>
        <w:rPr>
          <w:noProof/>
          <w:sz w:val="22"/>
          <w:szCs w:val="22"/>
        </w:rPr>
      </w:pPr>
      <w:hyperlink w:anchor="_Toc518323333" w:history="1">
        <w:r w:rsidR="001853BF" w:rsidRPr="000F1856">
          <w:rPr>
            <w:rStyle w:val="Hyperlink"/>
            <w:noProof/>
          </w:rPr>
          <w:t>The Restatement Approach</w:t>
        </w:r>
        <w:r w:rsidR="001853BF">
          <w:rPr>
            <w:noProof/>
            <w:webHidden/>
          </w:rPr>
          <w:tab/>
        </w:r>
        <w:r w:rsidR="001853BF">
          <w:rPr>
            <w:noProof/>
            <w:webHidden/>
          </w:rPr>
          <w:fldChar w:fldCharType="begin"/>
        </w:r>
        <w:r w:rsidR="001853BF">
          <w:rPr>
            <w:noProof/>
            <w:webHidden/>
          </w:rPr>
          <w:instrText xml:space="preserve"> PAGEREF _Toc518323333 \h </w:instrText>
        </w:r>
        <w:r w:rsidR="001853BF">
          <w:rPr>
            <w:noProof/>
            <w:webHidden/>
          </w:rPr>
        </w:r>
        <w:r w:rsidR="001853BF">
          <w:rPr>
            <w:noProof/>
            <w:webHidden/>
          </w:rPr>
          <w:fldChar w:fldCharType="separate"/>
        </w:r>
        <w:r w:rsidR="001853BF">
          <w:rPr>
            <w:noProof/>
            <w:webHidden/>
          </w:rPr>
          <w:t>211</w:t>
        </w:r>
        <w:r w:rsidR="001853BF">
          <w:rPr>
            <w:noProof/>
            <w:webHidden/>
          </w:rPr>
          <w:fldChar w:fldCharType="end"/>
        </w:r>
      </w:hyperlink>
    </w:p>
    <w:p w14:paraId="73C6266F" w14:textId="77777777" w:rsidR="001853BF" w:rsidRDefault="00E35F15">
      <w:pPr>
        <w:pStyle w:val="TOC3"/>
        <w:tabs>
          <w:tab w:val="right" w:leader="dot" w:pos="8630"/>
        </w:tabs>
        <w:rPr>
          <w:noProof/>
        </w:rPr>
      </w:pPr>
      <w:hyperlink w:anchor="_Toc518323334" w:history="1">
        <w:r w:rsidR="001853BF" w:rsidRPr="000F1856">
          <w:rPr>
            <w:rStyle w:val="Hyperlink"/>
            <w:noProof/>
          </w:rPr>
          <w:t>2.  A Regulatory Compliance Defense?</w:t>
        </w:r>
        <w:r w:rsidR="001853BF">
          <w:rPr>
            <w:noProof/>
            <w:webHidden/>
          </w:rPr>
          <w:tab/>
        </w:r>
        <w:r w:rsidR="001853BF">
          <w:rPr>
            <w:noProof/>
            <w:webHidden/>
          </w:rPr>
          <w:fldChar w:fldCharType="begin"/>
        </w:r>
        <w:r w:rsidR="001853BF">
          <w:rPr>
            <w:noProof/>
            <w:webHidden/>
          </w:rPr>
          <w:instrText xml:space="preserve"> PAGEREF _Toc518323334 \h </w:instrText>
        </w:r>
        <w:r w:rsidR="001853BF">
          <w:rPr>
            <w:noProof/>
            <w:webHidden/>
          </w:rPr>
        </w:r>
        <w:r w:rsidR="001853BF">
          <w:rPr>
            <w:noProof/>
            <w:webHidden/>
          </w:rPr>
          <w:fldChar w:fldCharType="separate"/>
        </w:r>
        <w:r w:rsidR="001853BF">
          <w:rPr>
            <w:noProof/>
            <w:webHidden/>
          </w:rPr>
          <w:t>211</w:t>
        </w:r>
        <w:r w:rsidR="001853BF">
          <w:rPr>
            <w:noProof/>
            <w:webHidden/>
          </w:rPr>
          <w:fldChar w:fldCharType="end"/>
        </w:r>
      </w:hyperlink>
    </w:p>
    <w:p w14:paraId="13BD6BA9" w14:textId="77777777" w:rsidR="001853BF" w:rsidRDefault="00E35F15">
      <w:pPr>
        <w:pStyle w:val="TOC3"/>
        <w:tabs>
          <w:tab w:val="right" w:leader="dot" w:pos="8630"/>
        </w:tabs>
        <w:rPr>
          <w:noProof/>
        </w:rPr>
      </w:pPr>
      <w:hyperlink w:anchor="_Toc518323335" w:history="1">
        <w:r w:rsidR="001853BF" w:rsidRPr="000F1856">
          <w:rPr>
            <w:rStyle w:val="Hyperlink"/>
            <w:noProof/>
          </w:rPr>
          <w:t>3.  Torts in the Modern State: Implied Private Causes of Action</w:t>
        </w:r>
        <w:r w:rsidR="001853BF">
          <w:rPr>
            <w:noProof/>
            <w:webHidden/>
          </w:rPr>
          <w:tab/>
        </w:r>
        <w:r w:rsidR="001853BF">
          <w:rPr>
            <w:noProof/>
            <w:webHidden/>
          </w:rPr>
          <w:fldChar w:fldCharType="begin"/>
        </w:r>
        <w:r w:rsidR="001853BF">
          <w:rPr>
            <w:noProof/>
            <w:webHidden/>
          </w:rPr>
          <w:instrText xml:space="preserve"> PAGEREF _Toc518323335 \h </w:instrText>
        </w:r>
        <w:r w:rsidR="001853BF">
          <w:rPr>
            <w:noProof/>
            <w:webHidden/>
          </w:rPr>
        </w:r>
        <w:r w:rsidR="001853BF">
          <w:rPr>
            <w:noProof/>
            <w:webHidden/>
          </w:rPr>
          <w:fldChar w:fldCharType="separate"/>
        </w:r>
        <w:r w:rsidR="001853BF">
          <w:rPr>
            <w:noProof/>
            <w:webHidden/>
          </w:rPr>
          <w:t>213</w:t>
        </w:r>
        <w:r w:rsidR="001853BF">
          <w:rPr>
            <w:noProof/>
            <w:webHidden/>
          </w:rPr>
          <w:fldChar w:fldCharType="end"/>
        </w:r>
      </w:hyperlink>
    </w:p>
    <w:p w14:paraId="64D7E545" w14:textId="77777777" w:rsidR="001853BF" w:rsidRDefault="00E35F15">
      <w:pPr>
        <w:pStyle w:val="TOC4"/>
        <w:tabs>
          <w:tab w:val="right" w:leader="dot" w:pos="8630"/>
        </w:tabs>
        <w:rPr>
          <w:noProof/>
          <w:sz w:val="22"/>
          <w:szCs w:val="22"/>
        </w:rPr>
      </w:pPr>
      <w:hyperlink w:anchor="_Toc518323336" w:history="1">
        <w:r w:rsidR="001853BF" w:rsidRPr="00FD75E5">
          <w:rPr>
            <w:rStyle w:val="Hyperlink"/>
            <w:rFonts w:ascii="Times" w:hAnsi="Times" w:cstheme="minorEastAsia"/>
            <w:i/>
            <w:noProof/>
          </w:rPr>
          <w:t>Uhr v. East Greenbush Central School District</w:t>
        </w:r>
        <w:r w:rsidR="001853BF">
          <w:rPr>
            <w:noProof/>
            <w:webHidden/>
          </w:rPr>
          <w:tab/>
        </w:r>
        <w:r w:rsidR="001853BF">
          <w:rPr>
            <w:noProof/>
            <w:webHidden/>
          </w:rPr>
          <w:fldChar w:fldCharType="begin"/>
        </w:r>
        <w:r w:rsidR="001853BF">
          <w:rPr>
            <w:noProof/>
            <w:webHidden/>
          </w:rPr>
          <w:instrText xml:space="preserve"> PAGEREF _Toc518323336 \h </w:instrText>
        </w:r>
        <w:r w:rsidR="001853BF">
          <w:rPr>
            <w:noProof/>
            <w:webHidden/>
          </w:rPr>
        </w:r>
        <w:r w:rsidR="001853BF">
          <w:rPr>
            <w:noProof/>
            <w:webHidden/>
          </w:rPr>
          <w:fldChar w:fldCharType="separate"/>
        </w:r>
        <w:r w:rsidR="001853BF">
          <w:rPr>
            <w:noProof/>
            <w:webHidden/>
          </w:rPr>
          <w:t>213</w:t>
        </w:r>
        <w:r w:rsidR="001853BF">
          <w:rPr>
            <w:noProof/>
            <w:webHidden/>
          </w:rPr>
          <w:fldChar w:fldCharType="end"/>
        </w:r>
      </w:hyperlink>
    </w:p>
    <w:p w14:paraId="49836EB8" w14:textId="77777777" w:rsidR="001853BF" w:rsidRDefault="00E35F15">
      <w:pPr>
        <w:pStyle w:val="TOC4"/>
        <w:tabs>
          <w:tab w:val="right" w:leader="dot" w:pos="8630"/>
        </w:tabs>
        <w:rPr>
          <w:noProof/>
          <w:sz w:val="22"/>
          <w:szCs w:val="22"/>
        </w:rPr>
      </w:pPr>
      <w:hyperlink w:anchor="_Toc51832333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_Toc518323337 \h </w:instrText>
        </w:r>
        <w:r w:rsidR="001853BF">
          <w:rPr>
            <w:noProof/>
            <w:webHidden/>
          </w:rPr>
        </w:r>
        <w:r w:rsidR="001853BF">
          <w:rPr>
            <w:noProof/>
            <w:webHidden/>
          </w:rPr>
          <w:fldChar w:fldCharType="separate"/>
        </w:r>
        <w:r w:rsidR="001853BF">
          <w:rPr>
            <w:noProof/>
            <w:webHidden/>
          </w:rPr>
          <w:t>216</w:t>
        </w:r>
        <w:r w:rsidR="001853BF">
          <w:rPr>
            <w:noProof/>
            <w:webHidden/>
          </w:rPr>
          <w:fldChar w:fldCharType="end"/>
        </w:r>
      </w:hyperlink>
    </w:p>
    <w:p w14:paraId="523B5CD6" w14:textId="77777777" w:rsidR="001853BF" w:rsidRDefault="00E35F15">
      <w:pPr>
        <w:pStyle w:val="TOC2"/>
        <w:tabs>
          <w:tab w:val="right" w:leader="dot" w:pos="8630"/>
        </w:tabs>
        <w:rPr>
          <w:b w:val="0"/>
          <w:noProof/>
        </w:rPr>
      </w:pPr>
      <w:hyperlink w:anchor="_Toc518323338" w:history="1">
        <w:r w:rsidR="001853BF" w:rsidRPr="000F1856">
          <w:rPr>
            <w:rStyle w:val="Hyperlink"/>
            <w:noProof/>
          </w:rPr>
          <w:t>F.  Proof of Negligence</w:t>
        </w:r>
        <w:r w:rsidR="001853BF">
          <w:rPr>
            <w:noProof/>
            <w:webHidden/>
          </w:rPr>
          <w:tab/>
        </w:r>
        <w:r w:rsidR="001853BF">
          <w:rPr>
            <w:noProof/>
            <w:webHidden/>
          </w:rPr>
          <w:fldChar w:fldCharType="begin"/>
        </w:r>
        <w:r w:rsidR="001853BF">
          <w:rPr>
            <w:noProof/>
            <w:webHidden/>
          </w:rPr>
          <w:instrText xml:space="preserve"> PAGEREF _Toc518323338 \h </w:instrText>
        </w:r>
        <w:r w:rsidR="001853BF">
          <w:rPr>
            <w:noProof/>
            <w:webHidden/>
          </w:rPr>
        </w:r>
        <w:r w:rsidR="001853BF">
          <w:rPr>
            <w:noProof/>
            <w:webHidden/>
          </w:rPr>
          <w:fldChar w:fldCharType="separate"/>
        </w:r>
        <w:r w:rsidR="001853BF">
          <w:rPr>
            <w:noProof/>
            <w:webHidden/>
          </w:rPr>
          <w:t>219</w:t>
        </w:r>
        <w:r w:rsidR="001853BF">
          <w:rPr>
            <w:noProof/>
            <w:webHidden/>
          </w:rPr>
          <w:fldChar w:fldCharType="end"/>
        </w:r>
      </w:hyperlink>
    </w:p>
    <w:p w14:paraId="4A656F55" w14:textId="779BA42E" w:rsidR="001853BF" w:rsidRDefault="00E35F15">
      <w:pPr>
        <w:pStyle w:val="TOC3"/>
        <w:tabs>
          <w:tab w:val="left" w:pos="960"/>
          <w:tab w:val="right" w:leader="dot" w:pos="8630"/>
        </w:tabs>
        <w:rPr>
          <w:noProof/>
        </w:rPr>
      </w:pPr>
      <w:hyperlink w:anchor="_Toc518323339" w:history="1">
        <w:r w:rsidR="001853BF" w:rsidRPr="000F1856">
          <w:rPr>
            <w:rStyle w:val="Hyperlink"/>
            <w:noProof/>
          </w:rPr>
          <w:t>1.</w:t>
        </w:r>
        <w:r w:rsidR="007663E9">
          <w:rPr>
            <w:noProof/>
          </w:rPr>
          <w:t xml:space="preserve"> </w:t>
        </w:r>
        <w:r w:rsidR="001853BF" w:rsidRPr="000F1856">
          <w:rPr>
            <w:rStyle w:val="Hyperlink"/>
            <w:noProof/>
          </w:rPr>
          <w:t>The Basic Problem</w:t>
        </w:r>
        <w:r w:rsidR="001853BF">
          <w:rPr>
            <w:noProof/>
            <w:webHidden/>
          </w:rPr>
          <w:tab/>
        </w:r>
        <w:r w:rsidR="001853BF">
          <w:rPr>
            <w:noProof/>
            <w:webHidden/>
          </w:rPr>
          <w:fldChar w:fldCharType="begin"/>
        </w:r>
        <w:r w:rsidR="001853BF">
          <w:rPr>
            <w:noProof/>
            <w:webHidden/>
          </w:rPr>
          <w:instrText xml:space="preserve"> PAGEREF _Toc518323339 \h </w:instrText>
        </w:r>
        <w:r w:rsidR="001853BF">
          <w:rPr>
            <w:noProof/>
            <w:webHidden/>
          </w:rPr>
        </w:r>
        <w:r w:rsidR="001853BF">
          <w:rPr>
            <w:noProof/>
            <w:webHidden/>
          </w:rPr>
          <w:fldChar w:fldCharType="separate"/>
        </w:r>
        <w:r w:rsidR="001853BF">
          <w:rPr>
            <w:noProof/>
            <w:webHidden/>
          </w:rPr>
          <w:t>219</w:t>
        </w:r>
        <w:r w:rsidR="001853BF">
          <w:rPr>
            <w:noProof/>
            <w:webHidden/>
          </w:rPr>
          <w:fldChar w:fldCharType="end"/>
        </w:r>
      </w:hyperlink>
    </w:p>
    <w:p w14:paraId="306CF7CE" w14:textId="77777777" w:rsidR="001853BF" w:rsidRDefault="00E35F15">
      <w:pPr>
        <w:pStyle w:val="TOC4"/>
        <w:tabs>
          <w:tab w:val="right" w:leader="dot" w:pos="8630"/>
        </w:tabs>
        <w:rPr>
          <w:noProof/>
          <w:sz w:val="22"/>
          <w:szCs w:val="22"/>
        </w:rPr>
      </w:pPr>
      <w:hyperlink w:anchor="_Toc518323340" w:history="1">
        <w:r w:rsidR="001853BF" w:rsidRPr="00FD75E5">
          <w:rPr>
            <w:rStyle w:val="Hyperlink"/>
            <w:i/>
            <w:noProof/>
          </w:rPr>
          <w:t>Howard v. Wal-Mart Stores, Inc</w:t>
        </w:r>
        <w:r w:rsidR="001853BF" w:rsidRPr="000F1856">
          <w:rPr>
            <w:rStyle w:val="Hyperlink"/>
            <w:noProof/>
          </w:rPr>
          <w:t>.</w:t>
        </w:r>
        <w:r w:rsidR="001853BF">
          <w:rPr>
            <w:noProof/>
            <w:webHidden/>
          </w:rPr>
          <w:tab/>
        </w:r>
        <w:r w:rsidR="001853BF">
          <w:rPr>
            <w:noProof/>
            <w:webHidden/>
          </w:rPr>
          <w:fldChar w:fldCharType="begin"/>
        </w:r>
        <w:r w:rsidR="001853BF">
          <w:rPr>
            <w:noProof/>
            <w:webHidden/>
          </w:rPr>
          <w:instrText xml:space="preserve"> PAGEREF _Toc518323340 \h </w:instrText>
        </w:r>
        <w:r w:rsidR="001853BF">
          <w:rPr>
            <w:noProof/>
            <w:webHidden/>
          </w:rPr>
        </w:r>
        <w:r w:rsidR="001853BF">
          <w:rPr>
            <w:noProof/>
            <w:webHidden/>
          </w:rPr>
          <w:fldChar w:fldCharType="separate"/>
        </w:r>
        <w:r w:rsidR="001853BF">
          <w:rPr>
            <w:noProof/>
            <w:webHidden/>
          </w:rPr>
          <w:t>219</w:t>
        </w:r>
        <w:r w:rsidR="001853BF">
          <w:rPr>
            <w:noProof/>
            <w:webHidden/>
          </w:rPr>
          <w:fldChar w:fldCharType="end"/>
        </w:r>
      </w:hyperlink>
    </w:p>
    <w:p w14:paraId="5F6B7133" w14:textId="77777777" w:rsidR="001853BF" w:rsidRDefault="00E35F15">
      <w:pPr>
        <w:pStyle w:val="TOC4"/>
        <w:tabs>
          <w:tab w:val="right" w:leader="dot" w:pos="8630"/>
        </w:tabs>
        <w:rPr>
          <w:noProof/>
          <w:sz w:val="22"/>
          <w:szCs w:val="22"/>
        </w:rPr>
      </w:pPr>
      <w:hyperlink w:anchor="_Toc51832334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_Toc518323341 \h </w:instrText>
        </w:r>
        <w:r w:rsidR="001853BF">
          <w:rPr>
            <w:noProof/>
            <w:webHidden/>
          </w:rPr>
        </w:r>
        <w:r w:rsidR="001853BF">
          <w:rPr>
            <w:noProof/>
            <w:webHidden/>
          </w:rPr>
          <w:fldChar w:fldCharType="separate"/>
        </w:r>
        <w:r w:rsidR="001853BF">
          <w:rPr>
            <w:noProof/>
            <w:webHidden/>
          </w:rPr>
          <w:t>221</w:t>
        </w:r>
        <w:r w:rsidR="001853BF">
          <w:rPr>
            <w:noProof/>
            <w:webHidden/>
          </w:rPr>
          <w:fldChar w:fldCharType="end"/>
        </w:r>
      </w:hyperlink>
    </w:p>
    <w:p w14:paraId="37E2A9CA" w14:textId="77777777" w:rsidR="001853BF" w:rsidRDefault="00E35F15">
      <w:pPr>
        <w:pStyle w:val="TOC3"/>
        <w:tabs>
          <w:tab w:val="right" w:leader="dot" w:pos="8630"/>
        </w:tabs>
        <w:rPr>
          <w:noProof/>
        </w:rPr>
      </w:pPr>
      <w:hyperlink w:anchor="_Toc518323342" w:history="1">
        <w:r w:rsidR="001853BF" w:rsidRPr="000F1856">
          <w:rPr>
            <w:rStyle w:val="Hyperlink"/>
            <w:noProof/>
          </w:rPr>
          <w:t>2.  Res Ipsa Loquitur</w:t>
        </w:r>
        <w:r w:rsidR="001853BF">
          <w:rPr>
            <w:noProof/>
            <w:webHidden/>
          </w:rPr>
          <w:tab/>
        </w:r>
        <w:r w:rsidR="001853BF">
          <w:rPr>
            <w:noProof/>
            <w:webHidden/>
          </w:rPr>
          <w:fldChar w:fldCharType="begin"/>
        </w:r>
        <w:r w:rsidR="001853BF">
          <w:rPr>
            <w:noProof/>
            <w:webHidden/>
          </w:rPr>
          <w:instrText xml:space="preserve"> PAGEREF _Toc518323342 \h </w:instrText>
        </w:r>
        <w:r w:rsidR="001853BF">
          <w:rPr>
            <w:noProof/>
            <w:webHidden/>
          </w:rPr>
        </w:r>
        <w:r w:rsidR="001853BF">
          <w:rPr>
            <w:noProof/>
            <w:webHidden/>
          </w:rPr>
          <w:fldChar w:fldCharType="separate"/>
        </w:r>
        <w:r w:rsidR="001853BF">
          <w:rPr>
            <w:noProof/>
            <w:webHidden/>
          </w:rPr>
          <w:t>223</w:t>
        </w:r>
        <w:r w:rsidR="001853BF">
          <w:rPr>
            <w:noProof/>
            <w:webHidden/>
          </w:rPr>
          <w:fldChar w:fldCharType="end"/>
        </w:r>
      </w:hyperlink>
    </w:p>
    <w:p w14:paraId="0D987251" w14:textId="77777777" w:rsidR="001853BF" w:rsidRDefault="00E35F15">
      <w:pPr>
        <w:pStyle w:val="TOC4"/>
        <w:tabs>
          <w:tab w:val="right" w:leader="dot" w:pos="8630"/>
        </w:tabs>
        <w:rPr>
          <w:noProof/>
          <w:sz w:val="22"/>
          <w:szCs w:val="22"/>
        </w:rPr>
      </w:pPr>
      <w:hyperlink w:anchor="_Toc518323343" w:history="1">
        <w:r w:rsidR="001853BF" w:rsidRPr="00FD75E5">
          <w:rPr>
            <w:rStyle w:val="Hyperlink"/>
            <w:rFonts w:ascii="Times" w:hAnsi="Times"/>
            <w:i/>
            <w:noProof/>
          </w:rPr>
          <w:t>Byrne v. Boadle</w:t>
        </w:r>
        <w:r w:rsidR="001853BF">
          <w:rPr>
            <w:noProof/>
            <w:webHidden/>
          </w:rPr>
          <w:tab/>
        </w:r>
        <w:r w:rsidR="001853BF">
          <w:rPr>
            <w:noProof/>
            <w:webHidden/>
          </w:rPr>
          <w:fldChar w:fldCharType="begin"/>
        </w:r>
        <w:r w:rsidR="001853BF">
          <w:rPr>
            <w:noProof/>
            <w:webHidden/>
          </w:rPr>
          <w:instrText xml:space="preserve"> PAGEREF _Toc518323343 \h </w:instrText>
        </w:r>
        <w:r w:rsidR="001853BF">
          <w:rPr>
            <w:noProof/>
            <w:webHidden/>
          </w:rPr>
        </w:r>
        <w:r w:rsidR="001853BF">
          <w:rPr>
            <w:noProof/>
            <w:webHidden/>
          </w:rPr>
          <w:fldChar w:fldCharType="separate"/>
        </w:r>
        <w:r w:rsidR="001853BF">
          <w:rPr>
            <w:noProof/>
            <w:webHidden/>
          </w:rPr>
          <w:t>223</w:t>
        </w:r>
        <w:r w:rsidR="001853BF">
          <w:rPr>
            <w:noProof/>
            <w:webHidden/>
          </w:rPr>
          <w:fldChar w:fldCharType="end"/>
        </w:r>
      </w:hyperlink>
    </w:p>
    <w:p w14:paraId="2C664F4A" w14:textId="77777777" w:rsidR="001853BF" w:rsidRDefault="00E35F15">
      <w:pPr>
        <w:pStyle w:val="TOC4"/>
        <w:tabs>
          <w:tab w:val="right" w:leader="dot" w:pos="8630"/>
        </w:tabs>
        <w:rPr>
          <w:noProof/>
          <w:sz w:val="22"/>
          <w:szCs w:val="22"/>
        </w:rPr>
      </w:pPr>
      <w:hyperlink w:anchor="_Toc518323344" w:history="1">
        <w:r w:rsidR="001853BF" w:rsidRPr="00FD75E5">
          <w:rPr>
            <w:rStyle w:val="Hyperlink"/>
            <w:rFonts w:ascii="Times" w:hAnsi="Times"/>
            <w:i/>
            <w:noProof/>
          </w:rPr>
          <w:t>Grajales-Romero v. American Airlines, Inc</w:t>
        </w:r>
        <w:r w:rsidR="001853BF">
          <w:rPr>
            <w:noProof/>
            <w:webHidden/>
          </w:rPr>
          <w:tab/>
        </w:r>
        <w:r w:rsidR="001853BF">
          <w:rPr>
            <w:noProof/>
            <w:webHidden/>
          </w:rPr>
          <w:fldChar w:fldCharType="begin"/>
        </w:r>
        <w:r w:rsidR="001853BF">
          <w:rPr>
            <w:noProof/>
            <w:webHidden/>
          </w:rPr>
          <w:instrText xml:space="preserve"> PAGEREF _Toc518323344 \h </w:instrText>
        </w:r>
        <w:r w:rsidR="001853BF">
          <w:rPr>
            <w:noProof/>
            <w:webHidden/>
          </w:rPr>
        </w:r>
        <w:r w:rsidR="001853BF">
          <w:rPr>
            <w:noProof/>
            <w:webHidden/>
          </w:rPr>
          <w:fldChar w:fldCharType="separate"/>
        </w:r>
        <w:r w:rsidR="001853BF">
          <w:rPr>
            <w:noProof/>
            <w:webHidden/>
          </w:rPr>
          <w:t>226</w:t>
        </w:r>
        <w:r w:rsidR="001853BF">
          <w:rPr>
            <w:noProof/>
            <w:webHidden/>
          </w:rPr>
          <w:fldChar w:fldCharType="end"/>
        </w:r>
      </w:hyperlink>
    </w:p>
    <w:p w14:paraId="6BFC96C2" w14:textId="77777777" w:rsidR="001853BF" w:rsidRDefault="00E35F15">
      <w:pPr>
        <w:pStyle w:val="TOC4"/>
        <w:tabs>
          <w:tab w:val="right" w:leader="dot" w:pos="8630"/>
        </w:tabs>
        <w:rPr>
          <w:noProof/>
          <w:sz w:val="22"/>
          <w:szCs w:val="22"/>
        </w:rPr>
      </w:pPr>
      <w:hyperlink w:anchor="_Toc51832334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_Toc518323345 \h </w:instrText>
        </w:r>
        <w:r w:rsidR="001853BF">
          <w:rPr>
            <w:noProof/>
            <w:webHidden/>
          </w:rPr>
        </w:r>
        <w:r w:rsidR="001853BF">
          <w:rPr>
            <w:noProof/>
            <w:webHidden/>
          </w:rPr>
          <w:fldChar w:fldCharType="separate"/>
        </w:r>
        <w:r w:rsidR="001853BF">
          <w:rPr>
            <w:noProof/>
            <w:webHidden/>
          </w:rPr>
          <w:t>229</w:t>
        </w:r>
        <w:r w:rsidR="001853BF">
          <w:rPr>
            <w:noProof/>
            <w:webHidden/>
          </w:rPr>
          <w:fldChar w:fldCharType="end"/>
        </w:r>
      </w:hyperlink>
    </w:p>
    <w:p w14:paraId="54307840" w14:textId="77777777" w:rsidR="001853BF" w:rsidRDefault="00E35F15">
      <w:pPr>
        <w:pStyle w:val="TOC4"/>
        <w:tabs>
          <w:tab w:val="right" w:leader="dot" w:pos="8630"/>
        </w:tabs>
        <w:rPr>
          <w:noProof/>
          <w:sz w:val="22"/>
          <w:szCs w:val="22"/>
        </w:rPr>
      </w:pPr>
      <w:hyperlink w:anchor="_Toc518323346" w:history="1">
        <w:r w:rsidR="001853BF" w:rsidRPr="00FD75E5">
          <w:rPr>
            <w:rStyle w:val="Hyperlink"/>
            <w:i/>
            <w:noProof/>
          </w:rPr>
          <w:t>Ybarra v. Spangard</w:t>
        </w:r>
        <w:r w:rsidR="001853BF">
          <w:rPr>
            <w:noProof/>
            <w:webHidden/>
          </w:rPr>
          <w:tab/>
        </w:r>
        <w:r w:rsidR="001853BF">
          <w:rPr>
            <w:noProof/>
            <w:webHidden/>
          </w:rPr>
          <w:fldChar w:fldCharType="begin"/>
        </w:r>
        <w:r w:rsidR="001853BF">
          <w:rPr>
            <w:noProof/>
            <w:webHidden/>
          </w:rPr>
          <w:instrText xml:space="preserve"> PAGEREF _Toc518323346 \h </w:instrText>
        </w:r>
        <w:r w:rsidR="001853BF">
          <w:rPr>
            <w:noProof/>
            <w:webHidden/>
          </w:rPr>
        </w:r>
        <w:r w:rsidR="001853BF">
          <w:rPr>
            <w:noProof/>
            <w:webHidden/>
          </w:rPr>
          <w:fldChar w:fldCharType="separate"/>
        </w:r>
        <w:r w:rsidR="001853BF">
          <w:rPr>
            <w:noProof/>
            <w:webHidden/>
          </w:rPr>
          <w:t>230</w:t>
        </w:r>
        <w:r w:rsidR="001853BF">
          <w:rPr>
            <w:noProof/>
            <w:webHidden/>
          </w:rPr>
          <w:fldChar w:fldCharType="end"/>
        </w:r>
      </w:hyperlink>
    </w:p>
    <w:p w14:paraId="62821F1E" w14:textId="77777777" w:rsidR="001853BF" w:rsidRDefault="00E35F15">
      <w:pPr>
        <w:pStyle w:val="TOC3"/>
        <w:tabs>
          <w:tab w:val="right" w:leader="dot" w:pos="8630"/>
        </w:tabs>
        <w:rPr>
          <w:noProof/>
        </w:rPr>
      </w:pPr>
      <w:hyperlink w:anchor="_Toc518323347" w:history="1">
        <w:r w:rsidR="001853BF" w:rsidRPr="000F1856">
          <w:rPr>
            <w:rStyle w:val="Hyperlink"/>
            <w:noProof/>
          </w:rPr>
          <w:t>3. Federal Constitutional Constraints on the Burden of Proof</w:t>
        </w:r>
        <w:r w:rsidR="001853BF">
          <w:rPr>
            <w:noProof/>
            <w:webHidden/>
          </w:rPr>
          <w:tab/>
        </w:r>
        <w:r w:rsidR="001853BF">
          <w:rPr>
            <w:noProof/>
            <w:webHidden/>
          </w:rPr>
          <w:fldChar w:fldCharType="begin"/>
        </w:r>
        <w:r w:rsidR="001853BF">
          <w:rPr>
            <w:noProof/>
            <w:webHidden/>
          </w:rPr>
          <w:instrText xml:space="preserve"> PAGEREF _Toc518323347 \h </w:instrText>
        </w:r>
        <w:r w:rsidR="001853BF">
          <w:rPr>
            <w:noProof/>
            <w:webHidden/>
          </w:rPr>
        </w:r>
        <w:r w:rsidR="001853BF">
          <w:rPr>
            <w:noProof/>
            <w:webHidden/>
          </w:rPr>
          <w:fldChar w:fldCharType="separate"/>
        </w:r>
        <w:r w:rsidR="001853BF">
          <w:rPr>
            <w:noProof/>
            <w:webHidden/>
          </w:rPr>
          <w:t>232</w:t>
        </w:r>
        <w:r w:rsidR="001853BF">
          <w:rPr>
            <w:noProof/>
            <w:webHidden/>
          </w:rPr>
          <w:fldChar w:fldCharType="end"/>
        </w:r>
      </w:hyperlink>
    </w:p>
    <w:p w14:paraId="34F0A302" w14:textId="77777777" w:rsidR="001853BF" w:rsidRDefault="00E35F15">
      <w:pPr>
        <w:pStyle w:val="TOC3"/>
        <w:tabs>
          <w:tab w:val="right" w:leader="dot" w:pos="8630"/>
        </w:tabs>
        <w:rPr>
          <w:noProof/>
        </w:rPr>
      </w:pPr>
      <w:hyperlink w:anchor="_Toc518323348" w:history="1">
        <w:r w:rsidR="001853BF" w:rsidRPr="000F1856">
          <w:rPr>
            <w:rStyle w:val="Hyperlink"/>
            <w:noProof/>
          </w:rPr>
          <w:t>4. A Note on Settlement Mills</w:t>
        </w:r>
        <w:r w:rsidR="001853BF">
          <w:rPr>
            <w:noProof/>
            <w:webHidden/>
          </w:rPr>
          <w:tab/>
        </w:r>
        <w:r w:rsidR="001853BF">
          <w:rPr>
            <w:noProof/>
            <w:webHidden/>
          </w:rPr>
          <w:fldChar w:fldCharType="begin"/>
        </w:r>
        <w:r w:rsidR="001853BF">
          <w:rPr>
            <w:noProof/>
            <w:webHidden/>
          </w:rPr>
          <w:instrText xml:space="preserve"> PAGEREF _Toc518323348 \h </w:instrText>
        </w:r>
        <w:r w:rsidR="001853BF">
          <w:rPr>
            <w:noProof/>
            <w:webHidden/>
          </w:rPr>
        </w:r>
        <w:r w:rsidR="001853BF">
          <w:rPr>
            <w:noProof/>
            <w:webHidden/>
          </w:rPr>
          <w:fldChar w:fldCharType="separate"/>
        </w:r>
        <w:r w:rsidR="001853BF">
          <w:rPr>
            <w:noProof/>
            <w:webHidden/>
          </w:rPr>
          <w:t>235</w:t>
        </w:r>
        <w:r w:rsidR="001853BF">
          <w:rPr>
            <w:noProof/>
            <w:webHidden/>
          </w:rPr>
          <w:fldChar w:fldCharType="end"/>
        </w:r>
      </w:hyperlink>
    </w:p>
    <w:p w14:paraId="0EAA46CA" w14:textId="77777777" w:rsidR="001853BF" w:rsidRDefault="00E35F15">
      <w:pPr>
        <w:pStyle w:val="TOC3"/>
        <w:tabs>
          <w:tab w:val="right" w:leader="dot" w:pos="8630"/>
        </w:tabs>
        <w:rPr>
          <w:noProof/>
        </w:rPr>
      </w:pPr>
      <w:hyperlink w:anchor="_Toc518323349" w:history="1">
        <w:r w:rsidR="001853BF" w:rsidRPr="000F1856">
          <w:rPr>
            <w:rStyle w:val="Hyperlink"/>
            <w:noProof/>
          </w:rPr>
          <w:t>5. Aggregation and Sampling by Bellwether Trials</w:t>
        </w:r>
        <w:r w:rsidR="001853BF">
          <w:rPr>
            <w:noProof/>
            <w:webHidden/>
          </w:rPr>
          <w:tab/>
        </w:r>
        <w:r w:rsidR="001853BF">
          <w:rPr>
            <w:noProof/>
            <w:webHidden/>
          </w:rPr>
          <w:fldChar w:fldCharType="begin"/>
        </w:r>
        <w:r w:rsidR="001853BF">
          <w:rPr>
            <w:noProof/>
            <w:webHidden/>
          </w:rPr>
          <w:instrText xml:space="preserve"> PAGEREF _Toc518323349 \h </w:instrText>
        </w:r>
        <w:r w:rsidR="001853BF">
          <w:rPr>
            <w:noProof/>
            <w:webHidden/>
          </w:rPr>
        </w:r>
        <w:r w:rsidR="001853BF">
          <w:rPr>
            <w:noProof/>
            <w:webHidden/>
          </w:rPr>
          <w:fldChar w:fldCharType="separate"/>
        </w:r>
        <w:r w:rsidR="001853BF">
          <w:rPr>
            <w:noProof/>
            <w:webHidden/>
          </w:rPr>
          <w:t>236</w:t>
        </w:r>
        <w:r w:rsidR="001853BF">
          <w:rPr>
            <w:noProof/>
            <w:webHidden/>
          </w:rPr>
          <w:fldChar w:fldCharType="end"/>
        </w:r>
      </w:hyperlink>
    </w:p>
    <w:p w14:paraId="356A7CAA" w14:textId="40FCFCE0" w:rsidR="001853BF" w:rsidRDefault="00E35F15">
      <w:pPr>
        <w:pStyle w:val="TOC4"/>
        <w:tabs>
          <w:tab w:val="right" w:leader="dot" w:pos="8630"/>
        </w:tabs>
        <w:rPr>
          <w:noProof/>
          <w:sz w:val="22"/>
          <w:szCs w:val="22"/>
        </w:rPr>
      </w:pPr>
      <w:hyperlink w:anchor="_Toc518323350" w:history="1">
        <w:r w:rsidR="001853BF" w:rsidRPr="000F1856">
          <w:rPr>
            <w:rStyle w:val="Hyperlink"/>
            <w:noProof/>
          </w:rPr>
          <w:t>Iss</w:t>
        </w:r>
        <w:r w:rsidR="00475AE3">
          <w:rPr>
            <w:rStyle w:val="Hyperlink"/>
            <w:noProof/>
          </w:rPr>
          <w:t>acharoff, Commentary, “Shocked”</w:t>
        </w:r>
        <w:r w:rsidR="001853BF">
          <w:rPr>
            <w:noProof/>
            <w:webHidden/>
          </w:rPr>
          <w:tab/>
        </w:r>
        <w:r w:rsidR="001853BF">
          <w:rPr>
            <w:noProof/>
            <w:webHidden/>
          </w:rPr>
          <w:fldChar w:fldCharType="begin"/>
        </w:r>
        <w:r w:rsidR="001853BF">
          <w:rPr>
            <w:noProof/>
            <w:webHidden/>
          </w:rPr>
          <w:instrText xml:space="preserve"> PAGEREF _Toc518323350 \h </w:instrText>
        </w:r>
        <w:r w:rsidR="001853BF">
          <w:rPr>
            <w:noProof/>
            <w:webHidden/>
          </w:rPr>
        </w:r>
        <w:r w:rsidR="001853BF">
          <w:rPr>
            <w:noProof/>
            <w:webHidden/>
          </w:rPr>
          <w:fldChar w:fldCharType="separate"/>
        </w:r>
        <w:r w:rsidR="001853BF">
          <w:rPr>
            <w:noProof/>
            <w:webHidden/>
          </w:rPr>
          <w:t>236</w:t>
        </w:r>
        <w:r w:rsidR="001853BF">
          <w:rPr>
            <w:noProof/>
            <w:webHidden/>
          </w:rPr>
          <w:fldChar w:fldCharType="end"/>
        </w:r>
      </w:hyperlink>
    </w:p>
    <w:p w14:paraId="513D51F6" w14:textId="447E0586" w:rsidR="001853BF" w:rsidRDefault="00E35F15">
      <w:pPr>
        <w:pStyle w:val="TOC4"/>
        <w:tabs>
          <w:tab w:val="right" w:leader="dot" w:pos="8630"/>
        </w:tabs>
        <w:rPr>
          <w:noProof/>
          <w:sz w:val="22"/>
          <w:szCs w:val="22"/>
        </w:rPr>
      </w:pPr>
      <w:hyperlink w:anchor="_Toc518323351" w:history="1">
        <w:r w:rsidR="001853BF" w:rsidRPr="000F1856">
          <w:rPr>
            <w:rStyle w:val="Hyperlink"/>
            <w:noProof/>
          </w:rPr>
          <w:t>Lahav, Bellwether Trials</w:t>
        </w:r>
        <w:r w:rsidR="001853BF">
          <w:rPr>
            <w:noProof/>
            <w:webHidden/>
          </w:rPr>
          <w:tab/>
        </w:r>
        <w:r w:rsidR="001853BF">
          <w:rPr>
            <w:noProof/>
            <w:webHidden/>
          </w:rPr>
          <w:fldChar w:fldCharType="begin"/>
        </w:r>
        <w:r w:rsidR="001853BF">
          <w:rPr>
            <w:noProof/>
            <w:webHidden/>
          </w:rPr>
          <w:instrText xml:space="preserve"> PAGEREF _Toc518323351 \h </w:instrText>
        </w:r>
        <w:r w:rsidR="001853BF">
          <w:rPr>
            <w:noProof/>
            <w:webHidden/>
          </w:rPr>
        </w:r>
        <w:r w:rsidR="001853BF">
          <w:rPr>
            <w:noProof/>
            <w:webHidden/>
          </w:rPr>
          <w:fldChar w:fldCharType="separate"/>
        </w:r>
        <w:r w:rsidR="001853BF">
          <w:rPr>
            <w:noProof/>
            <w:webHidden/>
          </w:rPr>
          <w:t>237</w:t>
        </w:r>
        <w:r w:rsidR="001853BF">
          <w:rPr>
            <w:noProof/>
            <w:webHidden/>
          </w:rPr>
          <w:fldChar w:fldCharType="end"/>
        </w:r>
      </w:hyperlink>
    </w:p>
    <w:p w14:paraId="387E19CB" w14:textId="77777777" w:rsidR="001853BF" w:rsidRDefault="00E35F15">
      <w:pPr>
        <w:pStyle w:val="TOC4"/>
        <w:tabs>
          <w:tab w:val="right" w:leader="dot" w:pos="8630"/>
        </w:tabs>
        <w:rPr>
          <w:noProof/>
          <w:sz w:val="22"/>
          <w:szCs w:val="22"/>
        </w:rPr>
      </w:pPr>
      <w:hyperlink w:anchor="_Toc51832335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_Toc518323352 \h </w:instrText>
        </w:r>
        <w:r w:rsidR="001853BF">
          <w:rPr>
            <w:noProof/>
            <w:webHidden/>
          </w:rPr>
        </w:r>
        <w:r w:rsidR="001853BF">
          <w:rPr>
            <w:noProof/>
            <w:webHidden/>
          </w:rPr>
          <w:fldChar w:fldCharType="separate"/>
        </w:r>
        <w:r w:rsidR="001853BF">
          <w:rPr>
            <w:noProof/>
            <w:webHidden/>
          </w:rPr>
          <w:t>238</w:t>
        </w:r>
        <w:r w:rsidR="001853BF">
          <w:rPr>
            <w:noProof/>
            <w:webHidden/>
          </w:rPr>
          <w:fldChar w:fldCharType="end"/>
        </w:r>
      </w:hyperlink>
    </w:p>
    <w:p w14:paraId="58B048E7" w14:textId="77777777" w:rsidR="001853BF" w:rsidRDefault="00E35F15">
      <w:pPr>
        <w:pStyle w:val="TOC2"/>
        <w:tabs>
          <w:tab w:val="right" w:leader="dot" w:pos="8630"/>
        </w:tabs>
        <w:rPr>
          <w:b w:val="0"/>
          <w:noProof/>
        </w:rPr>
      </w:pPr>
      <w:hyperlink w:anchor="_Toc518323353" w:history="1">
        <w:r w:rsidR="001853BF" w:rsidRPr="000F1856">
          <w:rPr>
            <w:rStyle w:val="Hyperlink"/>
            <w:noProof/>
          </w:rPr>
          <w:t>G.  Negligence Puzzles</w:t>
        </w:r>
        <w:r w:rsidR="001853BF">
          <w:rPr>
            <w:noProof/>
            <w:webHidden/>
          </w:rPr>
          <w:tab/>
        </w:r>
        <w:r w:rsidR="001853BF">
          <w:rPr>
            <w:noProof/>
            <w:webHidden/>
          </w:rPr>
          <w:fldChar w:fldCharType="begin"/>
        </w:r>
        <w:r w:rsidR="001853BF">
          <w:rPr>
            <w:noProof/>
            <w:webHidden/>
          </w:rPr>
          <w:instrText xml:space="preserve"> PAGEREF _Toc518323353 \h </w:instrText>
        </w:r>
        <w:r w:rsidR="001853BF">
          <w:rPr>
            <w:noProof/>
            <w:webHidden/>
          </w:rPr>
        </w:r>
        <w:r w:rsidR="001853BF">
          <w:rPr>
            <w:noProof/>
            <w:webHidden/>
          </w:rPr>
          <w:fldChar w:fldCharType="separate"/>
        </w:r>
        <w:r w:rsidR="001853BF">
          <w:rPr>
            <w:noProof/>
            <w:webHidden/>
          </w:rPr>
          <w:t>240</w:t>
        </w:r>
        <w:r w:rsidR="001853BF">
          <w:rPr>
            <w:noProof/>
            <w:webHidden/>
          </w:rPr>
          <w:fldChar w:fldCharType="end"/>
        </w:r>
      </w:hyperlink>
    </w:p>
    <w:p w14:paraId="7DE99CAE" w14:textId="77777777" w:rsidR="001853BF" w:rsidRDefault="00E35F15">
      <w:pPr>
        <w:pStyle w:val="TOC3"/>
        <w:tabs>
          <w:tab w:val="right" w:leader="dot" w:pos="8630"/>
        </w:tabs>
        <w:rPr>
          <w:noProof/>
        </w:rPr>
      </w:pPr>
      <w:hyperlink w:anchor="_Toc518323354" w:history="1">
        <w:r w:rsidR="001853BF" w:rsidRPr="000F1856">
          <w:rPr>
            <w:rStyle w:val="Hyperlink"/>
            <w:noProof/>
          </w:rPr>
          <w:t>1. Should Wealth Matter?</w:t>
        </w:r>
        <w:r w:rsidR="001853BF">
          <w:rPr>
            <w:noProof/>
            <w:webHidden/>
          </w:rPr>
          <w:tab/>
        </w:r>
        <w:r w:rsidR="001853BF">
          <w:rPr>
            <w:noProof/>
            <w:webHidden/>
          </w:rPr>
          <w:fldChar w:fldCharType="begin"/>
        </w:r>
        <w:r w:rsidR="001853BF">
          <w:rPr>
            <w:noProof/>
            <w:webHidden/>
          </w:rPr>
          <w:instrText xml:space="preserve"> PAGEREF _Toc518323354 \h </w:instrText>
        </w:r>
        <w:r w:rsidR="001853BF">
          <w:rPr>
            <w:noProof/>
            <w:webHidden/>
          </w:rPr>
        </w:r>
        <w:r w:rsidR="001853BF">
          <w:rPr>
            <w:noProof/>
            <w:webHidden/>
          </w:rPr>
          <w:fldChar w:fldCharType="separate"/>
        </w:r>
        <w:r w:rsidR="001853BF">
          <w:rPr>
            <w:noProof/>
            <w:webHidden/>
          </w:rPr>
          <w:t>240</w:t>
        </w:r>
        <w:r w:rsidR="001853BF">
          <w:rPr>
            <w:noProof/>
            <w:webHidden/>
          </w:rPr>
          <w:fldChar w:fldCharType="end"/>
        </w:r>
      </w:hyperlink>
    </w:p>
    <w:p w14:paraId="062CCC74" w14:textId="77777777" w:rsidR="001853BF" w:rsidRDefault="00E35F15">
      <w:pPr>
        <w:pStyle w:val="TOC3"/>
        <w:tabs>
          <w:tab w:val="right" w:leader="dot" w:pos="8630"/>
        </w:tabs>
        <w:rPr>
          <w:noProof/>
        </w:rPr>
      </w:pPr>
      <w:hyperlink w:anchor="_Toc518323355" w:history="1">
        <w:r w:rsidR="001853BF" w:rsidRPr="000F1856">
          <w:rPr>
            <w:rStyle w:val="Hyperlink"/>
            <w:noProof/>
          </w:rPr>
          <w:t>2. Seavey’s Paradox</w:t>
        </w:r>
        <w:r w:rsidR="001853BF">
          <w:rPr>
            <w:noProof/>
            <w:webHidden/>
          </w:rPr>
          <w:tab/>
        </w:r>
        <w:r w:rsidR="001853BF">
          <w:rPr>
            <w:noProof/>
            <w:webHidden/>
          </w:rPr>
          <w:fldChar w:fldCharType="begin"/>
        </w:r>
        <w:r w:rsidR="001853BF">
          <w:rPr>
            <w:noProof/>
            <w:webHidden/>
          </w:rPr>
          <w:instrText xml:space="preserve"> PAGEREF _Toc518323355 \h </w:instrText>
        </w:r>
        <w:r w:rsidR="001853BF">
          <w:rPr>
            <w:noProof/>
            <w:webHidden/>
          </w:rPr>
        </w:r>
        <w:r w:rsidR="001853BF">
          <w:rPr>
            <w:noProof/>
            <w:webHidden/>
          </w:rPr>
          <w:fldChar w:fldCharType="separate"/>
        </w:r>
        <w:r w:rsidR="001853BF">
          <w:rPr>
            <w:noProof/>
            <w:webHidden/>
          </w:rPr>
          <w:t>242</w:t>
        </w:r>
        <w:r w:rsidR="001853BF">
          <w:rPr>
            <w:noProof/>
            <w:webHidden/>
          </w:rPr>
          <w:fldChar w:fldCharType="end"/>
        </w:r>
      </w:hyperlink>
    </w:p>
    <w:p w14:paraId="7FAC40C0" w14:textId="77777777" w:rsidR="001853BF" w:rsidRDefault="00E35F15">
      <w:pPr>
        <w:pStyle w:val="TOC3"/>
        <w:tabs>
          <w:tab w:val="right" w:leader="dot" w:pos="8630"/>
        </w:tabs>
        <w:rPr>
          <w:noProof/>
        </w:rPr>
      </w:pPr>
      <w:hyperlink w:anchor="_Toc518323356" w:history="1">
        <w:r w:rsidR="001853BF" w:rsidRPr="000F1856">
          <w:rPr>
            <w:rStyle w:val="Hyperlink"/>
            <w:noProof/>
          </w:rPr>
          <w:t>3. The Utility Monster</w:t>
        </w:r>
        <w:r w:rsidR="001853BF">
          <w:rPr>
            <w:noProof/>
            <w:webHidden/>
          </w:rPr>
          <w:tab/>
        </w:r>
        <w:r w:rsidR="001853BF">
          <w:rPr>
            <w:noProof/>
            <w:webHidden/>
          </w:rPr>
          <w:fldChar w:fldCharType="begin"/>
        </w:r>
        <w:r w:rsidR="001853BF">
          <w:rPr>
            <w:noProof/>
            <w:webHidden/>
          </w:rPr>
          <w:instrText xml:space="preserve"> PAGEREF _Toc518323356 \h </w:instrText>
        </w:r>
        <w:r w:rsidR="001853BF">
          <w:rPr>
            <w:noProof/>
            <w:webHidden/>
          </w:rPr>
        </w:r>
        <w:r w:rsidR="001853BF">
          <w:rPr>
            <w:noProof/>
            <w:webHidden/>
          </w:rPr>
          <w:fldChar w:fldCharType="separate"/>
        </w:r>
        <w:r w:rsidR="001853BF">
          <w:rPr>
            <w:noProof/>
            <w:webHidden/>
          </w:rPr>
          <w:t>242</w:t>
        </w:r>
        <w:r w:rsidR="001853BF">
          <w:rPr>
            <w:noProof/>
            <w:webHidden/>
          </w:rPr>
          <w:fldChar w:fldCharType="end"/>
        </w:r>
      </w:hyperlink>
    </w:p>
    <w:p w14:paraId="0E3CF1F3" w14:textId="77777777" w:rsidR="001853BF" w:rsidRDefault="00E35F15">
      <w:pPr>
        <w:pStyle w:val="TOC1"/>
        <w:tabs>
          <w:tab w:val="right" w:leader="dot" w:pos="8630"/>
        </w:tabs>
        <w:rPr>
          <w:b w:val="0"/>
          <w:noProof/>
          <w:sz w:val="22"/>
          <w:szCs w:val="22"/>
        </w:rPr>
      </w:pPr>
      <w:hyperlink w:anchor="_Toc518323357" w:history="1">
        <w:r w:rsidR="001853BF" w:rsidRPr="000F1856">
          <w:rPr>
            <w:rStyle w:val="Hyperlink"/>
            <w:noProof/>
          </w:rPr>
          <w:t>CHAPTER 5. PLAINTIFFS’ CONDUCT</w:t>
        </w:r>
        <w:r w:rsidR="001853BF">
          <w:rPr>
            <w:noProof/>
            <w:webHidden/>
          </w:rPr>
          <w:tab/>
        </w:r>
        <w:r w:rsidR="001853BF">
          <w:rPr>
            <w:noProof/>
            <w:webHidden/>
          </w:rPr>
          <w:fldChar w:fldCharType="begin"/>
        </w:r>
        <w:r w:rsidR="001853BF">
          <w:rPr>
            <w:noProof/>
            <w:webHidden/>
          </w:rPr>
          <w:instrText xml:space="preserve"> PAGEREF _Toc518323357 \h </w:instrText>
        </w:r>
        <w:r w:rsidR="001853BF">
          <w:rPr>
            <w:noProof/>
            <w:webHidden/>
          </w:rPr>
        </w:r>
        <w:r w:rsidR="001853BF">
          <w:rPr>
            <w:noProof/>
            <w:webHidden/>
          </w:rPr>
          <w:fldChar w:fldCharType="separate"/>
        </w:r>
        <w:r w:rsidR="001853BF">
          <w:rPr>
            <w:noProof/>
            <w:webHidden/>
          </w:rPr>
          <w:t>244</w:t>
        </w:r>
        <w:r w:rsidR="001853BF">
          <w:rPr>
            <w:noProof/>
            <w:webHidden/>
          </w:rPr>
          <w:fldChar w:fldCharType="end"/>
        </w:r>
      </w:hyperlink>
    </w:p>
    <w:p w14:paraId="531AB5D7" w14:textId="77777777" w:rsidR="001853BF" w:rsidRDefault="00E35F15">
      <w:pPr>
        <w:pStyle w:val="TOC2"/>
        <w:tabs>
          <w:tab w:val="left" w:pos="720"/>
          <w:tab w:val="right" w:leader="dot" w:pos="8630"/>
        </w:tabs>
        <w:rPr>
          <w:b w:val="0"/>
          <w:noProof/>
        </w:rPr>
      </w:pPr>
      <w:hyperlink w:anchor="_Toc518323358" w:history="1">
        <w:r w:rsidR="001853BF" w:rsidRPr="000F1856">
          <w:rPr>
            <w:rStyle w:val="Hyperlink"/>
            <w:noProof/>
          </w:rPr>
          <w:t>A.</w:t>
        </w:r>
        <w:r w:rsidR="001853BF">
          <w:rPr>
            <w:b w:val="0"/>
            <w:noProof/>
          </w:rPr>
          <w:tab/>
        </w:r>
        <w:r w:rsidR="001853BF" w:rsidRPr="000F1856">
          <w:rPr>
            <w:rStyle w:val="Hyperlink"/>
            <w:noProof/>
          </w:rPr>
          <w:t>Contributory and Comparative Negligence</w:t>
        </w:r>
        <w:r w:rsidR="001853BF">
          <w:rPr>
            <w:noProof/>
            <w:webHidden/>
          </w:rPr>
          <w:tab/>
        </w:r>
        <w:r w:rsidR="001853BF">
          <w:rPr>
            <w:noProof/>
            <w:webHidden/>
          </w:rPr>
          <w:fldChar w:fldCharType="begin"/>
        </w:r>
        <w:r w:rsidR="001853BF">
          <w:rPr>
            <w:noProof/>
            <w:webHidden/>
          </w:rPr>
          <w:instrText xml:space="preserve"> PAGEREF _Toc518323358 \h </w:instrText>
        </w:r>
        <w:r w:rsidR="001853BF">
          <w:rPr>
            <w:noProof/>
            <w:webHidden/>
          </w:rPr>
        </w:r>
        <w:r w:rsidR="001853BF">
          <w:rPr>
            <w:noProof/>
            <w:webHidden/>
          </w:rPr>
          <w:fldChar w:fldCharType="separate"/>
        </w:r>
        <w:r w:rsidR="001853BF">
          <w:rPr>
            <w:noProof/>
            <w:webHidden/>
          </w:rPr>
          <w:t>244</w:t>
        </w:r>
        <w:r w:rsidR="001853BF">
          <w:rPr>
            <w:noProof/>
            <w:webHidden/>
          </w:rPr>
          <w:fldChar w:fldCharType="end"/>
        </w:r>
      </w:hyperlink>
    </w:p>
    <w:p w14:paraId="42BEECA5" w14:textId="77777777" w:rsidR="001853BF" w:rsidRDefault="00E35F15">
      <w:pPr>
        <w:pStyle w:val="TOC3"/>
        <w:tabs>
          <w:tab w:val="right" w:leader="dot" w:pos="8630"/>
        </w:tabs>
        <w:rPr>
          <w:noProof/>
        </w:rPr>
      </w:pPr>
      <w:hyperlink w:anchor="_Toc518323359" w:history="1">
        <w:r w:rsidR="001853BF" w:rsidRPr="000F1856">
          <w:rPr>
            <w:rStyle w:val="Hyperlink"/>
            <w:noProof/>
          </w:rPr>
          <w:t>1.  Contributory Negligence</w:t>
        </w:r>
        <w:r w:rsidR="001853BF">
          <w:rPr>
            <w:noProof/>
            <w:webHidden/>
          </w:rPr>
          <w:tab/>
        </w:r>
        <w:r w:rsidR="001853BF">
          <w:rPr>
            <w:noProof/>
            <w:webHidden/>
          </w:rPr>
          <w:fldChar w:fldCharType="begin"/>
        </w:r>
        <w:r w:rsidR="001853BF">
          <w:rPr>
            <w:noProof/>
            <w:webHidden/>
          </w:rPr>
          <w:instrText xml:space="preserve"> PAGEREF _Toc518323359 \h </w:instrText>
        </w:r>
        <w:r w:rsidR="001853BF">
          <w:rPr>
            <w:noProof/>
            <w:webHidden/>
          </w:rPr>
        </w:r>
        <w:r w:rsidR="001853BF">
          <w:rPr>
            <w:noProof/>
            <w:webHidden/>
          </w:rPr>
          <w:fldChar w:fldCharType="separate"/>
        </w:r>
        <w:r w:rsidR="001853BF">
          <w:rPr>
            <w:noProof/>
            <w:webHidden/>
          </w:rPr>
          <w:t>244</w:t>
        </w:r>
        <w:r w:rsidR="001853BF">
          <w:rPr>
            <w:noProof/>
            <w:webHidden/>
          </w:rPr>
          <w:fldChar w:fldCharType="end"/>
        </w:r>
      </w:hyperlink>
    </w:p>
    <w:p w14:paraId="3189533A" w14:textId="77777777" w:rsidR="001853BF" w:rsidRDefault="00E35F15">
      <w:pPr>
        <w:pStyle w:val="TOC4"/>
        <w:tabs>
          <w:tab w:val="right" w:leader="dot" w:pos="8630"/>
        </w:tabs>
        <w:rPr>
          <w:noProof/>
          <w:sz w:val="22"/>
          <w:szCs w:val="22"/>
        </w:rPr>
      </w:pPr>
      <w:hyperlink w:anchor="_Toc518323360" w:history="1">
        <w:r w:rsidR="001853BF" w:rsidRPr="00FD75E5">
          <w:rPr>
            <w:rStyle w:val="Hyperlink"/>
            <w:i/>
            <w:noProof/>
          </w:rPr>
          <w:t>Butterfield v. Forrester</w:t>
        </w:r>
        <w:r w:rsidR="001853BF">
          <w:rPr>
            <w:noProof/>
            <w:webHidden/>
          </w:rPr>
          <w:tab/>
        </w:r>
        <w:r w:rsidR="001853BF">
          <w:rPr>
            <w:noProof/>
            <w:webHidden/>
          </w:rPr>
          <w:fldChar w:fldCharType="begin"/>
        </w:r>
        <w:r w:rsidR="001853BF">
          <w:rPr>
            <w:noProof/>
            <w:webHidden/>
          </w:rPr>
          <w:instrText xml:space="preserve"> PAGEREF _Toc518323360 \h </w:instrText>
        </w:r>
        <w:r w:rsidR="001853BF">
          <w:rPr>
            <w:noProof/>
            <w:webHidden/>
          </w:rPr>
        </w:r>
        <w:r w:rsidR="001853BF">
          <w:rPr>
            <w:noProof/>
            <w:webHidden/>
          </w:rPr>
          <w:fldChar w:fldCharType="separate"/>
        </w:r>
        <w:r w:rsidR="001853BF">
          <w:rPr>
            <w:noProof/>
            <w:webHidden/>
          </w:rPr>
          <w:t>244</w:t>
        </w:r>
        <w:r w:rsidR="001853BF">
          <w:rPr>
            <w:noProof/>
            <w:webHidden/>
          </w:rPr>
          <w:fldChar w:fldCharType="end"/>
        </w:r>
      </w:hyperlink>
    </w:p>
    <w:p w14:paraId="7C4AB760" w14:textId="77777777" w:rsidR="001853BF" w:rsidRDefault="00E35F15">
      <w:pPr>
        <w:pStyle w:val="TOC4"/>
        <w:tabs>
          <w:tab w:val="right" w:leader="dot" w:pos="8630"/>
        </w:tabs>
        <w:rPr>
          <w:noProof/>
          <w:sz w:val="22"/>
          <w:szCs w:val="22"/>
        </w:rPr>
      </w:pPr>
      <w:hyperlink w:anchor="_Toc51832336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_Toc518323361 \h </w:instrText>
        </w:r>
        <w:r w:rsidR="001853BF">
          <w:rPr>
            <w:noProof/>
            <w:webHidden/>
          </w:rPr>
        </w:r>
        <w:r w:rsidR="001853BF">
          <w:rPr>
            <w:noProof/>
            <w:webHidden/>
          </w:rPr>
          <w:fldChar w:fldCharType="separate"/>
        </w:r>
        <w:r w:rsidR="001853BF">
          <w:rPr>
            <w:noProof/>
            <w:webHidden/>
          </w:rPr>
          <w:t>245</w:t>
        </w:r>
        <w:r w:rsidR="001853BF">
          <w:rPr>
            <w:noProof/>
            <w:webHidden/>
          </w:rPr>
          <w:fldChar w:fldCharType="end"/>
        </w:r>
      </w:hyperlink>
    </w:p>
    <w:p w14:paraId="5969DFE0" w14:textId="77777777" w:rsidR="001853BF" w:rsidRDefault="00E35F15">
      <w:pPr>
        <w:pStyle w:val="TOC3"/>
        <w:tabs>
          <w:tab w:val="right" w:leader="dot" w:pos="8630"/>
        </w:tabs>
        <w:rPr>
          <w:noProof/>
        </w:rPr>
      </w:pPr>
      <w:hyperlink w:anchor="_Toc518323362" w:history="1">
        <w:r w:rsidR="001853BF" w:rsidRPr="000F1856">
          <w:rPr>
            <w:rStyle w:val="Hyperlink"/>
            <w:noProof/>
          </w:rPr>
          <w:t>2.  Comparative Negligence</w:t>
        </w:r>
        <w:r w:rsidR="001853BF">
          <w:rPr>
            <w:noProof/>
            <w:webHidden/>
          </w:rPr>
          <w:tab/>
        </w:r>
        <w:r w:rsidR="001853BF">
          <w:rPr>
            <w:noProof/>
            <w:webHidden/>
          </w:rPr>
          <w:fldChar w:fldCharType="begin"/>
        </w:r>
        <w:r w:rsidR="001853BF">
          <w:rPr>
            <w:noProof/>
            <w:webHidden/>
          </w:rPr>
          <w:instrText xml:space="preserve"> PAGEREF _Toc518323362 \h </w:instrText>
        </w:r>
        <w:r w:rsidR="001853BF">
          <w:rPr>
            <w:noProof/>
            <w:webHidden/>
          </w:rPr>
        </w:r>
        <w:r w:rsidR="001853BF">
          <w:rPr>
            <w:noProof/>
            <w:webHidden/>
          </w:rPr>
          <w:fldChar w:fldCharType="separate"/>
        </w:r>
        <w:r w:rsidR="001853BF">
          <w:rPr>
            <w:noProof/>
            <w:webHidden/>
          </w:rPr>
          <w:t>250</w:t>
        </w:r>
        <w:r w:rsidR="001853BF">
          <w:rPr>
            <w:noProof/>
            <w:webHidden/>
          </w:rPr>
          <w:fldChar w:fldCharType="end"/>
        </w:r>
      </w:hyperlink>
    </w:p>
    <w:p w14:paraId="4DBE73E8" w14:textId="77777777" w:rsidR="001853BF" w:rsidRDefault="00E35F15">
      <w:pPr>
        <w:pStyle w:val="TOC4"/>
        <w:tabs>
          <w:tab w:val="right" w:leader="dot" w:pos="8630"/>
        </w:tabs>
        <w:rPr>
          <w:noProof/>
          <w:sz w:val="22"/>
          <w:szCs w:val="22"/>
        </w:rPr>
      </w:pPr>
      <w:hyperlink w:anchor="_Toc518323363" w:history="1">
        <w:r w:rsidR="001853BF" w:rsidRPr="00FD75E5">
          <w:rPr>
            <w:rStyle w:val="Hyperlink"/>
            <w:i/>
            <w:noProof/>
          </w:rPr>
          <w:t>Li v. Yellow Cab Company of California</w:t>
        </w:r>
        <w:r w:rsidR="001853BF" w:rsidRPr="000F1856">
          <w:rPr>
            <w:rStyle w:val="Hyperlink"/>
            <w:noProof/>
          </w:rPr>
          <w:t>,</w:t>
        </w:r>
        <w:r w:rsidR="001853BF">
          <w:rPr>
            <w:noProof/>
            <w:webHidden/>
          </w:rPr>
          <w:tab/>
        </w:r>
        <w:r w:rsidR="001853BF">
          <w:rPr>
            <w:noProof/>
            <w:webHidden/>
          </w:rPr>
          <w:fldChar w:fldCharType="begin"/>
        </w:r>
        <w:r w:rsidR="001853BF">
          <w:rPr>
            <w:noProof/>
            <w:webHidden/>
          </w:rPr>
          <w:instrText xml:space="preserve"> PAGEREF _Toc518323363 \h </w:instrText>
        </w:r>
        <w:r w:rsidR="001853BF">
          <w:rPr>
            <w:noProof/>
            <w:webHidden/>
          </w:rPr>
        </w:r>
        <w:r w:rsidR="001853BF">
          <w:rPr>
            <w:noProof/>
            <w:webHidden/>
          </w:rPr>
          <w:fldChar w:fldCharType="separate"/>
        </w:r>
        <w:r w:rsidR="001853BF">
          <w:rPr>
            <w:noProof/>
            <w:webHidden/>
          </w:rPr>
          <w:t>250</w:t>
        </w:r>
        <w:r w:rsidR="001853BF">
          <w:rPr>
            <w:noProof/>
            <w:webHidden/>
          </w:rPr>
          <w:fldChar w:fldCharType="end"/>
        </w:r>
      </w:hyperlink>
    </w:p>
    <w:p w14:paraId="1E717BD3" w14:textId="77777777" w:rsidR="001853BF" w:rsidRDefault="00E35F15">
      <w:pPr>
        <w:pStyle w:val="TOC4"/>
        <w:tabs>
          <w:tab w:val="right" w:leader="dot" w:pos="8630"/>
        </w:tabs>
        <w:rPr>
          <w:noProof/>
          <w:sz w:val="22"/>
          <w:szCs w:val="22"/>
        </w:rPr>
      </w:pPr>
      <w:hyperlink w:anchor="_Toc51832336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_Toc518323364 \h </w:instrText>
        </w:r>
        <w:r w:rsidR="001853BF">
          <w:rPr>
            <w:noProof/>
            <w:webHidden/>
          </w:rPr>
        </w:r>
        <w:r w:rsidR="001853BF">
          <w:rPr>
            <w:noProof/>
            <w:webHidden/>
          </w:rPr>
          <w:fldChar w:fldCharType="separate"/>
        </w:r>
        <w:r w:rsidR="001853BF">
          <w:rPr>
            <w:noProof/>
            <w:webHidden/>
          </w:rPr>
          <w:t>254</w:t>
        </w:r>
        <w:r w:rsidR="001853BF">
          <w:rPr>
            <w:noProof/>
            <w:webHidden/>
          </w:rPr>
          <w:fldChar w:fldCharType="end"/>
        </w:r>
      </w:hyperlink>
    </w:p>
    <w:p w14:paraId="02A820C0" w14:textId="77777777" w:rsidR="001853BF" w:rsidRDefault="00E35F15">
      <w:pPr>
        <w:pStyle w:val="TOC4"/>
        <w:tabs>
          <w:tab w:val="right" w:leader="dot" w:pos="8630"/>
        </w:tabs>
        <w:rPr>
          <w:noProof/>
          <w:sz w:val="22"/>
          <w:szCs w:val="22"/>
        </w:rPr>
      </w:pPr>
      <w:hyperlink w:anchor="_Toc518323365" w:history="1">
        <w:r w:rsidR="001853BF" w:rsidRPr="00FD75E5">
          <w:rPr>
            <w:rStyle w:val="Hyperlink"/>
            <w:i/>
            <w:noProof/>
          </w:rPr>
          <w:t>Coleman v. Soccer Ass’n. of Columbia</w:t>
        </w:r>
        <w:r w:rsidR="001853BF">
          <w:rPr>
            <w:noProof/>
            <w:webHidden/>
          </w:rPr>
          <w:tab/>
        </w:r>
        <w:r w:rsidR="001853BF">
          <w:rPr>
            <w:noProof/>
            <w:webHidden/>
          </w:rPr>
          <w:fldChar w:fldCharType="begin"/>
        </w:r>
        <w:r w:rsidR="001853BF">
          <w:rPr>
            <w:noProof/>
            <w:webHidden/>
          </w:rPr>
          <w:instrText xml:space="preserve"> PAGEREF _Toc518323365 \h </w:instrText>
        </w:r>
        <w:r w:rsidR="001853BF">
          <w:rPr>
            <w:noProof/>
            <w:webHidden/>
          </w:rPr>
        </w:r>
        <w:r w:rsidR="001853BF">
          <w:rPr>
            <w:noProof/>
            <w:webHidden/>
          </w:rPr>
          <w:fldChar w:fldCharType="separate"/>
        </w:r>
        <w:r w:rsidR="001853BF">
          <w:rPr>
            <w:noProof/>
            <w:webHidden/>
          </w:rPr>
          <w:t>255</w:t>
        </w:r>
        <w:r w:rsidR="001853BF">
          <w:rPr>
            <w:noProof/>
            <w:webHidden/>
          </w:rPr>
          <w:fldChar w:fldCharType="end"/>
        </w:r>
      </w:hyperlink>
    </w:p>
    <w:p w14:paraId="06FD2A17" w14:textId="77777777" w:rsidR="001853BF" w:rsidRDefault="00E35F15">
      <w:pPr>
        <w:pStyle w:val="TOC4"/>
        <w:tabs>
          <w:tab w:val="right" w:leader="dot" w:pos="8630"/>
        </w:tabs>
        <w:rPr>
          <w:noProof/>
          <w:sz w:val="22"/>
          <w:szCs w:val="22"/>
        </w:rPr>
      </w:pPr>
      <w:hyperlink w:anchor="_Toc51832336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_Toc518323366 \h </w:instrText>
        </w:r>
        <w:r w:rsidR="001853BF">
          <w:rPr>
            <w:noProof/>
            <w:webHidden/>
          </w:rPr>
        </w:r>
        <w:r w:rsidR="001853BF">
          <w:rPr>
            <w:noProof/>
            <w:webHidden/>
          </w:rPr>
          <w:fldChar w:fldCharType="separate"/>
        </w:r>
        <w:r w:rsidR="001853BF">
          <w:rPr>
            <w:noProof/>
            <w:webHidden/>
          </w:rPr>
          <w:t>259</w:t>
        </w:r>
        <w:r w:rsidR="001853BF">
          <w:rPr>
            <w:noProof/>
            <w:webHidden/>
          </w:rPr>
          <w:fldChar w:fldCharType="end"/>
        </w:r>
      </w:hyperlink>
    </w:p>
    <w:p w14:paraId="39445AA6" w14:textId="77777777" w:rsidR="001853BF" w:rsidRDefault="00E35F15">
      <w:pPr>
        <w:pStyle w:val="TOC2"/>
        <w:tabs>
          <w:tab w:val="right" w:leader="dot" w:pos="8630"/>
        </w:tabs>
        <w:rPr>
          <w:b w:val="0"/>
          <w:noProof/>
        </w:rPr>
      </w:pPr>
      <w:hyperlink w:anchor="_Toc518323367" w:history="1">
        <w:r w:rsidR="001853BF" w:rsidRPr="000F1856">
          <w:rPr>
            <w:rStyle w:val="Hyperlink"/>
            <w:noProof/>
          </w:rPr>
          <w:t>B.  Assumption of Risk</w:t>
        </w:r>
        <w:r w:rsidR="001853BF">
          <w:rPr>
            <w:noProof/>
            <w:webHidden/>
          </w:rPr>
          <w:tab/>
        </w:r>
        <w:r w:rsidR="001853BF">
          <w:rPr>
            <w:noProof/>
            <w:webHidden/>
          </w:rPr>
          <w:fldChar w:fldCharType="begin"/>
        </w:r>
        <w:r w:rsidR="001853BF">
          <w:rPr>
            <w:noProof/>
            <w:webHidden/>
          </w:rPr>
          <w:instrText xml:space="preserve"> PAGEREF _Toc518323367 \h </w:instrText>
        </w:r>
        <w:r w:rsidR="001853BF">
          <w:rPr>
            <w:noProof/>
            <w:webHidden/>
          </w:rPr>
        </w:r>
        <w:r w:rsidR="001853BF">
          <w:rPr>
            <w:noProof/>
            <w:webHidden/>
          </w:rPr>
          <w:fldChar w:fldCharType="separate"/>
        </w:r>
        <w:r w:rsidR="001853BF">
          <w:rPr>
            <w:noProof/>
            <w:webHidden/>
          </w:rPr>
          <w:t>260</w:t>
        </w:r>
        <w:r w:rsidR="001853BF">
          <w:rPr>
            <w:noProof/>
            <w:webHidden/>
          </w:rPr>
          <w:fldChar w:fldCharType="end"/>
        </w:r>
      </w:hyperlink>
    </w:p>
    <w:p w14:paraId="0E5655CF" w14:textId="77777777" w:rsidR="001853BF" w:rsidRDefault="00E35F15">
      <w:pPr>
        <w:pStyle w:val="TOC3"/>
        <w:tabs>
          <w:tab w:val="right" w:leader="dot" w:pos="8630"/>
        </w:tabs>
        <w:rPr>
          <w:noProof/>
        </w:rPr>
      </w:pPr>
      <w:hyperlink w:anchor="_Toc518323368" w:history="1">
        <w:r w:rsidR="001853BF" w:rsidRPr="000F1856">
          <w:rPr>
            <w:rStyle w:val="Hyperlink"/>
            <w:noProof/>
          </w:rPr>
          <w:t>1.  Implied Assumption of Risk</w:t>
        </w:r>
        <w:r w:rsidR="001853BF">
          <w:rPr>
            <w:noProof/>
            <w:webHidden/>
          </w:rPr>
          <w:tab/>
        </w:r>
        <w:r w:rsidR="001853BF">
          <w:rPr>
            <w:noProof/>
            <w:webHidden/>
          </w:rPr>
          <w:fldChar w:fldCharType="begin"/>
        </w:r>
        <w:r w:rsidR="001853BF">
          <w:rPr>
            <w:noProof/>
            <w:webHidden/>
          </w:rPr>
          <w:instrText xml:space="preserve"> PAGEREF _Toc518323368 \h </w:instrText>
        </w:r>
        <w:r w:rsidR="001853BF">
          <w:rPr>
            <w:noProof/>
            <w:webHidden/>
          </w:rPr>
        </w:r>
        <w:r w:rsidR="001853BF">
          <w:rPr>
            <w:noProof/>
            <w:webHidden/>
          </w:rPr>
          <w:fldChar w:fldCharType="separate"/>
        </w:r>
        <w:r w:rsidR="001853BF">
          <w:rPr>
            <w:noProof/>
            <w:webHidden/>
          </w:rPr>
          <w:t>261</w:t>
        </w:r>
        <w:r w:rsidR="001853BF">
          <w:rPr>
            <w:noProof/>
            <w:webHidden/>
          </w:rPr>
          <w:fldChar w:fldCharType="end"/>
        </w:r>
      </w:hyperlink>
    </w:p>
    <w:p w14:paraId="2126A3A5" w14:textId="77777777" w:rsidR="001853BF" w:rsidRDefault="00E35F15">
      <w:pPr>
        <w:pStyle w:val="TOC4"/>
        <w:tabs>
          <w:tab w:val="right" w:leader="dot" w:pos="8630"/>
        </w:tabs>
        <w:rPr>
          <w:noProof/>
          <w:sz w:val="22"/>
          <w:szCs w:val="22"/>
        </w:rPr>
      </w:pPr>
      <w:hyperlink w:anchor="_Toc518323369" w:history="1">
        <w:r w:rsidR="001853BF" w:rsidRPr="00FD75E5">
          <w:rPr>
            <w:rStyle w:val="Hyperlink"/>
            <w:i/>
            <w:noProof/>
          </w:rPr>
          <w:t>Murphy v. Steeplechase Amusement Co</w:t>
        </w:r>
        <w:r w:rsidR="001853BF">
          <w:rPr>
            <w:noProof/>
            <w:webHidden/>
          </w:rPr>
          <w:tab/>
        </w:r>
        <w:r w:rsidR="001853BF">
          <w:rPr>
            <w:noProof/>
            <w:webHidden/>
          </w:rPr>
          <w:fldChar w:fldCharType="begin"/>
        </w:r>
        <w:r w:rsidR="001853BF">
          <w:rPr>
            <w:noProof/>
            <w:webHidden/>
          </w:rPr>
          <w:instrText xml:space="preserve"> PAGEREF _Toc518323369 \h </w:instrText>
        </w:r>
        <w:r w:rsidR="001853BF">
          <w:rPr>
            <w:noProof/>
            <w:webHidden/>
          </w:rPr>
        </w:r>
        <w:r w:rsidR="001853BF">
          <w:rPr>
            <w:noProof/>
            <w:webHidden/>
          </w:rPr>
          <w:fldChar w:fldCharType="separate"/>
        </w:r>
        <w:r w:rsidR="001853BF">
          <w:rPr>
            <w:noProof/>
            <w:webHidden/>
          </w:rPr>
          <w:t>261</w:t>
        </w:r>
        <w:r w:rsidR="001853BF">
          <w:rPr>
            <w:noProof/>
            <w:webHidden/>
          </w:rPr>
          <w:fldChar w:fldCharType="end"/>
        </w:r>
      </w:hyperlink>
    </w:p>
    <w:p w14:paraId="6260A251" w14:textId="77777777" w:rsidR="001853BF" w:rsidRDefault="00E35F15">
      <w:pPr>
        <w:pStyle w:val="TOC4"/>
        <w:tabs>
          <w:tab w:val="right" w:leader="dot" w:pos="8630"/>
        </w:tabs>
        <w:rPr>
          <w:noProof/>
          <w:sz w:val="22"/>
          <w:szCs w:val="22"/>
        </w:rPr>
      </w:pPr>
      <w:hyperlink w:anchor="_Toc51832337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_Toc518323370 \h </w:instrText>
        </w:r>
        <w:r w:rsidR="001853BF">
          <w:rPr>
            <w:noProof/>
            <w:webHidden/>
          </w:rPr>
        </w:r>
        <w:r w:rsidR="001853BF">
          <w:rPr>
            <w:noProof/>
            <w:webHidden/>
          </w:rPr>
          <w:fldChar w:fldCharType="separate"/>
        </w:r>
        <w:r w:rsidR="001853BF">
          <w:rPr>
            <w:noProof/>
            <w:webHidden/>
          </w:rPr>
          <w:t>263</w:t>
        </w:r>
        <w:r w:rsidR="001853BF">
          <w:rPr>
            <w:noProof/>
            <w:webHidden/>
          </w:rPr>
          <w:fldChar w:fldCharType="end"/>
        </w:r>
      </w:hyperlink>
    </w:p>
    <w:p w14:paraId="303FF22A" w14:textId="77777777" w:rsidR="001853BF" w:rsidRDefault="00E35F15">
      <w:pPr>
        <w:pStyle w:val="TOC4"/>
        <w:tabs>
          <w:tab w:val="right" w:leader="dot" w:pos="8630"/>
        </w:tabs>
        <w:rPr>
          <w:noProof/>
          <w:sz w:val="22"/>
          <w:szCs w:val="22"/>
        </w:rPr>
      </w:pPr>
      <w:hyperlink w:anchor="_Toc518323371" w:history="1">
        <w:r w:rsidR="001853BF" w:rsidRPr="00FD75E5">
          <w:rPr>
            <w:rStyle w:val="Hyperlink"/>
            <w:i/>
            <w:noProof/>
          </w:rPr>
          <w:t>Maddox v. City of New York</w:t>
        </w:r>
        <w:r w:rsidR="001853BF">
          <w:rPr>
            <w:noProof/>
            <w:webHidden/>
          </w:rPr>
          <w:tab/>
        </w:r>
        <w:r w:rsidR="001853BF">
          <w:rPr>
            <w:noProof/>
            <w:webHidden/>
          </w:rPr>
          <w:fldChar w:fldCharType="begin"/>
        </w:r>
        <w:r w:rsidR="001853BF">
          <w:rPr>
            <w:noProof/>
            <w:webHidden/>
          </w:rPr>
          <w:instrText xml:space="preserve"> PAGEREF _Toc518323371 \h </w:instrText>
        </w:r>
        <w:r w:rsidR="001853BF">
          <w:rPr>
            <w:noProof/>
            <w:webHidden/>
          </w:rPr>
        </w:r>
        <w:r w:rsidR="001853BF">
          <w:rPr>
            <w:noProof/>
            <w:webHidden/>
          </w:rPr>
          <w:fldChar w:fldCharType="separate"/>
        </w:r>
        <w:r w:rsidR="001853BF">
          <w:rPr>
            <w:noProof/>
            <w:webHidden/>
          </w:rPr>
          <w:t>265</w:t>
        </w:r>
        <w:r w:rsidR="001853BF">
          <w:rPr>
            <w:noProof/>
            <w:webHidden/>
          </w:rPr>
          <w:fldChar w:fldCharType="end"/>
        </w:r>
      </w:hyperlink>
    </w:p>
    <w:p w14:paraId="203A0EF3" w14:textId="77777777" w:rsidR="001853BF" w:rsidRDefault="00E35F15">
      <w:pPr>
        <w:pStyle w:val="TOC4"/>
        <w:tabs>
          <w:tab w:val="right" w:leader="dot" w:pos="8630"/>
        </w:tabs>
        <w:rPr>
          <w:noProof/>
          <w:sz w:val="22"/>
          <w:szCs w:val="22"/>
        </w:rPr>
      </w:pPr>
      <w:hyperlink w:anchor="_Toc51832337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_Toc518323372 \h </w:instrText>
        </w:r>
        <w:r w:rsidR="001853BF">
          <w:rPr>
            <w:noProof/>
            <w:webHidden/>
          </w:rPr>
        </w:r>
        <w:r w:rsidR="001853BF">
          <w:rPr>
            <w:noProof/>
            <w:webHidden/>
          </w:rPr>
          <w:fldChar w:fldCharType="separate"/>
        </w:r>
        <w:r w:rsidR="001853BF">
          <w:rPr>
            <w:noProof/>
            <w:webHidden/>
          </w:rPr>
          <w:t>267</w:t>
        </w:r>
        <w:r w:rsidR="001853BF">
          <w:rPr>
            <w:noProof/>
            <w:webHidden/>
          </w:rPr>
          <w:fldChar w:fldCharType="end"/>
        </w:r>
      </w:hyperlink>
    </w:p>
    <w:p w14:paraId="6E5C4403" w14:textId="77777777" w:rsidR="001853BF" w:rsidRDefault="00E35F15">
      <w:pPr>
        <w:pStyle w:val="TOC4"/>
        <w:tabs>
          <w:tab w:val="right" w:leader="dot" w:pos="8630"/>
        </w:tabs>
        <w:rPr>
          <w:noProof/>
          <w:sz w:val="22"/>
          <w:szCs w:val="22"/>
        </w:rPr>
      </w:pPr>
      <w:hyperlink w:anchor="_Toc518323373" w:history="1">
        <w:r w:rsidR="001853BF" w:rsidRPr="00FD75E5">
          <w:rPr>
            <w:rStyle w:val="Hyperlink"/>
            <w:i/>
            <w:noProof/>
          </w:rPr>
          <w:t>Landings Association, Inc. v. Williams</w:t>
        </w:r>
        <w:r w:rsidR="001853BF">
          <w:rPr>
            <w:noProof/>
            <w:webHidden/>
          </w:rPr>
          <w:tab/>
        </w:r>
        <w:r w:rsidR="001853BF">
          <w:rPr>
            <w:noProof/>
            <w:webHidden/>
          </w:rPr>
          <w:fldChar w:fldCharType="begin"/>
        </w:r>
        <w:r w:rsidR="001853BF">
          <w:rPr>
            <w:noProof/>
            <w:webHidden/>
          </w:rPr>
          <w:instrText xml:space="preserve"> PAGEREF _Toc518323373 \h </w:instrText>
        </w:r>
        <w:r w:rsidR="001853BF">
          <w:rPr>
            <w:noProof/>
            <w:webHidden/>
          </w:rPr>
        </w:r>
        <w:r w:rsidR="001853BF">
          <w:rPr>
            <w:noProof/>
            <w:webHidden/>
          </w:rPr>
          <w:fldChar w:fldCharType="separate"/>
        </w:r>
        <w:r w:rsidR="001853BF">
          <w:rPr>
            <w:noProof/>
            <w:webHidden/>
          </w:rPr>
          <w:t>270</w:t>
        </w:r>
        <w:r w:rsidR="001853BF">
          <w:rPr>
            <w:noProof/>
            <w:webHidden/>
          </w:rPr>
          <w:fldChar w:fldCharType="end"/>
        </w:r>
      </w:hyperlink>
    </w:p>
    <w:p w14:paraId="64AA08B8" w14:textId="77777777" w:rsidR="001853BF" w:rsidRDefault="00E35F15">
      <w:pPr>
        <w:pStyle w:val="TOC4"/>
        <w:tabs>
          <w:tab w:val="right" w:leader="dot" w:pos="8630"/>
        </w:tabs>
        <w:rPr>
          <w:noProof/>
          <w:sz w:val="22"/>
          <w:szCs w:val="22"/>
        </w:rPr>
      </w:pPr>
      <w:hyperlink w:anchor="_Toc51832337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_Toc518323374 \h </w:instrText>
        </w:r>
        <w:r w:rsidR="001853BF">
          <w:rPr>
            <w:noProof/>
            <w:webHidden/>
          </w:rPr>
        </w:r>
        <w:r w:rsidR="001853BF">
          <w:rPr>
            <w:noProof/>
            <w:webHidden/>
          </w:rPr>
          <w:fldChar w:fldCharType="separate"/>
        </w:r>
        <w:r w:rsidR="001853BF">
          <w:rPr>
            <w:noProof/>
            <w:webHidden/>
          </w:rPr>
          <w:t>272</w:t>
        </w:r>
        <w:r w:rsidR="001853BF">
          <w:rPr>
            <w:noProof/>
            <w:webHidden/>
          </w:rPr>
          <w:fldChar w:fldCharType="end"/>
        </w:r>
      </w:hyperlink>
    </w:p>
    <w:p w14:paraId="6A1D6EC1" w14:textId="77777777" w:rsidR="001853BF" w:rsidRDefault="00E35F15">
      <w:pPr>
        <w:pStyle w:val="TOC3"/>
        <w:tabs>
          <w:tab w:val="right" w:leader="dot" w:pos="8630"/>
        </w:tabs>
        <w:rPr>
          <w:noProof/>
        </w:rPr>
      </w:pPr>
      <w:hyperlink w:anchor="_Toc518323375" w:history="1">
        <w:r w:rsidR="001853BF" w:rsidRPr="000F1856">
          <w:rPr>
            <w:rStyle w:val="Hyperlink"/>
            <w:noProof/>
          </w:rPr>
          <w:t>2.  Express Assumption of the Risk</w:t>
        </w:r>
        <w:r w:rsidR="001853BF">
          <w:rPr>
            <w:noProof/>
            <w:webHidden/>
          </w:rPr>
          <w:tab/>
        </w:r>
        <w:r w:rsidR="001853BF">
          <w:rPr>
            <w:noProof/>
            <w:webHidden/>
          </w:rPr>
          <w:fldChar w:fldCharType="begin"/>
        </w:r>
        <w:r w:rsidR="001853BF">
          <w:rPr>
            <w:noProof/>
            <w:webHidden/>
          </w:rPr>
          <w:instrText xml:space="preserve"> PAGEREF _Toc518323375 \h </w:instrText>
        </w:r>
        <w:r w:rsidR="001853BF">
          <w:rPr>
            <w:noProof/>
            <w:webHidden/>
          </w:rPr>
        </w:r>
        <w:r w:rsidR="001853BF">
          <w:rPr>
            <w:noProof/>
            <w:webHidden/>
          </w:rPr>
          <w:fldChar w:fldCharType="separate"/>
        </w:r>
        <w:r w:rsidR="001853BF">
          <w:rPr>
            <w:noProof/>
            <w:webHidden/>
          </w:rPr>
          <w:t>274</w:t>
        </w:r>
        <w:r w:rsidR="001853BF">
          <w:rPr>
            <w:noProof/>
            <w:webHidden/>
          </w:rPr>
          <w:fldChar w:fldCharType="end"/>
        </w:r>
      </w:hyperlink>
    </w:p>
    <w:p w14:paraId="062EE23F" w14:textId="77777777" w:rsidR="001853BF" w:rsidRDefault="00E35F15">
      <w:pPr>
        <w:pStyle w:val="TOC4"/>
        <w:tabs>
          <w:tab w:val="right" w:leader="dot" w:pos="8630"/>
        </w:tabs>
        <w:rPr>
          <w:noProof/>
          <w:sz w:val="22"/>
          <w:szCs w:val="22"/>
        </w:rPr>
      </w:pPr>
      <w:hyperlink w:anchor="_Toc518323376" w:history="1">
        <w:r w:rsidR="001853BF" w:rsidRPr="00FD75E5">
          <w:rPr>
            <w:rStyle w:val="Hyperlink"/>
            <w:i/>
            <w:noProof/>
          </w:rPr>
          <w:t>Dalury v. S-K-I, Ltd</w:t>
        </w:r>
        <w:r w:rsidR="001853BF">
          <w:rPr>
            <w:noProof/>
            <w:webHidden/>
          </w:rPr>
          <w:tab/>
        </w:r>
        <w:r w:rsidR="001853BF">
          <w:rPr>
            <w:noProof/>
            <w:webHidden/>
          </w:rPr>
          <w:fldChar w:fldCharType="begin"/>
        </w:r>
        <w:r w:rsidR="001853BF">
          <w:rPr>
            <w:noProof/>
            <w:webHidden/>
          </w:rPr>
          <w:instrText xml:space="preserve"> PAGEREF _Toc518323376 \h </w:instrText>
        </w:r>
        <w:r w:rsidR="001853BF">
          <w:rPr>
            <w:noProof/>
            <w:webHidden/>
          </w:rPr>
        </w:r>
        <w:r w:rsidR="001853BF">
          <w:rPr>
            <w:noProof/>
            <w:webHidden/>
          </w:rPr>
          <w:fldChar w:fldCharType="separate"/>
        </w:r>
        <w:r w:rsidR="001853BF">
          <w:rPr>
            <w:noProof/>
            <w:webHidden/>
          </w:rPr>
          <w:t>275</w:t>
        </w:r>
        <w:r w:rsidR="001853BF">
          <w:rPr>
            <w:noProof/>
            <w:webHidden/>
          </w:rPr>
          <w:fldChar w:fldCharType="end"/>
        </w:r>
      </w:hyperlink>
    </w:p>
    <w:p w14:paraId="4FAA2F3A" w14:textId="77777777" w:rsidR="001853BF" w:rsidRDefault="00E35F15">
      <w:pPr>
        <w:pStyle w:val="TOC4"/>
        <w:tabs>
          <w:tab w:val="right" w:leader="dot" w:pos="8630"/>
        </w:tabs>
        <w:rPr>
          <w:noProof/>
          <w:sz w:val="22"/>
          <w:szCs w:val="22"/>
        </w:rPr>
      </w:pPr>
      <w:hyperlink w:anchor="_Toc51832337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_Toc518323377 \h </w:instrText>
        </w:r>
        <w:r w:rsidR="001853BF">
          <w:rPr>
            <w:noProof/>
            <w:webHidden/>
          </w:rPr>
        </w:r>
        <w:r w:rsidR="001853BF">
          <w:rPr>
            <w:noProof/>
            <w:webHidden/>
          </w:rPr>
          <w:fldChar w:fldCharType="separate"/>
        </w:r>
        <w:r w:rsidR="001853BF">
          <w:rPr>
            <w:noProof/>
            <w:webHidden/>
          </w:rPr>
          <w:t>277</w:t>
        </w:r>
        <w:r w:rsidR="001853BF">
          <w:rPr>
            <w:noProof/>
            <w:webHidden/>
          </w:rPr>
          <w:fldChar w:fldCharType="end"/>
        </w:r>
      </w:hyperlink>
    </w:p>
    <w:p w14:paraId="4EE2A195" w14:textId="77777777" w:rsidR="001853BF" w:rsidRDefault="00E35F15">
      <w:pPr>
        <w:pStyle w:val="TOC4"/>
        <w:tabs>
          <w:tab w:val="right" w:leader="dot" w:pos="8630"/>
        </w:tabs>
        <w:rPr>
          <w:noProof/>
          <w:sz w:val="22"/>
          <w:szCs w:val="22"/>
        </w:rPr>
      </w:pPr>
      <w:hyperlink w:anchor="_Toc518323378" w:history="1">
        <w:r w:rsidR="001853BF" w:rsidRPr="000F1856">
          <w:rPr>
            <w:rStyle w:val="Hyperlink"/>
            <w:noProof/>
          </w:rPr>
          <w:t>Waivers in Modern Life: One Professor’s Waivers</w:t>
        </w:r>
        <w:r w:rsidR="001853BF">
          <w:rPr>
            <w:noProof/>
            <w:webHidden/>
          </w:rPr>
          <w:tab/>
        </w:r>
        <w:r w:rsidR="001853BF">
          <w:rPr>
            <w:noProof/>
            <w:webHidden/>
          </w:rPr>
          <w:fldChar w:fldCharType="begin"/>
        </w:r>
        <w:r w:rsidR="001853BF">
          <w:rPr>
            <w:noProof/>
            <w:webHidden/>
          </w:rPr>
          <w:instrText xml:space="preserve"> PAGEREF _Toc518323378 \h </w:instrText>
        </w:r>
        <w:r w:rsidR="001853BF">
          <w:rPr>
            <w:noProof/>
            <w:webHidden/>
          </w:rPr>
        </w:r>
        <w:r w:rsidR="001853BF">
          <w:rPr>
            <w:noProof/>
            <w:webHidden/>
          </w:rPr>
          <w:fldChar w:fldCharType="separate"/>
        </w:r>
        <w:r w:rsidR="001853BF">
          <w:rPr>
            <w:noProof/>
            <w:webHidden/>
          </w:rPr>
          <w:t>281</w:t>
        </w:r>
        <w:r w:rsidR="001853BF">
          <w:rPr>
            <w:noProof/>
            <w:webHidden/>
          </w:rPr>
          <w:fldChar w:fldCharType="end"/>
        </w:r>
      </w:hyperlink>
    </w:p>
    <w:p w14:paraId="675D9EFA" w14:textId="77777777" w:rsidR="001853BF" w:rsidRDefault="00E35F15">
      <w:pPr>
        <w:pStyle w:val="TOC4"/>
        <w:tabs>
          <w:tab w:val="right" w:leader="dot" w:pos="8630"/>
        </w:tabs>
        <w:rPr>
          <w:noProof/>
          <w:sz w:val="22"/>
          <w:szCs w:val="22"/>
        </w:rPr>
      </w:pPr>
      <w:hyperlink w:anchor="_Toc518323379"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_Toc518323379 \h </w:instrText>
        </w:r>
        <w:r w:rsidR="001853BF">
          <w:rPr>
            <w:noProof/>
            <w:webHidden/>
          </w:rPr>
        </w:r>
        <w:r w:rsidR="001853BF">
          <w:rPr>
            <w:noProof/>
            <w:webHidden/>
          </w:rPr>
          <w:fldChar w:fldCharType="separate"/>
        </w:r>
        <w:r w:rsidR="001853BF">
          <w:rPr>
            <w:noProof/>
            <w:webHidden/>
          </w:rPr>
          <w:t>285</w:t>
        </w:r>
        <w:r w:rsidR="001853BF">
          <w:rPr>
            <w:noProof/>
            <w:webHidden/>
          </w:rPr>
          <w:fldChar w:fldCharType="end"/>
        </w:r>
      </w:hyperlink>
    </w:p>
    <w:p w14:paraId="0DA8D276" w14:textId="77777777" w:rsidR="001853BF" w:rsidRDefault="00E35F15">
      <w:pPr>
        <w:pStyle w:val="TOC1"/>
        <w:tabs>
          <w:tab w:val="right" w:leader="dot" w:pos="8630"/>
        </w:tabs>
        <w:rPr>
          <w:b w:val="0"/>
          <w:noProof/>
          <w:sz w:val="22"/>
          <w:szCs w:val="22"/>
        </w:rPr>
      </w:pPr>
      <w:hyperlink w:anchor="_Toc518323380" w:history="1">
        <w:r w:rsidR="001853BF" w:rsidRPr="000F1856">
          <w:rPr>
            <w:rStyle w:val="Hyperlink"/>
            <w:noProof/>
          </w:rPr>
          <w:t>CHAPTER 6.  CAUSATION</w:t>
        </w:r>
        <w:r w:rsidR="001853BF">
          <w:rPr>
            <w:noProof/>
            <w:webHidden/>
          </w:rPr>
          <w:tab/>
        </w:r>
        <w:r w:rsidR="001853BF">
          <w:rPr>
            <w:noProof/>
            <w:webHidden/>
          </w:rPr>
          <w:fldChar w:fldCharType="begin"/>
        </w:r>
        <w:r w:rsidR="001853BF">
          <w:rPr>
            <w:noProof/>
            <w:webHidden/>
          </w:rPr>
          <w:instrText xml:space="preserve"> PAGEREF _Toc518323380 \h </w:instrText>
        </w:r>
        <w:r w:rsidR="001853BF">
          <w:rPr>
            <w:noProof/>
            <w:webHidden/>
          </w:rPr>
        </w:r>
        <w:r w:rsidR="001853BF">
          <w:rPr>
            <w:noProof/>
            <w:webHidden/>
          </w:rPr>
          <w:fldChar w:fldCharType="separate"/>
        </w:r>
        <w:r w:rsidR="001853BF">
          <w:rPr>
            <w:noProof/>
            <w:webHidden/>
          </w:rPr>
          <w:t>287</w:t>
        </w:r>
        <w:r w:rsidR="001853BF">
          <w:rPr>
            <w:noProof/>
            <w:webHidden/>
          </w:rPr>
          <w:fldChar w:fldCharType="end"/>
        </w:r>
      </w:hyperlink>
    </w:p>
    <w:p w14:paraId="209EB317" w14:textId="77777777" w:rsidR="001853BF" w:rsidRDefault="00E35F15">
      <w:pPr>
        <w:pStyle w:val="TOC2"/>
        <w:tabs>
          <w:tab w:val="right" w:leader="dot" w:pos="8630"/>
        </w:tabs>
        <w:rPr>
          <w:b w:val="0"/>
          <w:noProof/>
        </w:rPr>
      </w:pPr>
      <w:hyperlink w:anchor="_Toc518323381" w:history="1">
        <w:r w:rsidR="001853BF" w:rsidRPr="000F1856">
          <w:rPr>
            <w:rStyle w:val="Hyperlink"/>
            <w:noProof/>
          </w:rPr>
          <w:t>A. Causation: An Introduction</w:t>
        </w:r>
        <w:r w:rsidR="001853BF">
          <w:rPr>
            <w:noProof/>
            <w:webHidden/>
          </w:rPr>
          <w:tab/>
        </w:r>
        <w:r w:rsidR="001853BF">
          <w:rPr>
            <w:noProof/>
            <w:webHidden/>
          </w:rPr>
          <w:fldChar w:fldCharType="begin"/>
        </w:r>
        <w:r w:rsidR="001853BF">
          <w:rPr>
            <w:noProof/>
            <w:webHidden/>
          </w:rPr>
          <w:instrText xml:space="preserve"> PAGEREF _Toc518323381 \h </w:instrText>
        </w:r>
        <w:r w:rsidR="001853BF">
          <w:rPr>
            <w:noProof/>
            <w:webHidden/>
          </w:rPr>
        </w:r>
        <w:r w:rsidR="001853BF">
          <w:rPr>
            <w:noProof/>
            <w:webHidden/>
          </w:rPr>
          <w:fldChar w:fldCharType="separate"/>
        </w:r>
        <w:r w:rsidR="001853BF">
          <w:rPr>
            <w:noProof/>
            <w:webHidden/>
          </w:rPr>
          <w:t>287</w:t>
        </w:r>
        <w:r w:rsidR="001853BF">
          <w:rPr>
            <w:noProof/>
            <w:webHidden/>
          </w:rPr>
          <w:fldChar w:fldCharType="end"/>
        </w:r>
      </w:hyperlink>
    </w:p>
    <w:p w14:paraId="03493201" w14:textId="77777777" w:rsidR="001853BF" w:rsidRDefault="00E35F15">
      <w:pPr>
        <w:pStyle w:val="TOC4"/>
        <w:tabs>
          <w:tab w:val="right" w:leader="dot" w:pos="8630"/>
        </w:tabs>
        <w:rPr>
          <w:noProof/>
          <w:sz w:val="22"/>
          <w:szCs w:val="22"/>
        </w:rPr>
      </w:pPr>
      <w:hyperlink w:anchor="_Toc518323382" w:history="1">
        <w:r w:rsidR="001853BF" w:rsidRPr="00FD75E5">
          <w:rPr>
            <w:rStyle w:val="Hyperlink"/>
            <w:i/>
            <w:noProof/>
          </w:rPr>
          <w:t>LeRoy Fibre Co. v. Chicago, M. &amp; S. P. Railway</w:t>
        </w:r>
        <w:r w:rsidR="001853BF">
          <w:rPr>
            <w:noProof/>
            <w:webHidden/>
          </w:rPr>
          <w:tab/>
        </w:r>
        <w:r w:rsidR="001853BF">
          <w:rPr>
            <w:noProof/>
            <w:webHidden/>
          </w:rPr>
          <w:fldChar w:fldCharType="begin"/>
        </w:r>
        <w:r w:rsidR="001853BF">
          <w:rPr>
            <w:noProof/>
            <w:webHidden/>
          </w:rPr>
          <w:instrText xml:space="preserve"> PAGEREF _Toc518323382 \h </w:instrText>
        </w:r>
        <w:r w:rsidR="001853BF">
          <w:rPr>
            <w:noProof/>
            <w:webHidden/>
          </w:rPr>
        </w:r>
        <w:r w:rsidR="001853BF">
          <w:rPr>
            <w:noProof/>
            <w:webHidden/>
          </w:rPr>
          <w:fldChar w:fldCharType="separate"/>
        </w:r>
        <w:r w:rsidR="001853BF">
          <w:rPr>
            <w:noProof/>
            <w:webHidden/>
          </w:rPr>
          <w:t>287</w:t>
        </w:r>
        <w:r w:rsidR="001853BF">
          <w:rPr>
            <w:noProof/>
            <w:webHidden/>
          </w:rPr>
          <w:fldChar w:fldCharType="end"/>
        </w:r>
      </w:hyperlink>
    </w:p>
    <w:p w14:paraId="2A101021" w14:textId="77777777" w:rsidR="001853BF" w:rsidRDefault="00E35F15">
      <w:pPr>
        <w:pStyle w:val="TOC4"/>
        <w:tabs>
          <w:tab w:val="right" w:leader="dot" w:pos="8630"/>
        </w:tabs>
        <w:rPr>
          <w:noProof/>
          <w:sz w:val="22"/>
          <w:szCs w:val="22"/>
        </w:rPr>
      </w:pPr>
      <w:hyperlink w:anchor="_Toc51832338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_Toc518323383 \h </w:instrText>
        </w:r>
        <w:r w:rsidR="001853BF">
          <w:rPr>
            <w:noProof/>
            <w:webHidden/>
          </w:rPr>
        </w:r>
        <w:r w:rsidR="001853BF">
          <w:rPr>
            <w:noProof/>
            <w:webHidden/>
          </w:rPr>
          <w:fldChar w:fldCharType="separate"/>
        </w:r>
        <w:r w:rsidR="001853BF">
          <w:rPr>
            <w:noProof/>
            <w:webHidden/>
          </w:rPr>
          <w:t>289</w:t>
        </w:r>
        <w:r w:rsidR="001853BF">
          <w:rPr>
            <w:noProof/>
            <w:webHidden/>
          </w:rPr>
          <w:fldChar w:fldCharType="end"/>
        </w:r>
      </w:hyperlink>
    </w:p>
    <w:p w14:paraId="45478B92" w14:textId="77777777" w:rsidR="001853BF" w:rsidRDefault="00E35F15">
      <w:pPr>
        <w:pStyle w:val="TOC2"/>
        <w:tabs>
          <w:tab w:val="right" w:leader="dot" w:pos="8630"/>
        </w:tabs>
        <w:rPr>
          <w:b w:val="0"/>
          <w:noProof/>
        </w:rPr>
      </w:pPr>
      <w:hyperlink w:anchor="_Toc518323384" w:history="1">
        <w:r w:rsidR="001853BF" w:rsidRPr="000F1856">
          <w:rPr>
            <w:rStyle w:val="Hyperlink"/>
            <w:noProof/>
          </w:rPr>
          <w:t>B. Causation-in-Fact</w:t>
        </w:r>
        <w:r w:rsidR="001853BF">
          <w:rPr>
            <w:noProof/>
            <w:webHidden/>
          </w:rPr>
          <w:tab/>
        </w:r>
        <w:r w:rsidR="001853BF">
          <w:rPr>
            <w:noProof/>
            <w:webHidden/>
          </w:rPr>
          <w:fldChar w:fldCharType="begin"/>
        </w:r>
        <w:r w:rsidR="001853BF">
          <w:rPr>
            <w:noProof/>
            <w:webHidden/>
          </w:rPr>
          <w:instrText xml:space="preserve"> PAGEREF _Toc518323384 \h </w:instrText>
        </w:r>
        <w:r w:rsidR="001853BF">
          <w:rPr>
            <w:noProof/>
            <w:webHidden/>
          </w:rPr>
        </w:r>
        <w:r w:rsidR="001853BF">
          <w:rPr>
            <w:noProof/>
            <w:webHidden/>
          </w:rPr>
          <w:fldChar w:fldCharType="separate"/>
        </w:r>
        <w:r w:rsidR="001853BF">
          <w:rPr>
            <w:noProof/>
            <w:webHidden/>
          </w:rPr>
          <w:t>293</w:t>
        </w:r>
        <w:r w:rsidR="001853BF">
          <w:rPr>
            <w:noProof/>
            <w:webHidden/>
          </w:rPr>
          <w:fldChar w:fldCharType="end"/>
        </w:r>
      </w:hyperlink>
    </w:p>
    <w:p w14:paraId="64C238C1" w14:textId="77777777" w:rsidR="001853BF" w:rsidRDefault="00E35F15">
      <w:pPr>
        <w:pStyle w:val="TOC3"/>
        <w:tabs>
          <w:tab w:val="right" w:leader="dot" w:pos="8630"/>
        </w:tabs>
        <w:rPr>
          <w:noProof/>
        </w:rPr>
      </w:pPr>
      <w:hyperlink w:anchor="_Toc518323385" w:history="1">
        <w:r w:rsidR="001853BF" w:rsidRPr="000F1856">
          <w:rPr>
            <w:rStyle w:val="Hyperlink"/>
            <w:i/>
            <w:noProof/>
          </w:rPr>
          <w:t>New York Central RR. Co. v. Grimstad</w:t>
        </w:r>
        <w:r w:rsidR="001853BF">
          <w:rPr>
            <w:noProof/>
            <w:webHidden/>
          </w:rPr>
          <w:tab/>
        </w:r>
        <w:r w:rsidR="001853BF">
          <w:rPr>
            <w:noProof/>
            <w:webHidden/>
          </w:rPr>
          <w:fldChar w:fldCharType="begin"/>
        </w:r>
        <w:r w:rsidR="001853BF">
          <w:rPr>
            <w:noProof/>
            <w:webHidden/>
          </w:rPr>
          <w:instrText xml:space="preserve"> PAGEREF _Toc518323385 \h </w:instrText>
        </w:r>
        <w:r w:rsidR="001853BF">
          <w:rPr>
            <w:noProof/>
            <w:webHidden/>
          </w:rPr>
        </w:r>
        <w:r w:rsidR="001853BF">
          <w:rPr>
            <w:noProof/>
            <w:webHidden/>
          </w:rPr>
          <w:fldChar w:fldCharType="separate"/>
        </w:r>
        <w:r w:rsidR="001853BF">
          <w:rPr>
            <w:noProof/>
            <w:webHidden/>
          </w:rPr>
          <w:t>293</w:t>
        </w:r>
        <w:r w:rsidR="001853BF">
          <w:rPr>
            <w:noProof/>
            <w:webHidden/>
          </w:rPr>
          <w:fldChar w:fldCharType="end"/>
        </w:r>
      </w:hyperlink>
    </w:p>
    <w:p w14:paraId="0A08205B" w14:textId="77777777" w:rsidR="001853BF" w:rsidRDefault="00E35F15">
      <w:pPr>
        <w:pStyle w:val="TOC4"/>
        <w:tabs>
          <w:tab w:val="right" w:leader="dot" w:pos="8630"/>
        </w:tabs>
        <w:rPr>
          <w:noProof/>
          <w:sz w:val="22"/>
          <w:szCs w:val="22"/>
        </w:rPr>
      </w:pPr>
      <w:hyperlink w:anchor="_Toc51832338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_Toc518323386 \h </w:instrText>
        </w:r>
        <w:r w:rsidR="001853BF">
          <w:rPr>
            <w:noProof/>
            <w:webHidden/>
          </w:rPr>
        </w:r>
        <w:r w:rsidR="001853BF">
          <w:rPr>
            <w:noProof/>
            <w:webHidden/>
          </w:rPr>
          <w:fldChar w:fldCharType="separate"/>
        </w:r>
        <w:r w:rsidR="001853BF">
          <w:rPr>
            <w:noProof/>
            <w:webHidden/>
          </w:rPr>
          <w:t>294</w:t>
        </w:r>
        <w:r w:rsidR="001853BF">
          <w:rPr>
            <w:noProof/>
            <w:webHidden/>
          </w:rPr>
          <w:fldChar w:fldCharType="end"/>
        </w:r>
      </w:hyperlink>
    </w:p>
    <w:p w14:paraId="74CDE72C" w14:textId="77777777" w:rsidR="001853BF" w:rsidRDefault="00E35F15">
      <w:pPr>
        <w:pStyle w:val="TOC3"/>
        <w:tabs>
          <w:tab w:val="right" w:leader="dot" w:pos="8630"/>
        </w:tabs>
        <w:rPr>
          <w:noProof/>
        </w:rPr>
      </w:pPr>
      <w:hyperlink w:anchor="_Toc518323387" w:history="1">
        <w:r w:rsidR="001853BF" w:rsidRPr="000F1856">
          <w:rPr>
            <w:rStyle w:val="Hyperlink"/>
            <w:i/>
            <w:noProof/>
          </w:rPr>
          <w:t>Stubbs v. City of Rochester</w:t>
        </w:r>
        <w:r w:rsidR="001853BF">
          <w:rPr>
            <w:noProof/>
            <w:webHidden/>
          </w:rPr>
          <w:tab/>
        </w:r>
        <w:r w:rsidR="001853BF">
          <w:rPr>
            <w:noProof/>
            <w:webHidden/>
          </w:rPr>
          <w:fldChar w:fldCharType="begin"/>
        </w:r>
        <w:r w:rsidR="001853BF">
          <w:rPr>
            <w:noProof/>
            <w:webHidden/>
          </w:rPr>
          <w:instrText xml:space="preserve"> PAGEREF _Toc518323387 \h </w:instrText>
        </w:r>
        <w:r w:rsidR="001853BF">
          <w:rPr>
            <w:noProof/>
            <w:webHidden/>
          </w:rPr>
        </w:r>
        <w:r w:rsidR="001853BF">
          <w:rPr>
            <w:noProof/>
            <w:webHidden/>
          </w:rPr>
          <w:fldChar w:fldCharType="separate"/>
        </w:r>
        <w:r w:rsidR="001853BF">
          <w:rPr>
            <w:noProof/>
            <w:webHidden/>
          </w:rPr>
          <w:t>295</w:t>
        </w:r>
        <w:r w:rsidR="001853BF">
          <w:rPr>
            <w:noProof/>
            <w:webHidden/>
          </w:rPr>
          <w:fldChar w:fldCharType="end"/>
        </w:r>
      </w:hyperlink>
    </w:p>
    <w:p w14:paraId="1A2A71F5" w14:textId="77777777" w:rsidR="001853BF" w:rsidRDefault="00E35F15">
      <w:pPr>
        <w:pStyle w:val="TOC4"/>
        <w:tabs>
          <w:tab w:val="right" w:leader="dot" w:pos="8630"/>
        </w:tabs>
        <w:rPr>
          <w:noProof/>
          <w:sz w:val="22"/>
          <w:szCs w:val="22"/>
        </w:rPr>
      </w:pPr>
      <w:hyperlink w:anchor="_Toc51832338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_Toc518323388 \h </w:instrText>
        </w:r>
        <w:r w:rsidR="001853BF">
          <w:rPr>
            <w:noProof/>
            <w:webHidden/>
          </w:rPr>
        </w:r>
        <w:r w:rsidR="001853BF">
          <w:rPr>
            <w:noProof/>
            <w:webHidden/>
          </w:rPr>
          <w:fldChar w:fldCharType="separate"/>
        </w:r>
        <w:r w:rsidR="001853BF">
          <w:rPr>
            <w:noProof/>
            <w:webHidden/>
          </w:rPr>
          <w:t>298</w:t>
        </w:r>
        <w:r w:rsidR="001853BF">
          <w:rPr>
            <w:noProof/>
            <w:webHidden/>
          </w:rPr>
          <w:fldChar w:fldCharType="end"/>
        </w:r>
      </w:hyperlink>
    </w:p>
    <w:p w14:paraId="696277ED" w14:textId="77777777" w:rsidR="001853BF" w:rsidRDefault="00E35F15">
      <w:pPr>
        <w:pStyle w:val="TOC3"/>
        <w:tabs>
          <w:tab w:val="right" w:leader="dot" w:pos="8630"/>
        </w:tabs>
        <w:rPr>
          <w:noProof/>
        </w:rPr>
      </w:pPr>
      <w:hyperlink w:anchor="_Toc518323389" w:history="1">
        <w:r w:rsidR="001853BF" w:rsidRPr="000F1856">
          <w:rPr>
            <w:rStyle w:val="Hyperlink"/>
            <w:i/>
            <w:noProof/>
          </w:rPr>
          <w:t>Zuchowicz v. United States</w:t>
        </w:r>
        <w:r w:rsidR="001853BF">
          <w:rPr>
            <w:noProof/>
            <w:webHidden/>
          </w:rPr>
          <w:tab/>
        </w:r>
        <w:r w:rsidR="001853BF">
          <w:rPr>
            <w:noProof/>
            <w:webHidden/>
          </w:rPr>
          <w:fldChar w:fldCharType="begin"/>
        </w:r>
        <w:r w:rsidR="001853BF">
          <w:rPr>
            <w:noProof/>
            <w:webHidden/>
          </w:rPr>
          <w:instrText xml:space="preserve"> PAGEREF _Toc518323389 \h </w:instrText>
        </w:r>
        <w:r w:rsidR="001853BF">
          <w:rPr>
            <w:noProof/>
            <w:webHidden/>
          </w:rPr>
        </w:r>
        <w:r w:rsidR="001853BF">
          <w:rPr>
            <w:noProof/>
            <w:webHidden/>
          </w:rPr>
          <w:fldChar w:fldCharType="separate"/>
        </w:r>
        <w:r w:rsidR="001853BF">
          <w:rPr>
            <w:noProof/>
            <w:webHidden/>
          </w:rPr>
          <w:t>301</w:t>
        </w:r>
        <w:r w:rsidR="001853BF">
          <w:rPr>
            <w:noProof/>
            <w:webHidden/>
          </w:rPr>
          <w:fldChar w:fldCharType="end"/>
        </w:r>
      </w:hyperlink>
    </w:p>
    <w:p w14:paraId="019FBA95" w14:textId="77777777" w:rsidR="001853BF" w:rsidRDefault="00E35F15">
      <w:pPr>
        <w:pStyle w:val="TOC4"/>
        <w:tabs>
          <w:tab w:val="right" w:leader="dot" w:pos="8630"/>
        </w:tabs>
        <w:rPr>
          <w:noProof/>
          <w:sz w:val="22"/>
          <w:szCs w:val="22"/>
        </w:rPr>
      </w:pPr>
      <w:hyperlink w:anchor="_Toc51832339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_Toc518323390 \h </w:instrText>
        </w:r>
        <w:r w:rsidR="001853BF">
          <w:rPr>
            <w:noProof/>
            <w:webHidden/>
          </w:rPr>
        </w:r>
        <w:r w:rsidR="001853BF">
          <w:rPr>
            <w:noProof/>
            <w:webHidden/>
          </w:rPr>
          <w:fldChar w:fldCharType="separate"/>
        </w:r>
        <w:r w:rsidR="001853BF">
          <w:rPr>
            <w:noProof/>
            <w:webHidden/>
          </w:rPr>
          <w:t>303</w:t>
        </w:r>
        <w:r w:rsidR="001853BF">
          <w:rPr>
            <w:noProof/>
            <w:webHidden/>
          </w:rPr>
          <w:fldChar w:fldCharType="end"/>
        </w:r>
      </w:hyperlink>
    </w:p>
    <w:p w14:paraId="67C5A6CA" w14:textId="77777777" w:rsidR="001853BF" w:rsidRDefault="00E35F15">
      <w:pPr>
        <w:pStyle w:val="TOC2"/>
        <w:tabs>
          <w:tab w:val="right" w:leader="dot" w:pos="8630"/>
        </w:tabs>
        <w:rPr>
          <w:b w:val="0"/>
          <w:noProof/>
        </w:rPr>
      </w:pPr>
      <w:hyperlink w:anchor="_Toc518323391" w:history="1">
        <w:r w:rsidR="001853BF" w:rsidRPr="000F1856">
          <w:rPr>
            <w:rStyle w:val="Hyperlink"/>
            <w:noProof/>
          </w:rPr>
          <w:t>C. Lost Chances and Indeterminate Plaintiffs</w:t>
        </w:r>
        <w:r w:rsidR="001853BF">
          <w:rPr>
            <w:noProof/>
            <w:webHidden/>
          </w:rPr>
          <w:tab/>
        </w:r>
        <w:r w:rsidR="001853BF">
          <w:rPr>
            <w:noProof/>
            <w:webHidden/>
          </w:rPr>
          <w:fldChar w:fldCharType="begin"/>
        </w:r>
        <w:r w:rsidR="001853BF">
          <w:rPr>
            <w:noProof/>
            <w:webHidden/>
          </w:rPr>
          <w:instrText xml:space="preserve"> PAGEREF _Toc518323391 \h </w:instrText>
        </w:r>
        <w:r w:rsidR="001853BF">
          <w:rPr>
            <w:noProof/>
            <w:webHidden/>
          </w:rPr>
        </w:r>
        <w:r w:rsidR="001853BF">
          <w:rPr>
            <w:noProof/>
            <w:webHidden/>
          </w:rPr>
          <w:fldChar w:fldCharType="separate"/>
        </w:r>
        <w:r w:rsidR="001853BF">
          <w:rPr>
            <w:noProof/>
            <w:webHidden/>
          </w:rPr>
          <w:t>307</w:t>
        </w:r>
        <w:r w:rsidR="001853BF">
          <w:rPr>
            <w:noProof/>
            <w:webHidden/>
          </w:rPr>
          <w:fldChar w:fldCharType="end"/>
        </w:r>
      </w:hyperlink>
    </w:p>
    <w:p w14:paraId="249C8A39" w14:textId="77777777" w:rsidR="001853BF" w:rsidRDefault="00E35F15">
      <w:pPr>
        <w:pStyle w:val="TOC3"/>
        <w:tabs>
          <w:tab w:val="right" w:leader="dot" w:pos="8630"/>
        </w:tabs>
        <w:rPr>
          <w:noProof/>
        </w:rPr>
      </w:pPr>
      <w:hyperlink w:anchor="_Toc518323392" w:history="1">
        <w:r w:rsidR="001853BF" w:rsidRPr="000F1856">
          <w:rPr>
            <w:rStyle w:val="Hyperlink"/>
            <w:i/>
            <w:noProof/>
          </w:rPr>
          <w:t>Herskovits v. Group Health Coop</w:t>
        </w:r>
        <w:r w:rsidR="001853BF">
          <w:rPr>
            <w:noProof/>
            <w:webHidden/>
          </w:rPr>
          <w:tab/>
        </w:r>
        <w:r w:rsidR="001853BF">
          <w:rPr>
            <w:noProof/>
            <w:webHidden/>
          </w:rPr>
          <w:fldChar w:fldCharType="begin"/>
        </w:r>
        <w:r w:rsidR="001853BF">
          <w:rPr>
            <w:noProof/>
            <w:webHidden/>
          </w:rPr>
          <w:instrText xml:space="preserve"> PAGEREF _Toc518323392 \h </w:instrText>
        </w:r>
        <w:r w:rsidR="001853BF">
          <w:rPr>
            <w:noProof/>
            <w:webHidden/>
          </w:rPr>
        </w:r>
        <w:r w:rsidR="001853BF">
          <w:rPr>
            <w:noProof/>
            <w:webHidden/>
          </w:rPr>
          <w:fldChar w:fldCharType="separate"/>
        </w:r>
        <w:r w:rsidR="001853BF">
          <w:rPr>
            <w:noProof/>
            <w:webHidden/>
          </w:rPr>
          <w:t>307</w:t>
        </w:r>
        <w:r w:rsidR="001853BF">
          <w:rPr>
            <w:noProof/>
            <w:webHidden/>
          </w:rPr>
          <w:fldChar w:fldCharType="end"/>
        </w:r>
      </w:hyperlink>
    </w:p>
    <w:p w14:paraId="246F6ECC" w14:textId="77777777" w:rsidR="001853BF" w:rsidRDefault="00E35F15">
      <w:pPr>
        <w:pStyle w:val="TOC4"/>
        <w:tabs>
          <w:tab w:val="right" w:leader="dot" w:pos="8630"/>
        </w:tabs>
        <w:rPr>
          <w:noProof/>
          <w:sz w:val="22"/>
          <w:szCs w:val="22"/>
        </w:rPr>
      </w:pPr>
      <w:hyperlink w:anchor="_Toc51832339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_Toc518323393 \h </w:instrText>
        </w:r>
        <w:r w:rsidR="001853BF">
          <w:rPr>
            <w:noProof/>
            <w:webHidden/>
          </w:rPr>
        </w:r>
        <w:r w:rsidR="001853BF">
          <w:rPr>
            <w:noProof/>
            <w:webHidden/>
          </w:rPr>
          <w:fldChar w:fldCharType="separate"/>
        </w:r>
        <w:r w:rsidR="001853BF">
          <w:rPr>
            <w:noProof/>
            <w:webHidden/>
          </w:rPr>
          <w:t>310</w:t>
        </w:r>
        <w:r w:rsidR="001853BF">
          <w:rPr>
            <w:noProof/>
            <w:webHidden/>
          </w:rPr>
          <w:fldChar w:fldCharType="end"/>
        </w:r>
      </w:hyperlink>
    </w:p>
    <w:p w14:paraId="61FA4387" w14:textId="77777777" w:rsidR="001853BF" w:rsidRDefault="00E35F15">
      <w:pPr>
        <w:pStyle w:val="TOC2"/>
        <w:tabs>
          <w:tab w:val="right" w:leader="dot" w:pos="8630"/>
        </w:tabs>
        <w:rPr>
          <w:b w:val="0"/>
          <w:noProof/>
        </w:rPr>
      </w:pPr>
      <w:hyperlink w:anchor="_Toc518323394" w:history="1">
        <w:r w:rsidR="001853BF" w:rsidRPr="000F1856">
          <w:rPr>
            <w:rStyle w:val="Hyperlink"/>
            <w:noProof/>
          </w:rPr>
          <w:t>D. The Problem of Multiple Tortfeasors</w:t>
        </w:r>
        <w:r w:rsidR="001853BF">
          <w:rPr>
            <w:noProof/>
            <w:webHidden/>
          </w:rPr>
          <w:tab/>
        </w:r>
        <w:r w:rsidR="001853BF">
          <w:rPr>
            <w:noProof/>
            <w:webHidden/>
          </w:rPr>
          <w:fldChar w:fldCharType="begin"/>
        </w:r>
        <w:r w:rsidR="001853BF">
          <w:rPr>
            <w:noProof/>
            <w:webHidden/>
          </w:rPr>
          <w:instrText xml:space="preserve"> PAGEREF _Toc518323394 \h </w:instrText>
        </w:r>
        <w:r w:rsidR="001853BF">
          <w:rPr>
            <w:noProof/>
            <w:webHidden/>
          </w:rPr>
        </w:r>
        <w:r w:rsidR="001853BF">
          <w:rPr>
            <w:noProof/>
            <w:webHidden/>
          </w:rPr>
          <w:fldChar w:fldCharType="separate"/>
        </w:r>
        <w:r w:rsidR="001853BF">
          <w:rPr>
            <w:noProof/>
            <w:webHidden/>
          </w:rPr>
          <w:t>313</w:t>
        </w:r>
        <w:r w:rsidR="001853BF">
          <w:rPr>
            <w:noProof/>
            <w:webHidden/>
          </w:rPr>
          <w:fldChar w:fldCharType="end"/>
        </w:r>
      </w:hyperlink>
    </w:p>
    <w:p w14:paraId="58FD6D74" w14:textId="77777777" w:rsidR="001853BF" w:rsidRDefault="00E35F15">
      <w:pPr>
        <w:pStyle w:val="TOC3"/>
        <w:tabs>
          <w:tab w:val="right" w:leader="dot" w:pos="8630"/>
        </w:tabs>
        <w:rPr>
          <w:noProof/>
        </w:rPr>
      </w:pPr>
      <w:hyperlink w:anchor="_Toc518323395" w:history="1">
        <w:r w:rsidR="001853BF" w:rsidRPr="000F1856">
          <w:rPr>
            <w:rStyle w:val="Hyperlink"/>
            <w:i/>
            <w:noProof/>
          </w:rPr>
          <w:t>Kingston v. Chicago &amp; N. W. R. Co</w:t>
        </w:r>
        <w:r w:rsidR="001853BF">
          <w:rPr>
            <w:noProof/>
            <w:webHidden/>
          </w:rPr>
          <w:tab/>
        </w:r>
        <w:r w:rsidR="001853BF">
          <w:rPr>
            <w:noProof/>
            <w:webHidden/>
          </w:rPr>
          <w:fldChar w:fldCharType="begin"/>
        </w:r>
        <w:r w:rsidR="001853BF">
          <w:rPr>
            <w:noProof/>
            <w:webHidden/>
          </w:rPr>
          <w:instrText xml:space="preserve"> PAGEREF _Toc518323395 \h </w:instrText>
        </w:r>
        <w:r w:rsidR="001853BF">
          <w:rPr>
            <w:noProof/>
            <w:webHidden/>
          </w:rPr>
        </w:r>
        <w:r w:rsidR="001853BF">
          <w:rPr>
            <w:noProof/>
            <w:webHidden/>
          </w:rPr>
          <w:fldChar w:fldCharType="separate"/>
        </w:r>
        <w:r w:rsidR="001853BF">
          <w:rPr>
            <w:noProof/>
            <w:webHidden/>
          </w:rPr>
          <w:t>313</w:t>
        </w:r>
        <w:r w:rsidR="001853BF">
          <w:rPr>
            <w:noProof/>
            <w:webHidden/>
          </w:rPr>
          <w:fldChar w:fldCharType="end"/>
        </w:r>
      </w:hyperlink>
    </w:p>
    <w:p w14:paraId="0D5CEC10" w14:textId="77777777" w:rsidR="001853BF" w:rsidRDefault="00E35F15">
      <w:pPr>
        <w:pStyle w:val="TOC4"/>
        <w:tabs>
          <w:tab w:val="right" w:leader="dot" w:pos="8630"/>
        </w:tabs>
        <w:rPr>
          <w:noProof/>
          <w:sz w:val="22"/>
          <w:szCs w:val="22"/>
        </w:rPr>
      </w:pPr>
      <w:hyperlink w:anchor="_Toc51832339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_Toc518323396 \h </w:instrText>
        </w:r>
        <w:r w:rsidR="001853BF">
          <w:rPr>
            <w:noProof/>
            <w:webHidden/>
          </w:rPr>
        </w:r>
        <w:r w:rsidR="001853BF">
          <w:rPr>
            <w:noProof/>
            <w:webHidden/>
          </w:rPr>
          <w:fldChar w:fldCharType="separate"/>
        </w:r>
        <w:r w:rsidR="001853BF">
          <w:rPr>
            <w:noProof/>
            <w:webHidden/>
          </w:rPr>
          <w:t>315</w:t>
        </w:r>
        <w:r w:rsidR="001853BF">
          <w:rPr>
            <w:noProof/>
            <w:webHidden/>
          </w:rPr>
          <w:fldChar w:fldCharType="end"/>
        </w:r>
      </w:hyperlink>
    </w:p>
    <w:p w14:paraId="40D8CB06" w14:textId="77777777" w:rsidR="001853BF" w:rsidRDefault="00E35F15">
      <w:pPr>
        <w:pStyle w:val="TOC2"/>
        <w:tabs>
          <w:tab w:val="right" w:leader="dot" w:pos="8630"/>
        </w:tabs>
        <w:rPr>
          <w:b w:val="0"/>
          <w:noProof/>
        </w:rPr>
      </w:pPr>
      <w:hyperlink w:anchor="_Toc518323397" w:history="1">
        <w:r w:rsidR="001853BF" w:rsidRPr="000F1856">
          <w:rPr>
            <w:rStyle w:val="Hyperlink"/>
            <w:noProof/>
          </w:rPr>
          <w:t>E. Alternative Liability and Indeterminate Defendants</w:t>
        </w:r>
        <w:r w:rsidR="001853BF">
          <w:rPr>
            <w:noProof/>
            <w:webHidden/>
          </w:rPr>
          <w:tab/>
        </w:r>
        <w:r w:rsidR="001853BF">
          <w:rPr>
            <w:noProof/>
            <w:webHidden/>
          </w:rPr>
          <w:fldChar w:fldCharType="begin"/>
        </w:r>
        <w:r w:rsidR="001853BF">
          <w:rPr>
            <w:noProof/>
            <w:webHidden/>
          </w:rPr>
          <w:instrText xml:space="preserve"> PAGEREF _Toc518323397 \h </w:instrText>
        </w:r>
        <w:r w:rsidR="001853BF">
          <w:rPr>
            <w:noProof/>
            <w:webHidden/>
          </w:rPr>
        </w:r>
        <w:r w:rsidR="001853BF">
          <w:rPr>
            <w:noProof/>
            <w:webHidden/>
          </w:rPr>
          <w:fldChar w:fldCharType="separate"/>
        </w:r>
        <w:r w:rsidR="001853BF">
          <w:rPr>
            <w:noProof/>
            <w:webHidden/>
          </w:rPr>
          <w:t>316</w:t>
        </w:r>
        <w:r w:rsidR="001853BF">
          <w:rPr>
            <w:noProof/>
            <w:webHidden/>
          </w:rPr>
          <w:fldChar w:fldCharType="end"/>
        </w:r>
      </w:hyperlink>
    </w:p>
    <w:p w14:paraId="57F17B45" w14:textId="77777777" w:rsidR="001853BF" w:rsidRDefault="00E35F15">
      <w:pPr>
        <w:pStyle w:val="TOC3"/>
        <w:tabs>
          <w:tab w:val="right" w:leader="dot" w:pos="8630"/>
        </w:tabs>
        <w:rPr>
          <w:noProof/>
        </w:rPr>
      </w:pPr>
      <w:hyperlink w:anchor="_Toc518323398" w:history="1">
        <w:r w:rsidR="001853BF" w:rsidRPr="000F1856">
          <w:rPr>
            <w:rStyle w:val="Hyperlink"/>
            <w:i/>
            <w:noProof/>
          </w:rPr>
          <w:t>Summers v. Tice</w:t>
        </w:r>
        <w:r w:rsidR="001853BF">
          <w:rPr>
            <w:noProof/>
            <w:webHidden/>
          </w:rPr>
          <w:tab/>
        </w:r>
        <w:r w:rsidR="001853BF">
          <w:rPr>
            <w:noProof/>
            <w:webHidden/>
          </w:rPr>
          <w:fldChar w:fldCharType="begin"/>
        </w:r>
        <w:r w:rsidR="001853BF">
          <w:rPr>
            <w:noProof/>
            <w:webHidden/>
          </w:rPr>
          <w:instrText xml:space="preserve"> PAGEREF _Toc518323398 \h </w:instrText>
        </w:r>
        <w:r w:rsidR="001853BF">
          <w:rPr>
            <w:noProof/>
            <w:webHidden/>
          </w:rPr>
        </w:r>
        <w:r w:rsidR="001853BF">
          <w:rPr>
            <w:noProof/>
            <w:webHidden/>
          </w:rPr>
          <w:fldChar w:fldCharType="separate"/>
        </w:r>
        <w:r w:rsidR="001853BF">
          <w:rPr>
            <w:noProof/>
            <w:webHidden/>
          </w:rPr>
          <w:t>316</w:t>
        </w:r>
        <w:r w:rsidR="001853BF">
          <w:rPr>
            <w:noProof/>
            <w:webHidden/>
          </w:rPr>
          <w:fldChar w:fldCharType="end"/>
        </w:r>
      </w:hyperlink>
    </w:p>
    <w:p w14:paraId="6612FAF4" w14:textId="77777777" w:rsidR="001853BF" w:rsidRDefault="00E35F15">
      <w:pPr>
        <w:pStyle w:val="TOC4"/>
        <w:tabs>
          <w:tab w:val="right" w:leader="dot" w:pos="8630"/>
        </w:tabs>
        <w:rPr>
          <w:noProof/>
          <w:sz w:val="22"/>
          <w:szCs w:val="22"/>
        </w:rPr>
      </w:pPr>
      <w:hyperlink w:anchor="_Toc518323399"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_Toc518323399 \h </w:instrText>
        </w:r>
        <w:r w:rsidR="001853BF">
          <w:rPr>
            <w:noProof/>
            <w:webHidden/>
          </w:rPr>
        </w:r>
        <w:r w:rsidR="001853BF">
          <w:rPr>
            <w:noProof/>
            <w:webHidden/>
          </w:rPr>
          <w:fldChar w:fldCharType="separate"/>
        </w:r>
        <w:r w:rsidR="001853BF">
          <w:rPr>
            <w:noProof/>
            <w:webHidden/>
          </w:rPr>
          <w:t>317</w:t>
        </w:r>
        <w:r w:rsidR="001853BF">
          <w:rPr>
            <w:noProof/>
            <w:webHidden/>
          </w:rPr>
          <w:fldChar w:fldCharType="end"/>
        </w:r>
      </w:hyperlink>
    </w:p>
    <w:p w14:paraId="01324A45" w14:textId="77777777" w:rsidR="001853BF" w:rsidRDefault="00E35F15">
      <w:pPr>
        <w:pStyle w:val="TOC3"/>
        <w:tabs>
          <w:tab w:val="right" w:leader="dot" w:pos="8630"/>
        </w:tabs>
        <w:rPr>
          <w:noProof/>
        </w:rPr>
      </w:pPr>
      <w:hyperlink w:anchor="_Toc518323400" w:history="1">
        <w:r w:rsidR="001853BF" w:rsidRPr="000F1856">
          <w:rPr>
            <w:rStyle w:val="Hyperlink"/>
            <w:i/>
            <w:noProof/>
          </w:rPr>
          <w:t>Sindell v. Abbott Laboratories</w:t>
        </w:r>
        <w:r w:rsidR="001853BF">
          <w:rPr>
            <w:noProof/>
            <w:webHidden/>
          </w:rPr>
          <w:tab/>
        </w:r>
        <w:r w:rsidR="001853BF">
          <w:rPr>
            <w:noProof/>
            <w:webHidden/>
          </w:rPr>
          <w:fldChar w:fldCharType="begin"/>
        </w:r>
        <w:r w:rsidR="001853BF">
          <w:rPr>
            <w:noProof/>
            <w:webHidden/>
          </w:rPr>
          <w:instrText xml:space="preserve"> PAGEREF _Toc518323400 \h </w:instrText>
        </w:r>
        <w:r w:rsidR="001853BF">
          <w:rPr>
            <w:noProof/>
            <w:webHidden/>
          </w:rPr>
        </w:r>
        <w:r w:rsidR="001853BF">
          <w:rPr>
            <w:noProof/>
            <w:webHidden/>
          </w:rPr>
          <w:fldChar w:fldCharType="separate"/>
        </w:r>
        <w:r w:rsidR="001853BF">
          <w:rPr>
            <w:noProof/>
            <w:webHidden/>
          </w:rPr>
          <w:t>317</w:t>
        </w:r>
        <w:r w:rsidR="001853BF">
          <w:rPr>
            <w:noProof/>
            <w:webHidden/>
          </w:rPr>
          <w:fldChar w:fldCharType="end"/>
        </w:r>
      </w:hyperlink>
    </w:p>
    <w:p w14:paraId="0157F490" w14:textId="77777777" w:rsidR="001853BF" w:rsidRDefault="00E35F15">
      <w:pPr>
        <w:pStyle w:val="TOC4"/>
        <w:tabs>
          <w:tab w:val="right" w:leader="dot" w:pos="8630"/>
        </w:tabs>
        <w:rPr>
          <w:noProof/>
          <w:sz w:val="22"/>
          <w:szCs w:val="22"/>
        </w:rPr>
      </w:pPr>
      <w:hyperlink w:anchor="_Toc51832340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_Toc518323401 \h </w:instrText>
        </w:r>
        <w:r w:rsidR="001853BF">
          <w:rPr>
            <w:noProof/>
            <w:webHidden/>
          </w:rPr>
        </w:r>
        <w:r w:rsidR="001853BF">
          <w:rPr>
            <w:noProof/>
            <w:webHidden/>
          </w:rPr>
          <w:fldChar w:fldCharType="separate"/>
        </w:r>
        <w:r w:rsidR="001853BF">
          <w:rPr>
            <w:noProof/>
            <w:webHidden/>
          </w:rPr>
          <w:t>323</w:t>
        </w:r>
        <w:r w:rsidR="001853BF">
          <w:rPr>
            <w:noProof/>
            <w:webHidden/>
          </w:rPr>
          <w:fldChar w:fldCharType="end"/>
        </w:r>
      </w:hyperlink>
    </w:p>
    <w:p w14:paraId="264DF455" w14:textId="77777777" w:rsidR="001853BF" w:rsidRDefault="00E35F15">
      <w:pPr>
        <w:pStyle w:val="TOC3"/>
        <w:tabs>
          <w:tab w:val="right" w:leader="dot" w:pos="8630"/>
        </w:tabs>
        <w:rPr>
          <w:noProof/>
        </w:rPr>
      </w:pPr>
      <w:hyperlink w:anchor="_Toc518323402" w:history="1">
        <w:r w:rsidR="001853BF" w:rsidRPr="000F1856">
          <w:rPr>
            <w:rStyle w:val="Hyperlink"/>
            <w:noProof/>
          </w:rPr>
          <w:t>The Substantial Factor Test Revisited</w:t>
        </w:r>
        <w:r w:rsidR="001853BF">
          <w:rPr>
            <w:noProof/>
            <w:webHidden/>
          </w:rPr>
          <w:tab/>
        </w:r>
        <w:r w:rsidR="001853BF">
          <w:rPr>
            <w:noProof/>
            <w:webHidden/>
          </w:rPr>
          <w:fldChar w:fldCharType="begin"/>
        </w:r>
        <w:r w:rsidR="001853BF">
          <w:rPr>
            <w:noProof/>
            <w:webHidden/>
          </w:rPr>
          <w:instrText xml:space="preserve"> PAGEREF _Toc518323402 \h </w:instrText>
        </w:r>
        <w:r w:rsidR="001853BF">
          <w:rPr>
            <w:noProof/>
            <w:webHidden/>
          </w:rPr>
        </w:r>
        <w:r w:rsidR="001853BF">
          <w:rPr>
            <w:noProof/>
            <w:webHidden/>
          </w:rPr>
          <w:fldChar w:fldCharType="separate"/>
        </w:r>
        <w:r w:rsidR="001853BF">
          <w:rPr>
            <w:noProof/>
            <w:webHidden/>
          </w:rPr>
          <w:t>327</w:t>
        </w:r>
        <w:r w:rsidR="001853BF">
          <w:rPr>
            <w:noProof/>
            <w:webHidden/>
          </w:rPr>
          <w:fldChar w:fldCharType="end"/>
        </w:r>
      </w:hyperlink>
    </w:p>
    <w:p w14:paraId="17A332D0" w14:textId="77777777" w:rsidR="001853BF" w:rsidRDefault="00E35F15">
      <w:pPr>
        <w:pStyle w:val="TOC2"/>
        <w:tabs>
          <w:tab w:val="right" w:leader="dot" w:pos="8630"/>
        </w:tabs>
        <w:rPr>
          <w:b w:val="0"/>
          <w:noProof/>
        </w:rPr>
      </w:pPr>
      <w:hyperlink w:anchor="_Toc518323403" w:history="1">
        <w:r w:rsidR="001853BF" w:rsidRPr="000F1856">
          <w:rPr>
            <w:rStyle w:val="Hyperlink"/>
            <w:noProof/>
          </w:rPr>
          <w:t>F. Causation Beyond Torts</w:t>
        </w:r>
        <w:r w:rsidR="001853BF">
          <w:rPr>
            <w:noProof/>
            <w:webHidden/>
          </w:rPr>
          <w:tab/>
        </w:r>
        <w:r w:rsidR="001853BF">
          <w:rPr>
            <w:noProof/>
            <w:webHidden/>
          </w:rPr>
          <w:fldChar w:fldCharType="begin"/>
        </w:r>
        <w:r w:rsidR="001853BF">
          <w:rPr>
            <w:noProof/>
            <w:webHidden/>
          </w:rPr>
          <w:instrText xml:space="preserve"> PAGEREF _Toc518323403 \h </w:instrText>
        </w:r>
        <w:r w:rsidR="001853BF">
          <w:rPr>
            <w:noProof/>
            <w:webHidden/>
          </w:rPr>
        </w:r>
        <w:r w:rsidR="001853BF">
          <w:rPr>
            <w:noProof/>
            <w:webHidden/>
          </w:rPr>
          <w:fldChar w:fldCharType="separate"/>
        </w:r>
        <w:r w:rsidR="001853BF">
          <w:rPr>
            <w:noProof/>
            <w:webHidden/>
          </w:rPr>
          <w:t>328</w:t>
        </w:r>
        <w:r w:rsidR="001853BF">
          <w:rPr>
            <w:noProof/>
            <w:webHidden/>
          </w:rPr>
          <w:fldChar w:fldCharType="end"/>
        </w:r>
      </w:hyperlink>
    </w:p>
    <w:p w14:paraId="6AE11D27" w14:textId="77777777" w:rsidR="001853BF" w:rsidRDefault="00E35F15">
      <w:pPr>
        <w:pStyle w:val="TOC3"/>
        <w:tabs>
          <w:tab w:val="right" w:leader="dot" w:pos="8630"/>
        </w:tabs>
        <w:rPr>
          <w:noProof/>
        </w:rPr>
      </w:pPr>
      <w:hyperlink w:anchor="_Toc518323404" w:history="1">
        <w:r w:rsidR="001853BF" w:rsidRPr="000F1856">
          <w:rPr>
            <w:rStyle w:val="Hyperlink"/>
            <w:noProof/>
          </w:rPr>
          <w:t>1.  The Criminal Law</w:t>
        </w:r>
        <w:r w:rsidR="001853BF">
          <w:rPr>
            <w:noProof/>
            <w:webHidden/>
          </w:rPr>
          <w:tab/>
        </w:r>
        <w:r w:rsidR="001853BF">
          <w:rPr>
            <w:noProof/>
            <w:webHidden/>
          </w:rPr>
          <w:fldChar w:fldCharType="begin"/>
        </w:r>
        <w:r w:rsidR="001853BF">
          <w:rPr>
            <w:noProof/>
            <w:webHidden/>
          </w:rPr>
          <w:instrText xml:space="preserve"> PAGEREF _Toc518323404 \h </w:instrText>
        </w:r>
        <w:r w:rsidR="001853BF">
          <w:rPr>
            <w:noProof/>
            <w:webHidden/>
          </w:rPr>
        </w:r>
        <w:r w:rsidR="001853BF">
          <w:rPr>
            <w:noProof/>
            <w:webHidden/>
          </w:rPr>
          <w:fldChar w:fldCharType="separate"/>
        </w:r>
        <w:r w:rsidR="001853BF">
          <w:rPr>
            <w:noProof/>
            <w:webHidden/>
          </w:rPr>
          <w:t>329</w:t>
        </w:r>
        <w:r w:rsidR="001853BF">
          <w:rPr>
            <w:noProof/>
            <w:webHidden/>
          </w:rPr>
          <w:fldChar w:fldCharType="end"/>
        </w:r>
      </w:hyperlink>
    </w:p>
    <w:p w14:paraId="59286394" w14:textId="77777777" w:rsidR="001853BF" w:rsidRDefault="00E35F15">
      <w:pPr>
        <w:pStyle w:val="TOC3"/>
        <w:tabs>
          <w:tab w:val="right" w:leader="dot" w:pos="8630"/>
        </w:tabs>
        <w:rPr>
          <w:noProof/>
        </w:rPr>
      </w:pPr>
      <w:hyperlink w:anchor="_Toc518323405" w:history="1">
        <w:r w:rsidR="001853BF" w:rsidRPr="000F1856">
          <w:rPr>
            <w:rStyle w:val="Hyperlink"/>
            <w:noProof/>
          </w:rPr>
          <w:t>2.  Employment Discrimination</w:t>
        </w:r>
        <w:r w:rsidR="001853BF">
          <w:rPr>
            <w:noProof/>
            <w:webHidden/>
          </w:rPr>
          <w:tab/>
        </w:r>
        <w:r w:rsidR="001853BF">
          <w:rPr>
            <w:noProof/>
            <w:webHidden/>
          </w:rPr>
          <w:fldChar w:fldCharType="begin"/>
        </w:r>
        <w:r w:rsidR="001853BF">
          <w:rPr>
            <w:noProof/>
            <w:webHidden/>
          </w:rPr>
          <w:instrText xml:space="preserve"> PAGEREF _Toc518323405 \h </w:instrText>
        </w:r>
        <w:r w:rsidR="001853BF">
          <w:rPr>
            <w:noProof/>
            <w:webHidden/>
          </w:rPr>
        </w:r>
        <w:r w:rsidR="001853BF">
          <w:rPr>
            <w:noProof/>
            <w:webHidden/>
          </w:rPr>
          <w:fldChar w:fldCharType="separate"/>
        </w:r>
        <w:r w:rsidR="001853BF">
          <w:rPr>
            <w:noProof/>
            <w:webHidden/>
          </w:rPr>
          <w:t>329</w:t>
        </w:r>
        <w:r w:rsidR="001853BF">
          <w:rPr>
            <w:noProof/>
            <w:webHidden/>
          </w:rPr>
          <w:fldChar w:fldCharType="end"/>
        </w:r>
      </w:hyperlink>
    </w:p>
    <w:p w14:paraId="7D81177A" w14:textId="77777777" w:rsidR="001853BF" w:rsidRDefault="00E35F15">
      <w:pPr>
        <w:pStyle w:val="TOC3"/>
        <w:tabs>
          <w:tab w:val="right" w:leader="dot" w:pos="8630"/>
        </w:tabs>
        <w:rPr>
          <w:noProof/>
        </w:rPr>
      </w:pPr>
      <w:hyperlink w:anchor="_Toc518323406" w:history="1">
        <w:r w:rsidR="001853BF" w:rsidRPr="000F1856">
          <w:rPr>
            <w:rStyle w:val="Hyperlink"/>
            <w:noProof/>
          </w:rPr>
          <w:t>3.  Environmental Law</w:t>
        </w:r>
        <w:r w:rsidR="001853BF">
          <w:rPr>
            <w:noProof/>
            <w:webHidden/>
          </w:rPr>
          <w:tab/>
        </w:r>
        <w:r w:rsidR="001853BF">
          <w:rPr>
            <w:noProof/>
            <w:webHidden/>
          </w:rPr>
          <w:fldChar w:fldCharType="begin"/>
        </w:r>
        <w:r w:rsidR="001853BF">
          <w:rPr>
            <w:noProof/>
            <w:webHidden/>
          </w:rPr>
          <w:instrText xml:space="preserve"> PAGEREF _Toc518323406 \h </w:instrText>
        </w:r>
        <w:r w:rsidR="001853BF">
          <w:rPr>
            <w:noProof/>
            <w:webHidden/>
          </w:rPr>
        </w:r>
        <w:r w:rsidR="001853BF">
          <w:rPr>
            <w:noProof/>
            <w:webHidden/>
          </w:rPr>
          <w:fldChar w:fldCharType="separate"/>
        </w:r>
        <w:r w:rsidR="001853BF">
          <w:rPr>
            <w:noProof/>
            <w:webHidden/>
          </w:rPr>
          <w:t>330</w:t>
        </w:r>
        <w:r w:rsidR="001853BF">
          <w:rPr>
            <w:noProof/>
            <w:webHidden/>
          </w:rPr>
          <w:fldChar w:fldCharType="end"/>
        </w:r>
      </w:hyperlink>
    </w:p>
    <w:p w14:paraId="5C6EA70B" w14:textId="77777777" w:rsidR="001853BF" w:rsidRDefault="00E35F15">
      <w:pPr>
        <w:pStyle w:val="TOC3"/>
        <w:tabs>
          <w:tab w:val="right" w:leader="dot" w:pos="8630"/>
        </w:tabs>
        <w:rPr>
          <w:noProof/>
        </w:rPr>
      </w:pPr>
      <w:hyperlink w:anchor="_Toc518323407" w:history="1">
        <w:r w:rsidR="001853BF" w:rsidRPr="000F1856">
          <w:rPr>
            <w:rStyle w:val="Hyperlink"/>
            <w:noProof/>
          </w:rPr>
          <w:t>4.  Securities Litigation</w:t>
        </w:r>
        <w:r w:rsidR="001853BF">
          <w:rPr>
            <w:noProof/>
            <w:webHidden/>
          </w:rPr>
          <w:tab/>
        </w:r>
        <w:r w:rsidR="001853BF">
          <w:rPr>
            <w:noProof/>
            <w:webHidden/>
          </w:rPr>
          <w:fldChar w:fldCharType="begin"/>
        </w:r>
        <w:r w:rsidR="001853BF">
          <w:rPr>
            <w:noProof/>
            <w:webHidden/>
          </w:rPr>
          <w:instrText xml:space="preserve"> PAGEREF _Toc518323407 \h </w:instrText>
        </w:r>
        <w:r w:rsidR="001853BF">
          <w:rPr>
            <w:noProof/>
            <w:webHidden/>
          </w:rPr>
        </w:r>
        <w:r w:rsidR="001853BF">
          <w:rPr>
            <w:noProof/>
            <w:webHidden/>
          </w:rPr>
          <w:fldChar w:fldCharType="separate"/>
        </w:r>
        <w:r w:rsidR="001853BF">
          <w:rPr>
            <w:noProof/>
            <w:webHidden/>
          </w:rPr>
          <w:t>331</w:t>
        </w:r>
        <w:r w:rsidR="001853BF">
          <w:rPr>
            <w:noProof/>
            <w:webHidden/>
          </w:rPr>
          <w:fldChar w:fldCharType="end"/>
        </w:r>
      </w:hyperlink>
    </w:p>
    <w:p w14:paraId="1C0B376D" w14:textId="77777777" w:rsidR="001853BF" w:rsidRDefault="00E35F15">
      <w:pPr>
        <w:pStyle w:val="TOC3"/>
        <w:tabs>
          <w:tab w:val="right" w:leader="dot" w:pos="8630"/>
        </w:tabs>
        <w:rPr>
          <w:noProof/>
        </w:rPr>
      </w:pPr>
      <w:hyperlink w:anchor="_Toc518323408" w:history="1">
        <w:r w:rsidR="001853BF" w:rsidRPr="000F1856">
          <w:rPr>
            <w:rStyle w:val="Hyperlink"/>
            <w:noProof/>
          </w:rPr>
          <w:t>5.  Psychological Conventions around Causation</w:t>
        </w:r>
        <w:r w:rsidR="001853BF">
          <w:rPr>
            <w:noProof/>
            <w:webHidden/>
          </w:rPr>
          <w:tab/>
        </w:r>
        <w:r w:rsidR="001853BF">
          <w:rPr>
            <w:noProof/>
            <w:webHidden/>
          </w:rPr>
          <w:fldChar w:fldCharType="begin"/>
        </w:r>
        <w:r w:rsidR="001853BF">
          <w:rPr>
            <w:noProof/>
            <w:webHidden/>
          </w:rPr>
          <w:instrText xml:space="preserve"> PAGEREF _Toc518323408 \h </w:instrText>
        </w:r>
        <w:r w:rsidR="001853BF">
          <w:rPr>
            <w:noProof/>
            <w:webHidden/>
          </w:rPr>
        </w:r>
        <w:r w:rsidR="001853BF">
          <w:rPr>
            <w:noProof/>
            <w:webHidden/>
          </w:rPr>
          <w:fldChar w:fldCharType="separate"/>
        </w:r>
        <w:r w:rsidR="001853BF">
          <w:rPr>
            <w:noProof/>
            <w:webHidden/>
          </w:rPr>
          <w:t>331</w:t>
        </w:r>
        <w:r w:rsidR="001853BF">
          <w:rPr>
            <w:noProof/>
            <w:webHidden/>
          </w:rPr>
          <w:fldChar w:fldCharType="end"/>
        </w:r>
      </w:hyperlink>
    </w:p>
    <w:p w14:paraId="755A0FAF" w14:textId="77777777" w:rsidR="001853BF" w:rsidRDefault="00E35F15">
      <w:pPr>
        <w:pStyle w:val="TOC1"/>
        <w:tabs>
          <w:tab w:val="right" w:leader="dot" w:pos="8630"/>
        </w:tabs>
        <w:rPr>
          <w:b w:val="0"/>
          <w:noProof/>
          <w:sz w:val="22"/>
          <w:szCs w:val="22"/>
        </w:rPr>
      </w:pPr>
      <w:hyperlink w:anchor="_Toc518323409" w:history="1">
        <w:r w:rsidR="001853BF" w:rsidRPr="000F1856">
          <w:rPr>
            <w:rStyle w:val="Hyperlink"/>
            <w:noProof/>
          </w:rPr>
          <w:t>CHAPTER 7.  PROXIMATE (“LEGAL”) CAUSE</w:t>
        </w:r>
        <w:r w:rsidR="001853BF">
          <w:rPr>
            <w:noProof/>
            <w:webHidden/>
          </w:rPr>
          <w:tab/>
        </w:r>
        <w:r w:rsidR="001853BF">
          <w:rPr>
            <w:noProof/>
            <w:webHidden/>
          </w:rPr>
          <w:fldChar w:fldCharType="begin"/>
        </w:r>
        <w:r w:rsidR="001853BF">
          <w:rPr>
            <w:noProof/>
            <w:webHidden/>
          </w:rPr>
          <w:instrText xml:space="preserve"> PAGEREF _Toc518323409 \h </w:instrText>
        </w:r>
        <w:r w:rsidR="001853BF">
          <w:rPr>
            <w:noProof/>
            <w:webHidden/>
          </w:rPr>
        </w:r>
        <w:r w:rsidR="001853BF">
          <w:rPr>
            <w:noProof/>
            <w:webHidden/>
          </w:rPr>
          <w:fldChar w:fldCharType="separate"/>
        </w:r>
        <w:r w:rsidR="001853BF">
          <w:rPr>
            <w:noProof/>
            <w:webHidden/>
          </w:rPr>
          <w:t>333</w:t>
        </w:r>
        <w:r w:rsidR="001853BF">
          <w:rPr>
            <w:noProof/>
            <w:webHidden/>
          </w:rPr>
          <w:fldChar w:fldCharType="end"/>
        </w:r>
      </w:hyperlink>
    </w:p>
    <w:p w14:paraId="1B18AA88" w14:textId="77777777" w:rsidR="001853BF" w:rsidRDefault="00E35F15">
      <w:pPr>
        <w:pStyle w:val="TOC2"/>
        <w:tabs>
          <w:tab w:val="right" w:leader="dot" w:pos="8630"/>
        </w:tabs>
        <w:rPr>
          <w:b w:val="0"/>
          <w:noProof/>
        </w:rPr>
      </w:pPr>
      <w:hyperlink w:anchor="_Toc518323410" w:history="1">
        <w:r w:rsidR="001853BF" w:rsidRPr="000F1856">
          <w:rPr>
            <w:rStyle w:val="Hyperlink"/>
            <w:noProof/>
          </w:rPr>
          <w:t>A. Introduction</w:t>
        </w:r>
        <w:r w:rsidR="001853BF">
          <w:rPr>
            <w:noProof/>
            <w:webHidden/>
          </w:rPr>
          <w:tab/>
        </w:r>
        <w:r w:rsidR="001853BF">
          <w:rPr>
            <w:noProof/>
            <w:webHidden/>
          </w:rPr>
          <w:fldChar w:fldCharType="begin"/>
        </w:r>
        <w:r w:rsidR="001853BF">
          <w:rPr>
            <w:noProof/>
            <w:webHidden/>
          </w:rPr>
          <w:instrText xml:space="preserve"> PAGEREF _Toc518323410 \h </w:instrText>
        </w:r>
        <w:r w:rsidR="001853BF">
          <w:rPr>
            <w:noProof/>
            <w:webHidden/>
          </w:rPr>
        </w:r>
        <w:r w:rsidR="001853BF">
          <w:rPr>
            <w:noProof/>
            <w:webHidden/>
          </w:rPr>
          <w:fldChar w:fldCharType="separate"/>
        </w:r>
        <w:r w:rsidR="001853BF">
          <w:rPr>
            <w:noProof/>
            <w:webHidden/>
          </w:rPr>
          <w:t>333</w:t>
        </w:r>
        <w:r w:rsidR="001853BF">
          <w:rPr>
            <w:noProof/>
            <w:webHidden/>
          </w:rPr>
          <w:fldChar w:fldCharType="end"/>
        </w:r>
      </w:hyperlink>
    </w:p>
    <w:p w14:paraId="1C52E3EC" w14:textId="77777777" w:rsidR="001853BF" w:rsidRDefault="00E35F15">
      <w:pPr>
        <w:pStyle w:val="TOC3"/>
        <w:tabs>
          <w:tab w:val="right" w:leader="dot" w:pos="8630"/>
        </w:tabs>
        <w:rPr>
          <w:noProof/>
        </w:rPr>
      </w:pPr>
      <w:hyperlink w:anchor="_Toc518323411" w:history="1">
        <w:r w:rsidR="001853BF" w:rsidRPr="000F1856">
          <w:rPr>
            <w:rStyle w:val="Hyperlink"/>
            <w:i/>
            <w:noProof/>
          </w:rPr>
          <w:t>Ryan v. New York Central R.R.</w:t>
        </w:r>
        <w:r w:rsidR="001853BF">
          <w:rPr>
            <w:noProof/>
            <w:webHidden/>
          </w:rPr>
          <w:tab/>
        </w:r>
        <w:r w:rsidR="001853BF">
          <w:rPr>
            <w:noProof/>
            <w:webHidden/>
          </w:rPr>
          <w:fldChar w:fldCharType="begin"/>
        </w:r>
        <w:r w:rsidR="001853BF">
          <w:rPr>
            <w:noProof/>
            <w:webHidden/>
          </w:rPr>
          <w:instrText xml:space="preserve"> PAGEREF _Toc518323411 \h </w:instrText>
        </w:r>
        <w:r w:rsidR="001853BF">
          <w:rPr>
            <w:noProof/>
            <w:webHidden/>
          </w:rPr>
        </w:r>
        <w:r w:rsidR="001853BF">
          <w:rPr>
            <w:noProof/>
            <w:webHidden/>
          </w:rPr>
          <w:fldChar w:fldCharType="separate"/>
        </w:r>
        <w:r w:rsidR="001853BF">
          <w:rPr>
            <w:noProof/>
            <w:webHidden/>
          </w:rPr>
          <w:t>333</w:t>
        </w:r>
        <w:r w:rsidR="001853BF">
          <w:rPr>
            <w:noProof/>
            <w:webHidden/>
          </w:rPr>
          <w:fldChar w:fldCharType="end"/>
        </w:r>
      </w:hyperlink>
    </w:p>
    <w:p w14:paraId="32FE9746" w14:textId="77777777" w:rsidR="001853BF" w:rsidRDefault="00E35F15">
      <w:pPr>
        <w:pStyle w:val="TOC4"/>
        <w:tabs>
          <w:tab w:val="right" w:leader="dot" w:pos="8630"/>
        </w:tabs>
        <w:rPr>
          <w:noProof/>
          <w:sz w:val="22"/>
          <w:szCs w:val="22"/>
        </w:rPr>
      </w:pPr>
      <w:hyperlink w:anchor="_Toc51832341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_Toc518323412 \h </w:instrText>
        </w:r>
        <w:r w:rsidR="001853BF">
          <w:rPr>
            <w:noProof/>
            <w:webHidden/>
          </w:rPr>
        </w:r>
        <w:r w:rsidR="001853BF">
          <w:rPr>
            <w:noProof/>
            <w:webHidden/>
          </w:rPr>
          <w:fldChar w:fldCharType="separate"/>
        </w:r>
        <w:r w:rsidR="001853BF">
          <w:rPr>
            <w:noProof/>
            <w:webHidden/>
          </w:rPr>
          <w:t>335</w:t>
        </w:r>
        <w:r w:rsidR="001853BF">
          <w:rPr>
            <w:noProof/>
            <w:webHidden/>
          </w:rPr>
          <w:fldChar w:fldCharType="end"/>
        </w:r>
      </w:hyperlink>
    </w:p>
    <w:p w14:paraId="6BFE174B" w14:textId="77777777" w:rsidR="001853BF" w:rsidRDefault="00E35F15">
      <w:pPr>
        <w:pStyle w:val="TOC3"/>
        <w:tabs>
          <w:tab w:val="right" w:leader="dot" w:pos="8630"/>
        </w:tabs>
        <w:rPr>
          <w:noProof/>
        </w:rPr>
      </w:pPr>
      <w:hyperlink w:anchor="_Toc518323413" w:history="1">
        <w:r w:rsidR="001853BF" w:rsidRPr="000F1856">
          <w:rPr>
            <w:rStyle w:val="Hyperlink"/>
            <w:i/>
            <w:noProof/>
          </w:rPr>
          <w:t>Berry v. Sugar Notch Borough</w:t>
        </w:r>
        <w:r w:rsidR="001853BF">
          <w:rPr>
            <w:noProof/>
            <w:webHidden/>
          </w:rPr>
          <w:tab/>
        </w:r>
        <w:r w:rsidR="001853BF">
          <w:rPr>
            <w:noProof/>
            <w:webHidden/>
          </w:rPr>
          <w:fldChar w:fldCharType="begin"/>
        </w:r>
        <w:r w:rsidR="001853BF">
          <w:rPr>
            <w:noProof/>
            <w:webHidden/>
          </w:rPr>
          <w:instrText xml:space="preserve"> PAGEREF _Toc518323413 \h </w:instrText>
        </w:r>
        <w:r w:rsidR="001853BF">
          <w:rPr>
            <w:noProof/>
            <w:webHidden/>
          </w:rPr>
        </w:r>
        <w:r w:rsidR="001853BF">
          <w:rPr>
            <w:noProof/>
            <w:webHidden/>
          </w:rPr>
          <w:fldChar w:fldCharType="separate"/>
        </w:r>
        <w:r w:rsidR="001853BF">
          <w:rPr>
            <w:noProof/>
            <w:webHidden/>
          </w:rPr>
          <w:t>336</w:t>
        </w:r>
        <w:r w:rsidR="001853BF">
          <w:rPr>
            <w:noProof/>
            <w:webHidden/>
          </w:rPr>
          <w:fldChar w:fldCharType="end"/>
        </w:r>
      </w:hyperlink>
    </w:p>
    <w:p w14:paraId="0DD0814D" w14:textId="77777777" w:rsidR="001853BF" w:rsidRDefault="00E35F15">
      <w:pPr>
        <w:pStyle w:val="TOC4"/>
        <w:tabs>
          <w:tab w:val="right" w:leader="dot" w:pos="8630"/>
        </w:tabs>
        <w:rPr>
          <w:noProof/>
          <w:sz w:val="22"/>
          <w:szCs w:val="22"/>
        </w:rPr>
      </w:pPr>
      <w:hyperlink w:anchor="_Toc518323414"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_Toc518323414 \h </w:instrText>
        </w:r>
        <w:r w:rsidR="001853BF">
          <w:rPr>
            <w:noProof/>
            <w:webHidden/>
          </w:rPr>
        </w:r>
        <w:r w:rsidR="001853BF">
          <w:rPr>
            <w:noProof/>
            <w:webHidden/>
          </w:rPr>
          <w:fldChar w:fldCharType="separate"/>
        </w:r>
        <w:r w:rsidR="001853BF">
          <w:rPr>
            <w:noProof/>
            <w:webHidden/>
          </w:rPr>
          <w:t>337</w:t>
        </w:r>
        <w:r w:rsidR="001853BF">
          <w:rPr>
            <w:noProof/>
            <w:webHidden/>
          </w:rPr>
          <w:fldChar w:fldCharType="end"/>
        </w:r>
      </w:hyperlink>
    </w:p>
    <w:p w14:paraId="12FD0D90" w14:textId="77777777" w:rsidR="001853BF" w:rsidRDefault="00E35F15">
      <w:pPr>
        <w:pStyle w:val="TOC2"/>
        <w:tabs>
          <w:tab w:val="right" w:leader="dot" w:pos="8630"/>
        </w:tabs>
        <w:rPr>
          <w:b w:val="0"/>
          <w:noProof/>
        </w:rPr>
      </w:pPr>
      <w:hyperlink w:anchor="_Toc518323415" w:history="1">
        <w:r w:rsidR="001853BF" w:rsidRPr="000F1856">
          <w:rPr>
            <w:rStyle w:val="Hyperlink"/>
            <w:noProof/>
          </w:rPr>
          <w:t>B. Unexpected Harm</w:t>
        </w:r>
        <w:r w:rsidR="001853BF">
          <w:rPr>
            <w:noProof/>
            <w:webHidden/>
          </w:rPr>
          <w:tab/>
        </w:r>
        <w:r w:rsidR="001853BF">
          <w:rPr>
            <w:noProof/>
            <w:webHidden/>
          </w:rPr>
          <w:fldChar w:fldCharType="begin"/>
        </w:r>
        <w:r w:rsidR="001853BF">
          <w:rPr>
            <w:noProof/>
            <w:webHidden/>
          </w:rPr>
          <w:instrText xml:space="preserve"> PAGEREF _Toc518323415 \h </w:instrText>
        </w:r>
        <w:r w:rsidR="001853BF">
          <w:rPr>
            <w:noProof/>
            <w:webHidden/>
          </w:rPr>
        </w:r>
        <w:r w:rsidR="001853BF">
          <w:rPr>
            <w:noProof/>
            <w:webHidden/>
          </w:rPr>
          <w:fldChar w:fldCharType="separate"/>
        </w:r>
        <w:r w:rsidR="001853BF">
          <w:rPr>
            <w:noProof/>
            <w:webHidden/>
          </w:rPr>
          <w:t>337</w:t>
        </w:r>
        <w:r w:rsidR="001853BF">
          <w:rPr>
            <w:noProof/>
            <w:webHidden/>
          </w:rPr>
          <w:fldChar w:fldCharType="end"/>
        </w:r>
      </w:hyperlink>
    </w:p>
    <w:p w14:paraId="10FE15B2" w14:textId="77777777" w:rsidR="001853BF" w:rsidRDefault="00E35F15">
      <w:pPr>
        <w:pStyle w:val="TOC3"/>
        <w:tabs>
          <w:tab w:val="right" w:leader="dot" w:pos="8630"/>
        </w:tabs>
        <w:rPr>
          <w:noProof/>
        </w:rPr>
      </w:pPr>
      <w:hyperlink w:anchor="_Toc518323416" w:history="1">
        <w:r w:rsidR="001853BF" w:rsidRPr="000F1856">
          <w:rPr>
            <w:rStyle w:val="Hyperlink"/>
            <w:i/>
            <w:noProof/>
          </w:rPr>
          <w:t>Benn v. Thomas</w:t>
        </w:r>
        <w:r w:rsidR="001853BF">
          <w:rPr>
            <w:noProof/>
            <w:webHidden/>
          </w:rPr>
          <w:tab/>
        </w:r>
        <w:r w:rsidR="001853BF">
          <w:rPr>
            <w:noProof/>
            <w:webHidden/>
          </w:rPr>
          <w:fldChar w:fldCharType="begin"/>
        </w:r>
        <w:r w:rsidR="001853BF">
          <w:rPr>
            <w:noProof/>
            <w:webHidden/>
          </w:rPr>
          <w:instrText xml:space="preserve"> PAGEREF _Toc518323416 \h </w:instrText>
        </w:r>
        <w:r w:rsidR="001853BF">
          <w:rPr>
            <w:noProof/>
            <w:webHidden/>
          </w:rPr>
        </w:r>
        <w:r w:rsidR="001853BF">
          <w:rPr>
            <w:noProof/>
            <w:webHidden/>
          </w:rPr>
          <w:fldChar w:fldCharType="separate"/>
        </w:r>
        <w:r w:rsidR="001853BF">
          <w:rPr>
            <w:noProof/>
            <w:webHidden/>
          </w:rPr>
          <w:t>337</w:t>
        </w:r>
        <w:r w:rsidR="001853BF">
          <w:rPr>
            <w:noProof/>
            <w:webHidden/>
          </w:rPr>
          <w:fldChar w:fldCharType="end"/>
        </w:r>
      </w:hyperlink>
    </w:p>
    <w:p w14:paraId="7E9312F8" w14:textId="77777777" w:rsidR="001853BF" w:rsidRDefault="00E35F15">
      <w:pPr>
        <w:pStyle w:val="TOC4"/>
        <w:tabs>
          <w:tab w:val="right" w:leader="dot" w:pos="8630"/>
        </w:tabs>
        <w:rPr>
          <w:noProof/>
          <w:sz w:val="22"/>
          <w:szCs w:val="22"/>
        </w:rPr>
      </w:pPr>
      <w:hyperlink w:anchor="_Toc51832341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_Toc518323417 \h </w:instrText>
        </w:r>
        <w:r w:rsidR="001853BF">
          <w:rPr>
            <w:noProof/>
            <w:webHidden/>
          </w:rPr>
        </w:r>
        <w:r w:rsidR="001853BF">
          <w:rPr>
            <w:noProof/>
            <w:webHidden/>
          </w:rPr>
          <w:fldChar w:fldCharType="separate"/>
        </w:r>
        <w:r w:rsidR="001853BF">
          <w:rPr>
            <w:noProof/>
            <w:webHidden/>
          </w:rPr>
          <w:t>339</w:t>
        </w:r>
        <w:r w:rsidR="001853BF">
          <w:rPr>
            <w:noProof/>
            <w:webHidden/>
          </w:rPr>
          <w:fldChar w:fldCharType="end"/>
        </w:r>
      </w:hyperlink>
    </w:p>
    <w:p w14:paraId="6B4BB4F8" w14:textId="77777777" w:rsidR="001853BF" w:rsidRDefault="00E35F15">
      <w:pPr>
        <w:pStyle w:val="TOC3"/>
        <w:tabs>
          <w:tab w:val="right" w:leader="dot" w:pos="8630"/>
        </w:tabs>
        <w:rPr>
          <w:noProof/>
        </w:rPr>
      </w:pPr>
      <w:hyperlink w:anchor="_Toc518323418" w:history="1">
        <w:r w:rsidR="001853BF" w:rsidRPr="000F1856">
          <w:rPr>
            <w:rStyle w:val="Hyperlink"/>
            <w:i/>
            <w:noProof/>
          </w:rPr>
          <w:t>In re Polemis</w:t>
        </w:r>
        <w:r w:rsidR="001853BF">
          <w:rPr>
            <w:noProof/>
            <w:webHidden/>
          </w:rPr>
          <w:tab/>
        </w:r>
        <w:r w:rsidR="001853BF">
          <w:rPr>
            <w:noProof/>
            <w:webHidden/>
          </w:rPr>
          <w:fldChar w:fldCharType="begin"/>
        </w:r>
        <w:r w:rsidR="001853BF">
          <w:rPr>
            <w:noProof/>
            <w:webHidden/>
          </w:rPr>
          <w:instrText xml:space="preserve"> PAGEREF _Toc518323418 \h </w:instrText>
        </w:r>
        <w:r w:rsidR="001853BF">
          <w:rPr>
            <w:noProof/>
            <w:webHidden/>
          </w:rPr>
        </w:r>
        <w:r w:rsidR="001853BF">
          <w:rPr>
            <w:noProof/>
            <w:webHidden/>
          </w:rPr>
          <w:fldChar w:fldCharType="separate"/>
        </w:r>
        <w:r w:rsidR="001853BF">
          <w:rPr>
            <w:noProof/>
            <w:webHidden/>
          </w:rPr>
          <w:t>340</w:t>
        </w:r>
        <w:r w:rsidR="001853BF">
          <w:rPr>
            <w:noProof/>
            <w:webHidden/>
          </w:rPr>
          <w:fldChar w:fldCharType="end"/>
        </w:r>
      </w:hyperlink>
    </w:p>
    <w:p w14:paraId="526A781E" w14:textId="77777777" w:rsidR="001853BF" w:rsidRDefault="00E35F15">
      <w:pPr>
        <w:pStyle w:val="TOC4"/>
        <w:tabs>
          <w:tab w:val="right" w:leader="dot" w:pos="8630"/>
        </w:tabs>
        <w:rPr>
          <w:noProof/>
          <w:sz w:val="22"/>
          <w:szCs w:val="22"/>
        </w:rPr>
      </w:pPr>
      <w:hyperlink w:anchor="_Toc51832341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_Toc518323419 \h </w:instrText>
        </w:r>
        <w:r w:rsidR="001853BF">
          <w:rPr>
            <w:noProof/>
            <w:webHidden/>
          </w:rPr>
        </w:r>
        <w:r w:rsidR="001853BF">
          <w:rPr>
            <w:noProof/>
            <w:webHidden/>
          </w:rPr>
          <w:fldChar w:fldCharType="separate"/>
        </w:r>
        <w:r w:rsidR="001853BF">
          <w:rPr>
            <w:noProof/>
            <w:webHidden/>
          </w:rPr>
          <w:t>342</w:t>
        </w:r>
        <w:r w:rsidR="001853BF">
          <w:rPr>
            <w:noProof/>
            <w:webHidden/>
          </w:rPr>
          <w:fldChar w:fldCharType="end"/>
        </w:r>
      </w:hyperlink>
    </w:p>
    <w:p w14:paraId="598EF1A3" w14:textId="77777777" w:rsidR="001853BF" w:rsidRDefault="00E35F15">
      <w:pPr>
        <w:pStyle w:val="TOC3"/>
        <w:tabs>
          <w:tab w:val="right" w:leader="dot" w:pos="8630"/>
        </w:tabs>
        <w:rPr>
          <w:noProof/>
        </w:rPr>
      </w:pPr>
      <w:hyperlink w:anchor="_Toc518323420" w:history="1">
        <w:r w:rsidR="001853BF" w:rsidRPr="000F1856">
          <w:rPr>
            <w:rStyle w:val="Hyperlink"/>
            <w:noProof/>
          </w:rPr>
          <w:t>The Wagon Mound Cases</w:t>
        </w:r>
        <w:r w:rsidR="001853BF">
          <w:rPr>
            <w:noProof/>
            <w:webHidden/>
          </w:rPr>
          <w:tab/>
        </w:r>
        <w:r w:rsidR="001853BF">
          <w:rPr>
            <w:noProof/>
            <w:webHidden/>
          </w:rPr>
          <w:fldChar w:fldCharType="begin"/>
        </w:r>
        <w:r w:rsidR="001853BF">
          <w:rPr>
            <w:noProof/>
            <w:webHidden/>
          </w:rPr>
          <w:instrText xml:space="preserve"> PAGEREF _Toc518323420 \h </w:instrText>
        </w:r>
        <w:r w:rsidR="001853BF">
          <w:rPr>
            <w:noProof/>
            <w:webHidden/>
          </w:rPr>
        </w:r>
        <w:r w:rsidR="001853BF">
          <w:rPr>
            <w:noProof/>
            <w:webHidden/>
          </w:rPr>
          <w:fldChar w:fldCharType="separate"/>
        </w:r>
        <w:r w:rsidR="001853BF">
          <w:rPr>
            <w:noProof/>
            <w:webHidden/>
          </w:rPr>
          <w:t>342</w:t>
        </w:r>
        <w:r w:rsidR="001853BF">
          <w:rPr>
            <w:noProof/>
            <w:webHidden/>
          </w:rPr>
          <w:fldChar w:fldCharType="end"/>
        </w:r>
      </w:hyperlink>
    </w:p>
    <w:p w14:paraId="5BD8D2C7" w14:textId="77777777" w:rsidR="001853BF" w:rsidRDefault="00E35F15">
      <w:pPr>
        <w:pStyle w:val="TOC4"/>
        <w:tabs>
          <w:tab w:val="right" w:leader="dot" w:pos="8630"/>
        </w:tabs>
        <w:rPr>
          <w:noProof/>
          <w:sz w:val="22"/>
          <w:szCs w:val="22"/>
        </w:rPr>
      </w:pPr>
      <w:hyperlink w:anchor="_Toc51832342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_Toc518323421 \h </w:instrText>
        </w:r>
        <w:r w:rsidR="001853BF">
          <w:rPr>
            <w:noProof/>
            <w:webHidden/>
          </w:rPr>
        </w:r>
        <w:r w:rsidR="001853BF">
          <w:rPr>
            <w:noProof/>
            <w:webHidden/>
          </w:rPr>
          <w:fldChar w:fldCharType="separate"/>
        </w:r>
        <w:r w:rsidR="001853BF">
          <w:rPr>
            <w:noProof/>
            <w:webHidden/>
          </w:rPr>
          <w:t>345</w:t>
        </w:r>
        <w:r w:rsidR="001853BF">
          <w:rPr>
            <w:noProof/>
            <w:webHidden/>
          </w:rPr>
          <w:fldChar w:fldCharType="end"/>
        </w:r>
      </w:hyperlink>
    </w:p>
    <w:p w14:paraId="281B10F5" w14:textId="77777777" w:rsidR="001853BF" w:rsidRDefault="00E35F15">
      <w:pPr>
        <w:pStyle w:val="TOC2"/>
        <w:tabs>
          <w:tab w:val="right" w:leader="dot" w:pos="8630"/>
        </w:tabs>
        <w:rPr>
          <w:b w:val="0"/>
          <w:noProof/>
        </w:rPr>
      </w:pPr>
      <w:hyperlink w:anchor="_Toc518323422" w:history="1">
        <w:r w:rsidR="001853BF" w:rsidRPr="000F1856">
          <w:rPr>
            <w:rStyle w:val="Hyperlink"/>
            <w:noProof/>
          </w:rPr>
          <w:t>C. Unexpected Manner</w:t>
        </w:r>
        <w:r w:rsidR="001853BF">
          <w:rPr>
            <w:noProof/>
            <w:webHidden/>
          </w:rPr>
          <w:tab/>
        </w:r>
        <w:r w:rsidR="001853BF">
          <w:rPr>
            <w:noProof/>
            <w:webHidden/>
          </w:rPr>
          <w:fldChar w:fldCharType="begin"/>
        </w:r>
        <w:r w:rsidR="001853BF">
          <w:rPr>
            <w:noProof/>
            <w:webHidden/>
          </w:rPr>
          <w:instrText xml:space="preserve"> PAGEREF _Toc518323422 \h </w:instrText>
        </w:r>
        <w:r w:rsidR="001853BF">
          <w:rPr>
            <w:noProof/>
            <w:webHidden/>
          </w:rPr>
        </w:r>
        <w:r w:rsidR="001853BF">
          <w:rPr>
            <w:noProof/>
            <w:webHidden/>
          </w:rPr>
          <w:fldChar w:fldCharType="separate"/>
        </w:r>
        <w:r w:rsidR="001853BF">
          <w:rPr>
            <w:noProof/>
            <w:webHidden/>
          </w:rPr>
          <w:t>349</w:t>
        </w:r>
        <w:r w:rsidR="001853BF">
          <w:rPr>
            <w:noProof/>
            <w:webHidden/>
          </w:rPr>
          <w:fldChar w:fldCharType="end"/>
        </w:r>
      </w:hyperlink>
    </w:p>
    <w:p w14:paraId="316659BA" w14:textId="77777777" w:rsidR="001853BF" w:rsidRDefault="00E35F15">
      <w:pPr>
        <w:pStyle w:val="TOC3"/>
        <w:tabs>
          <w:tab w:val="right" w:leader="dot" w:pos="8630"/>
        </w:tabs>
        <w:rPr>
          <w:noProof/>
        </w:rPr>
      </w:pPr>
      <w:hyperlink w:anchor="_Toc518323423" w:history="1">
        <w:r w:rsidR="001853BF" w:rsidRPr="000F1856">
          <w:rPr>
            <w:rStyle w:val="Hyperlink"/>
            <w:i/>
            <w:noProof/>
          </w:rPr>
          <w:t>Brauer v. New York Cent. &amp; H.R.R. Co</w:t>
        </w:r>
        <w:r w:rsidR="001853BF">
          <w:rPr>
            <w:noProof/>
            <w:webHidden/>
          </w:rPr>
          <w:tab/>
        </w:r>
        <w:r w:rsidR="001853BF">
          <w:rPr>
            <w:noProof/>
            <w:webHidden/>
          </w:rPr>
          <w:fldChar w:fldCharType="begin"/>
        </w:r>
        <w:r w:rsidR="001853BF">
          <w:rPr>
            <w:noProof/>
            <w:webHidden/>
          </w:rPr>
          <w:instrText xml:space="preserve"> PAGEREF _Toc518323423 \h </w:instrText>
        </w:r>
        <w:r w:rsidR="001853BF">
          <w:rPr>
            <w:noProof/>
            <w:webHidden/>
          </w:rPr>
        </w:r>
        <w:r w:rsidR="001853BF">
          <w:rPr>
            <w:noProof/>
            <w:webHidden/>
          </w:rPr>
          <w:fldChar w:fldCharType="separate"/>
        </w:r>
        <w:r w:rsidR="001853BF">
          <w:rPr>
            <w:noProof/>
            <w:webHidden/>
          </w:rPr>
          <w:t>349</w:t>
        </w:r>
        <w:r w:rsidR="001853BF">
          <w:rPr>
            <w:noProof/>
            <w:webHidden/>
          </w:rPr>
          <w:fldChar w:fldCharType="end"/>
        </w:r>
      </w:hyperlink>
    </w:p>
    <w:p w14:paraId="3E8CFC6D" w14:textId="77777777" w:rsidR="001853BF" w:rsidRDefault="00E35F15">
      <w:pPr>
        <w:pStyle w:val="TOC4"/>
        <w:tabs>
          <w:tab w:val="right" w:leader="dot" w:pos="8630"/>
        </w:tabs>
        <w:rPr>
          <w:noProof/>
          <w:sz w:val="22"/>
          <w:szCs w:val="22"/>
        </w:rPr>
      </w:pPr>
      <w:hyperlink w:anchor="_Toc51832342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_Toc518323424 \h </w:instrText>
        </w:r>
        <w:r w:rsidR="001853BF">
          <w:rPr>
            <w:noProof/>
            <w:webHidden/>
          </w:rPr>
        </w:r>
        <w:r w:rsidR="001853BF">
          <w:rPr>
            <w:noProof/>
            <w:webHidden/>
          </w:rPr>
          <w:fldChar w:fldCharType="separate"/>
        </w:r>
        <w:r w:rsidR="001853BF">
          <w:rPr>
            <w:noProof/>
            <w:webHidden/>
          </w:rPr>
          <w:t>350</w:t>
        </w:r>
        <w:r w:rsidR="001853BF">
          <w:rPr>
            <w:noProof/>
            <w:webHidden/>
          </w:rPr>
          <w:fldChar w:fldCharType="end"/>
        </w:r>
      </w:hyperlink>
    </w:p>
    <w:p w14:paraId="41BCC2DB" w14:textId="77777777" w:rsidR="001853BF" w:rsidRDefault="00E35F15">
      <w:pPr>
        <w:pStyle w:val="TOC3"/>
        <w:tabs>
          <w:tab w:val="right" w:leader="dot" w:pos="8630"/>
        </w:tabs>
        <w:rPr>
          <w:noProof/>
        </w:rPr>
      </w:pPr>
      <w:hyperlink w:anchor="_Toc518323425" w:history="1">
        <w:r w:rsidR="001853BF" w:rsidRPr="000F1856">
          <w:rPr>
            <w:rStyle w:val="Hyperlink"/>
            <w:i/>
            <w:noProof/>
          </w:rPr>
          <w:t>McLaughlin v. Mine Safety Appliances Co</w:t>
        </w:r>
        <w:r w:rsidR="001853BF">
          <w:rPr>
            <w:noProof/>
            <w:webHidden/>
          </w:rPr>
          <w:tab/>
        </w:r>
        <w:r w:rsidR="001853BF">
          <w:rPr>
            <w:noProof/>
            <w:webHidden/>
          </w:rPr>
          <w:fldChar w:fldCharType="begin"/>
        </w:r>
        <w:r w:rsidR="001853BF">
          <w:rPr>
            <w:noProof/>
            <w:webHidden/>
          </w:rPr>
          <w:instrText xml:space="preserve"> PAGEREF _Toc518323425 \h </w:instrText>
        </w:r>
        <w:r w:rsidR="001853BF">
          <w:rPr>
            <w:noProof/>
            <w:webHidden/>
          </w:rPr>
        </w:r>
        <w:r w:rsidR="001853BF">
          <w:rPr>
            <w:noProof/>
            <w:webHidden/>
          </w:rPr>
          <w:fldChar w:fldCharType="separate"/>
        </w:r>
        <w:r w:rsidR="001853BF">
          <w:rPr>
            <w:noProof/>
            <w:webHidden/>
          </w:rPr>
          <w:t>352</w:t>
        </w:r>
        <w:r w:rsidR="001853BF">
          <w:rPr>
            <w:noProof/>
            <w:webHidden/>
          </w:rPr>
          <w:fldChar w:fldCharType="end"/>
        </w:r>
      </w:hyperlink>
    </w:p>
    <w:p w14:paraId="018C1C8F" w14:textId="77777777" w:rsidR="001853BF" w:rsidRDefault="00E35F15">
      <w:pPr>
        <w:pStyle w:val="TOC4"/>
        <w:tabs>
          <w:tab w:val="right" w:leader="dot" w:pos="8630"/>
        </w:tabs>
        <w:rPr>
          <w:noProof/>
          <w:sz w:val="22"/>
          <w:szCs w:val="22"/>
        </w:rPr>
      </w:pPr>
      <w:hyperlink w:anchor="_Toc518323426"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_Toc518323426 \h </w:instrText>
        </w:r>
        <w:r w:rsidR="001853BF">
          <w:rPr>
            <w:noProof/>
            <w:webHidden/>
          </w:rPr>
        </w:r>
        <w:r w:rsidR="001853BF">
          <w:rPr>
            <w:noProof/>
            <w:webHidden/>
          </w:rPr>
          <w:fldChar w:fldCharType="separate"/>
        </w:r>
        <w:r w:rsidR="001853BF">
          <w:rPr>
            <w:noProof/>
            <w:webHidden/>
          </w:rPr>
          <w:t>355</w:t>
        </w:r>
        <w:r w:rsidR="001853BF">
          <w:rPr>
            <w:noProof/>
            <w:webHidden/>
          </w:rPr>
          <w:fldChar w:fldCharType="end"/>
        </w:r>
      </w:hyperlink>
    </w:p>
    <w:p w14:paraId="77305AFC" w14:textId="77777777" w:rsidR="001853BF" w:rsidRDefault="00E35F15">
      <w:pPr>
        <w:pStyle w:val="TOC3"/>
        <w:tabs>
          <w:tab w:val="right" w:leader="dot" w:pos="8630"/>
        </w:tabs>
        <w:rPr>
          <w:noProof/>
        </w:rPr>
      </w:pPr>
      <w:hyperlink w:anchor="_Toc518323427" w:history="1">
        <w:r w:rsidR="001853BF" w:rsidRPr="000F1856">
          <w:rPr>
            <w:rStyle w:val="Hyperlink"/>
            <w:i/>
            <w:noProof/>
          </w:rPr>
          <w:t>Nallan v. Helmsley-Spear, Inc</w:t>
        </w:r>
        <w:r w:rsidR="001853BF">
          <w:rPr>
            <w:noProof/>
            <w:webHidden/>
          </w:rPr>
          <w:tab/>
        </w:r>
        <w:r w:rsidR="001853BF">
          <w:rPr>
            <w:noProof/>
            <w:webHidden/>
          </w:rPr>
          <w:fldChar w:fldCharType="begin"/>
        </w:r>
        <w:r w:rsidR="001853BF">
          <w:rPr>
            <w:noProof/>
            <w:webHidden/>
          </w:rPr>
          <w:instrText xml:space="preserve"> PAGEREF _Toc518323427 \h </w:instrText>
        </w:r>
        <w:r w:rsidR="001853BF">
          <w:rPr>
            <w:noProof/>
            <w:webHidden/>
          </w:rPr>
        </w:r>
        <w:r w:rsidR="001853BF">
          <w:rPr>
            <w:noProof/>
            <w:webHidden/>
          </w:rPr>
          <w:fldChar w:fldCharType="separate"/>
        </w:r>
        <w:r w:rsidR="001853BF">
          <w:rPr>
            <w:noProof/>
            <w:webHidden/>
          </w:rPr>
          <w:t>355</w:t>
        </w:r>
        <w:r w:rsidR="001853BF">
          <w:rPr>
            <w:noProof/>
            <w:webHidden/>
          </w:rPr>
          <w:fldChar w:fldCharType="end"/>
        </w:r>
      </w:hyperlink>
    </w:p>
    <w:p w14:paraId="151F68DE" w14:textId="77777777" w:rsidR="001853BF" w:rsidRDefault="00E35F15">
      <w:pPr>
        <w:pStyle w:val="TOC4"/>
        <w:tabs>
          <w:tab w:val="right" w:leader="dot" w:pos="8630"/>
        </w:tabs>
        <w:rPr>
          <w:noProof/>
          <w:sz w:val="22"/>
          <w:szCs w:val="22"/>
        </w:rPr>
      </w:pPr>
      <w:hyperlink w:anchor="_Toc51832342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_Toc518323428 \h </w:instrText>
        </w:r>
        <w:r w:rsidR="001853BF">
          <w:rPr>
            <w:noProof/>
            <w:webHidden/>
          </w:rPr>
        </w:r>
        <w:r w:rsidR="001853BF">
          <w:rPr>
            <w:noProof/>
            <w:webHidden/>
          </w:rPr>
          <w:fldChar w:fldCharType="separate"/>
        </w:r>
        <w:r w:rsidR="001853BF">
          <w:rPr>
            <w:noProof/>
            <w:webHidden/>
          </w:rPr>
          <w:t>356</w:t>
        </w:r>
        <w:r w:rsidR="001853BF">
          <w:rPr>
            <w:noProof/>
            <w:webHidden/>
          </w:rPr>
          <w:fldChar w:fldCharType="end"/>
        </w:r>
      </w:hyperlink>
    </w:p>
    <w:p w14:paraId="7106BA47" w14:textId="77777777" w:rsidR="001853BF" w:rsidRDefault="00E35F15">
      <w:pPr>
        <w:pStyle w:val="TOC3"/>
        <w:tabs>
          <w:tab w:val="right" w:leader="dot" w:pos="8630"/>
        </w:tabs>
        <w:rPr>
          <w:noProof/>
        </w:rPr>
      </w:pPr>
      <w:hyperlink w:anchor="_Toc518323429" w:history="1">
        <w:r w:rsidR="001853BF" w:rsidRPr="000F1856">
          <w:rPr>
            <w:rStyle w:val="Hyperlink"/>
            <w:noProof/>
          </w:rPr>
          <w:t>A Proximate Cause Case Study: Subsequent Negligent Medical Care</w:t>
        </w:r>
        <w:r w:rsidR="001853BF">
          <w:rPr>
            <w:noProof/>
            <w:webHidden/>
          </w:rPr>
          <w:tab/>
        </w:r>
        <w:r w:rsidR="001853BF">
          <w:rPr>
            <w:noProof/>
            <w:webHidden/>
          </w:rPr>
          <w:fldChar w:fldCharType="begin"/>
        </w:r>
        <w:r w:rsidR="001853BF">
          <w:rPr>
            <w:noProof/>
            <w:webHidden/>
          </w:rPr>
          <w:instrText xml:space="preserve"> PAGEREF _Toc518323429 \h </w:instrText>
        </w:r>
        <w:r w:rsidR="001853BF">
          <w:rPr>
            <w:noProof/>
            <w:webHidden/>
          </w:rPr>
        </w:r>
        <w:r w:rsidR="001853BF">
          <w:rPr>
            <w:noProof/>
            <w:webHidden/>
          </w:rPr>
          <w:fldChar w:fldCharType="separate"/>
        </w:r>
        <w:r w:rsidR="001853BF">
          <w:rPr>
            <w:noProof/>
            <w:webHidden/>
          </w:rPr>
          <w:t>359</w:t>
        </w:r>
        <w:r w:rsidR="001853BF">
          <w:rPr>
            <w:noProof/>
            <w:webHidden/>
          </w:rPr>
          <w:fldChar w:fldCharType="end"/>
        </w:r>
      </w:hyperlink>
    </w:p>
    <w:p w14:paraId="2A252763" w14:textId="77777777" w:rsidR="001853BF" w:rsidRDefault="00E35F15">
      <w:pPr>
        <w:pStyle w:val="TOC3"/>
        <w:tabs>
          <w:tab w:val="right" w:leader="dot" w:pos="8630"/>
        </w:tabs>
        <w:rPr>
          <w:noProof/>
        </w:rPr>
      </w:pPr>
      <w:hyperlink w:anchor="_Toc518323430" w:history="1">
        <w:r w:rsidR="001853BF" w:rsidRPr="000F1856">
          <w:rPr>
            <w:rStyle w:val="Hyperlink"/>
            <w:noProof/>
          </w:rPr>
          <w:t>Rule of Thumb for No Proximate Cause?</w:t>
        </w:r>
        <w:r w:rsidR="001853BF">
          <w:rPr>
            <w:noProof/>
            <w:webHidden/>
          </w:rPr>
          <w:tab/>
        </w:r>
        <w:r w:rsidR="001853BF">
          <w:rPr>
            <w:noProof/>
            <w:webHidden/>
          </w:rPr>
          <w:fldChar w:fldCharType="begin"/>
        </w:r>
        <w:r w:rsidR="001853BF">
          <w:rPr>
            <w:noProof/>
            <w:webHidden/>
          </w:rPr>
          <w:instrText xml:space="preserve"> PAGEREF _Toc518323430 \h </w:instrText>
        </w:r>
        <w:r w:rsidR="001853BF">
          <w:rPr>
            <w:noProof/>
            <w:webHidden/>
          </w:rPr>
        </w:r>
        <w:r w:rsidR="001853BF">
          <w:rPr>
            <w:noProof/>
            <w:webHidden/>
          </w:rPr>
          <w:fldChar w:fldCharType="separate"/>
        </w:r>
        <w:r w:rsidR="001853BF">
          <w:rPr>
            <w:noProof/>
            <w:webHidden/>
          </w:rPr>
          <w:t>361</w:t>
        </w:r>
        <w:r w:rsidR="001853BF">
          <w:rPr>
            <w:noProof/>
            <w:webHidden/>
          </w:rPr>
          <w:fldChar w:fldCharType="end"/>
        </w:r>
      </w:hyperlink>
    </w:p>
    <w:p w14:paraId="6E64C286" w14:textId="77777777" w:rsidR="001853BF" w:rsidRDefault="00E35F15">
      <w:pPr>
        <w:pStyle w:val="TOC2"/>
        <w:tabs>
          <w:tab w:val="right" w:leader="dot" w:pos="8630"/>
        </w:tabs>
        <w:rPr>
          <w:b w:val="0"/>
          <w:noProof/>
        </w:rPr>
      </w:pPr>
      <w:hyperlink w:anchor="_Toc518323431" w:history="1">
        <w:r w:rsidR="001853BF" w:rsidRPr="000F1856">
          <w:rPr>
            <w:rStyle w:val="Hyperlink"/>
            <w:noProof/>
          </w:rPr>
          <w:t>D.Unexpected Person</w:t>
        </w:r>
        <w:r w:rsidR="001853BF">
          <w:rPr>
            <w:noProof/>
            <w:webHidden/>
          </w:rPr>
          <w:tab/>
        </w:r>
        <w:r w:rsidR="001853BF">
          <w:rPr>
            <w:noProof/>
            <w:webHidden/>
          </w:rPr>
          <w:fldChar w:fldCharType="begin"/>
        </w:r>
        <w:r w:rsidR="001853BF">
          <w:rPr>
            <w:noProof/>
            <w:webHidden/>
          </w:rPr>
          <w:instrText xml:space="preserve"> PAGEREF _Toc518323431 \h </w:instrText>
        </w:r>
        <w:r w:rsidR="001853BF">
          <w:rPr>
            <w:noProof/>
            <w:webHidden/>
          </w:rPr>
        </w:r>
        <w:r w:rsidR="001853BF">
          <w:rPr>
            <w:noProof/>
            <w:webHidden/>
          </w:rPr>
          <w:fldChar w:fldCharType="separate"/>
        </w:r>
        <w:r w:rsidR="001853BF">
          <w:rPr>
            <w:noProof/>
            <w:webHidden/>
          </w:rPr>
          <w:t>361</w:t>
        </w:r>
        <w:r w:rsidR="001853BF">
          <w:rPr>
            <w:noProof/>
            <w:webHidden/>
          </w:rPr>
          <w:fldChar w:fldCharType="end"/>
        </w:r>
      </w:hyperlink>
    </w:p>
    <w:p w14:paraId="2A878C69" w14:textId="77777777" w:rsidR="001853BF" w:rsidRDefault="00E35F15">
      <w:pPr>
        <w:pStyle w:val="TOC3"/>
        <w:tabs>
          <w:tab w:val="right" w:leader="dot" w:pos="8630"/>
        </w:tabs>
        <w:rPr>
          <w:noProof/>
        </w:rPr>
      </w:pPr>
      <w:hyperlink w:anchor="_Toc518323432" w:history="1">
        <w:r w:rsidR="001853BF" w:rsidRPr="000F1856">
          <w:rPr>
            <w:rStyle w:val="Hyperlink"/>
            <w:i/>
            <w:noProof/>
          </w:rPr>
          <w:t>Palsgraf v. Long Island R. Co.</w:t>
        </w:r>
        <w:r w:rsidR="001853BF">
          <w:rPr>
            <w:noProof/>
            <w:webHidden/>
          </w:rPr>
          <w:tab/>
        </w:r>
        <w:r w:rsidR="001853BF">
          <w:rPr>
            <w:noProof/>
            <w:webHidden/>
          </w:rPr>
          <w:fldChar w:fldCharType="begin"/>
        </w:r>
        <w:r w:rsidR="001853BF">
          <w:rPr>
            <w:noProof/>
            <w:webHidden/>
          </w:rPr>
          <w:instrText xml:space="preserve"> PAGEREF _Toc518323432 \h </w:instrText>
        </w:r>
        <w:r w:rsidR="001853BF">
          <w:rPr>
            <w:noProof/>
            <w:webHidden/>
          </w:rPr>
        </w:r>
        <w:r w:rsidR="001853BF">
          <w:rPr>
            <w:noProof/>
            <w:webHidden/>
          </w:rPr>
          <w:fldChar w:fldCharType="separate"/>
        </w:r>
        <w:r w:rsidR="001853BF">
          <w:rPr>
            <w:noProof/>
            <w:webHidden/>
          </w:rPr>
          <w:t>361</w:t>
        </w:r>
        <w:r w:rsidR="001853BF">
          <w:rPr>
            <w:noProof/>
            <w:webHidden/>
          </w:rPr>
          <w:fldChar w:fldCharType="end"/>
        </w:r>
      </w:hyperlink>
    </w:p>
    <w:p w14:paraId="2D226A31" w14:textId="77777777" w:rsidR="001853BF" w:rsidRDefault="00E35F15">
      <w:pPr>
        <w:pStyle w:val="TOC4"/>
        <w:tabs>
          <w:tab w:val="right" w:leader="dot" w:pos="8630"/>
        </w:tabs>
        <w:rPr>
          <w:noProof/>
          <w:sz w:val="22"/>
          <w:szCs w:val="22"/>
        </w:rPr>
      </w:pPr>
      <w:hyperlink w:anchor="_Toc51832343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_Toc518323433 \h </w:instrText>
        </w:r>
        <w:r w:rsidR="001853BF">
          <w:rPr>
            <w:noProof/>
            <w:webHidden/>
          </w:rPr>
        </w:r>
        <w:r w:rsidR="001853BF">
          <w:rPr>
            <w:noProof/>
            <w:webHidden/>
          </w:rPr>
          <w:fldChar w:fldCharType="separate"/>
        </w:r>
        <w:r w:rsidR="001853BF">
          <w:rPr>
            <w:noProof/>
            <w:webHidden/>
          </w:rPr>
          <w:t>367</w:t>
        </w:r>
        <w:r w:rsidR="001853BF">
          <w:rPr>
            <w:noProof/>
            <w:webHidden/>
          </w:rPr>
          <w:fldChar w:fldCharType="end"/>
        </w:r>
      </w:hyperlink>
    </w:p>
    <w:p w14:paraId="1C50AFAC" w14:textId="77777777" w:rsidR="001853BF" w:rsidRDefault="00E35F15">
      <w:pPr>
        <w:pStyle w:val="TOC3"/>
        <w:tabs>
          <w:tab w:val="right" w:leader="dot" w:pos="8630"/>
        </w:tabs>
        <w:rPr>
          <w:noProof/>
        </w:rPr>
      </w:pPr>
      <w:hyperlink w:anchor="_Toc518323434" w:history="1">
        <w:r w:rsidR="001853BF" w:rsidRPr="000F1856">
          <w:rPr>
            <w:rStyle w:val="Hyperlink"/>
            <w:i/>
            <w:noProof/>
          </w:rPr>
          <w:t>Wagner v. International R. Co</w:t>
        </w:r>
        <w:r w:rsidR="001853BF">
          <w:rPr>
            <w:noProof/>
            <w:webHidden/>
          </w:rPr>
          <w:tab/>
        </w:r>
        <w:r w:rsidR="001853BF">
          <w:rPr>
            <w:noProof/>
            <w:webHidden/>
          </w:rPr>
          <w:fldChar w:fldCharType="begin"/>
        </w:r>
        <w:r w:rsidR="001853BF">
          <w:rPr>
            <w:noProof/>
            <w:webHidden/>
          </w:rPr>
          <w:instrText xml:space="preserve"> PAGEREF _Toc518323434 \h </w:instrText>
        </w:r>
        <w:r w:rsidR="001853BF">
          <w:rPr>
            <w:noProof/>
            <w:webHidden/>
          </w:rPr>
        </w:r>
        <w:r w:rsidR="001853BF">
          <w:rPr>
            <w:noProof/>
            <w:webHidden/>
          </w:rPr>
          <w:fldChar w:fldCharType="separate"/>
        </w:r>
        <w:r w:rsidR="001853BF">
          <w:rPr>
            <w:noProof/>
            <w:webHidden/>
          </w:rPr>
          <w:t>367</w:t>
        </w:r>
        <w:r w:rsidR="001853BF">
          <w:rPr>
            <w:noProof/>
            <w:webHidden/>
          </w:rPr>
          <w:fldChar w:fldCharType="end"/>
        </w:r>
      </w:hyperlink>
    </w:p>
    <w:p w14:paraId="5E70131A" w14:textId="77777777" w:rsidR="001853BF" w:rsidRDefault="00E35F15">
      <w:pPr>
        <w:pStyle w:val="TOC4"/>
        <w:tabs>
          <w:tab w:val="right" w:leader="dot" w:pos="8630"/>
        </w:tabs>
        <w:rPr>
          <w:noProof/>
          <w:sz w:val="22"/>
          <w:szCs w:val="22"/>
        </w:rPr>
      </w:pPr>
      <w:hyperlink w:anchor="_Toc51832343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_Toc518323435 \h </w:instrText>
        </w:r>
        <w:r w:rsidR="001853BF">
          <w:rPr>
            <w:noProof/>
            <w:webHidden/>
          </w:rPr>
        </w:r>
        <w:r w:rsidR="001853BF">
          <w:rPr>
            <w:noProof/>
            <w:webHidden/>
          </w:rPr>
          <w:fldChar w:fldCharType="separate"/>
        </w:r>
        <w:r w:rsidR="001853BF">
          <w:rPr>
            <w:noProof/>
            <w:webHidden/>
          </w:rPr>
          <w:t>369</w:t>
        </w:r>
        <w:r w:rsidR="001853BF">
          <w:rPr>
            <w:noProof/>
            <w:webHidden/>
          </w:rPr>
          <w:fldChar w:fldCharType="end"/>
        </w:r>
      </w:hyperlink>
    </w:p>
    <w:p w14:paraId="0C99C070" w14:textId="77777777" w:rsidR="001853BF" w:rsidRDefault="00E35F15">
      <w:pPr>
        <w:pStyle w:val="TOC2"/>
        <w:tabs>
          <w:tab w:val="right" w:leader="dot" w:pos="8630"/>
        </w:tabs>
        <w:rPr>
          <w:b w:val="0"/>
          <w:noProof/>
        </w:rPr>
      </w:pPr>
      <w:hyperlink w:anchor="_Toc518323436" w:history="1">
        <w:r w:rsidR="001853BF" w:rsidRPr="000F1856">
          <w:rPr>
            <w:rStyle w:val="Hyperlink"/>
            <w:noProof/>
          </w:rPr>
          <w:t>E. Completely Unexpected?</w:t>
        </w:r>
        <w:r w:rsidR="001853BF">
          <w:rPr>
            <w:noProof/>
            <w:webHidden/>
          </w:rPr>
          <w:tab/>
        </w:r>
        <w:r w:rsidR="001853BF">
          <w:rPr>
            <w:noProof/>
            <w:webHidden/>
          </w:rPr>
          <w:fldChar w:fldCharType="begin"/>
        </w:r>
        <w:r w:rsidR="001853BF">
          <w:rPr>
            <w:noProof/>
            <w:webHidden/>
          </w:rPr>
          <w:instrText xml:space="preserve"> PAGEREF _Toc518323436 \h </w:instrText>
        </w:r>
        <w:r w:rsidR="001853BF">
          <w:rPr>
            <w:noProof/>
            <w:webHidden/>
          </w:rPr>
        </w:r>
        <w:r w:rsidR="001853BF">
          <w:rPr>
            <w:noProof/>
            <w:webHidden/>
          </w:rPr>
          <w:fldChar w:fldCharType="separate"/>
        </w:r>
        <w:r w:rsidR="001853BF">
          <w:rPr>
            <w:noProof/>
            <w:webHidden/>
          </w:rPr>
          <w:t>370</w:t>
        </w:r>
        <w:r w:rsidR="001853BF">
          <w:rPr>
            <w:noProof/>
            <w:webHidden/>
          </w:rPr>
          <w:fldChar w:fldCharType="end"/>
        </w:r>
      </w:hyperlink>
    </w:p>
    <w:p w14:paraId="01784310" w14:textId="77777777" w:rsidR="001853BF" w:rsidRDefault="00E35F15">
      <w:pPr>
        <w:pStyle w:val="TOC3"/>
        <w:tabs>
          <w:tab w:val="right" w:leader="dot" w:pos="8630"/>
        </w:tabs>
        <w:rPr>
          <w:noProof/>
        </w:rPr>
      </w:pPr>
      <w:hyperlink w:anchor="_Toc518323437" w:history="1">
        <w:r w:rsidR="001853BF" w:rsidRPr="000F1856">
          <w:rPr>
            <w:rStyle w:val="Hyperlink"/>
            <w:i/>
            <w:noProof/>
          </w:rPr>
          <w:t>Petition of Kinsman Transit Co. (Kinsman Transit I)</w:t>
        </w:r>
        <w:r w:rsidR="001853BF">
          <w:rPr>
            <w:noProof/>
            <w:webHidden/>
          </w:rPr>
          <w:tab/>
        </w:r>
        <w:r w:rsidR="001853BF">
          <w:rPr>
            <w:noProof/>
            <w:webHidden/>
          </w:rPr>
          <w:fldChar w:fldCharType="begin"/>
        </w:r>
        <w:r w:rsidR="001853BF">
          <w:rPr>
            <w:noProof/>
            <w:webHidden/>
          </w:rPr>
          <w:instrText xml:space="preserve"> PAGEREF _Toc518323437 \h </w:instrText>
        </w:r>
        <w:r w:rsidR="001853BF">
          <w:rPr>
            <w:noProof/>
            <w:webHidden/>
          </w:rPr>
        </w:r>
        <w:r w:rsidR="001853BF">
          <w:rPr>
            <w:noProof/>
            <w:webHidden/>
          </w:rPr>
          <w:fldChar w:fldCharType="separate"/>
        </w:r>
        <w:r w:rsidR="001853BF">
          <w:rPr>
            <w:noProof/>
            <w:webHidden/>
          </w:rPr>
          <w:t>370</w:t>
        </w:r>
        <w:r w:rsidR="001853BF">
          <w:rPr>
            <w:noProof/>
            <w:webHidden/>
          </w:rPr>
          <w:fldChar w:fldCharType="end"/>
        </w:r>
      </w:hyperlink>
    </w:p>
    <w:p w14:paraId="7DB15D07" w14:textId="77777777" w:rsidR="001853BF" w:rsidRDefault="00E35F15">
      <w:pPr>
        <w:pStyle w:val="TOC4"/>
        <w:tabs>
          <w:tab w:val="right" w:leader="dot" w:pos="8630"/>
        </w:tabs>
        <w:rPr>
          <w:noProof/>
          <w:sz w:val="22"/>
          <w:szCs w:val="22"/>
        </w:rPr>
      </w:pPr>
      <w:hyperlink w:anchor="_Toc51832343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_Toc518323438 \h </w:instrText>
        </w:r>
        <w:r w:rsidR="001853BF">
          <w:rPr>
            <w:noProof/>
            <w:webHidden/>
          </w:rPr>
        </w:r>
        <w:r w:rsidR="001853BF">
          <w:rPr>
            <w:noProof/>
            <w:webHidden/>
          </w:rPr>
          <w:fldChar w:fldCharType="separate"/>
        </w:r>
        <w:r w:rsidR="001853BF">
          <w:rPr>
            <w:noProof/>
            <w:webHidden/>
          </w:rPr>
          <w:t>376</w:t>
        </w:r>
        <w:r w:rsidR="001853BF">
          <w:rPr>
            <w:noProof/>
            <w:webHidden/>
          </w:rPr>
          <w:fldChar w:fldCharType="end"/>
        </w:r>
      </w:hyperlink>
    </w:p>
    <w:p w14:paraId="184AD9CC" w14:textId="77777777" w:rsidR="001853BF" w:rsidRDefault="00E35F15">
      <w:pPr>
        <w:pStyle w:val="TOC2"/>
        <w:tabs>
          <w:tab w:val="right" w:leader="dot" w:pos="8630"/>
        </w:tabs>
        <w:rPr>
          <w:b w:val="0"/>
          <w:noProof/>
        </w:rPr>
      </w:pPr>
      <w:hyperlink w:anchor="_Toc518323439" w:history="1">
        <w:r w:rsidR="001853BF" w:rsidRPr="000F1856">
          <w:rPr>
            <w:rStyle w:val="Hyperlink"/>
            <w:noProof/>
          </w:rPr>
          <w:t>F.  Proximate Cause Beyond Torts</w:t>
        </w:r>
        <w:r w:rsidR="001853BF">
          <w:rPr>
            <w:noProof/>
            <w:webHidden/>
          </w:rPr>
          <w:tab/>
        </w:r>
        <w:r w:rsidR="001853BF">
          <w:rPr>
            <w:noProof/>
            <w:webHidden/>
          </w:rPr>
          <w:fldChar w:fldCharType="begin"/>
        </w:r>
        <w:r w:rsidR="001853BF">
          <w:rPr>
            <w:noProof/>
            <w:webHidden/>
          </w:rPr>
          <w:instrText xml:space="preserve"> PAGEREF _Toc518323439 \h </w:instrText>
        </w:r>
        <w:r w:rsidR="001853BF">
          <w:rPr>
            <w:noProof/>
            <w:webHidden/>
          </w:rPr>
        </w:r>
        <w:r w:rsidR="001853BF">
          <w:rPr>
            <w:noProof/>
            <w:webHidden/>
          </w:rPr>
          <w:fldChar w:fldCharType="separate"/>
        </w:r>
        <w:r w:rsidR="001853BF">
          <w:rPr>
            <w:noProof/>
            <w:webHidden/>
          </w:rPr>
          <w:t>379</w:t>
        </w:r>
        <w:r w:rsidR="001853BF">
          <w:rPr>
            <w:noProof/>
            <w:webHidden/>
          </w:rPr>
          <w:fldChar w:fldCharType="end"/>
        </w:r>
      </w:hyperlink>
    </w:p>
    <w:p w14:paraId="0A9216B1" w14:textId="77777777" w:rsidR="001853BF" w:rsidRDefault="00E35F15">
      <w:pPr>
        <w:pStyle w:val="TOC3"/>
        <w:tabs>
          <w:tab w:val="right" w:leader="dot" w:pos="8630"/>
        </w:tabs>
        <w:rPr>
          <w:noProof/>
        </w:rPr>
      </w:pPr>
      <w:hyperlink w:anchor="_Toc518323440" w:history="1">
        <w:r w:rsidR="001853BF" w:rsidRPr="000F1856">
          <w:rPr>
            <w:rStyle w:val="Hyperlink"/>
            <w:noProof/>
          </w:rPr>
          <w:t>1.  Proximate Cause and Criminal Law</w:t>
        </w:r>
        <w:r w:rsidR="001853BF">
          <w:rPr>
            <w:noProof/>
            <w:webHidden/>
          </w:rPr>
          <w:tab/>
        </w:r>
        <w:r w:rsidR="001853BF">
          <w:rPr>
            <w:noProof/>
            <w:webHidden/>
          </w:rPr>
          <w:fldChar w:fldCharType="begin"/>
        </w:r>
        <w:r w:rsidR="001853BF">
          <w:rPr>
            <w:noProof/>
            <w:webHidden/>
          </w:rPr>
          <w:instrText xml:space="preserve"> PAGEREF _Toc518323440 \h </w:instrText>
        </w:r>
        <w:r w:rsidR="001853BF">
          <w:rPr>
            <w:noProof/>
            <w:webHidden/>
          </w:rPr>
        </w:r>
        <w:r w:rsidR="001853BF">
          <w:rPr>
            <w:noProof/>
            <w:webHidden/>
          </w:rPr>
          <w:fldChar w:fldCharType="separate"/>
        </w:r>
        <w:r w:rsidR="001853BF">
          <w:rPr>
            <w:noProof/>
            <w:webHidden/>
          </w:rPr>
          <w:t>379</w:t>
        </w:r>
        <w:r w:rsidR="001853BF">
          <w:rPr>
            <w:noProof/>
            <w:webHidden/>
          </w:rPr>
          <w:fldChar w:fldCharType="end"/>
        </w:r>
      </w:hyperlink>
    </w:p>
    <w:p w14:paraId="217D44E4" w14:textId="77777777" w:rsidR="001853BF" w:rsidRDefault="00E35F15">
      <w:pPr>
        <w:pStyle w:val="TOC3"/>
        <w:tabs>
          <w:tab w:val="right" w:leader="dot" w:pos="8630"/>
        </w:tabs>
        <w:rPr>
          <w:noProof/>
        </w:rPr>
      </w:pPr>
      <w:hyperlink w:anchor="_Toc518323441" w:history="1">
        <w:r w:rsidR="001853BF" w:rsidRPr="000F1856">
          <w:rPr>
            <w:rStyle w:val="Hyperlink"/>
            <w:noProof/>
          </w:rPr>
          <w:t>2.  Proximate Cause and Consequential Damages</w:t>
        </w:r>
        <w:r w:rsidR="001853BF">
          <w:rPr>
            <w:noProof/>
            <w:webHidden/>
          </w:rPr>
          <w:tab/>
        </w:r>
        <w:r w:rsidR="001853BF">
          <w:rPr>
            <w:noProof/>
            <w:webHidden/>
          </w:rPr>
          <w:fldChar w:fldCharType="begin"/>
        </w:r>
        <w:r w:rsidR="001853BF">
          <w:rPr>
            <w:noProof/>
            <w:webHidden/>
          </w:rPr>
          <w:instrText xml:space="preserve"> PAGEREF _Toc518323441 \h </w:instrText>
        </w:r>
        <w:r w:rsidR="001853BF">
          <w:rPr>
            <w:noProof/>
            <w:webHidden/>
          </w:rPr>
        </w:r>
        <w:r w:rsidR="001853BF">
          <w:rPr>
            <w:noProof/>
            <w:webHidden/>
          </w:rPr>
          <w:fldChar w:fldCharType="separate"/>
        </w:r>
        <w:r w:rsidR="001853BF">
          <w:rPr>
            <w:noProof/>
            <w:webHidden/>
          </w:rPr>
          <w:t>380</w:t>
        </w:r>
        <w:r w:rsidR="001853BF">
          <w:rPr>
            <w:noProof/>
            <w:webHidden/>
          </w:rPr>
          <w:fldChar w:fldCharType="end"/>
        </w:r>
      </w:hyperlink>
    </w:p>
    <w:p w14:paraId="5DC8A855" w14:textId="77777777" w:rsidR="001853BF" w:rsidRDefault="00E35F15">
      <w:pPr>
        <w:pStyle w:val="TOC1"/>
        <w:tabs>
          <w:tab w:val="right" w:leader="dot" w:pos="8630"/>
        </w:tabs>
        <w:rPr>
          <w:b w:val="0"/>
          <w:noProof/>
          <w:sz w:val="22"/>
          <w:szCs w:val="22"/>
        </w:rPr>
      </w:pPr>
      <w:hyperlink w:anchor="_Toc518323442" w:history="1">
        <w:r w:rsidR="001853BF" w:rsidRPr="000F1856">
          <w:rPr>
            <w:rStyle w:val="Hyperlink"/>
            <w:noProof/>
          </w:rPr>
          <w:t>CHAPTER 8.  THE DUTY PROBLEM</w:t>
        </w:r>
        <w:r w:rsidR="001853BF">
          <w:rPr>
            <w:noProof/>
            <w:webHidden/>
          </w:rPr>
          <w:tab/>
        </w:r>
        <w:r w:rsidR="001853BF">
          <w:rPr>
            <w:noProof/>
            <w:webHidden/>
          </w:rPr>
          <w:fldChar w:fldCharType="begin"/>
        </w:r>
        <w:r w:rsidR="001853BF">
          <w:rPr>
            <w:noProof/>
            <w:webHidden/>
          </w:rPr>
          <w:instrText xml:space="preserve"> PAGEREF _Toc518323442 \h </w:instrText>
        </w:r>
        <w:r w:rsidR="001853BF">
          <w:rPr>
            <w:noProof/>
            <w:webHidden/>
          </w:rPr>
        </w:r>
        <w:r w:rsidR="001853BF">
          <w:rPr>
            <w:noProof/>
            <w:webHidden/>
          </w:rPr>
          <w:fldChar w:fldCharType="separate"/>
        </w:r>
        <w:r w:rsidR="001853BF">
          <w:rPr>
            <w:noProof/>
            <w:webHidden/>
          </w:rPr>
          <w:t>381</w:t>
        </w:r>
        <w:r w:rsidR="001853BF">
          <w:rPr>
            <w:noProof/>
            <w:webHidden/>
          </w:rPr>
          <w:fldChar w:fldCharType="end"/>
        </w:r>
      </w:hyperlink>
    </w:p>
    <w:p w14:paraId="75EEA5FC" w14:textId="77777777" w:rsidR="001853BF" w:rsidRDefault="00E35F15">
      <w:pPr>
        <w:pStyle w:val="TOC2"/>
        <w:tabs>
          <w:tab w:val="right" w:leader="dot" w:pos="8630"/>
        </w:tabs>
        <w:rPr>
          <w:b w:val="0"/>
          <w:noProof/>
        </w:rPr>
      </w:pPr>
      <w:hyperlink w:anchor="_Toc518323443" w:history="1">
        <w:r w:rsidR="001853BF" w:rsidRPr="000F1856">
          <w:rPr>
            <w:rStyle w:val="Hyperlink"/>
            <w:rFonts w:cs="Times New Roman"/>
            <w:noProof/>
          </w:rPr>
          <w:t>A.  Is There a Duty to Rescue?</w:t>
        </w:r>
        <w:r w:rsidR="001853BF">
          <w:rPr>
            <w:noProof/>
            <w:webHidden/>
          </w:rPr>
          <w:tab/>
        </w:r>
        <w:r w:rsidR="001853BF">
          <w:rPr>
            <w:noProof/>
            <w:webHidden/>
          </w:rPr>
          <w:fldChar w:fldCharType="begin"/>
        </w:r>
        <w:r w:rsidR="001853BF">
          <w:rPr>
            <w:noProof/>
            <w:webHidden/>
          </w:rPr>
          <w:instrText xml:space="preserve"> PAGEREF _Toc518323443 \h </w:instrText>
        </w:r>
        <w:r w:rsidR="001853BF">
          <w:rPr>
            <w:noProof/>
            <w:webHidden/>
          </w:rPr>
        </w:r>
        <w:r w:rsidR="001853BF">
          <w:rPr>
            <w:noProof/>
            <w:webHidden/>
          </w:rPr>
          <w:fldChar w:fldCharType="separate"/>
        </w:r>
        <w:r w:rsidR="001853BF">
          <w:rPr>
            <w:noProof/>
            <w:webHidden/>
          </w:rPr>
          <w:t>382</w:t>
        </w:r>
        <w:r w:rsidR="001853BF">
          <w:rPr>
            <w:noProof/>
            <w:webHidden/>
          </w:rPr>
          <w:fldChar w:fldCharType="end"/>
        </w:r>
      </w:hyperlink>
    </w:p>
    <w:p w14:paraId="5F629DF8" w14:textId="77777777" w:rsidR="001853BF" w:rsidRDefault="00E35F15">
      <w:pPr>
        <w:pStyle w:val="TOC3"/>
        <w:tabs>
          <w:tab w:val="right" w:leader="dot" w:pos="8630"/>
        </w:tabs>
        <w:rPr>
          <w:noProof/>
        </w:rPr>
      </w:pPr>
      <w:hyperlink w:anchor="_Toc518323444" w:history="1">
        <w:r w:rsidR="001853BF" w:rsidRPr="000F1856">
          <w:rPr>
            <w:rStyle w:val="Hyperlink"/>
            <w:noProof/>
          </w:rPr>
          <w:t>1.  Cases</w:t>
        </w:r>
        <w:r w:rsidR="001853BF">
          <w:rPr>
            <w:noProof/>
            <w:webHidden/>
          </w:rPr>
          <w:tab/>
        </w:r>
        <w:r w:rsidR="001853BF">
          <w:rPr>
            <w:noProof/>
            <w:webHidden/>
          </w:rPr>
          <w:fldChar w:fldCharType="begin"/>
        </w:r>
        <w:r w:rsidR="001853BF">
          <w:rPr>
            <w:noProof/>
            <w:webHidden/>
          </w:rPr>
          <w:instrText xml:space="preserve"> PAGEREF _Toc518323444 \h </w:instrText>
        </w:r>
        <w:r w:rsidR="001853BF">
          <w:rPr>
            <w:noProof/>
            <w:webHidden/>
          </w:rPr>
        </w:r>
        <w:r w:rsidR="001853BF">
          <w:rPr>
            <w:noProof/>
            <w:webHidden/>
          </w:rPr>
          <w:fldChar w:fldCharType="separate"/>
        </w:r>
        <w:r w:rsidR="001853BF">
          <w:rPr>
            <w:noProof/>
            <w:webHidden/>
          </w:rPr>
          <w:t>382</w:t>
        </w:r>
        <w:r w:rsidR="001853BF">
          <w:rPr>
            <w:noProof/>
            <w:webHidden/>
          </w:rPr>
          <w:fldChar w:fldCharType="end"/>
        </w:r>
      </w:hyperlink>
    </w:p>
    <w:p w14:paraId="655322CF" w14:textId="77777777" w:rsidR="001853BF" w:rsidRDefault="00E35F15">
      <w:pPr>
        <w:pStyle w:val="TOC4"/>
        <w:tabs>
          <w:tab w:val="right" w:leader="dot" w:pos="8630"/>
        </w:tabs>
        <w:rPr>
          <w:noProof/>
          <w:sz w:val="22"/>
          <w:szCs w:val="22"/>
        </w:rPr>
      </w:pPr>
      <w:hyperlink w:anchor="_Toc518323445" w:history="1">
        <w:r w:rsidR="001853BF" w:rsidRPr="00FD75E5">
          <w:rPr>
            <w:rStyle w:val="Hyperlink"/>
            <w:i/>
            <w:noProof/>
          </w:rPr>
          <w:t>Farwell v. Keaton</w:t>
        </w:r>
        <w:r w:rsidR="001853BF">
          <w:rPr>
            <w:noProof/>
            <w:webHidden/>
          </w:rPr>
          <w:tab/>
        </w:r>
        <w:r w:rsidR="001853BF">
          <w:rPr>
            <w:noProof/>
            <w:webHidden/>
          </w:rPr>
          <w:fldChar w:fldCharType="begin"/>
        </w:r>
        <w:r w:rsidR="001853BF">
          <w:rPr>
            <w:noProof/>
            <w:webHidden/>
          </w:rPr>
          <w:instrText xml:space="preserve"> PAGEREF _Toc518323445 \h </w:instrText>
        </w:r>
        <w:r w:rsidR="001853BF">
          <w:rPr>
            <w:noProof/>
            <w:webHidden/>
          </w:rPr>
        </w:r>
        <w:r w:rsidR="001853BF">
          <w:rPr>
            <w:noProof/>
            <w:webHidden/>
          </w:rPr>
          <w:fldChar w:fldCharType="separate"/>
        </w:r>
        <w:r w:rsidR="001853BF">
          <w:rPr>
            <w:noProof/>
            <w:webHidden/>
          </w:rPr>
          <w:t>382</w:t>
        </w:r>
        <w:r w:rsidR="001853BF">
          <w:rPr>
            <w:noProof/>
            <w:webHidden/>
          </w:rPr>
          <w:fldChar w:fldCharType="end"/>
        </w:r>
      </w:hyperlink>
    </w:p>
    <w:p w14:paraId="416B58BC" w14:textId="77777777" w:rsidR="001853BF" w:rsidRDefault="00E35F15">
      <w:pPr>
        <w:pStyle w:val="TOC4"/>
        <w:tabs>
          <w:tab w:val="right" w:leader="dot" w:pos="8630"/>
        </w:tabs>
        <w:rPr>
          <w:noProof/>
          <w:sz w:val="22"/>
          <w:szCs w:val="22"/>
        </w:rPr>
      </w:pPr>
      <w:hyperlink w:anchor="_Toc518323446" w:history="1">
        <w:r w:rsidR="001853BF" w:rsidRPr="00FD75E5">
          <w:rPr>
            <w:rStyle w:val="Hyperlink"/>
            <w:i/>
            <w:noProof/>
          </w:rPr>
          <w:t>Harper v. Herman</w:t>
        </w:r>
        <w:r w:rsidR="001853BF">
          <w:rPr>
            <w:noProof/>
            <w:webHidden/>
          </w:rPr>
          <w:tab/>
        </w:r>
        <w:r w:rsidR="001853BF">
          <w:rPr>
            <w:noProof/>
            <w:webHidden/>
          </w:rPr>
          <w:fldChar w:fldCharType="begin"/>
        </w:r>
        <w:r w:rsidR="001853BF">
          <w:rPr>
            <w:noProof/>
            <w:webHidden/>
          </w:rPr>
          <w:instrText xml:space="preserve"> PAGEREF _Toc518323446 \h </w:instrText>
        </w:r>
        <w:r w:rsidR="001853BF">
          <w:rPr>
            <w:noProof/>
            <w:webHidden/>
          </w:rPr>
        </w:r>
        <w:r w:rsidR="001853BF">
          <w:rPr>
            <w:noProof/>
            <w:webHidden/>
          </w:rPr>
          <w:fldChar w:fldCharType="separate"/>
        </w:r>
        <w:r w:rsidR="001853BF">
          <w:rPr>
            <w:noProof/>
            <w:webHidden/>
          </w:rPr>
          <w:t>383</w:t>
        </w:r>
        <w:r w:rsidR="001853BF">
          <w:rPr>
            <w:noProof/>
            <w:webHidden/>
          </w:rPr>
          <w:fldChar w:fldCharType="end"/>
        </w:r>
      </w:hyperlink>
    </w:p>
    <w:p w14:paraId="4E37EF99" w14:textId="77777777" w:rsidR="001853BF" w:rsidRDefault="00E35F15">
      <w:pPr>
        <w:pStyle w:val="TOC4"/>
        <w:tabs>
          <w:tab w:val="right" w:leader="dot" w:pos="8630"/>
        </w:tabs>
        <w:rPr>
          <w:noProof/>
          <w:sz w:val="22"/>
          <w:szCs w:val="22"/>
        </w:rPr>
      </w:pPr>
      <w:hyperlink w:anchor="_Toc51832344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_Toc518323447 \h </w:instrText>
        </w:r>
        <w:r w:rsidR="001853BF">
          <w:rPr>
            <w:noProof/>
            <w:webHidden/>
          </w:rPr>
        </w:r>
        <w:r w:rsidR="001853BF">
          <w:rPr>
            <w:noProof/>
            <w:webHidden/>
          </w:rPr>
          <w:fldChar w:fldCharType="separate"/>
        </w:r>
        <w:r w:rsidR="001853BF">
          <w:rPr>
            <w:noProof/>
            <w:webHidden/>
          </w:rPr>
          <w:t>386</w:t>
        </w:r>
        <w:r w:rsidR="001853BF">
          <w:rPr>
            <w:noProof/>
            <w:webHidden/>
          </w:rPr>
          <w:fldChar w:fldCharType="end"/>
        </w:r>
      </w:hyperlink>
    </w:p>
    <w:p w14:paraId="52EFAF7A" w14:textId="77777777" w:rsidR="001853BF" w:rsidRDefault="00E35F15">
      <w:pPr>
        <w:pStyle w:val="TOC4"/>
        <w:tabs>
          <w:tab w:val="right" w:leader="dot" w:pos="8630"/>
        </w:tabs>
        <w:rPr>
          <w:noProof/>
          <w:sz w:val="22"/>
          <w:szCs w:val="22"/>
        </w:rPr>
      </w:pPr>
      <w:hyperlink w:anchor="_Toc518323448" w:history="1">
        <w:r w:rsidR="001853BF" w:rsidRPr="000F1856">
          <w:rPr>
            <w:rStyle w:val="Hyperlink"/>
            <w:noProof/>
          </w:rPr>
          <w:t>James Barr Ames, The Law and Morals</w:t>
        </w:r>
        <w:r w:rsidR="001853BF">
          <w:rPr>
            <w:noProof/>
            <w:webHidden/>
          </w:rPr>
          <w:tab/>
        </w:r>
        <w:r w:rsidR="001853BF">
          <w:rPr>
            <w:noProof/>
            <w:webHidden/>
          </w:rPr>
          <w:fldChar w:fldCharType="begin"/>
        </w:r>
        <w:r w:rsidR="001853BF">
          <w:rPr>
            <w:noProof/>
            <w:webHidden/>
          </w:rPr>
          <w:instrText xml:space="preserve"> PAGEREF _Toc518323448 \h </w:instrText>
        </w:r>
        <w:r w:rsidR="001853BF">
          <w:rPr>
            <w:noProof/>
            <w:webHidden/>
          </w:rPr>
        </w:r>
        <w:r w:rsidR="001853BF">
          <w:rPr>
            <w:noProof/>
            <w:webHidden/>
          </w:rPr>
          <w:fldChar w:fldCharType="separate"/>
        </w:r>
        <w:r w:rsidR="001853BF">
          <w:rPr>
            <w:noProof/>
            <w:webHidden/>
          </w:rPr>
          <w:t>388</w:t>
        </w:r>
        <w:r w:rsidR="001853BF">
          <w:rPr>
            <w:noProof/>
            <w:webHidden/>
          </w:rPr>
          <w:fldChar w:fldCharType="end"/>
        </w:r>
      </w:hyperlink>
    </w:p>
    <w:p w14:paraId="502BAE91" w14:textId="77777777" w:rsidR="001853BF" w:rsidRDefault="00E35F15">
      <w:pPr>
        <w:pStyle w:val="TOC3"/>
        <w:tabs>
          <w:tab w:val="right" w:leader="dot" w:pos="8630"/>
        </w:tabs>
        <w:rPr>
          <w:noProof/>
        </w:rPr>
      </w:pPr>
      <w:hyperlink w:anchor="_Toc518323449" w:history="1">
        <w:r w:rsidR="001853BF" w:rsidRPr="000F1856">
          <w:rPr>
            <w:rStyle w:val="Hyperlink"/>
            <w:noProof/>
          </w:rPr>
          <w:t>2.  Liability for Good Samaritans?</w:t>
        </w:r>
        <w:r w:rsidR="001853BF">
          <w:rPr>
            <w:noProof/>
            <w:webHidden/>
          </w:rPr>
          <w:tab/>
        </w:r>
        <w:r w:rsidR="001853BF">
          <w:rPr>
            <w:noProof/>
            <w:webHidden/>
          </w:rPr>
          <w:fldChar w:fldCharType="begin"/>
        </w:r>
        <w:r w:rsidR="001853BF">
          <w:rPr>
            <w:noProof/>
            <w:webHidden/>
          </w:rPr>
          <w:instrText xml:space="preserve"> PAGEREF _Toc518323449 \h </w:instrText>
        </w:r>
        <w:r w:rsidR="001853BF">
          <w:rPr>
            <w:noProof/>
            <w:webHidden/>
          </w:rPr>
        </w:r>
        <w:r w:rsidR="001853BF">
          <w:rPr>
            <w:noProof/>
            <w:webHidden/>
          </w:rPr>
          <w:fldChar w:fldCharType="separate"/>
        </w:r>
        <w:r w:rsidR="001853BF">
          <w:rPr>
            <w:noProof/>
            <w:webHidden/>
          </w:rPr>
          <w:t>392</w:t>
        </w:r>
        <w:r w:rsidR="001853BF">
          <w:rPr>
            <w:noProof/>
            <w:webHidden/>
          </w:rPr>
          <w:fldChar w:fldCharType="end"/>
        </w:r>
      </w:hyperlink>
    </w:p>
    <w:p w14:paraId="36D4C2F3" w14:textId="77777777" w:rsidR="001853BF" w:rsidRDefault="00E35F15">
      <w:pPr>
        <w:pStyle w:val="TOC4"/>
        <w:tabs>
          <w:tab w:val="right" w:leader="dot" w:pos="8630"/>
        </w:tabs>
        <w:rPr>
          <w:noProof/>
          <w:sz w:val="22"/>
          <w:szCs w:val="22"/>
        </w:rPr>
      </w:pPr>
      <w:hyperlink w:anchor="_Toc518323450" w:history="1">
        <w:r w:rsidR="001853BF" w:rsidRPr="00FD75E5">
          <w:rPr>
            <w:rStyle w:val="Hyperlink"/>
            <w:i/>
            <w:noProof/>
          </w:rPr>
          <w:t>Swenson v. Waseca Mutual Insurance Co</w:t>
        </w:r>
        <w:r w:rsidR="001853BF">
          <w:rPr>
            <w:noProof/>
            <w:webHidden/>
          </w:rPr>
          <w:tab/>
        </w:r>
        <w:r w:rsidR="001853BF">
          <w:rPr>
            <w:noProof/>
            <w:webHidden/>
          </w:rPr>
          <w:fldChar w:fldCharType="begin"/>
        </w:r>
        <w:r w:rsidR="001853BF">
          <w:rPr>
            <w:noProof/>
            <w:webHidden/>
          </w:rPr>
          <w:instrText xml:space="preserve"> PAGEREF _Toc518323450 \h </w:instrText>
        </w:r>
        <w:r w:rsidR="001853BF">
          <w:rPr>
            <w:noProof/>
            <w:webHidden/>
          </w:rPr>
        </w:r>
        <w:r w:rsidR="001853BF">
          <w:rPr>
            <w:noProof/>
            <w:webHidden/>
          </w:rPr>
          <w:fldChar w:fldCharType="separate"/>
        </w:r>
        <w:r w:rsidR="001853BF">
          <w:rPr>
            <w:noProof/>
            <w:webHidden/>
          </w:rPr>
          <w:t>392</w:t>
        </w:r>
        <w:r w:rsidR="001853BF">
          <w:rPr>
            <w:noProof/>
            <w:webHidden/>
          </w:rPr>
          <w:fldChar w:fldCharType="end"/>
        </w:r>
      </w:hyperlink>
    </w:p>
    <w:p w14:paraId="1B47A8B0" w14:textId="77777777" w:rsidR="001853BF" w:rsidRDefault="00E35F15">
      <w:pPr>
        <w:pStyle w:val="TOC2"/>
        <w:tabs>
          <w:tab w:val="right" w:leader="dot" w:pos="8630"/>
        </w:tabs>
        <w:rPr>
          <w:b w:val="0"/>
          <w:noProof/>
        </w:rPr>
      </w:pPr>
      <w:hyperlink w:anchor="_Toc518323451" w:history="1">
        <w:r w:rsidR="001853BF" w:rsidRPr="000F1856">
          <w:rPr>
            <w:rStyle w:val="Hyperlink"/>
            <w:rFonts w:cs="Times New Roman"/>
            <w:noProof/>
          </w:rPr>
          <w:t>B.  Landowners and Occupiers</w:t>
        </w:r>
        <w:r w:rsidR="001853BF">
          <w:rPr>
            <w:noProof/>
            <w:webHidden/>
          </w:rPr>
          <w:tab/>
        </w:r>
        <w:r w:rsidR="001853BF">
          <w:rPr>
            <w:noProof/>
            <w:webHidden/>
          </w:rPr>
          <w:fldChar w:fldCharType="begin"/>
        </w:r>
        <w:r w:rsidR="001853BF">
          <w:rPr>
            <w:noProof/>
            <w:webHidden/>
          </w:rPr>
          <w:instrText xml:space="preserve"> PAGEREF _Toc518323451 \h </w:instrText>
        </w:r>
        <w:r w:rsidR="001853BF">
          <w:rPr>
            <w:noProof/>
            <w:webHidden/>
          </w:rPr>
        </w:r>
        <w:r w:rsidR="001853BF">
          <w:rPr>
            <w:noProof/>
            <w:webHidden/>
          </w:rPr>
          <w:fldChar w:fldCharType="separate"/>
        </w:r>
        <w:r w:rsidR="001853BF">
          <w:rPr>
            <w:noProof/>
            <w:webHidden/>
          </w:rPr>
          <w:t>393</w:t>
        </w:r>
        <w:r w:rsidR="001853BF">
          <w:rPr>
            <w:noProof/>
            <w:webHidden/>
          </w:rPr>
          <w:fldChar w:fldCharType="end"/>
        </w:r>
      </w:hyperlink>
    </w:p>
    <w:p w14:paraId="271F3B8F" w14:textId="77777777" w:rsidR="001853BF" w:rsidRDefault="00E35F15">
      <w:pPr>
        <w:pStyle w:val="TOC3"/>
        <w:tabs>
          <w:tab w:val="right" w:leader="dot" w:pos="8630"/>
        </w:tabs>
        <w:rPr>
          <w:noProof/>
        </w:rPr>
      </w:pPr>
      <w:hyperlink w:anchor="_Toc518323452" w:history="1">
        <w:r w:rsidR="001853BF" w:rsidRPr="000F1856">
          <w:rPr>
            <w:rStyle w:val="Hyperlink"/>
            <w:i/>
            <w:noProof/>
          </w:rPr>
          <w:t>United Zinc &amp; Chemical Co. v. Britt</w:t>
        </w:r>
        <w:r w:rsidR="001853BF">
          <w:rPr>
            <w:noProof/>
            <w:webHidden/>
          </w:rPr>
          <w:tab/>
        </w:r>
        <w:r w:rsidR="001853BF">
          <w:rPr>
            <w:noProof/>
            <w:webHidden/>
          </w:rPr>
          <w:fldChar w:fldCharType="begin"/>
        </w:r>
        <w:r w:rsidR="001853BF">
          <w:rPr>
            <w:noProof/>
            <w:webHidden/>
          </w:rPr>
          <w:instrText xml:space="preserve"> PAGEREF _Toc518323452 \h </w:instrText>
        </w:r>
        <w:r w:rsidR="001853BF">
          <w:rPr>
            <w:noProof/>
            <w:webHidden/>
          </w:rPr>
        </w:r>
        <w:r w:rsidR="001853BF">
          <w:rPr>
            <w:noProof/>
            <w:webHidden/>
          </w:rPr>
          <w:fldChar w:fldCharType="separate"/>
        </w:r>
        <w:r w:rsidR="001853BF">
          <w:rPr>
            <w:noProof/>
            <w:webHidden/>
          </w:rPr>
          <w:t>394</w:t>
        </w:r>
        <w:r w:rsidR="001853BF">
          <w:rPr>
            <w:noProof/>
            <w:webHidden/>
          </w:rPr>
          <w:fldChar w:fldCharType="end"/>
        </w:r>
      </w:hyperlink>
    </w:p>
    <w:p w14:paraId="743CABB2" w14:textId="77777777" w:rsidR="001853BF" w:rsidRDefault="00E35F15">
      <w:pPr>
        <w:pStyle w:val="TOC4"/>
        <w:tabs>
          <w:tab w:val="right" w:leader="dot" w:pos="8630"/>
        </w:tabs>
        <w:rPr>
          <w:noProof/>
          <w:sz w:val="22"/>
          <w:szCs w:val="22"/>
        </w:rPr>
      </w:pPr>
      <w:hyperlink w:anchor="_Toc51832345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_Toc518323453 \h </w:instrText>
        </w:r>
        <w:r w:rsidR="001853BF">
          <w:rPr>
            <w:noProof/>
            <w:webHidden/>
          </w:rPr>
        </w:r>
        <w:r w:rsidR="001853BF">
          <w:rPr>
            <w:noProof/>
            <w:webHidden/>
          </w:rPr>
          <w:fldChar w:fldCharType="separate"/>
        </w:r>
        <w:r w:rsidR="001853BF">
          <w:rPr>
            <w:noProof/>
            <w:webHidden/>
          </w:rPr>
          <w:t>395</w:t>
        </w:r>
        <w:r w:rsidR="001853BF">
          <w:rPr>
            <w:noProof/>
            <w:webHidden/>
          </w:rPr>
          <w:fldChar w:fldCharType="end"/>
        </w:r>
      </w:hyperlink>
    </w:p>
    <w:p w14:paraId="5693C832" w14:textId="77777777" w:rsidR="001853BF" w:rsidRDefault="00E35F15">
      <w:pPr>
        <w:pStyle w:val="TOC3"/>
        <w:tabs>
          <w:tab w:val="right" w:leader="dot" w:pos="8630"/>
        </w:tabs>
        <w:rPr>
          <w:noProof/>
        </w:rPr>
      </w:pPr>
      <w:hyperlink w:anchor="_Toc518323454" w:history="1">
        <w:r w:rsidR="001853BF" w:rsidRPr="000F1856">
          <w:rPr>
            <w:rStyle w:val="Hyperlink"/>
            <w:i/>
            <w:noProof/>
          </w:rPr>
          <w:t>Banker v. McLaughlin</w:t>
        </w:r>
        <w:r w:rsidR="001853BF">
          <w:rPr>
            <w:noProof/>
            <w:webHidden/>
          </w:rPr>
          <w:tab/>
        </w:r>
        <w:r w:rsidR="001853BF">
          <w:rPr>
            <w:noProof/>
            <w:webHidden/>
          </w:rPr>
          <w:fldChar w:fldCharType="begin"/>
        </w:r>
        <w:r w:rsidR="001853BF">
          <w:rPr>
            <w:noProof/>
            <w:webHidden/>
          </w:rPr>
          <w:instrText xml:space="preserve"> PAGEREF _Toc518323454 \h </w:instrText>
        </w:r>
        <w:r w:rsidR="001853BF">
          <w:rPr>
            <w:noProof/>
            <w:webHidden/>
          </w:rPr>
        </w:r>
        <w:r w:rsidR="001853BF">
          <w:rPr>
            <w:noProof/>
            <w:webHidden/>
          </w:rPr>
          <w:fldChar w:fldCharType="separate"/>
        </w:r>
        <w:r w:rsidR="001853BF">
          <w:rPr>
            <w:noProof/>
            <w:webHidden/>
          </w:rPr>
          <w:t>396</w:t>
        </w:r>
        <w:r w:rsidR="001853BF">
          <w:rPr>
            <w:noProof/>
            <w:webHidden/>
          </w:rPr>
          <w:fldChar w:fldCharType="end"/>
        </w:r>
      </w:hyperlink>
    </w:p>
    <w:p w14:paraId="7E73FBCE" w14:textId="77777777" w:rsidR="001853BF" w:rsidRDefault="00E35F15">
      <w:pPr>
        <w:pStyle w:val="TOC4"/>
        <w:tabs>
          <w:tab w:val="right" w:leader="dot" w:pos="8630"/>
        </w:tabs>
        <w:rPr>
          <w:noProof/>
          <w:sz w:val="22"/>
          <w:szCs w:val="22"/>
        </w:rPr>
      </w:pPr>
      <w:hyperlink w:anchor="_Toc518323455"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_Toc518323455 \h </w:instrText>
        </w:r>
        <w:r w:rsidR="001853BF">
          <w:rPr>
            <w:noProof/>
            <w:webHidden/>
          </w:rPr>
        </w:r>
        <w:r w:rsidR="001853BF">
          <w:rPr>
            <w:noProof/>
            <w:webHidden/>
          </w:rPr>
          <w:fldChar w:fldCharType="separate"/>
        </w:r>
        <w:r w:rsidR="001853BF">
          <w:rPr>
            <w:noProof/>
            <w:webHidden/>
          </w:rPr>
          <w:t>398</w:t>
        </w:r>
        <w:r w:rsidR="001853BF">
          <w:rPr>
            <w:noProof/>
            <w:webHidden/>
          </w:rPr>
          <w:fldChar w:fldCharType="end"/>
        </w:r>
      </w:hyperlink>
    </w:p>
    <w:p w14:paraId="428FFF47" w14:textId="77777777" w:rsidR="001853BF" w:rsidRDefault="00E35F15">
      <w:pPr>
        <w:pStyle w:val="TOC3"/>
        <w:tabs>
          <w:tab w:val="right" w:leader="dot" w:pos="8630"/>
        </w:tabs>
        <w:rPr>
          <w:noProof/>
        </w:rPr>
      </w:pPr>
      <w:hyperlink w:anchor="_Toc518323456" w:history="1">
        <w:r w:rsidR="001853BF" w:rsidRPr="000F1856">
          <w:rPr>
            <w:rStyle w:val="Hyperlink"/>
            <w:i/>
            <w:noProof/>
          </w:rPr>
          <w:t>Rowland v. Christian</w:t>
        </w:r>
        <w:r w:rsidR="001853BF">
          <w:rPr>
            <w:noProof/>
            <w:webHidden/>
          </w:rPr>
          <w:tab/>
        </w:r>
        <w:r w:rsidR="001853BF">
          <w:rPr>
            <w:noProof/>
            <w:webHidden/>
          </w:rPr>
          <w:fldChar w:fldCharType="begin"/>
        </w:r>
        <w:r w:rsidR="001853BF">
          <w:rPr>
            <w:noProof/>
            <w:webHidden/>
          </w:rPr>
          <w:instrText xml:space="preserve"> PAGEREF _Toc518323456 \h </w:instrText>
        </w:r>
        <w:r w:rsidR="001853BF">
          <w:rPr>
            <w:noProof/>
            <w:webHidden/>
          </w:rPr>
        </w:r>
        <w:r w:rsidR="001853BF">
          <w:rPr>
            <w:noProof/>
            <w:webHidden/>
          </w:rPr>
          <w:fldChar w:fldCharType="separate"/>
        </w:r>
        <w:r w:rsidR="001853BF">
          <w:rPr>
            <w:noProof/>
            <w:webHidden/>
          </w:rPr>
          <w:t>399</w:t>
        </w:r>
        <w:r w:rsidR="001853BF">
          <w:rPr>
            <w:noProof/>
            <w:webHidden/>
          </w:rPr>
          <w:fldChar w:fldCharType="end"/>
        </w:r>
      </w:hyperlink>
    </w:p>
    <w:p w14:paraId="294120EF" w14:textId="77777777" w:rsidR="001853BF" w:rsidRDefault="00E35F15">
      <w:pPr>
        <w:pStyle w:val="TOC4"/>
        <w:tabs>
          <w:tab w:val="right" w:leader="dot" w:pos="8630"/>
        </w:tabs>
        <w:rPr>
          <w:noProof/>
          <w:sz w:val="22"/>
          <w:szCs w:val="22"/>
        </w:rPr>
      </w:pPr>
      <w:hyperlink w:anchor="_Toc51832345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_Toc518323457 \h </w:instrText>
        </w:r>
        <w:r w:rsidR="001853BF">
          <w:rPr>
            <w:noProof/>
            <w:webHidden/>
          </w:rPr>
        </w:r>
        <w:r w:rsidR="001853BF">
          <w:rPr>
            <w:noProof/>
            <w:webHidden/>
          </w:rPr>
          <w:fldChar w:fldCharType="separate"/>
        </w:r>
        <w:r w:rsidR="001853BF">
          <w:rPr>
            <w:noProof/>
            <w:webHidden/>
          </w:rPr>
          <w:t>403</w:t>
        </w:r>
        <w:r w:rsidR="001853BF">
          <w:rPr>
            <w:noProof/>
            <w:webHidden/>
          </w:rPr>
          <w:fldChar w:fldCharType="end"/>
        </w:r>
      </w:hyperlink>
    </w:p>
    <w:p w14:paraId="42993802" w14:textId="77777777" w:rsidR="001853BF" w:rsidRDefault="00E35F15">
      <w:pPr>
        <w:pStyle w:val="TOC2"/>
        <w:tabs>
          <w:tab w:val="right" w:leader="dot" w:pos="8630"/>
        </w:tabs>
        <w:rPr>
          <w:b w:val="0"/>
          <w:noProof/>
        </w:rPr>
      </w:pPr>
      <w:hyperlink w:anchor="_Toc518323458" w:history="1">
        <w:r w:rsidR="001853BF" w:rsidRPr="000F1856">
          <w:rPr>
            <w:rStyle w:val="Hyperlink"/>
            <w:rFonts w:cs="Times New Roman"/>
            <w:noProof/>
          </w:rPr>
          <w:t>C.  Negligent Infliction of Emotional Distress</w:t>
        </w:r>
        <w:r w:rsidR="001853BF">
          <w:rPr>
            <w:noProof/>
            <w:webHidden/>
          </w:rPr>
          <w:tab/>
        </w:r>
        <w:r w:rsidR="001853BF">
          <w:rPr>
            <w:noProof/>
            <w:webHidden/>
          </w:rPr>
          <w:fldChar w:fldCharType="begin"/>
        </w:r>
        <w:r w:rsidR="001853BF">
          <w:rPr>
            <w:noProof/>
            <w:webHidden/>
          </w:rPr>
          <w:instrText xml:space="preserve"> PAGEREF _Toc518323458 \h </w:instrText>
        </w:r>
        <w:r w:rsidR="001853BF">
          <w:rPr>
            <w:noProof/>
            <w:webHidden/>
          </w:rPr>
        </w:r>
        <w:r w:rsidR="001853BF">
          <w:rPr>
            <w:noProof/>
            <w:webHidden/>
          </w:rPr>
          <w:fldChar w:fldCharType="separate"/>
        </w:r>
        <w:r w:rsidR="001853BF">
          <w:rPr>
            <w:noProof/>
            <w:webHidden/>
          </w:rPr>
          <w:t>405</w:t>
        </w:r>
        <w:r w:rsidR="001853BF">
          <w:rPr>
            <w:noProof/>
            <w:webHidden/>
          </w:rPr>
          <w:fldChar w:fldCharType="end"/>
        </w:r>
      </w:hyperlink>
    </w:p>
    <w:p w14:paraId="0B066DA3" w14:textId="77777777" w:rsidR="001853BF" w:rsidRDefault="00E35F15">
      <w:pPr>
        <w:pStyle w:val="TOC3"/>
        <w:tabs>
          <w:tab w:val="right" w:leader="dot" w:pos="8630"/>
        </w:tabs>
        <w:rPr>
          <w:noProof/>
        </w:rPr>
      </w:pPr>
      <w:hyperlink w:anchor="_Toc518323459" w:history="1">
        <w:r w:rsidR="001853BF" w:rsidRPr="000F1856">
          <w:rPr>
            <w:rStyle w:val="Hyperlink"/>
            <w:i/>
            <w:noProof/>
          </w:rPr>
          <w:t>Mitchell v. Rochester Railway</w:t>
        </w:r>
        <w:r w:rsidR="001853BF">
          <w:rPr>
            <w:noProof/>
            <w:webHidden/>
          </w:rPr>
          <w:tab/>
        </w:r>
        <w:r w:rsidR="001853BF">
          <w:rPr>
            <w:noProof/>
            <w:webHidden/>
          </w:rPr>
          <w:fldChar w:fldCharType="begin"/>
        </w:r>
        <w:r w:rsidR="001853BF">
          <w:rPr>
            <w:noProof/>
            <w:webHidden/>
          </w:rPr>
          <w:instrText xml:space="preserve"> PAGEREF _Toc518323459 \h </w:instrText>
        </w:r>
        <w:r w:rsidR="001853BF">
          <w:rPr>
            <w:noProof/>
            <w:webHidden/>
          </w:rPr>
        </w:r>
        <w:r w:rsidR="001853BF">
          <w:rPr>
            <w:noProof/>
            <w:webHidden/>
          </w:rPr>
          <w:fldChar w:fldCharType="separate"/>
        </w:r>
        <w:r w:rsidR="001853BF">
          <w:rPr>
            <w:noProof/>
            <w:webHidden/>
          </w:rPr>
          <w:t>405</w:t>
        </w:r>
        <w:r w:rsidR="001853BF">
          <w:rPr>
            <w:noProof/>
            <w:webHidden/>
          </w:rPr>
          <w:fldChar w:fldCharType="end"/>
        </w:r>
      </w:hyperlink>
    </w:p>
    <w:p w14:paraId="10A8AF94" w14:textId="77777777" w:rsidR="001853BF" w:rsidRDefault="00E35F15">
      <w:pPr>
        <w:pStyle w:val="TOC4"/>
        <w:tabs>
          <w:tab w:val="right" w:leader="dot" w:pos="8630"/>
        </w:tabs>
        <w:rPr>
          <w:noProof/>
          <w:sz w:val="22"/>
          <w:szCs w:val="22"/>
        </w:rPr>
      </w:pPr>
      <w:hyperlink w:anchor="_Toc51832346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_Toc518323460 \h </w:instrText>
        </w:r>
        <w:r w:rsidR="001853BF">
          <w:rPr>
            <w:noProof/>
            <w:webHidden/>
          </w:rPr>
        </w:r>
        <w:r w:rsidR="001853BF">
          <w:rPr>
            <w:noProof/>
            <w:webHidden/>
          </w:rPr>
          <w:fldChar w:fldCharType="separate"/>
        </w:r>
        <w:r w:rsidR="001853BF">
          <w:rPr>
            <w:noProof/>
            <w:webHidden/>
          </w:rPr>
          <w:t>406</w:t>
        </w:r>
        <w:r w:rsidR="001853BF">
          <w:rPr>
            <w:noProof/>
            <w:webHidden/>
          </w:rPr>
          <w:fldChar w:fldCharType="end"/>
        </w:r>
      </w:hyperlink>
    </w:p>
    <w:p w14:paraId="32647E6F" w14:textId="77777777" w:rsidR="001853BF" w:rsidRDefault="00E35F15">
      <w:pPr>
        <w:pStyle w:val="TOC3"/>
        <w:tabs>
          <w:tab w:val="right" w:leader="dot" w:pos="8630"/>
        </w:tabs>
        <w:rPr>
          <w:noProof/>
        </w:rPr>
      </w:pPr>
      <w:hyperlink w:anchor="_Toc518323461" w:history="1">
        <w:r w:rsidR="001853BF" w:rsidRPr="000F1856">
          <w:rPr>
            <w:rStyle w:val="Hyperlink"/>
            <w:i/>
            <w:noProof/>
          </w:rPr>
          <w:t>Falzone v. Busch</w:t>
        </w:r>
        <w:r w:rsidR="001853BF">
          <w:rPr>
            <w:noProof/>
            <w:webHidden/>
          </w:rPr>
          <w:tab/>
        </w:r>
        <w:r w:rsidR="001853BF">
          <w:rPr>
            <w:noProof/>
            <w:webHidden/>
          </w:rPr>
          <w:fldChar w:fldCharType="begin"/>
        </w:r>
        <w:r w:rsidR="001853BF">
          <w:rPr>
            <w:noProof/>
            <w:webHidden/>
          </w:rPr>
          <w:instrText xml:space="preserve"> PAGEREF _Toc518323461 \h </w:instrText>
        </w:r>
        <w:r w:rsidR="001853BF">
          <w:rPr>
            <w:noProof/>
            <w:webHidden/>
          </w:rPr>
        </w:r>
        <w:r w:rsidR="001853BF">
          <w:rPr>
            <w:noProof/>
            <w:webHidden/>
          </w:rPr>
          <w:fldChar w:fldCharType="separate"/>
        </w:r>
        <w:r w:rsidR="001853BF">
          <w:rPr>
            <w:noProof/>
            <w:webHidden/>
          </w:rPr>
          <w:t>407</w:t>
        </w:r>
        <w:r w:rsidR="001853BF">
          <w:rPr>
            <w:noProof/>
            <w:webHidden/>
          </w:rPr>
          <w:fldChar w:fldCharType="end"/>
        </w:r>
      </w:hyperlink>
    </w:p>
    <w:p w14:paraId="54532E9B" w14:textId="77777777" w:rsidR="001853BF" w:rsidRDefault="00E35F15">
      <w:pPr>
        <w:pStyle w:val="TOC4"/>
        <w:tabs>
          <w:tab w:val="right" w:leader="dot" w:pos="8630"/>
        </w:tabs>
        <w:rPr>
          <w:noProof/>
          <w:sz w:val="22"/>
          <w:szCs w:val="22"/>
        </w:rPr>
      </w:pPr>
      <w:hyperlink w:anchor="_Toc51832346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_Toc518323462 \h </w:instrText>
        </w:r>
        <w:r w:rsidR="001853BF">
          <w:rPr>
            <w:noProof/>
            <w:webHidden/>
          </w:rPr>
        </w:r>
        <w:r w:rsidR="001853BF">
          <w:rPr>
            <w:noProof/>
            <w:webHidden/>
          </w:rPr>
          <w:fldChar w:fldCharType="separate"/>
        </w:r>
        <w:r w:rsidR="001853BF">
          <w:rPr>
            <w:noProof/>
            <w:webHidden/>
          </w:rPr>
          <w:t>410</w:t>
        </w:r>
        <w:r w:rsidR="001853BF">
          <w:rPr>
            <w:noProof/>
            <w:webHidden/>
          </w:rPr>
          <w:fldChar w:fldCharType="end"/>
        </w:r>
      </w:hyperlink>
    </w:p>
    <w:p w14:paraId="162FD8B0" w14:textId="77777777" w:rsidR="001853BF" w:rsidRDefault="00E35F15">
      <w:pPr>
        <w:pStyle w:val="TOC3"/>
        <w:tabs>
          <w:tab w:val="right" w:leader="dot" w:pos="8630"/>
        </w:tabs>
        <w:rPr>
          <w:noProof/>
        </w:rPr>
      </w:pPr>
      <w:hyperlink w:anchor="_Toc518323463" w:history="1">
        <w:r w:rsidR="001853BF" w:rsidRPr="000F1856">
          <w:rPr>
            <w:rStyle w:val="Hyperlink"/>
            <w:i/>
            <w:noProof/>
          </w:rPr>
          <w:t>Dillon v. Legg</w:t>
        </w:r>
        <w:r w:rsidR="001853BF">
          <w:rPr>
            <w:noProof/>
            <w:webHidden/>
          </w:rPr>
          <w:tab/>
        </w:r>
        <w:r w:rsidR="001853BF">
          <w:rPr>
            <w:noProof/>
            <w:webHidden/>
          </w:rPr>
          <w:fldChar w:fldCharType="begin"/>
        </w:r>
        <w:r w:rsidR="001853BF">
          <w:rPr>
            <w:noProof/>
            <w:webHidden/>
          </w:rPr>
          <w:instrText xml:space="preserve"> PAGEREF _Toc518323463 \h </w:instrText>
        </w:r>
        <w:r w:rsidR="001853BF">
          <w:rPr>
            <w:noProof/>
            <w:webHidden/>
          </w:rPr>
        </w:r>
        <w:r w:rsidR="001853BF">
          <w:rPr>
            <w:noProof/>
            <w:webHidden/>
          </w:rPr>
          <w:fldChar w:fldCharType="separate"/>
        </w:r>
        <w:r w:rsidR="001853BF">
          <w:rPr>
            <w:noProof/>
            <w:webHidden/>
          </w:rPr>
          <w:t>410</w:t>
        </w:r>
        <w:r w:rsidR="001853BF">
          <w:rPr>
            <w:noProof/>
            <w:webHidden/>
          </w:rPr>
          <w:fldChar w:fldCharType="end"/>
        </w:r>
      </w:hyperlink>
    </w:p>
    <w:p w14:paraId="44988C63" w14:textId="77777777" w:rsidR="001853BF" w:rsidRDefault="00E35F15">
      <w:pPr>
        <w:pStyle w:val="TOC4"/>
        <w:tabs>
          <w:tab w:val="right" w:leader="dot" w:pos="8630"/>
        </w:tabs>
        <w:rPr>
          <w:noProof/>
          <w:sz w:val="22"/>
          <w:szCs w:val="22"/>
        </w:rPr>
      </w:pPr>
      <w:hyperlink w:anchor="_Toc51832346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_Toc518323464 \h </w:instrText>
        </w:r>
        <w:r w:rsidR="001853BF">
          <w:rPr>
            <w:noProof/>
            <w:webHidden/>
          </w:rPr>
        </w:r>
        <w:r w:rsidR="001853BF">
          <w:rPr>
            <w:noProof/>
            <w:webHidden/>
          </w:rPr>
          <w:fldChar w:fldCharType="separate"/>
        </w:r>
        <w:r w:rsidR="001853BF">
          <w:rPr>
            <w:noProof/>
            <w:webHidden/>
          </w:rPr>
          <w:t>414</w:t>
        </w:r>
        <w:r w:rsidR="001853BF">
          <w:rPr>
            <w:noProof/>
            <w:webHidden/>
          </w:rPr>
          <w:fldChar w:fldCharType="end"/>
        </w:r>
      </w:hyperlink>
    </w:p>
    <w:p w14:paraId="2B4E9180" w14:textId="77777777" w:rsidR="001853BF" w:rsidRDefault="00E35F15">
      <w:pPr>
        <w:pStyle w:val="TOC3"/>
        <w:tabs>
          <w:tab w:val="right" w:leader="dot" w:pos="8630"/>
        </w:tabs>
        <w:rPr>
          <w:noProof/>
        </w:rPr>
      </w:pPr>
      <w:hyperlink w:anchor="_Toc518323465" w:history="1">
        <w:r w:rsidR="001853BF" w:rsidRPr="000F1856">
          <w:rPr>
            <w:rStyle w:val="Hyperlink"/>
            <w:i/>
            <w:noProof/>
          </w:rPr>
          <w:t>Metro-North Commuter Railroad Co. v. Buckley</w:t>
        </w:r>
        <w:r w:rsidR="001853BF">
          <w:rPr>
            <w:noProof/>
            <w:webHidden/>
          </w:rPr>
          <w:tab/>
        </w:r>
        <w:r w:rsidR="001853BF">
          <w:rPr>
            <w:noProof/>
            <w:webHidden/>
          </w:rPr>
          <w:fldChar w:fldCharType="begin"/>
        </w:r>
        <w:r w:rsidR="001853BF">
          <w:rPr>
            <w:noProof/>
            <w:webHidden/>
          </w:rPr>
          <w:instrText xml:space="preserve"> PAGEREF _Toc518323465 \h </w:instrText>
        </w:r>
        <w:r w:rsidR="001853BF">
          <w:rPr>
            <w:noProof/>
            <w:webHidden/>
          </w:rPr>
        </w:r>
        <w:r w:rsidR="001853BF">
          <w:rPr>
            <w:noProof/>
            <w:webHidden/>
          </w:rPr>
          <w:fldChar w:fldCharType="separate"/>
        </w:r>
        <w:r w:rsidR="001853BF">
          <w:rPr>
            <w:noProof/>
            <w:webHidden/>
          </w:rPr>
          <w:t>417</w:t>
        </w:r>
        <w:r w:rsidR="001853BF">
          <w:rPr>
            <w:noProof/>
            <w:webHidden/>
          </w:rPr>
          <w:fldChar w:fldCharType="end"/>
        </w:r>
      </w:hyperlink>
    </w:p>
    <w:p w14:paraId="0030A5AF" w14:textId="77777777" w:rsidR="001853BF" w:rsidRDefault="00E35F15">
      <w:pPr>
        <w:pStyle w:val="TOC4"/>
        <w:tabs>
          <w:tab w:val="right" w:leader="dot" w:pos="8630"/>
        </w:tabs>
        <w:rPr>
          <w:noProof/>
          <w:sz w:val="22"/>
          <w:szCs w:val="22"/>
        </w:rPr>
      </w:pPr>
      <w:hyperlink w:anchor="_Toc51832346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_Toc518323466 \h </w:instrText>
        </w:r>
        <w:r w:rsidR="001853BF">
          <w:rPr>
            <w:noProof/>
            <w:webHidden/>
          </w:rPr>
        </w:r>
        <w:r w:rsidR="001853BF">
          <w:rPr>
            <w:noProof/>
            <w:webHidden/>
          </w:rPr>
          <w:fldChar w:fldCharType="separate"/>
        </w:r>
        <w:r w:rsidR="001853BF">
          <w:rPr>
            <w:noProof/>
            <w:webHidden/>
          </w:rPr>
          <w:t>420</w:t>
        </w:r>
        <w:r w:rsidR="001853BF">
          <w:rPr>
            <w:noProof/>
            <w:webHidden/>
          </w:rPr>
          <w:fldChar w:fldCharType="end"/>
        </w:r>
      </w:hyperlink>
    </w:p>
    <w:p w14:paraId="6550D74E" w14:textId="77777777" w:rsidR="001853BF" w:rsidRDefault="00E35F15">
      <w:pPr>
        <w:pStyle w:val="TOC2"/>
        <w:tabs>
          <w:tab w:val="right" w:leader="dot" w:pos="8630"/>
        </w:tabs>
        <w:rPr>
          <w:b w:val="0"/>
          <w:noProof/>
        </w:rPr>
      </w:pPr>
      <w:hyperlink w:anchor="_Toc518323467" w:history="1">
        <w:r w:rsidR="001853BF" w:rsidRPr="000F1856">
          <w:rPr>
            <w:rStyle w:val="Hyperlink"/>
            <w:rFonts w:cs="Times New Roman"/>
            <w:noProof/>
          </w:rPr>
          <w:t>D.  To Whom Does a Defendant Owe a Duty?</w:t>
        </w:r>
        <w:r w:rsidR="001853BF">
          <w:rPr>
            <w:noProof/>
            <w:webHidden/>
          </w:rPr>
          <w:tab/>
        </w:r>
        <w:r w:rsidR="001853BF">
          <w:rPr>
            <w:noProof/>
            <w:webHidden/>
          </w:rPr>
          <w:fldChar w:fldCharType="begin"/>
        </w:r>
        <w:r w:rsidR="001853BF">
          <w:rPr>
            <w:noProof/>
            <w:webHidden/>
          </w:rPr>
          <w:instrText xml:space="preserve"> PAGEREF _Toc518323467 \h </w:instrText>
        </w:r>
        <w:r w:rsidR="001853BF">
          <w:rPr>
            <w:noProof/>
            <w:webHidden/>
          </w:rPr>
        </w:r>
        <w:r w:rsidR="001853BF">
          <w:rPr>
            <w:noProof/>
            <w:webHidden/>
          </w:rPr>
          <w:fldChar w:fldCharType="separate"/>
        </w:r>
        <w:r w:rsidR="001853BF">
          <w:rPr>
            <w:noProof/>
            <w:webHidden/>
          </w:rPr>
          <w:t>423</w:t>
        </w:r>
        <w:r w:rsidR="001853BF">
          <w:rPr>
            <w:noProof/>
            <w:webHidden/>
          </w:rPr>
          <w:fldChar w:fldCharType="end"/>
        </w:r>
      </w:hyperlink>
    </w:p>
    <w:p w14:paraId="6960B608" w14:textId="77777777" w:rsidR="001853BF" w:rsidRDefault="00E35F15">
      <w:pPr>
        <w:pStyle w:val="TOC3"/>
        <w:tabs>
          <w:tab w:val="right" w:leader="dot" w:pos="8630"/>
        </w:tabs>
        <w:rPr>
          <w:noProof/>
        </w:rPr>
      </w:pPr>
      <w:hyperlink w:anchor="_Toc518323468" w:history="1">
        <w:r w:rsidR="001853BF" w:rsidRPr="000F1856">
          <w:rPr>
            <w:rStyle w:val="Hyperlink"/>
            <w:rFonts w:cstheme="majorBidi"/>
            <w:noProof/>
          </w:rPr>
          <w:t xml:space="preserve">1.  </w:t>
        </w:r>
        <w:r w:rsidR="001853BF" w:rsidRPr="000F1856">
          <w:rPr>
            <w:rStyle w:val="Hyperlink"/>
            <w:noProof/>
          </w:rPr>
          <w:t>The Duty Debate (Part 1)</w:t>
        </w:r>
        <w:r w:rsidR="001853BF">
          <w:rPr>
            <w:noProof/>
            <w:webHidden/>
          </w:rPr>
          <w:tab/>
        </w:r>
        <w:r w:rsidR="001853BF">
          <w:rPr>
            <w:noProof/>
            <w:webHidden/>
          </w:rPr>
          <w:fldChar w:fldCharType="begin"/>
        </w:r>
        <w:r w:rsidR="001853BF">
          <w:rPr>
            <w:noProof/>
            <w:webHidden/>
          </w:rPr>
          <w:instrText xml:space="preserve"> PAGEREF _Toc518323468 \h </w:instrText>
        </w:r>
        <w:r w:rsidR="001853BF">
          <w:rPr>
            <w:noProof/>
            <w:webHidden/>
          </w:rPr>
        </w:r>
        <w:r w:rsidR="001853BF">
          <w:rPr>
            <w:noProof/>
            <w:webHidden/>
          </w:rPr>
          <w:fldChar w:fldCharType="separate"/>
        </w:r>
        <w:r w:rsidR="001853BF">
          <w:rPr>
            <w:noProof/>
            <w:webHidden/>
          </w:rPr>
          <w:t>423</w:t>
        </w:r>
        <w:r w:rsidR="001853BF">
          <w:rPr>
            <w:noProof/>
            <w:webHidden/>
          </w:rPr>
          <w:fldChar w:fldCharType="end"/>
        </w:r>
      </w:hyperlink>
    </w:p>
    <w:p w14:paraId="3E34524F" w14:textId="77777777" w:rsidR="001853BF" w:rsidRDefault="00E35F15">
      <w:pPr>
        <w:pStyle w:val="TOC4"/>
        <w:tabs>
          <w:tab w:val="right" w:leader="dot" w:pos="8630"/>
        </w:tabs>
        <w:rPr>
          <w:noProof/>
          <w:sz w:val="22"/>
          <w:szCs w:val="22"/>
        </w:rPr>
      </w:pPr>
      <w:hyperlink w:anchor="_Toc518323469" w:history="1">
        <w:r w:rsidR="001853BF" w:rsidRPr="000F1856">
          <w:rPr>
            <w:rStyle w:val="Hyperlink"/>
            <w:noProof/>
          </w:rPr>
          <w:t>William L. Prosser, Handbook of the Law of Torts</w:t>
        </w:r>
        <w:r w:rsidR="001853BF">
          <w:rPr>
            <w:noProof/>
            <w:webHidden/>
          </w:rPr>
          <w:tab/>
        </w:r>
        <w:r w:rsidR="001853BF">
          <w:rPr>
            <w:noProof/>
            <w:webHidden/>
          </w:rPr>
          <w:fldChar w:fldCharType="begin"/>
        </w:r>
        <w:r w:rsidR="001853BF">
          <w:rPr>
            <w:noProof/>
            <w:webHidden/>
          </w:rPr>
          <w:instrText xml:space="preserve"> PAGEREF _Toc518323469 \h </w:instrText>
        </w:r>
        <w:r w:rsidR="001853BF">
          <w:rPr>
            <w:noProof/>
            <w:webHidden/>
          </w:rPr>
        </w:r>
        <w:r w:rsidR="001853BF">
          <w:rPr>
            <w:noProof/>
            <w:webHidden/>
          </w:rPr>
          <w:fldChar w:fldCharType="separate"/>
        </w:r>
        <w:r w:rsidR="001853BF">
          <w:rPr>
            <w:noProof/>
            <w:webHidden/>
          </w:rPr>
          <w:t>423</w:t>
        </w:r>
        <w:r w:rsidR="001853BF">
          <w:rPr>
            <w:noProof/>
            <w:webHidden/>
          </w:rPr>
          <w:fldChar w:fldCharType="end"/>
        </w:r>
      </w:hyperlink>
    </w:p>
    <w:p w14:paraId="78466EC5" w14:textId="77777777" w:rsidR="001853BF" w:rsidRDefault="00E35F15">
      <w:pPr>
        <w:pStyle w:val="TOC4"/>
        <w:tabs>
          <w:tab w:val="right" w:leader="dot" w:pos="8630"/>
        </w:tabs>
        <w:rPr>
          <w:noProof/>
          <w:sz w:val="22"/>
          <w:szCs w:val="22"/>
        </w:rPr>
      </w:pPr>
      <w:hyperlink w:anchor="_Toc518323470" w:history="1">
        <w:r w:rsidR="001853BF" w:rsidRPr="000F1856">
          <w:rPr>
            <w:rStyle w:val="Hyperlink"/>
            <w:noProof/>
          </w:rPr>
          <w:t>John Goldberg &amp; Benjamin Zipursky, The Moral of MacPherson</w:t>
        </w:r>
        <w:r w:rsidR="001853BF">
          <w:rPr>
            <w:noProof/>
            <w:webHidden/>
          </w:rPr>
          <w:tab/>
        </w:r>
        <w:r w:rsidR="001853BF">
          <w:rPr>
            <w:noProof/>
            <w:webHidden/>
          </w:rPr>
          <w:fldChar w:fldCharType="begin"/>
        </w:r>
        <w:r w:rsidR="001853BF">
          <w:rPr>
            <w:noProof/>
            <w:webHidden/>
          </w:rPr>
          <w:instrText xml:space="preserve"> PAGEREF _Toc518323470 \h </w:instrText>
        </w:r>
        <w:r w:rsidR="001853BF">
          <w:rPr>
            <w:noProof/>
            <w:webHidden/>
          </w:rPr>
        </w:r>
        <w:r w:rsidR="001853BF">
          <w:rPr>
            <w:noProof/>
            <w:webHidden/>
          </w:rPr>
          <w:fldChar w:fldCharType="separate"/>
        </w:r>
        <w:r w:rsidR="001853BF">
          <w:rPr>
            <w:noProof/>
            <w:webHidden/>
          </w:rPr>
          <w:t>424</w:t>
        </w:r>
        <w:r w:rsidR="001853BF">
          <w:rPr>
            <w:noProof/>
            <w:webHidden/>
          </w:rPr>
          <w:fldChar w:fldCharType="end"/>
        </w:r>
      </w:hyperlink>
    </w:p>
    <w:p w14:paraId="4114861C" w14:textId="77777777" w:rsidR="001853BF" w:rsidRDefault="00E35F15">
      <w:pPr>
        <w:pStyle w:val="TOC3"/>
        <w:tabs>
          <w:tab w:val="right" w:leader="dot" w:pos="8630"/>
        </w:tabs>
        <w:rPr>
          <w:noProof/>
        </w:rPr>
      </w:pPr>
      <w:hyperlink w:anchor="_Toc518323471" w:history="1">
        <w:r w:rsidR="001853BF" w:rsidRPr="000F1856">
          <w:rPr>
            <w:rStyle w:val="Hyperlink"/>
            <w:noProof/>
          </w:rPr>
          <w:t>2.  Cases and Materials</w:t>
        </w:r>
        <w:r w:rsidR="001853BF">
          <w:rPr>
            <w:noProof/>
            <w:webHidden/>
          </w:rPr>
          <w:tab/>
        </w:r>
        <w:r w:rsidR="001853BF">
          <w:rPr>
            <w:noProof/>
            <w:webHidden/>
          </w:rPr>
          <w:fldChar w:fldCharType="begin"/>
        </w:r>
        <w:r w:rsidR="001853BF">
          <w:rPr>
            <w:noProof/>
            <w:webHidden/>
          </w:rPr>
          <w:instrText xml:space="preserve"> PAGEREF _Toc518323471 \h </w:instrText>
        </w:r>
        <w:r w:rsidR="001853BF">
          <w:rPr>
            <w:noProof/>
            <w:webHidden/>
          </w:rPr>
        </w:r>
        <w:r w:rsidR="001853BF">
          <w:rPr>
            <w:noProof/>
            <w:webHidden/>
          </w:rPr>
          <w:fldChar w:fldCharType="separate"/>
        </w:r>
        <w:r w:rsidR="001853BF">
          <w:rPr>
            <w:noProof/>
            <w:webHidden/>
          </w:rPr>
          <w:t>425</w:t>
        </w:r>
        <w:r w:rsidR="001853BF">
          <w:rPr>
            <w:noProof/>
            <w:webHidden/>
          </w:rPr>
          <w:fldChar w:fldCharType="end"/>
        </w:r>
      </w:hyperlink>
    </w:p>
    <w:p w14:paraId="4B69B477" w14:textId="77777777" w:rsidR="001853BF" w:rsidRDefault="00E35F15">
      <w:pPr>
        <w:pStyle w:val="TOC4"/>
        <w:tabs>
          <w:tab w:val="right" w:leader="dot" w:pos="8630"/>
        </w:tabs>
        <w:rPr>
          <w:noProof/>
          <w:sz w:val="22"/>
          <w:szCs w:val="22"/>
        </w:rPr>
      </w:pPr>
      <w:hyperlink w:anchor="_Toc518323472" w:history="1">
        <w:r w:rsidR="001853BF" w:rsidRPr="00FD75E5">
          <w:rPr>
            <w:rStyle w:val="Hyperlink"/>
            <w:i/>
            <w:noProof/>
          </w:rPr>
          <w:t>Strauss v. Belle Realty Co</w:t>
        </w:r>
        <w:r w:rsidR="001853BF">
          <w:rPr>
            <w:noProof/>
            <w:webHidden/>
          </w:rPr>
          <w:tab/>
        </w:r>
        <w:r w:rsidR="001853BF">
          <w:rPr>
            <w:noProof/>
            <w:webHidden/>
          </w:rPr>
          <w:fldChar w:fldCharType="begin"/>
        </w:r>
        <w:r w:rsidR="001853BF">
          <w:rPr>
            <w:noProof/>
            <w:webHidden/>
          </w:rPr>
          <w:instrText xml:space="preserve"> PAGEREF _Toc518323472 \h </w:instrText>
        </w:r>
        <w:r w:rsidR="001853BF">
          <w:rPr>
            <w:noProof/>
            <w:webHidden/>
          </w:rPr>
        </w:r>
        <w:r w:rsidR="001853BF">
          <w:rPr>
            <w:noProof/>
            <w:webHidden/>
          </w:rPr>
          <w:fldChar w:fldCharType="separate"/>
        </w:r>
        <w:r w:rsidR="001853BF">
          <w:rPr>
            <w:noProof/>
            <w:webHidden/>
          </w:rPr>
          <w:t>425</w:t>
        </w:r>
        <w:r w:rsidR="001853BF">
          <w:rPr>
            <w:noProof/>
            <w:webHidden/>
          </w:rPr>
          <w:fldChar w:fldCharType="end"/>
        </w:r>
      </w:hyperlink>
    </w:p>
    <w:p w14:paraId="313D2055" w14:textId="77777777" w:rsidR="001853BF" w:rsidRDefault="00E35F15">
      <w:pPr>
        <w:pStyle w:val="TOC5"/>
        <w:tabs>
          <w:tab w:val="right" w:leader="dot" w:pos="8630"/>
        </w:tabs>
        <w:rPr>
          <w:noProof/>
          <w:sz w:val="22"/>
          <w:szCs w:val="22"/>
        </w:rPr>
      </w:pPr>
      <w:hyperlink w:anchor="_Toc51832347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_Toc518323473 \h </w:instrText>
        </w:r>
        <w:r w:rsidR="001853BF">
          <w:rPr>
            <w:noProof/>
            <w:webHidden/>
          </w:rPr>
        </w:r>
        <w:r w:rsidR="001853BF">
          <w:rPr>
            <w:noProof/>
            <w:webHidden/>
          </w:rPr>
          <w:fldChar w:fldCharType="separate"/>
        </w:r>
        <w:r w:rsidR="001853BF">
          <w:rPr>
            <w:noProof/>
            <w:webHidden/>
          </w:rPr>
          <w:t>428</w:t>
        </w:r>
        <w:r w:rsidR="001853BF">
          <w:rPr>
            <w:noProof/>
            <w:webHidden/>
          </w:rPr>
          <w:fldChar w:fldCharType="end"/>
        </w:r>
      </w:hyperlink>
    </w:p>
    <w:p w14:paraId="110E3453" w14:textId="77777777" w:rsidR="001853BF" w:rsidRDefault="00E35F15">
      <w:pPr>
        <w:pStyle w:val="TOC4"/>
        <w:tabs>
          <w:tab w:val="right" w:leader="dot" w:pos="8630"/>
        </w:tabs>
        <w:rPr>
          <w:noProof/>
          <w:sz w:val="22"/>
          <w:szCs w:val="22"/>
        </w:rPr>
      </w:pPr>
      <w:hyperlink w:anchor="_Toc518323474" w:history="1">
        <w:r w:rsidR="001853BF" w:rsidRPr="00FD75E5">
          <w:rPr>
            <w:rStyle w:val="Hyperlink"/>
            <w:i/>
            <w:noProof/>
          </w:rPr>
          <w:t>Kline v. 1500 Massachusetts Ave. Apartment Corp</w:t>
        </w:r>
        <w:r w:rsidR="001853BF" w:rsidRPr="000F1856">
          <w:rPr>
            <w:rStyle w:val="Hyperlink"/>
            <w:noProof/>
          </w:rPr>
          <w:t>.</w:t>
        </w:r>
        <w:r w:rsidR="001853BF">
          <w:rPr>
            <w:noProof/>
            <w:webHidden/>
          </w:rPr>
          <w:tab/>
        </w:r>
        <w:r w:rsidR="001853BF">
          <w:rPr>
            <w:noProof/>
            <w:webHidden/>
          </w:rPr>
          <w:fldChar w:fldCharType="begin"/>
        </w:r>
        <w:r w:rsidR="001853BF">
          <w:rPr>
            <w:noProof/>
            <w:webHidden/>
          </w:rPr>
          <w:instrText xml:space="preserve"> PAGEREF _Toc518323474 \h </w:instrText>
        </w:r>
        <w:r w:rsidR="001853BF">
          <w:rPr>
            <w:noProof/>
            <w:webHidden/>
          </w:rPr>
        </w:r>
        <w:r w:rsidR="001853BF">
          <w:rPr>
            <w:noProof/>
            <w:webHidden/>
          </w:rPr>
          <w:fldChar w:fldCharType="separate"/>
        </w:r>
        <w:r w:rsidR="001853BF">
          <w:rPr>
            <w:noProof/>
            <w:webHidden/>
          </w:rPr>
          <w:t>430</w:t>
        </w:r>
        <w:r w:rsidR="001853BF">
          <w:rPr>
            <w:noProof/>
            <w:webHidden/>
          </w:rPr>
          <w:fldChar w:fldCharType="end"/>
        </w:r>
      </w:hyperlink>
    </w:p>
    <w:p w14:paraId="68FA06A7" w14:textId="77777777" w:rsidR="001853BF" w:rsidRDefault="00E35F15">
      <w:pPr>
        <w:pStyle w:val="TOC5"/>
        <w:tabs>
          <w:tab w:val="right" w:leader="dot" w:pos="8630"/>
        </w:tabs>
        <w:rPr>
          <w:noProof/>
          <w:sz w:val="22"/>
          <w:szCs w:val="22"/>
        </w:rPr>
      </w:pPr>
      <w:hyperlink w:anchor="_Toc51832347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_Toc518323475 \h </w:instrText>
        </w:r>
        <w:r w:rsidR="001853BF">
          <w:rPr>
            <w:noProof/>
            <w:webHidden/>
          </w:rPr>
        </w:r>
        <w:r w:rsidR="001853BF">
          <w:rPr>
            <w:noProof/>
            <w:webHidden/>
          </w:rPr>
          <w:fldChar w:fldCharType="separate"/>
        </w:r>
        <w:r w:rsidR="001853BF">
          <w:rPr>
            <w:noProof/>
            <w:webHidden/>
          </w:rPr>
          <w:t>434</w:t>
        </w:r>
        <w:r w:rsidR="001853BF">
          <w:rPr>
            <w:noProof/>
            <w:webHidden/>
          </w:rPr>
          <w:fldChar w:fldCharType="end"/>
        </w:r>
      </w:hyperlink>
    </w:p>
    <w:p w14:paraId="5ADE1ED7" w14:textId="77777777" w:rsidR="001853BF" w:rsidRDefault="00E35F15">
      <w:pPr>
        <w:pStyle w:val="TOC4"/>
        <w:tabs>
          <w:tab w:val="right" w:leader="dot" w:pos="8630"/>
        </w:tabs>
        <w:rPr>
          <w:noProof/>
          <w:sz w:val="22"/>
          <w:szCs w:val="22"/>
        </w:rPr>
      </w:pPr>
      <w:hyperlink w:anchor="_Toc518323476" w:history="1">
        <w:r w:rsidR="001853BF" w:rsidRPr="00FD75E5">
          <w:rPr>
            <w:rStyle w:val="Hyperlink"/>
            <w:i/>
            <w:noProof/>
          </w:rPr>
          <w:t>Ennabe v. Manosa</w:t>
        </w:r>
        <w:r w:rsidR="001853BF">
          <w:rPr>
            <w:noProof/>
            <w:webHidden/>
          </w:rPr>
          <w:tab/>
        </w:r>
        <w:r w:rsidR="001853BF">
          <w:rPr>
            <w:noProof/>
            <w:webHidden/>
          </w:rPr>
          <w:fldChar w:fldCharType="begin"/>
        </w:r>
        <w:r w:rsidR="001853BF">
          <w:rPr>
            <w:noProof/>
            <w:webHidden/>
          </w:rPr>
          <w:instrText xml:space="preserve"> PAGEREF _Toc518323476 \h </w:instrText>
        </w:r>
        <w:r w:rsidR="001853BF">
          <w:rPr>
            <w:noProof/>
            <w:webHidden/>
          </w:rPr>
        </w:r>
        <w:r w:rsidR="001853BF">
          <w:rPr>
            <w:noProof/>
            <w:webHidden/>
          </w:rPr>
          <w:fldChar w:fldCharType="separate"/>
        </w:r>
        <w:r w:rsidR="001853BF">
          <w:rPr>
            <w:noProof/>
            <w:webHidden/>
          </w:rPr>
          <w:t>435</w:t>
        </w:r>
        <w:r w:rsidR="001853BF">
          <w:rPr>
            <w:noProof/>
            <w:webHidden/>
          </w:rPr>
          <w:fldChar w:fldCharType="end"/>
        </w:r>
      </w:hyperlink>
    </w:p>
    <w:p w14:paraId="165206B5" w14:textId="77777777" w:rsidR="001853BF" w:rsidRDefault="00E35F15">
      <w:pPr>
        <w:pStyle w:val="TOC5"/>
        <w:tabs>
          <w:tab w:val="right" w:leader="dot" w:pos="8630"/>
        </w:tabs>
        <w:rPr>
          <w:noProof/>
          <w:sz w:val="22"/>
          <w:szCs w:val="22"/>
        </w:rPr>
      </w:pPr>
      <w:hyperlink w:anchor="_Toc518323477"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_Toc518323477 \h </w:instrText>
        </w:r>
        <w:r w:rsidR="001853BF">
          <w:rPr>
            <w:noProof/>
            <w:webHidden/>
          </w:rPr>
        </w:r>
        <w:r w:rsidR="001853BF">
          <w:rPr>
            <w:noProof/>
            <w:webHidden/>
          </w:rPr>
          <w:fldChar w:fldCharType="separate"/>
        </w:r>
        <w:r w:rsidR="001853BF">
          <w:rPr>
            <w:noProof/>
            <w:webHidden/>
          </w:rPr>
          <w:t>439</w:t>
        </w:r>
        <w:r w:rsidR="001853BF">
          <w:rPr>
            <w:noProof/>
            <w:webHidden/>
          </w:rPr>
          <w:fldChar w:fldCharType="end"/>
        </w:r>
      </w:hyperlink>
    </w:p>
    <w:p w14:paraId="63D8171B" w14:textId="77777777" w:rsidR="001853BF" w:rsidRDefault="00E35F15">
      <w:pPr>
        <w:pStyle w:val="TOC4"/>
        <w:tabs>
          <w:tab w:val="right" w:leader="dot" w:pos="8630"/>
        </w:tabs>
        <w:rPr>
          <w:noProof/>
          <w:sz w:val="22"/>
          <w:szCs w:val="22"/>
        </w:rPr>
      </w:pPr>
      <w:hyperlink w:anchor="_Toc518323478" w:history="1">
        <w:r w:rsidR="001853BF" w:rsidRPr="00FD75E5">
          <w:rPr>
            <w:rStyle w:val="Hyperlink"/>
            <w:i/>
            <w:noProof/>
          </w:rPr>
          <w:t>Tarasoff v. Regents of the University of California</w:t>
        </w:r>
        <w:r w:rsidR="001853BF">
          <w:rPr>
            <w:noProof/>
            <w:webHidden/>
          </w:rPr>
          <w:tab/>
        </w:r>
        <w:r w:rsidR="001853BF">
          <w:rPr>
            <w:noProof/>
            <w:webHidden/>
          </w:rPr>
          <w:fldChar w:fldCharType="begin"/>
        </w:r>
        <w:r w:rsidR="001853BF">
          <w:rPr>
            <w:noProof/>
            <w:webHidden/>
          </w:rPr>
          <w:instrText xml:space="preserve"> PAGEREF _Toc518323478 \h </w:instrText>
        </w:r>
        <w:r w:rsidR="001853BF">
          <w:rPr>
            <w:noProof/>
            <w:webHidden/>
          </w:rPr>
        </w:r>
        <w:r w:rsidR="001853BF">
          <w:rPr>
            <w:noProof/>
            <w:webHidden/>
          </w:rPr>
          <w:fldChar w:fldCharType="separate"/>
        </w:r>
        <w:r w:rsidR="001853BF">
          <w:rPr>
            <w:noProof/>
            <w:webHidden/>
          </w:rPr>
          <w:t>440</w:t>
        </w:r>
        <w:r w:rsidR="001853BF">
          <w:rPr>
            <w:noProof/>
            <w:webHidden/>
          </w:rPr>
          <w:fldChar w:fldCharType="end"/>
        </w:r>
      </w:hyperlink>
    </w:p>
    <w:p w14:paraId="73FB6057" w14:textId="77777777" w:rsidR="001853BF" w:rsidRDefault="00E35F15">
      <w:pPr>
        <w:pStyle w:val="TOC5"/>
        <w:tabs>
          <w:tab w:val="right" w:leader="dot" w:pos="8630"/>
        </w:tabs>
        <w:rPr>
          <w:noProof/>
          <w:sz w:val="22"/>
          <w:szCs w:val="22"/>
        </w:rPr>
      </w:pPr>
      <w:hyperlink w:anchor="_Toc51832347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_Toc518323479 \h </w:instrText>
        </w:r>
        <w:r w:rsidR="001853BF">
          <w:rPr>
            <w:noProof/>
            <w:webHidden/>
          </w:rPr>
        </w:r>
        <w:r w:rsidR="001853BF">
          <w:rPr>
            <w:noProof/>
            <w:webHidden/>
          </w:rPr>
          <w:fldChar w:fldCharType="separate"/>
        </w:r>
        <w:r w:rsidR="001853BF">
          <w:rPr>
            <w:noProof/>
            <w:webHidden/>
          </w:rPr>
          <w:t>442</w:t>
        </w:r>
        <w:r w:rsidR="001853BF">
          <w:rPr>
            <w:noProof/>
            <w:webHidden/>
          </w:rPr>
          <w:fldChar w:fldCharType="end"/>
        </w:r>
      </w:hyperlink>
    </w:p>
    <w:p w14:paraId="0DABDB46" w14:textId="77777777" w:rsidR="001853BF" w:rsidRDefault="00E35F15">
      <w:pPr>
        <w:pStyle w:val="TOC4"/>
        <w:tabs>
          <w:tab w:val="right" w:leader="dot" w:pos="8630"/>
        </w:tabs>
        <w:rPr>
          <w:noProof/>
          <w:sz w:val="22"/>
          <w:szCs w:val="22"/>
        </w:rPr>
      </w:pPr>
      <w:hyperlink w:anchor="_Toc518323480" w:history="1">
        <w:r w:rsidR="001853BF" w:rsidRPr="00FD75E5">
          <w:rPr>
            <w:rStyle w:val="Hyperlink"/>
            <w:i/>
            <w:noProof/>
          </w:rPr>
          <w:t>In re September 11 Litigation</w:t>
        </w:r>
        <w:r w:rsidR="001853BF">
          <w:rPr>
            <w:noProof/>
            <w:webHidden/>
          </w:rPr>
          <w:tab/>
        </w:r>
        <w:r w:rsidR="001853BF">
          <w:rPr>
            <w:noProof/>
            <w:webHidden/>
          </w:rPr>
          <w:fldChar w:fldCharType="begin"/>
        </w:r>
        <w:r w:rsidR="001853BF">
          <w:rPr>
            <w:noProof/>
            <w:webHidden/>
          </w:rPr>
          <w:instrText xml:space="preserve"> PAGEREF _Toc518323480 \h </w:instrText>
        </w:r>
        <w:r w:rsidR="001853BF">
          <w:rPr>
            <w:noProof/>
            <w:webHidden/>
          </w:rPr>
        </w:r>
        <w:r w:rsidR="001853BF">
          <w:rPr>
            <w:noProof/>
            <w:webHidden/>
          </w:rPr>
          <w:fldChar w:fldCharType="separate"/>
        </w:r>
        <w:r w:rsidR="001853BF">
          <w:rPr>
            <w:noProof/>
            <w:webHidden/>
          </w:rPr>
          <w:t>443</w:t>
        </w:r>
        <w:r w:rsidR="001853BF">
          <w:rPr>
            <w:noProof/>
            <w:webHidden/>
          </w:rPr>
          <w:fldChar w:fldCharType="end"/>
        </w:r>
      </w:hyperlink>
    </w:p>
    <w:p w14:paraId="1507D50A" w14:textId="77777777" w:rsidR="001853BF" w:rsidRDefault="00E35F15">
      <w:pPr>
        <w:pStyle w:val="TOC5"/>
        <w:tabs>
          <w:tab w:val="right" w:leader="dot" w:pos="8630"/>
        </w:tabs>
        <w:rPr>
          <w:noProof/>
          <w:sz w:val="22"/>
          <w:szCs w:val="22"/>
        </w:rPr>
      </w:pPr>
      <w:hyperlink w:anchor="_Toc51832348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_Toc518323481 \h </w:instrText>
        </w:r>
        <w:r w:rsidR="001853BF">
          <w:rPr>
            <w:noProof/>
            <w:webHidden/>
          </w:rPr>
        </w:r>
        <w:r w:rsidR="001853BF">
          <w:rPr>
            <w:noProof/>
            <w:webHidden/>
          </w:rPr>
          <w:fldChar w:fldCharType="separate"/>
        </w:r>
        <w:r w:rsidR="001853BF">
          <w:rPr>
            <w:noProof/>
            <w:webHidden/>
          </w:rPr>
          <w:t>447</w:t>
        </w:r>
        <w:r w:rsidR="001853BF">
          <w:rPr>
            <w:noProof/>
            <w:webHidden/>
          </w:rPr>
          <w:fldChar w:fldCharType="end"/>
        </w:r>
      </w:hyperlink>
    </w:p>
    <w:p w14:paraId="6884947B" w14:textId="77777777" w:rsidR="001853BF" w:rsidRDefault="00E35F15">
      <w:pPr>
        <w:pStyle w:val="TOC3"/>
        <w:tabs>
          <w:tab w:val="right" w:leader="dot" w:pos="8630"/>
        </w:tabs>
        <w:rPr>
          <w:noProof/>
        </w:rPr>
      </w:pPr>
      <w:hyperlink w:anchor="_Toc518323482" w:history="1">
        <w:r w:rsidR="001853BF" w:rsidRPr="000F1856">
          <w:rPr>
            <w:rStyle w:val="Hyperlink"/>
            <w:noProof/>
          </w:rPr>
          <w:t>3.  The Duty Debate (Part 2)</w:t>
        </w:r>
        <w:r w:rsidR="001853BF">
          <w:rPr>
            <w:noProof/>
            <w:webHidden/>
          </w:rPr>
          <w:tab/>
        </w:r>
        <w:r w:rsidR="001853BF">
          <w:rPr>
            <w:noProof/>
            <w:webHidden/>
          </w:rPr>
          <w:fldChar w:fldCharType="begin"/>
        </w:r>
        <w:r w:rsidR="001853BF">
          <w:rPr>
            <w:noProof/>
            <w:webHidden/>
          </w:rPr>
          <w:instrText xml:space="preserve"> PAGEREF _Toc518323482 \h </w:instrText>
        </w:r>
        <w:r w:rsidR="001853BF">
          <w:rPr>
            <w:noProof/>
            <w:webHidden/>
          </w:rPr>
        </w:r>
        <w:r w:rsidR="001853BF">
          <w:rPr>
            <w:noProof/>
            <w:webHidden/>
          </w:rPr>
          <w:fldChar w:fldCharType="separate"/>
        </w:r>
        <w:r w:rsidR="001853BF">
          <w:rPr>
            <w:noProof/>
            <w:webHidden/>
          </w:rPr>
          <w:t>448</w:t>
        </w:r>
        <w:r w:rsidR="001853BF">
          <w:rPr>
            <w:noProof/>
            <w:webHidden/>
          </w:rPr>
          <w:fldChar w:fldCharType="end"/>
        </w:r>
      </w:hyperlink>
    </w:p>
    <w:p w14:paraId="41412733" w14:textId="77777777" w:rsidR="001853BF" w:rsidRDefault="00E35F15">
      <w:pPr>
        <w:pStyle w:val="TOC2"/>
        <w:tabs>
          <w:tab w:val="right" w:leader="dot" w:pos="8630"/>
        </w:tabs>
        <w:rPr>
          <w:b w:val="0"/>
          <w:noProof/>
        </w:rPr>
      </w:pPr>
      <w:hyperlink w:anchor="_Toc518323483" w:history="1">
        <w:r w:rsidR="001853BF" w:rsidRPr="000F1856">
          <w:rPr>
            <w:rStyle w:val="Hyperlink"/>
            <w:rFonts w:cs="Times New Roman"/>
            <w:noProof/>
          </w:rPr>
          <w:t>E.  Pure Economic Loss</w:t>
        </w:r>
        <w:r w:rsidR="001853BF">
          <w:rPr>
            <w:noProof/>
            <w:webHidden/>
          </w:rPr>
          <w:tab/>
        </w:r>
        <w:r w:rsidR="001853BF">
          <w:rPr>
            <w:noProof/>
            <w:webHidden/>
          </w:rPr>
          <w:fldChar w:fldCharType="begin"/>
        </w:r>
        <w:r w:rsidR="001853BF">
          <w:rPr>
            <w:noProof/>
            <w:webHidden/>
          </w:rPr>
          <w:instrText xml:space="preserve"> PAGEREF _Toc518323483 \h </w:instrText>
        </w:r>
        <w:r w:rsidR="001853BF">
          <w:rPr>
            <w:noProof/>
            <w:webHidden/>
          </w:rPr>
        </w:r>
        <w:r w:rsidR="001853BF">
          <w:rPr>
            <w:noProof/>
            <w:webHidden/>
          </w:rPr>
          <w:fldChar w:fldCharType="separate"/>
        </w:r>
        <w:r w:rsidR="001853BF">
          <w:rPr>
            <w:noProof/>
            <w:webHidden/>
          </w:rPr>
          <w:t>449</w:t>
        </w:r>
        <w:r w:rsidR="001853BF">
          <w:rPr>
            <w:noProof/>
            <w:webHidden/>
          </w:rPr>
          <w:fldChar w:fldCharType="end"/>
        </w:r>
      </w:hyperlink>
    </w:p>
    <w:p w14:paraId="7B89944F" w14:textId="77777777" w:rsidR="001853BF" w:rsidRDefault="00E35F15">
      <w:pPr>
        <w:pStyle w:val="TOC3"/>
        <w:tabs>
          <w:tab w:val="right" w:leader="dot" w:pos="8630"/>
        </w:tabs>
        <w:rPr>
          <w:noProof/>
        </w:rPr>
      </w:pPr>
      <w:hyperlink w:anchor="_Toc518323484" w:history="1">
        <w:r w:rsidR="001853BF" w:rsidRPr="00FD75E5">
          <w:rPr>
            <w:rStyle w:val="Hyperlink"/>
            <w:i/>
            <w:noProof/>
          </w:rPr>
          <w:t>People Express Airlines, Inc. v. Consolidated Rail Corporation</w:t>
        </w:r>
        <w:r w:rsidR="001853BF">
          <w:rPr>
            <w:noProof/>
            <w:webHidden/>
          </w:rPr>
          <w:tab/>
        </w:r>
        <w:r w:rsidR="001853BF">
          <w:rPr>
            <w:noProof/>
            <w:webHidden/>
          </w:rPr>
          <w:fldChar w:fldCharType="begin"/>
        </w:r>
        <w:r w:rsidR="001853BF">
          <w:rPr>
            <w:noProof/>
            <w:webHidden/>
          </w:rPr>
          <w:instrText xml:space="preserve"> PAGEREF _Toc518323484 \h </w:instrText>
        </w:r>
        <w:r w:rsidR="001853BF">
          <w:rPr>
            <w:noProof/>
            <w:webHidden/>
          </w:rPr>
        </w:r>
        <w:r w:rsidR="001853BF">
          <w:rPr>
            <w:noProof/>
            <w:webHidden/>
          </w:rPr>
          <w:fldChar w:fldCharType="separate"/>
        </w:r>
        <w:r w:rsidR="001853BF">
          <w:rPr>
            <w:noProof/>
            <w:webHidden/>
          </w:rPr>
          <w:t>449</w:t>
        </w:r>
        <w:r w:rsidR="001853BF">
          <w:rPr>
            <w:noProof/>
            <w:webHidden/>
          </w:rPr>
          <w:fldChar w:fldCharType="end"/>
        </w:r>
      </w:hyperlink>
    </w:p>
    <w:p w14:paraId="680B9129" w14:textId="77777777" w:rsidR="001853BF" w:rsidRDefault="00E35F15">
      <w:pPr>
        <w:pStyle w:val="TOC4"/>
        <w:tabs>
          <w:tab w:val="right" w:leader="dot" w:pos="8630"/>
        </w:tabs>
        <w:rPr>
          <w:noProof/>
          <w:sz w:val="22"/>
          <w:szCs w:val="22"/>
        </w:rPr>
      </w:pPr>
      <w:hyperlink w:anchor="_Toc518323485"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_Toc518323485 \h </w:instrText>
        </w:r>
        <w:r w:rsidR="001853BF">
          <w:rPr>
            <w:noProof/>
            <w:webHidden/>
          </w:rPr>
        </w:r>
        <w:r w:rsidR="001853BF">
          <w:rPr>
            <w:noProof/>
            <w:webHidden/>
          </w:rPr>
          <w:fldChar w:fldCharType="separate"/>
        </w:r>
        <w:r w:rsidR="001853BF">
          <w:rPr>
            <w:noProof/>
            <w:webHidden/>
          </w:rPr>
          <w:t>454</w:t>
        </w:r>
        <w:r w:rsidR="001853BF">
          <w:rPr>
            <w:noProof/>
            <w:webHidden/>
          </w:rPr>
          <w:fldChar w:fldCharType="end"/>
        </w:r>
      </w:hyperlink>
    </w:p>
    <w:p w14:paraId="1ECCB27B" w14:textId="77777777" w:rsidR="001853BF" w:rsidRDefault="00E35F15">
      <w:pPr>
        <w:pStyle w:val="TOC3"/>
        <w:tabs>
          <w:tab w:val="right" w:leader="dot" w:pos="8630"/>
        </w:tabs>
        <w:rPr>
          <w:noProof/>
        </w:rPr>
      </w:pPr>
      <w:hyperlink w:anchor="_Toc518323486" w:history="1">
        <w:r w:rsidR="001853BF" w:rsidRPr="000F1856">
          <w:rPr>
            <w:rStyle w:val="Hyperlink"/>
            <w:i/>
            <w:noProof/>
          </w:rPr>
          <w:t>532 Madison Avenue Gourmet Foods, Inc. v. Finlandia Center, Inc.</w:t>
        </w:r>
        <w:r w:rsidR="001853BF">
          <w:rPr>
            <w:noProof/>
            <w:webHidden/>
          </w:rPr>
          <w:tab/>
        </w:r>
        <w:r w:rsidR="001853BF">
          <w:rPr>
            <w:noProof/>
            <w:webHidden/>
          </w:rPr>
          <w:fldChar w:fldCharType="begin"/>
        </w:r>
        <w:r w:rsidR="001853BF">
          <w:rPr>
            <w:noProof/>
            <w:webHidden/>
          </w:rPr>
          <w:instrText xml:space="preserve"> PAGEREF _Toc518323486 \h </w:instrText>
        </w:r>
        <w:r w:rsidR="001853BF">
          <w:rPr>
            <w:noProof/>
            <w:webHidden/>
          </w:rPr>
        </w:r>
        <w:r w:rsidR="001853BF">
          <w:rPr>
            <w:noProof/>
            <w:webHidden/>
          </w:rPr>
          <w:fldChar w:fldCharType="separate"/>
        </w:r>
        <w:r w:rsidR="001853BF">
          <w:rPr>
            <w:noProof/>
            <w:webHidden/>
          </w:rPr>
          <w:t>454</w:t>
        </w:r>
        <w:r w:rsidR="001853BF">
          <w:rPr>
            <w:noProof/>
            <w:webHidden/>
          </w:rPr>
          <w:fldChar w:fldCharType="end"/>
        </w:r>
      </w:hyperlink>
    </w:p>
    <w:p w14:paraId="2DE7D155" w14:textId="77777777" w:rsidR="001853BF" w:rsidRDefault="00E35F15">
      <w:pPr>
        <w:pStyle w:val="TOC4"/>
        <w:tabs>
          <w:tab w:val="right" w:leader="dot" w:pos="8630"/>
        </w:tabs>
        <w:rPr>
          <w:noProof/>
          <w:sz w:val="22"/>
          <w:szCs w:val="22"/>
        </w:rPr>
      </w:pPr>
      <w:hyperlink w:anchor="_Toc518323487"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_Toc518323487 \h </w:instrText>
        </w:r>
        <w:r w:rsidR="001853BF">
          <w:rPr>
            <w:noProof/>
            <w:webHidden/>
          </w:rPr>
        </w:r>
        <w:r w:rsidR="001853BF">
          <w:rPr>
            <w:noProof/>
            <w:webHidden/>
          </w:rPr>
          <w:fldChar w:fldCharType="separate"/>
        </w:r>
        <w:r w:rsidR="001853BF">
          <w:rPr>
            <w:noProof/>
            <w:webHidden/>
          </w:rPr>
          <w:t>458</w:t>
        </w:r>
        <w:r w:rsidR="001853BF">
          <w:rPr>
            <w:noProof/>
            <w:webHidden/>
          </w:rPr>
          <w:fldChar w:fldCharType="end"/>
        </w:r>
      </w:hyperlink>
    </w:p>
    <w:p w14:paraId="315669A5" w14:textId="77777777" w:rsidR="001853BF" w:rsidRDefault="00E35F15">
      <w:pPr>
        <w:pStyle w:val="TOC2"/>
        <w:tabs>
          <w:tab w:val="right" w:leader="dot" w:pos="8630"/>
        </w:tabs>
        <w:rPr>
          <w:b w:val="0"/>
          <w:noProof/>
        </w:rPr>
      </w:pPr>
      <w:hyperlink w:anchor="_Toc518323488" w:history="1">
        <w:r w:rsidR="001853BF" w:rsidRPr="000F1856">
          <w:rPr>
            <w:rStyle w:val="Hyperlink"/>
            <w:rFonts w:cs="Times New Roman"/>
            <w:noProof/>
          </w:rPr>
          <w:t>F.  Relational Interests</w:t>
        </w:r>
        <w:r w:rsidR="001853BF">
          <w:rPr>
            <w:noProof/>
            <w:webHidden/>
          </w:rPr>
          <w:tab/>
        </w:r>
        <w:r w:rsidR="001853BF">
          <w:rPr>
            <w:noProof/>
            <w:webHidden/>
          </w:rPr>
          <w:fldChar w:fldCharType="begin"/>
        </w:r>
        <w:r w:rsidR="001853BF">
          <w:rPr>
            <w:noProof/>
            <w:webHidden/>
          </w:rPr>
          <w:instrText xml:space="preserve"> PAGEREF _Toc518323488 \h </w:instrText>
        </w:r>
        <w:r w:rsidR="001853BF">
          <w:rPr>
            <w:noProof/>
            <w:webHidden/>
          </w:rPr>
        </w:r>
        <w:r w:rsidR="001853BF">
          <w:rPr>
            <w:noProof/>
            <w:webHidden/>
          </w:rPr>
          <w:fldChar w:fldCharType="separate"/>
        </w:r>
        <w:r w:rsidR="001853BF">
          <w:rPr>
            <w:noProof/>
            <w:webHidden/>
          </w:rPr>
          <w:t>458</w:t>
        </w:r>
        <w:r w:rsidR="001853BF">
          <w:rPr>
            <w:noProof/>
            <w:webHidden/>
          </w:rPr>
          <w:fldChar w:fldCharType="end"/>
        </w:r>
      </w:hyperlink>
    </w:p>
    <w:p w14:paraId="5B1FA885" w14:textId="77777777" w:rsidR="001853BF" w:rsidRDefault="00E35F15">
      <w:pPr>
        <w:pStyle w:val="TOC3"/>
        <w:tabs>
          <w:tab w:val="right" w:leader="dot" w:pos="8630"/>
        </w:tabs>
        <w:rPr>
          <w:noProof/>
        </w:rPr>
      </w:pPr>
      <w:hyperlink w:anchor="_Toc518323489" w:history="1">
        <w:r w:rsidR="001853BF" w:rsidRPr="000F1856">
          <w:rPr>
            <w:rStyle w:val="Hyperlink"/>
            <w:noProof/>
          </w:rPr>
          <w:t>1.  Spouses</w:t>
        </w:r>
        <w:r w:rsidR="001853BF">
          <w:rPr>
            <w:noProof/>
            <w:webHidden/>
          </w:rPr>
          <w:tab/>
        </w:r>
        <w:r w:rsidR="001853BF">
          <w:rPr>
            <w:noProof/>
            <w:webHidden/>
          </w:rPr>
          <w:fldChar w:fldCharType="begin"/>
        </w:r>
        <w:r w:rsidR="001853BF">
          <w:rPr>
            <w:noProof/>
            <w:webHidden/>
          </w:rPr>
          <w:instrText xml:space="preserve"> PAGEREF _Toc518323489 \h </w:instrText>
        </w:r>
        <w:r w:rsidR="001853BF">
          <w:rPr>
            <w:noProof/>
            <w:webHidden/>
          </w:rPr>
        </w:r>
        <w:r w:rsidR="001853BF">
          <w:rPr>
            <w:noProof/>
            <w:webHidden/>
          </w:rPr>
          <w:fldChar w:fldCharType="separate"/>
        </w:r>
        <w:r w:rsidR="001853BF">
          <w:rPr>
            <w:noProof/>
            <w:webHidden/>
          </w:rPr>
          <w:t>459</w:t>
        </w:r>
        <w:r w:rsidR="001853BF">
          <w:rPr>
            <w:noProof/>
            <w:webHidden/>
          </w:rPr>
          <w:fldChar w:fldCharType="end"/>
        </w:r>
      </w:hyperlink>
    </w:p>
    <w:p w14:paraId="6890DE64" w14:textId="77777777" w:rsidR="001853BF" w:rsidRDefault="00E35F15">
      <w:pPr>
        <w:pStyle w:val="TOC3"/>
        <w:tabs>
          <w:tab w:val="right" w:leader="dot" w:pos="8630"/>
        </w:tabs>
        <w:rPr>
          <w:noProof/>
        </w:rPr>
      </w:pPr>
      <w:hyperlink w:anchor="_Toc518323490" w:history="1">
        <w:r w:rsidR="001853BF" w:rsidRPr="000F1856">
          <w:rPr>
            <w:rStyle w:val="Hyperlink"/>
            <w:noProof/>
          </w:rPr>
          <w:t>2.  Children</w:t>
        </w:r>
        <w:r w:rsidR="001853BF">
          <w:rPr>
            <w:noProof/>
            <w:webHidden/>
          </w:rPr>
          <w:tab/>
        </w:r>
        <w:r w:rsidR="001853BF">
          <w:rPr>
            <w:noProof/>
            <w:webHidden/>
          </w:rPr>
          <w:fldChar w:fldCharType="begin"/>
        </w:r>
        <w:r w:rsidR="001853BF">
          <w:rPr>
            <w:noProof/>
            <w:webHidden/>
          </w:rPr>
          <w:instrText xml:space="preserve"> PAGEREF _Toc518323490 \h </w:instrText>
        </w:r>
        <w:r w:rsidR="001853BF">
          <w:rPr>
            <w:noProof/>
            <w:webHidden/>
          </w:rPr>
        </w:r>
        <w:r w:rsidR="001853BF">
          <w:rPr>
            <w:noProof/>
            <w:webHidden/>
          </w:rPr>
          <w:fldChar w:fldCharType="separate"/>
        </w:r>
        <w:r w:rsidR="001853BF">
          <w:rPr>
            <w:noProof/>
            <w:webHidden/>
          </w:rPr>
          <w:t>461</w:t>
        </w:r>
        <w:r w:rsidR="001853BF">
          <w:rPr>
            <w:noProof/>
            <w:webHidden/>
          </w:rPr>
          <w:fldChar w:fldCharType="end"/>
        </w:r>
      </w:hyperlink>
    </w:p>
    <w:p w14:paraId="18B087A2" w14:textId="77777777" w:rsidR="001853BF" w:rsidRDefault="00E35F15">
      <w:pPr>
        <w:pStyle w:val="TOC3"/>
        <w:tabs>
          <w:tab w:val="right" w:leader="dot" w:pos="8630"/>
        </w:tabs>
        <w:rPr>
          <w:noProof/>
        </w:rPr>
      </w:pPr>
      <w:hyperlink w:anchor="_Toc518323491" w:history="1">
        <w:r w:rsidR="001853BF" w:rsidRPr="000F1856">
          <w:rPr>
            <w:rStyle w:val="Hyperlink"/>
            <w:noProof/>
          </w:rPr>
          <w:t>3.  Unmarried partners</w:t>
        </w:r>
        <w:r w:rsidR="001853BF">
          <w:rPr>
            <w:noProof/>
            <w:webHidden/>
          </w:rPr>
          <w:tab/>
        </w:r>
        <w:r w:rsidR="001853BF">
          <w:rPr>
            <w:noProof/>
            <w:webHidden/>
          </w:rPr>
          <w:fldChar w:fldCharType="begin"/>
        </w:r>
        <w:r w:rsidR="001853BF">
          <w:rPr>
            <w:noProof/>
            <w:webHidden/>
          </w:rPr>
          <w:instrText xml:space="preserve"> PAGEREF _Toc518323491 \h </w:instrText>
        </w:r>
        <w:r w:rsidR="001853BF">
          <w:rPr>
            <w:noProof/>
            <w:webHidden/>
          </w:rPr>
        </w:r>
        <w:r w:rsidR="001853BF">
          <w:rPr>
            <w:noProof/>
            <w:webHidden/>
          </w:rPr>
          <w:fldChar w:fldCharType="separate"/>
        </w:r>
        <w:r w:rsidR="001853BF">
          <w:rPr>
            <w:noProof/>
            <w:webHidden/>
          </w:rPr>
          <w:t>462</w:t>
        </w:r>
        <w:r w:rsidR="001853BF">
          <w:rPr>
            <w:noProof/>
            <w:webHidden/>
          </w:rPr>
          <w:fldChar w:fldCharType="end"/>
        </w:r>
      </w:hyperlink>
    </w:p>
    <w:p w14:paraId="47501B82" w14:textId="77777777" w:rsidR="001853BF" w:rsidRDefault="00E35F15">
      <w:pPr>
        <w:pStyle w:val="TOC2"/>
        <w:tabs>
          <w:tab w:val="right" w:leader="dot" w:pos="8630"/>
        </w:tabs>
        <w:rPr>
          <w:b w:val="0"/>
          <w:noProof/>
        </w:rPr>
      </w:pPr>
      <w:hyperlink w:anchor="_Toc518323492" w:history="1">
        <w:r w:rsidR="001853BF" w:rsidRPr="000F1856">
          <w:rPr>
            <w:rStyle w:val="Hyperlink"/>
            <w:rFonts w:cs="Times New Roman"/>
            <w:noProof/>
          </w:rPr>
          <w:t>G.  Tort Immunities</w:t>
        </w:r>
        <w:r w:rsidR="001853BF">
          <w:rPr>
            <w:noProof/>
            <w:webHidden/>
          </w:rPr>
          <w:tab/>
        </w:r>
        <w:r w:rsidR="001853BF">
          <w:rPr>
            <w:noProof/>
            <w:webHidden/>
          </w:rPr>
          <w:fldChar w:fldCharType="begin"/>
        </w:r>
        <w:r w:rsidR="001853BF">
          <w:rPr>
            <w:noProof/>
            <w:webHidden/>
          </w:rPr>
          <w:instrText xml:space="preserve"> PAGEREF _Toc518323492 \h </w:instrText>
        </w:r>
        <w:r w:rsidR="001853BF">
          <w:rPr>
            <w:noProof/>
            <w:webHidden/>
          </w:rPr>
        </w:r>
        <w:r w:rsidR="001853BF">
          <w:rPr>
            <w:noProof/>
            <w:webHidden/>
          </w:rPr>
          <w:fldChar w:fldCharType="separate"/>
        </w:r>
        <w:r w:rsidR="001853BF">
          <w:rPr>
            <w:noProof/>
            <w:webHidden/>
          </w:rPr>
          <w:t>464</w:t>
        </w:r>
        <w:r w:rsidR="001853BF">
          <w:rPr>
            <w:noProof/>
            <w:webHidden/>
          </w:rPr>
          <w:fldChar w:fldCharType="end"/>
        </w:r>
      </w:hyperlink>
    </w:p>
    <w:p w14:paraId="673C12E8" w14:textId="77777777" w:rsidR="001853BF" w:rsidRDefault="00E35F15">
      <w:pPr>
        <w:pStyle w:val="TOC3"/>
        <w:tabs>
          <w:tab w:val="right" w:leader="dot" w:pos="8630"/>
        </w:tabs>
        <w:rPr>
          <w:noProof/>
        </w:rPr>
      </w:pPr>
      <w:hyperlink w:anchor="_Toc518323493" w:history="1">
        <w:r w:rsidR="001853BF" w:rsidRPr="000F1856">
          <w:rPr>
            <w:rStyle w:val="Hyperlink"/>
            <w:noProof/>
          </w:rPr>
          <w:t>1.  Intrafamilial Immunities</w:t>
        </w:r>
        <w:r w:rsidR="001853BF">
          <w:rPr>
            <w:noProof/>
            <w:webHidden/>
          </w:rPr>
          <w:tab/>
        </w:r>
        <w:r w:rsidR="001853BF">
          <w:rPr>
            <w:noProof/>
            <w:webHidden/>
          </w:rPr>
          <w:fldChar w:fldCharType="begin"/>
        </w:r>
        <w:r w:rsidR="001853BF">
          <w:rPr>
            <w:noProof/>
            <w:webHidden/>
          </w:rPr>
          <w:instrText xml:space="preserve"> PAGEREF _Toc518323493 \h </w:instrText>
        </w:r>
        <w:r w:rsidR="001853BF">
          <w:rPr>
            <w:noProof/>
            <w:webHidden/>
          </w:rPr>
        </w:r>
        <w:r w:rsidR="001853BF">
          <w:rPr>
            <w:noProof/>
            <w:webHidden/>
          </w:rPr>
          <w:fldChar w:fldCharType="separate"/>
        </w:r>
        <w:r w:rsidR="001853BF">
          <w:rPr>
            <w:noProof/>
            <w:webHidden/>
          </w:rPr>
          <w:t>464</w:t>
        </w:r>
        <w:r w:rsidR="001853BF">
          <w:rPr>
            <w:noProof/>
            <w:webHidden/>
          </w:rPr>
          <w:fldChar w:fldCharType="end"/>
        </w:r>
      </w:hyperlink>
    </w:p>
    <w:p w14:paraId="06AE2F78" w14:textId="77777777" w:rsidR="001853BF" w:rsidRDefault="00E35F15">
      <w:pPr>
        <w:pStyle w:val="TOC3"/>
        <w:tabs>
          <w:tab w:val="right" w:leader="dot" w:pos="8630"/>
        </w:tabs>
        <w:rPr>
          <w:noProof/>
        </w:rPr>
      </w:pPr>
      <w:hyperlink w:anchor="_Toc518323494" w:history="1">
        <w:r w:rsidR="001853BF" w:rsidRPr="000F1856">
          <w:rPr>
            <w:rStyle w:val="Hyperlink"/>
            <w:noProof/>
          </w:rPr>
          <w:t>2.  Charitable Immunity</w:t>
        </w:r>
        <w:r w:rsidR="001853BF">
          <w:rPr>
            <w:noProof/>
            <w:webHidden/>
          </w:rPr>
          <w:tab/>
        </w:r>
        <w:r w:rsidR="001853BF">
          <w:rPr>
            <w:noProof/>
            <w:webHidden/>
          </w:rPr>
          <w:fldChar w:fldCharType="begin"/>
        </w:r>
        <w:r w:rsidR="001853BF">
          <w:rPr>
            <w:noProof/>
            <w:webHidden/>
          </w:rPr>
          <w:instrText xml:space="preserve"> PAGEREF _Toc518323494 \h </w:instrText>
        </w:r>
        <w:r w:rsidR="001853BF">
          <w:rPr>
            <w:noProof/>
            <w:webHidden/>
          </w:rPr>
        </w:r>
        <w:r w:rsidR="001853BF">
          <w:rPr>
            <w:noProof/>
            <w:webHidden/>
          </w:rPr>
          <w:fldChar w:fldCharType="separate"/>
        </w:r>
        <w:r w:rsidR="001853BF">
          <w:rPr>
            <w:noProof/>
            <w:webHidden/>
          </w:rPr>
          <w:t>465</w:t>
        </w:r>
        <w:r w:rsidR="001853BF">
          <w:rPr>
            <w:noProof/>
            <w:webHidden/>
          </w:rPr>
          <w:fldChar w:fldCharType="end"/>
        </w:r>
      </w:hyperlink>
    </w:p>
    <w:p w14:paraId="635FB242" w14:textId="77777777" w:rsidR="001853BF" w:rsidRDefault="00E35F15">
      <w:pPr>
        <w:pStyle w:val="TOC3"/>
        <w:tabs>
          <w:tab w:val="right" w:leader="dot" w:pos="8630"/>
        </w:tabs>
        <w:rPr>
          <w:noProof/>
        </w:rPr>
      </w:pPr>
      <w:hyperlink w:anchor="_Toc518323495" w:history="1">
        <w:r w:rsidR="001853BF" w:rsidRPr="000F1856">
          <w:rPr>
            <w:rStyle w:val="Hyperlink"/>
            <w:noProof/>
          </w:rPr>
          <w:t>3.  Employers’ Immunity</w:t>
        </w:r>
        <w:r w:rsidR="001853BF">
          <w:rPr>
            <w:noProof/>
            <w:webHidden/>
          </w:rPr>
          <w:tab/>
        </w:r>
        <w:r w:rsidR="001853BF">
          <w:rPr>
            <w:noProof/>
            <w:webHidden/>
          </w:rPr>
          <w:fldChar w:fldCharType="begin"/>
        </w:r>
        <w:r w:rsidR="001853BF">
          <w:rPr>
            <w:noProof/>
            <w:webHidden/>
          </w:rPr>
          <w:instrText xml:space="preserve"> PAGEREF _Toc518323495 \h </w:instrText>
        </w:r>
        <w:r w:rsidR="001853BF">
          <w:rPr>
            <w:noProof/>
            <w:webHidden/>
          </w:rPr>
        </w:r>
        <w:r w:rsidR="001853BF">
          <w:rPr>
            <w:noProof/>
            <w:webHidden/>
          </w:rPr>
          <w:fldChar w:fldCharType="separate"/>
        </w:r>
        <w:r w:rsidR="001853BF">
          <w:rPr>
            <w:noProof/>
            <w:webHidden/>
          </w:rPr>
          <w:t>466</w:t>
        </w:r>
        <w:r w:rsidR="001853BF">
          <w:rPr>
            <w:noProof/>
            <w:webHidden/>
          </w:rPr>
          <w:fldChar w:fldCharType="end"/>
        </w:r>
      </w:hyperlink>
    </w:p>
    <w:p w14:paraId="6946797F" w14:textId="77777777" w:rsidR="001853BF" w:rsidRDefault="00E35F15">
      <w:pPr>
        <w:pStyle w:val="TOC3"/>
        <w:tabs>
          <w:tab w:val="right" w:leader="dot" w:pos="8630"/>
        </w:tabs>
        <w:rPr>
          <w:noProof/>
        </w:rPr>
      </w:pPr>
      <w:hyperlink w:anchor="_Toc518323496" w:history="1">
        <w:r w:rsidR="001853BF" w:rsidRPr="000F1856">
          <w:rPr>
            <w:rStyle w:val="Hyperlink"/>
            <w:noProof/>
          </w:rPr>
          <w:t>4.  Sovereign Immunity</w:t>
        </w:r>
        <w:r w:rsidR="001853BF">
          <w:rPr>
            <w:noProof/>
            <w:webHidden/>
          </w:rPr>
          <w:tab/>
        </w:r>
        <w:r w:rsidR="001853BF">
          <w:rPr>
            <w:noProof/>
            <w:webHidden/>
          </w:rPr>
          <w:fldChar w:fldCharType="begin"/>
        </w:r>
        <w:r w:rsidR="001853BF">
          <w:rPr>
            <w:noProof/>
            <w:webHidden/>
          </w:rPr>
          <w:instrText xml:space="preserve"> PAGEREF _Toc518323496 \h </w:instrText>
        </w:r>
        <w:r w:rsidR="001853BF">
          <w:rPr>
            <w:noProof/>
            <w:webHidden/>
          </w:rPr>
        </w:r>
        <w:r w:rsidR="001853BF">
          <w:rPr>
            <w:noProof/>
            <w:webHidden/>
          </w:rPr>
          <w:fldChar w:fldCharType="separate"/>
        </w:r>
        <w:r w:rsidR="001853BF">
          <w:rPr>
            <w:noProof/>
            <w:webHidden/>
          </w:rPr>
          <w:t>467</w:t>
        </w:r>
        <w:r w:rsidR="001853BF">
          <w:rPr>
            <w:noProof/>
            <w:webHidden/>
          </w:rPr>
          <w:fldChar w:fldCharType="end"/>
        </w:r>
      </w:hyperlink>
    </w:p>
    <w:p w14:paraId="4FAFF013" w14:textId="77777777" w:rsidR="001853BF" w:rsidRDefault="00E35F15">
      <w:pPr>
        <w:pStyle w:val="TOC4"/>
        <w:tabs>
          <w:tab w:val="right" w:leader="dot" w:pos="8630"/>
        </w:tabs>
        <w:rPr>
          <w:noProof/>
          <w:sz w:val="22"/>
          <w:szCs w:val="22"/>
        </w:rPr>
      </w:pPr>
      <w:hyperlink w:anchor="_Toc518323497" w:history="1">
        <w:r w:rsidR="001853BF" w:rsidRPr="00FD75E5">
          <w:rPr>
            <w:rStyle w:val="Hyperlink"/>
            <w:i/>
            <w:noProof/>
          </w:rPr>
          <w:t>Baum v. U.S.</w:t>
        </w:r>
        <w:r w:rsidR="001853BF">
          <w:rPr>
            <w:noProof/>
            <w:webHidden/>
          </w:rPr>
          <w:tab/>
        </w:r>
        <w:r w:rsidR="001853BF">
          <w:rPr>
            <w:noProof/>
            <w:webHidden/>
          </w:rPr>
          <w:fldChar w:fldCharType="begin"/>
        </w:r>
        <w:r w:rsidR="001853BF">
          <w:rPr>
            <w:noProof/>
            <w:webHidden/>
          </w:rPr>
          <w:instrText xml:space="preserve"> PAGEREF _Toc518323497 \h </w:instrText>
        </w:r>
        <w:r w:rsidR="001853BF">
          <w:rPr>
            <w:noProof/>
            <w:webHidden/>
          </w:rPr>
        </w:r>
        <w:r w:rsidR="001853BF">
          <w:rPr>
            <w:noProof/>
            <w:webHidden/>
          </w:rPr>
          <w:fldChar w:fldCharType="separate"/>
        </w:r>
        <w:r w:rsidR="001853BF">
          <w:rPr>
            <w:noProof/>
            <w:webHidden/>
          </w:rPr>
          <w:t>468</w:t>
        </w:r>
        <w:r w:rsidR="001853BF">
          <w:rPr>
            <w:noProof/>
            <w:webHidden/>
          </w:rPr>
          <w:fldChar w:fldCharType="end"/>
        </w:r>
      </w:hyperlink>
    </w:p>
    <w:p w14:paraId="2B99FB2B" w14:textId="77777777" w:rsidR="001853BF" w:rsidRDefault="00E35F15">
      <w:pPr>
        <w:pStyle w:val="TOC5"/>
        <w:tabs>
          <w:tab w:val="right" w:leader="dot" w:pos="8630"/>
        </w:tabs>
        <w:rPr>
          <w:noProof/>
          <w:sz w:val="22"/>
          <w:szCs w:val="22"/>
        </w:rPr>
      </w:pPr>
      <w:hyperlink w:anchor="_Toc51832349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_Toc518323498 \h </w:instrText>
        </w:r>
        <w:r w:rsidR="001853BF">
          <w:rPr>
            <w:noProof/>
            <w:webHidden/>
          </w:rPr>
        </w:r>
        <w:r w:rsidR="001853BF">
          <w:rPr>
            <w:noProof/>
            <w:webHidden/>
          </w:rPr>
          <w:fldChar w:fldCharType="separate"/>
        </w:r>
        <w:r w:rsidR="001853BF">
          <w:rPr>
            <w:noProof/>
            <w:webHidden/>
          </w:rPr>
          <w:t>473</w:t>
        </w:r>
        <w:r w:rsidR="001853BF">
          <w:rPr>
            <w:noProof/>
            <w:webHidden/>
          </w:rPr>
          <w:fldChar w:fldCharType="end"/>
        </w:r>
      </w:hyperlink>
    </w:p>
    <w:p w14:paraId="4D457A89" w14:textId="77777777" w:rsidR="001853BF" w:rsidRDefault="00E35F15">
      <w:pPr>
        <w:pStyle w:val="TOC4"/>
        <w:tabs>
          <w:tab w:val="right" w:leader="dot" w:pos="8630"/>
        </w:tabs>
        <w:rPr>
          <w:noProof/>
          <w:sz w:val="22"/>
          <w:szCs w:val="22"/>
        </w:rPr>
      </w:pPr>
      <w:hyperlink w:anchor="_Toc518323499" w:history="1">
        <w:r w:rsidR="001853BF" w:rsidRPr="00FD75E5">
          <w:rPr>
            <w:rStyle w:val="Hyperlink"/>
            <w:i/>
            <w:noProof/>
          </w:rPr>
          <w:t>Riss v. City of New York</w:t>
        </w:r>
        <w:r w:rsidR="001853BF">
          <w:rPr>
            <w:noProof/>
            <w:webHidden/>
          </w:rPr>
          <w:tab/>
        </w:r>
        <w:r w:rsidR="001853BF">
          <w:rPr>
            <w:noProof/>
            <w:webHidden/>
          </w:rPr>
          <w:fldChar w:fldCharType="begin"/>
        </w:r>
        <w:r w:rsidR="001853BF">
          <w:rPr>
            <w:noProof/>
            <w:webHidden/>
          </w:rPr>
          <w:instrText xml:space="preserve"> PAGEREF _Toc518323499 \h </w:instrText>
        </w:r>
        <w:r w:rsidR="001853BF">
          <w:rPr>
            <w:noProof/>
            <w:webHidden/>
          </w:rPr>
        </w:r>
        <w:r w:rsidR="001853BF">
          <w:rPr>
            <w:noProof/>
            <w:webHidden/>
          </w:rPr>
          <w:fldChar w:fldCharType="separate"/>
        </w:r>
        <w:r w:rsidR="001853BF">
          <w:rPr>
            <w:noProof/>
            <w:webHidden/>
          </w:rPr>
          <w:t>476</w:t>
        </w:r>
        <w:r w:rsidR="001853BF">
          <w:rPr>
            <w:noProof/>
            <w:webHidden/>
          </w:rPr>
          <w:fldChar w:fldCharType="end"/>
        </w:r>
      </w:hyperlink>
    </w:p>
    <w:p w14:paraId="7D7AB268" w14:textId="77777777" w:rsidR="001853BF" w:rsidRDefault="00E35F15">
      <w:pPr>
        <w:pStyle w:val="TOC5"/>
        <w:tabs>
          <w:tab w:val="right" w:leader="dot" w:pos="8630"/>
        </w:tabs>
        <w:rPr>
          <w:noProof/>
          <w:sz w:val="22"/>
          <w:szCs w:val="22"/>
        </w:rPr>
      </w:pPr>
      <w:hyperlink w:anchor="_Toc51832350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_Toc518323500 \h </w:instrText>
        </w:r>
        <w:r w:rsidR="001853BF">
          <w:rPr>
            <w:noProof/>
            <w:webHidden/>
          </w:rPr>
        </w:r>
        <w:r w:rsidR="001853BF">
          <w:rPr>
            <w:noProof/>
            <w:webHidden/>
          </w:rPr>
          <w:fldChar w:fldCharType="separate"/>
        </w:r>
        <w:r w:rsidR="001853BF">
          <w:rPr>
            <w:noProof/>
            <w:webHidden/>
          </w:rPr>
          <w:t>481</w:t>
        </w:r>
        <w:r w:rsidR="001853BF">
          <w:rPr>
            <w:noProof/>
            <w:webHidden/>
          </w:rPr>
          <w:fldChar w:fldCharType="end"/>
        </w:r>
      </w:hyperlink>
    </w:p>
    <w:p w14:paraId="671B3B69" w14:textId="77777777" w:rsidR="001853BF" w:rsidRDefault="00E35F15">
      <w:pPr>
        <w:pStyle w:val="TOC3"/>
        <w:tabs>
          <w:tab w:val="right" w:leader="dot" w:pos="8630"/>
        </w:tabs>
        <w:rPr>
          <w:noProof/>
        </w:rPr>
      </w:pPr>
      <w:hyperlink w:anchor="_Toc518323501" w:history="1">
        <w:r w:rsidR="001853BF" w:rsidRPr="000F1856">
          <w:rPr>
            <w:rStyle w:val="Hyperlink"/>
            <w:noProof/>
          </w:rPr>
          <w:t>5.  Government Officer Immunity</w:t>
        </w:r>
        <w:r w:rsidR="001853BF">
          <w:rPr>
            <w:noProof/>
            <w:webHidden/>
          </w:rPr>
          <w:tab/>
        </w:r>
        <w:r w:rsidR="001853BF">
          <w:rPr>
            <w:noProof/>
            <w:webHidden/>
          </w:rPr>
          <w:fldChar w:fldCharType="begin"/>
        </w:r>
        <w:r w:rsidR="001853BF">
          <w:rPr>
            <w:noProof/>
            <w:webHidden/>
          </w:rPr>
          <w:instrText xml:space="preserve"> PAGEREF _Toc518323501 \h </w:instrText>
        </w:r>
        <w:r w:rsidR="001853BF">
          <w:rPr>
            <w:noProof/>
            <w:webHidden/>
          </w:rPr>
        </w:r>
        <w:r w:rsidR="001853BF">
          <w:rPr>
            <w:noProof/>
            <w:webHidden/>
          </w:rPr>
          <w:fldChar w:fldCharType="separate"/>
        </w:r>
        <w:r w:rsidR="001853BF">
          <w:rPr>
            <w:noProof/>
            <w:webHidden/>
          </w:rPr>
          <w:t>482</w:t>
        </w:r>
        <w:r w:rsidR="001853BF">
          <w:rPr>
            <w:noProof/>
            <w:webHidden/>
          </w:rPr>
          <w:fldChar w:fldCharType="end"/>
        </w:r>
      </w:hyperlink>
    </w:p>
    <w:p w14:paraId="1AC32043" w14:textId="77777777" w:rsidR="001853BF" w:rsidRDefault="00E35F15">
      <w:pPr>
        <w:pStyle w:val="TOC4"/>
        <w:tabs>
          <w:tab w:val="right" w:leader="dot" w:pos="8630"/>
        </w:tabs>
        <w:rPr>
          <w:noProof/>
          <w:sz w:val="22"/>
          <w:szCs w:val="22"/>
        </w:rPr>
      </w:pPr>
      <w:hyperlink w:anchor="_Toc518323502" w:history="1">
        <w:r w:rsidR="001853BF" w:rsidRPr="000F1856">
          <w:rPr>
            <w:rStyle w:val="Hyperlink"/>
            <w:noProof/>
          </w:rPr>
          <w:t>a. Federal Officials</w:t>
        </w:r>
        <w:r w:rsidR="001853BF">
          <w:rPr>
            <w:noProof/>
            <w:webHidden/>
          </w:rPr>
          <w:tab/>
        </w:r>
        <w:r w:rsidR="001853BF">
          <w:rPr>
            <w:noProof/>
            <w:webHidden/>
          </w:rPr>
          <w:fldChar w:fldCharType="begin"/>
        </w:r>
        <w:r w:rsidR="001853BF">
          <w:rPr>
            <w:noProof/>
            <w:webHidden/>
          </w:rPr>
          <w:instrText xml:space="preserve"> PAGEREF _Toc518323502 \h </w:instrText>
        </w:r>
        <w:r w:rsidR="001853BF">
          <w:rPr>
            <w:noProof/>
            <w:webHidden/>
          </w:rPr>
        </w:r>
        <w:r w:rsidR="001853BF">
          <w:rPr>
            <w:noProof/>
            <w:webHidden/>
          </w:rPr>
          <w:fldChar w:fldCharType="separate"/>
        </w:r>
        <w:r w:rsidR="001853BF">
          <w:rPr>
            <w:noProof/>
            <w:webHidden/>
          </w:rPr>
          <w:t>482</w:t>
        </w:r>
        <w:r w:rsidR="001853BF">
          <w:rPr>
            <w:noProof/>
            <w:webHidden/>
          </w:rPr>
          <w:fldChar w:fldCharType="end"/>
        </w:r>
      </w:hyperlink>
    </w:p>
    <w:p w14:paraId="4AB95A25" w14:textId="77777777" w:rsidR="001853BF" w:rsidRDefault="00E35F15">
      <w:pPr>
        <w:pStyle w:val="TOC4"/>
        <w:tabs>
          <w:tab w:val="right" w:leader="dot" w:pos="8630"/>
        </w:tabs>
        <w:rPr>
          <w:noProof/>
          <w:sz w:val="22"/>
          <w:szCs w:val="22"/>
        </w:rPr>
      </w:pPr>
      <w:hyperlink w:anchor="_Toc518323503" w:history="1">
        <w:r w:rsidR="001853BF" w:rsidRPr="000F1856">
          <w:rPr>
            <w:rStyle w:val="Hyperlink"/>
            <w:noProof/>
          </w:rPr>
          <w:t>b. State Officials</w:t>
        </w:r>
        <w:r w:rsidR="001853BF">
          <w:rPr>
            <w:noProof/>
            <w:webHidden/>
          </w:rPr>
          <w:tab/>
        </w:r>
        <w:r w:rsidR="001853BF">
          <w:rPr>
            <w:noProof/>
            <w:webHidden/>
          </w:rPr>
          <w:fldChar w:fldCharType="begin"/>
        </w:r>
        <w:r w:rsidR="001853BF">
          <w:rPr>
            <w:noProof/>
            <w:webHidden/>
          </w:rPr>
          <w:instrText xml:space="preserve"> PAGEREF _Toc518323503 \h </w:instrText>
        </w:r>
        <w:r w:rsidR="001853BF">
          <w:rPr>
            <w:noProof/>
            <w:webHidden/>
          </w:rPr>
        </w:r>
        <w:r w:rsidR="001853BF">
          <w:rPr>
            <w:noProof/>
            <w:webHidden/>
          </w:rPr>
          <w:fldChar w:fldCharType="separate"/>
        </w:r>
        <w:r w:rsidR="001853BF">
          <w:rPr>
            <w:noProof/>
            <w:webHidden/>
          </w:rPr>
          <w:t>483</w:t>
        </w:r>
        <w:r w:rsidR="001853BF">
          <w:rPr>
            <w:noProof/>
            <w:webHidden/>
          </w:rPr>
          <w:fldChar w:fldCharType="end"/>
        </w:r>
      </w:hyperlink>
    </w:p>
    <w:p w14:paraId="43C412EF" w14:textId="77777777" w:rsidR="001853BF" w:rsidRDefault="00E35F15">
      <w:pPr>
        <w:pStyle w:val="TOC4"/>
        <w:tabs>
          <w:tab w:val="right" w:leader="dot" w:pos="8630"/>
        </w:tabs>
        <w:rPr>
          <w:noProof/>
          <w:sz w:val="22"/>
          <w:szCs w:val="22"/>
        </w:rPr>
      </w:pPr>
      <w:hyperlink w:anchor="_Toc518323504" w:history="1">
        <w:r w:rsidR="001853BF" w:rsidRPr="000F1856">
          <w:rPr>
            <w:rStyle w:val="Hyperlink"/>
            <w:noProof/>
          </w:rPr>
          <w:t>c. Constitutional Torts</w:t>
        </w:r>
        <w:r w:rsidR="001853BF">
          <w:rPr>
            <w:noProof/>
            <w:webHidden/>
          </w:rPr>
          <w:tab/>
        </w:r>
        <w:r w:rsidR="001853BF">
          <w:rPr>
            <w:noProof/>
            <w:webHidden/>
          </w:rPr>
          <w:fldChar w:fldCharType="begin"/>
        </w:r>
        <w:r w:rsidR="001853BF">
          <w:rPr>
            <w:noProof/>
            <w:webHidden/>
          </w:rPr>
          <w:instrText xml:space="preserve"> PAGEREF _Toc518323504 \h </w:instrText>
        </w:r>
        <w:r w:rsidR="001853BF">
          <w:rPr>
            <w:noProof/>
            <w:webHidden/>
          </w:rPr>
        </w:r>
        <w:r w:rsidR="001853BF">
          <w:rPr>
            <w:noProof/>
            <w:webHidden/>
          </w:rPr>
          <w:fldChar w:fldCharType="separate"/>
        </w:r>
        <w:r w:rsidR="001853BF">
          <w:rPr>
            <w:noProof/>
            <w:webHidden/>
          </w:rPr>
          <w:t>484</w:t>
        </w:r>
        <w:r w:rsidR="001853BF">
          <w:rPr>
            <w:noProof/>
            <w:webHidden/>
          </w:rPr>
          <w:fldChar w:fldCharType="end"/>
        </w:r>
      </w:hyperlink>
    </w:p>
    <w:p w14:paraId="54173E54" w14:textId="77777777" w:rsidR="001853BF" w:rsidRDefault="00E35F15">
      <w:pPr>
        <w:pStyle w:val="TOC3"/>
        <w:tabs>
          <w:tab w:val="right" w:leader="dot" w:pos="8630"/>
        </w:tabs>
        <w:rPr>
          <w:noProof/>
        </w:rPr>
      </w:pPr>
      <w:hyperlink w:anchor="_Toc518323505" w:history="1">
        <w:r w:rsidR="001853BF" w:rsidRPr="000F1856">
          <w:rPr>
            <w:rStyle w:val="Hyperlink"/>
            <w:noProof/>
          </w:rPr>
          <w:t>6.  Statutory Immunity</w:t>
        </w:r>
        <w:r w:rsidR="001853BF">
          <w:rPr>
            <w:noProof/>
            <w:webHidden/>
          </w:rPr>
          <w:tab/>
        </w:r>
        <w:r w:rsidR="001853BF">
          <w:rPr>
            <w:noProof/>
            <w:webHidden/>
          </w:rPr>
          <w:fldChar w:fldCharType="begin"/>
        </w:r>
        <w:r w:rsidR="001853BF">
          <w:rPr>
            <w:noProof/>
            <w:webHidden/>
          </w:rPr>
          <w:instrText xml:space="preserve"> PAGEREF _Toc518323505 \h </w:instrText>
        </w:r>
        <w:r w:rsidR="001853BF">
          <w:rPr>
            <w:noProof/>
            <w:webHidden/>
          </w:rPr>
        </w:r>
        <w:r w:rsidR="001853BF">
          <w:rPr>
            <w:noProof/>
            <w:webHidden/>
          </w:rPr>
          <w:fldChar w:fldCharType="separate"/>
        </w:r>
        <w:r w:rsidR="001853BF">
          <w:rPr>
            <w:noProof/>
            <w:webHidden/>
          </w:rPr>
          <w:t>486</w:t>
        </w:r>
        <w:r w:rsidR="001853BF">
          <w:rPr>
            <w:noProof/>
            <w:webHidden/>
          </w:rPr>
          <w:fldChar w:fldCharType="end"/>
        </w:r>
      </w:hyperlink>
    </w:p>
    <w:p w14:paraId="1ABEFEC0" w14:textId="77777777" w:rsidR="001853BF" w:rsidRDefault="00E35F15">
      <w:pPr>
        <w:pStyle w:val="TOC4"/>
        <w:tabs>
          <w:tab w:val="right" w:leader="dot" w:pos="8630"/>
        </w:tabs>
        <w:rPr>
          <w:noProof/>
          <w:sz w:val="22"/>
          <w:szCs w:val="22"/>
        </w:rPr>
      </w:pPr>
      <w:hyperlink w:anchor="_Toc518323506" w:history="1">
        <w:r w:rsidR="001853BF" w:rsidRPr="000F1856">
          <w:rPr>
            <w:rStyle w:val="Hyperlink"/>
            <w:noProof/>
          </w:rPr>
          <w:t>The Protection of Lawful Commerce in Arms Act of 2005</w:t>
        </w:r>
        <w:r w:rsidR="001853BF">
          <w:rPr>
            <w:noProof/>
            <w:webHidden/>
          </w:rPr>
          <w:tab/>
        </w:r>
        <w:r w:rsidR="001853BF">
          <w:rPr>
            <w:noProof/>
            <w:webHidden/>
          </w:rPr>
          <w:fldChar w:fldCharType="begin"/>
        </w:r>
        <w:r w:rsidR="001853BF">
          <w:rPr>
            <w:noProof/>
            <w:webHidden/>
          </w:rPr>
          <w:instrText xml:space="preserve"> PAGEREF _Toc518323506 \h </w:instrText>
        </w:r>
        <w:r w:rsidR="001853BF">
          <w:rPr>
            <w:noProof/>
            <w:webHidden/>
          </w:rPr>
        </w:r>
        <w:r w:rsidR="001853BF">
          <w:rPr>
            <w:noProof/>
            <w:webHidden/>
          </w:rPr>
          <w:fldChar w:fldCharType="separate"/>
        </w:r>
        <w:r w:rsidR="001853BF">
          <w:rPr>
            <w:noProof/>
            <w:webHidden/>
          </w:rPr>
          <w:t>486</w:t>
        </w:r>
        <w:r w:rsidR="001853BF">
          <w:rPr>
            <w:noProof/>
            <w:webHidden/>
          </w:rPr>
          <w:fldChar w:fldCharType="end"/>
        </w:r>
      </w:hyperlink>
    </w:p>
    <w:p w14:paraId="2C3FC43F" w14:textId="77777777" w:rsidR="001853BF" w:rsidRDefault="00E35F15">
      <w:pPr>
        <w:pStyle w:val="TOC4"/>
        <w:tabs>
          <w:tab w:val="right" w:leader="dot" w:pos="8630"/>
        </w:tabs>
        <w:rPr>
          <w:noProof/>
          <w:sz w:val="22"/>
          <w:szCs w:val="22"/>
        </w:rPr>
      </w:pPr>
      <w:hyperlink w:anchor="_Toc518323507" w:history="1">
        <w:r w:rsidR="001853BF" w:rsidRPr="00FD75E5">
          <w:rPr>
            <w:rStyle w:val="Hyperlink"/>
            <w:i/>
            <w:noProof/>
          </w:rPr>
          <w:t>City of New York v. Beretta U.S.A. Corp</w:t>
        </w:r>
        <w:r w:rsidR="001853BF">
          <w:rPr>
            <w:noProof/>
            <w:webHidden/>
          </w:rPr>
          <w:tab/>
        </w:r>
        <w:r w:rsidR="001853BF">
          <w:rPr>
            <w:noProof/>
            <w:webHidden/>
          </w:rPr>
          <w:fldChar w:fldCharType="begin"/>
        </w:r>
        <w:r w:rsidR="001853BF">
          <w:rPr>
            <w:noProof/>
            <w:webHidden/>
          </w:rPr>
          <w:instrText xml:space="preserve"> PAGEREF _Toc518323507 \h </w:instrText>
        </w:r>
        <w:r w:rsidR="001853BF">
          <w:rPr>
            <w:noProof/>
            <w:webHidden/>
          </w:rPr>
        </w:r>
        <w:r w:rsidR="001853BF">
          <w:rPr>
            <w:noProof/>
            <w:webHidden/>
          </w:rPr>
          <w:fldChar w:fldCharType="separate"/>
        </w:r>
        <w:r w:rsidR="001853BF">
          <w:rPr>
            <w:noProof/>
            <w:webHidden/>
          </w:rPr>
          <w:t>486</w:t>
        </w:r>
        <w:r w:rsidR="001853BF">
          <w:rPr>
            <w:noProof/>
            <w:webHidden/>
          </w:rPr>
          <w:fldChar w:fldCharType="end"/>
        </w:r>
      </w:hyperlink>
    </w:p>
    <w:p w14:paraId="25587D14" w14:textId="77777777" w:rsidR="001853BF" w:rsidRDefault="00E35F15">
      <w:pPr>
        <w:pStyle w:val="TOC3"/>
        <w:tabs>
          <w:tab w:val="right" w:leader="dot" w:pos="8630"/>
        </w:tabs>
        <w:rPr>
          <w:noProof/>
        </w:rPr>
      </w:pPr>
      <w:hyperlink w:anchor="_Toc518323508" w:history="1">
        <w:r w:rsidR="001853BF" w:rsidRPr="000F1856">
          <w:rPr>
            <w:rStyle w:val="Hyperlink"/>
            <w:noProof/>
          </w:rPr>
          <w:t>7.  Wartime and National Security Immunities</w:t>
        </w:r>
        <w:r w:rsidR="001853BF">
          <w:rPr>
            <w:noProof/>
            <w:webHidden/>
          </w:rPr>
          <w:tab/>
        </w:r>
        <w:r w:rsidR="001853BF">
          <w:rPr>
            <w:noProof/>
            <w:webHidden/>
          </w:rPr>
          <w:fldChar w:fldCharType="begin"/>
        </w:r>
        <w:r w:rsidR="001853BF">
          <w:rPr>
            <w:noProof/>
            <w:webHidden/>
          </w:rPr>
          <w:instrText xml:space="preserve"> PAGEREF _Toc518323508 \h </w:instrText>
        </w:r>
        <w:r w:rsidR="001853BF">
          <w:rPr>
            <w:noProof/>
            <w:webHidden/>
          </w:rPr>
        </w:r>
        <w:r w:rsidR="001853BF">
          <w:rPr>
            <w:noProof/>
            <w:webHidden/>
          </w:rPr>
          <w:fldChar w:fldCharType="separate"/>
        </w:r>
        <w:r w:rsidR="001853BF">
          <w:rPr>
            <w:noProof/>
            <w:webHidden/>
          </w:rPr>
          <w:t>488</w:t>
        </w:r>
        <w:r w:rsidR="001853BF">
          <w:rPr>
            <w:noProof/>
            <w:webHidden/>
          </w:rPr>
          <w:fldChar w:fldCharType="end"/>
        </w:r>
      </w:hyperlink>
    </w:p>
    <w:p w14:paraId="4EC33A16" w14:textId="77777777" w:rsidR="001853BF" w:rsidRDefault="00E35F15">
      <w:pPr>
        <w:pStyle w:val="TOC3"/>
        <w:tabs>
          <w:tab w:val="right" w:leader="dot" w:pos="8630"/>
        </w:tabs>
        <w:rPr>
          <w:noProof/>
        </w:rPr>
      </w:pPr>
      <w:hyperlink w:anchor="_Toc518323509" w:history="1">
        <w:r w:rsidR="001853BF" w:rsidRPr="000F1856">
          <w:rPr>
            <w:rStyle w:val="Hyperlink"/>
            <w:noProof/>
          </w:rPr>
          <w:t>8.  Immunity Reconsidered</w:t>
        </w:r>
        <w:r w:rsidR="001853BF">
          <w:rPr>
            <w:noProof/>
            <w:webHidden/>
          </w:rPr>
          <w:tab/>
        </w:r>
        <w:r w:rsidR="001853BF">
          <w:rPr>
            <w:noProof/>
            <w:webHidden/>
          </w:rPr>
          <w:fldChar w:fldCharType="begin"/>
        </w:r>
        <w:r w:rsidR="001853BF">
          <w:rPr>
            <w:noProof/>
            <w:webHidden/>
          </w:rPr>
          <w:instrText xml:space="preserve"> PAGEREF _Toc518323509 \h </w:instrText>
        </w:r>
        <w:r w:rsidR="001853BF">
          <w:rPr>
            <w:noProof/>
            <w:webHidden/>
          </w:rPr>
        </w:r>
        <w:r w:rsidR="001853BF">
          <w:rPr>
            <w:noProof/>
            <w:webHidden/>
          </w:rPr>
          <w:fldChar w:fldCharType="separate"/>
        </w:r>
        <w:r w:rsidR="001853BF">
          <w:rPr>
            <w:noProof/>
            <w:webHidden/>
          </w:rPr>
          <w:t>490</w:t>
        </w:r>
        <w:r w:rsidR="001853BF">
          <w:rPr>
            <w:noProof/>
            <w:webHidden/>
          </w:rPr>
          <w:fldChar w:fldCharType="end"/>
        </w:r>
      </w:hyperlink>
    </w:p>
    <w:p w14:paraId="32984552" w14:textId="77777777" w:rsidR="001853BF" w:rsidRDefault="00E35F15">
      <w:pPr>
        <w:pStyle w:val="TOC1"/>
        <w:tabs>
          <w:tab w:val="right" w:leader="dot" w:pos="8630"/>
        </w:tabs>
        <w:rPr>
          <w:b w:val="0"/>
          <w:noProof/>
          <w:sz w:val="22"/>
          <w:szCs w:val="22"/>
        </w:rPr>
      </w:pPr>
      <w:hyperlink w:anchor="_Toc518323510" w:history="1">
        <w:r w:rsidR="001853BF" w:rsidRPr="000F1856">
          <w:rPr>
            <w:rStyle w:val="Hyperlink"/>
            <w:noProof/>
          </w:rPr>
          <w:t>CHAPTER 9.  MODERN NON-FAULT LIABILITY?</w:t>
        </w:r>
        <w:r w:rsidR="001853BF">
          <w:rPr>
            <w:noProof/>
            <w:webHidden/>
          </w:rPr>
          <w:tab/>
        </w:r>
        <w:r w:rsidR="001853BF">
          <w:rPr>
            <w:noProof/>
            <w:webHidden/>
          </w:rPr>
          <w:fldChar w:fldCharType="begin"/>
        </w:r>
        <w:r w:rsidR="001853BF">
          <w:rPr>
            <w:noProof/>
            <w:webHidden/>
          </w:rPr>
          <w:instrText xml:space="preserve"> PAGEREF _Toc518323510 \h </w:instrText>
        </w:r>
        <w:r w:rsidR="001853BF">
          <w:rPr>
            <w:noProof/>
            <w:webHidden/>
          </w:rPr>
        </w:r>
        <w:r w:rsidR="001853BF">
          <w:rPr>
            <w:noProof/>
            <w:webHidden/>
          </w:rPr>
          <w:fldChar w:fldCharType="separate"/>
        </w:r>
        <w:r w:rsidR="001853BF">
          <w:rPr>
            <w:noProof/>
            <w:webHidden/>
          </w:rPr>
          <w:t>491</w:t>
        </w:r>
        <w:r w:rsidR="001853BF">
          <w:rPr>
            <w:noProof/>
            <w:webHidden/>
          </w:rPr>
          <w:fldChar w:fldCharType="end"/>
        </w:r>
      </w:hyperlink>
    </w:p>
    <w:p w14:paraId="16A820C6" w14:textId="77777777" w:rsidR="001853BF" w:rsidRDefault="00E35F15">
      <w:pPr>
        <w:pStyle w:val="TOC2"/>
        <w:tabs>
          <w:tab w:val="right" w:leader="dot" w:pos="8630"/>
        </w:tabs>
        <w:rPr>
          <w:b w:val="0"/>
          <w:noProof/>
        </w:rPr>
      </w:pPr>
      <w:hyperlink w:anchor="_Toc518323511" w:history="1">
        <w:r w:rsidR="001853BF" w:rsidRPr="000F1856">
          <w:rPr>
            <w:rStyle w:val="Hyperlink"/>
            <w:noProof/>
          </w:rPr>
          <w:t>A.  Vicarious Liability</w:t>
        </w:r>
        <w:r w:rsidR="001853BF">
          <w:rPr>
            <w:noProof/>
            <w:webHidden/>
          </w:rPr>
          <w:tab/>
        </w:r>
        <w:r w:rsidR="001853BF">
          <w:rPr>
            <w:noProof/>
            <w:webHidden/>
          </w:rPr>
          <w:fldChar w:fldCharType="begin"/>
        </w:r>
        <w:r w:rsidR="001853BF">
          <w:rPr>
            <w:noProof/>
            <w:webHidden/>
          </w:rPr>
          <w:instrText xml:space="preserve"> PAGEREF _Toc518323511 \h </w:instrText>
        </w:r>
        <w:r w:rsidR="001853BF">
          <w:rPr>
            <w:noProof/>
            <w:webHidden/>
          </w:rPr>
        </w:r>
        <w:r w:rsidR="001853BF">
          <w:rPr>
            <w:noProof/>
            <w:webHidden/>
          </w:rPr>
          <w:fldChar w:fldCharType="separate"/>
        </w:r>
        <w:r w:rsidR="001853BF">
          <w:rPr>
            <w:noProof/>
            <w:webHidden/>
          </w:rPr>
          <w:t>491</w:t>
        </w:r>
        <w:r w:rsidR="001853BF">
          <w:rPr>
            <w:noProof/>
            <w:webHidden/>
          </w:rPr>
          <w:fldChar w:fldCharType="end"/>
        </w:r>
      </w:hyperlink>
    </w:p>
    <w:p w14:paraId="4AFE186E" w14:textId="77777777" w:rsidR="001853BF" w:rsidRDefault="00E35F15">
      <w:pPr>
        <w:pStyle w:val="TOC3"/>
        <w:tabs>
          <w:tab w:val="right" w:leader="dot" w:pos="8630"/>
        </w:tabs>
        <w:rPr>
          <w:noProof/>
        </w:rPr>
      </w:pPr>
      <w:hyperlink w:anchor="_Toc518323512" w:history="1">
        <w:r w:rsidR="001853BF" w:rsidRPr="000F1856">
          <w:rPr>
            <w:rStyle w:val="Hyperlink"/>
            <w:i/>
            <w:noProof/>
          </w:rPr>
          <w:t>Ira S. Bushey &amp; Sons, Inc. v. United States</w:t>
        </w:r>
        <w:r w:rsidR="001853BF">
          <w:rPr>
            <w:noProof/>
            <w:webHidden/>
          </w:rPr>
          <w:tab/>
        </w:r>
        <w:r w:rsidR="001853BF">
          <w:rPr>
            <w:noProof/>
            <w:webHidden/>
          </w:rPr>
          <w:fldChar w:fldCharType="begin"/>
        </w:r>
        <w:r w:rsidR="001853BF">
          <w:rPr>
            <w:noProof/>
            <w:webHidden/>
          </w:rPr>
          <w:instrText xml:space="preserve"> PAGEREF _Toc518323512 \h </w:instrText>
        </w:r>
        <w:r w:rsidR="001853BF">
          <w:rPr>
            <w:noProof/>
            <w:webHidden/>
          </w:rPr>
        </w:r>
        <w:r w:rsidR="001853BF">
          <w:rPr>
            <w:noProof/>
            <w:webHidden/>
          </w:rPr>
          <w:fldChar w:fldCharType="separate"/>
        </w:r>
        <w:r w:rsidR="001853BF">
          <w:rPr>
            <w:noProof/>
            <w:webHidden/>
          </w:rPr>
          <w:t>491</w:t>
        </w:r>
        <w:r w:rsidR="001853BF">
          <w:rPr>
            <w:noProof/>
            <w:webHidden/>
          </w:rPr>
          <w:fldChar w:fldCharType="end"/>
        </w:r>
      </w:hyperlink>
    </w:p>
    <w:p w14:paraId="10FC1F43" w14:textId="77777777" w:rsidR="001853BF" w:rsidRDefault="00E35F15">
      <w:pPr>
        <w:pStyle w:val="TOC4"/>
        <w:tabs>
          <w:tab w:val="right" w:leader="dot" w:pos="8630"/>
        </w:tabs>
        <w:rPr>
          <w:noProof/>
          <w:sz w:val="22"/>
          <w:szCs w:val="22"/>
        </w:rPr>
      </w:pPr>
      <w:hyperlink w:anchor="_Toc51832351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_Toc518323513 \h </w:instrText>
        </w:r>
        <w:r w:rsidR="001853BF">
          <w:rPr>
            <w:noProof/>
            <w:webHidden/>
          </w:rPr>
        </w:r>
        <w:r w:rsidR="001853BF">
          <w:rPr>
            <w:noProof/>
            <w:webHidden/>
          </w:rPr>
          <w:fldChar w:fldCharType="separate"/>
        </w:r>
        <w:r w:rsidR="001853BF">
          <w:rPr>
            <w:noProof/>
            <w:webHidden/>
          </w:rPr>
          <w:t>495</w:t>
        </w:r>
        <w:r w:rsidR="001853BF">
          <w:rPr>
            <w:noProof/>
            <w:webHidden/>
          </w:rPr>
          <w:fldChar w:fldCharType="end"/>
        </w:r>
      </w:hyperlink>
    </w:p>
    <w:p w14:paraId="33480503" w14:textId="77777777" w:rsidR="001853BF" w:rsidRDefault="00E35F15">
      <w:pPr>
        <w:pStyle w:val="TOC2"/>
        <w:tabs>
          <w:tab w:val="right" w:leader="dot" w:pos="8630"/>
        </w:tabs>
        <w:rPr>
          <w:b w:val="0"/>
          <w:noProof/>
        </w:rPr>
      </w:pPr>
      <w:hyperlink w:anchor="_Toc518323514" w:history="1">
        <w:r w:rsidR="001853BF" w:rsidRPr="000F1856">
          <w:rPr>
            <w:rStyle w:val="Hyperlink"/>
            <w:noProof/>
          </w:rPr>
          <w:t>B.  Abnormally Dangerous Activities</w:t>
        </w:r>
        <w:r w:rsidR="001853BF">
          <w:rPr>
            <w:noProof/>
            <w:webHidden/>
          </w:rPr>
          <w:tab/>
        </w:r>
        <w:r w:rsidR="001853BF">
          <w:rPr>
            <w:noProof/>
            <w:webHidden/>
          </w:rPr>
          <w:fldChar w:fldCharType="begin"/>
        </w:r>
        <w:r w:rsidR="001853BF">
          <w:rPr>
            <w:noProof/>
            <w:webHidden/>
          </w:rPr>
          <w:instrText xml:space="preserve"> PAGEREF _Toc518323514 \h </w:instrText>
        </w:r>
        <w:r w:rsidR="001853BF">
          <w:rPr>
            <w:noProof/>
            <w:webHidden/>
          </w:rPr>
        </w:r>
        <w:r w:rsidR="001853BF">
          <w:rPr>
            <w:noProof/>
            <w:webHidden/>
          </w:rPr>
          <w:fldChar w:fldCharType="separate"/>
        </w:r>
        <w:r w:rsidR="001853BF">
          <w:rPr>
            <w:noProof/>
            <w:webHidden/>
          </w:rPr>
          <w:t>497</w:t>
        </w:r>
        <w:r w:rsidR="001853BF">
          <w:rPr>
            <w:noProof/>
            <w:webHidden/>
          </w:rPr>
          <w:fldChar w:fldCharType="end"/>
        </w:r>
      </w:hyperlink>
    </w:p>
    <w:p w14:paraId="6CF51C5A" w14:textId="77777777" w:rsidR="001853BF" w:rsidRDefault="00E35F15">
      <w:pPr>
        <w:pStyle w:val="TOC3"/>
        <w:tabs>
          <w:tab w:val="right" w:leader="dot" w:pos="8630"/>
        </w:tabs>
        <w:rPr>
          <w:noProof/>
        </w:rPr>
      </w:pPr>
      <w:hyperlink w:anchor="_Toc518323515" w:history="1">
        <w:r w:rsidR="001853BF" w:rsidRPr="000F1856">
          <w:rPr>
            <w:rStyle w:val="Hyperlink"/>
            <w:i/>
            <w:noProof/>
          </w:rPr>
          <w:t>Spano v. Perini Corp</w:t>
        </w:r>
        <w:r w:rsidR="001853BF">
          <w:rPr>
            <w:noProof/>
            <w:webHidden/>
          </w:rPr>
          <w:tab/>
        </w:r>
        <w:r w:rsidR="001853BF">
          <w:rPr>
            <w:noProof/>
            <w:webHidden/>
          </w:rPr>
          <w:fldChar w:fldCharType="begin"/>
        </w:r>
        <w:r w:rsidR="001853BF">
          <w:rPr>
            <w:noProof/>
            <w:webHidden/>
          </w:rPr>
          <w:instrText xml:space="preserve"> PAGEREF _Toc518323515 \h </w:instrText>
        </w:r>
        <w:r w:rsidR="001853BF">
          <w:rPr>
            <w:noProof/>
            <w:webHidden/>
          </w:rPr>
        </w:r>
        <w:r w:rsidR="001853BF">
          <w:rPr>
            <w:noProof/>
            <w:webHidden/>
          </w:rPr>
          <w:fldChar w:fldCharType="separate"/>
        </w:r>
        <w:r w:rsidR="001853BF">
          <w:rPr>
            <w:noProof/>
            <w:webHidden/>
          </w:rPr>
          <w:t>497</w:t>
        </w:r>
        <w:r w:rsidR="001853BF">
          <w:rPr>
            <w:noProof/>
            <w:webHidden/>
          </w:rPr>
          <w:fldChar w:fldCharType="end"/>
        </w:r>
      </w:hyperlink>
    </w:p>
    <w:p w14:paraId="124DA7DA" w14:textId="77777777" w:rsidR="001853BF" w:rsidRDefault="00E35F15">
      <w:pPr>
        <w:pStyle w:val="TOC4"/>
        <w:tabs>
          <w:tab w:val="right" w:leader="dot" w:pos="8630"/>
        </w:tabs>
        <w:rPr>
          <w:noProof/>
          <w:sz w:val="22"/>
          <w:szCs w:val="22"/>
        </w:rPr>
      </w:pPr>
      <w:hyperlink w:anchor="_Toc51832351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_Toc518323516 \h </w:instrText>
        </w:r>
        <w:r w:rsidR="001853BF">
          <w:rPr>
            <w:noProof/>
            <w:webHidden/>
          </w:rPr>
        </w:r>
        <w:r w:rsidR="001853BF">
          <w:rPr>
            <w:noProof/>
            <w:webHidden/>
          </w:rPr>
          <w:fldChar w:fldCharType="separate"/>
        </w:r>
        <w:r w:rsidR="001853BF">
          <w:rPr>
            <w:noProof/>
            <w:webHidden/>
          </w:rPr>
          <w:t>501</w:t>
        </w:r>
        <w:r w:rsidR="001853BF">
          <w:rPr>
            <w:noProof/>
            <w:webHidden/>
          </w:rPr>
          <w:fldChar w:fldCharType="end"/>
        </w:r>
      </w:hyperlink>
    </w:p>
    <w:p w14:paraId="482D131D" w14:textId="77777777" w:rsidR="001853BF" w:rsidRDefault="00E35F15">
      <w:pPr>
        <w:pStyle w:val="TOC3"/>
        <w:tabs>
          <w:tab w:val="right" w:leader="dot" w:pos="8630"/>
        </w:tabs>
        <w:rPr>
          <w:noProof/>
        </w:rPr>
      </w:pPr>
      <w:hyperlink w:anchor="_Toc518323517" w:history="1">
        <w:r w:rsidR="001853BF" w:rsidRPr="000F1856">
          <w:rPr>
            <w:rStyle w:val="Hyperlink"/>
            <w:i/>
            <w:noProof/>
          </w:rPr>
          <w:t>Indiana Harbor Belt R.R. v. American Cyanamid Co</w:t>
        </w:r>
        <w:r w:rsidR="001853BF">
          <w:rPr>
            <w:noProof/>
            <w:webHidden/>
          </w:rPr>
          <w:tab/>
        </w:r>
        <w:r w:rsidR="001853BF">
          <w:rPr>
            <w:noProof/>
            <w:webHidden/>
          </w:rPr>
          <w:fldChar w:fldCharType="begin"/>
        </w:r>
        <w:r w:rsidR="001853BF">
          <w:rPr>
            <w:noProof/>
            <w:webHidden/>
          </w:rPr>
          <w:instrText xml:space="preserve"> PAGEREF _Toc518323517 \h </w:instrText>
        </w:r>
        <w:r w:rsidR="001853BF">
          <w:rPr>
            <w:noProof/>
            <w:webHidden/>
          </w:rPr>
        </w:r>
        <w:r w:rsidR="001853BF">
          <w:rPr>
            <w:noProof/>
            <w:webHidden/>
          </w:rPr>
          <w:fldChar w:fldCharType="separate"/>
        </w:r>
        <w:r w:rsidR="001853BF">
          <w:rPr>
            <w:noProof/>
            <w:webHidden/>
          </w:rPr>
          <w:t>503</w:t>
        </w:r>
        <w:r w:rsidR="001853BF">
          <w:rPr>
            <w:noProof/>
            <w:webHidden/>
          </w:rPr>
          <w:fldChar w:fldCharType="end"/>
        </w:r>
      </w:hyperlink>
    </w:p>
    <w:p w14:paraId="04430CDD" w14:textId="77777777" w:rsidR="001853BF" w:rsidRDefault="00E35F15">
      <w:pPr>
        <w:pStyle w:val="TOC4"/>
        <w:tabs>
          <w:tab w:val="right" w:leader="dot" w:pos="8630"/>
        </w:tabs>
        <w:rPr>
          <w:noProof/>
          <w:sz w:val="22"/>
          <w:szCs w:val="22"/>
        </w:rPr>
      </w:pPr>
      <w:hyperlink w:anchor="_Toc51832351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_Toc518323518 \h </w:instrText>
        </w:r>
        <w:r w:rsidR="001853BF">
          <w:rPr>
            <w:noProof/>
            <w:webHidden/>
          </w:rPr>
        </w:r>
        <w:r w:rsidR="001853BF">
          <w:rPr>
            <w:noProof/>
            <w:webHidden/>
          </w:rPr>
          <w:fldChar w:fldCharType="separate"/>
        </w:r>
        <w:r w:rsidR="001853BF">
          <w:rPr>
            <w:noProof/>
            <w:webHidden/>
          </w:rPr>
          <w:t>508</w:t>
        </w:r>
        <w:r w:rsidR="001853BF">
          <w:rPr>
            <w:noProof/>
            <w:webHidden/>
          </w:rPr>
          <w:fldChar w:fldCharType="end"/>
        </w:r>
      </w:hyperlink>
    </w:p>
    <w:p w14:paraId="1B513F26" w14:textId="77777777" w:rsidR="001853BF" w:rsidRDefault="00E35F15">
      <w:pPr>
        <w:pStyle w:val="TOC2"/>
        <w:tabs>
          <w:tab w:val="right" w:leader="dot" w:pos="8630"/>
        </w:tabs>
        <w:rPr>
          <w:b w:val="0"/>
          <w:noProof/>
        </w:rPr>
      </w:pPr>
      <w:hyperlink w:anchor="_Toc518323519" w:history="1">
        <w:r w:rsidR="001853BF" w:rsidRPr="000F1856">
          <w:rPr>
            <w:rStyle w:val="Hyperlink"/>
            <w:noProof/>
          </w:rPr>
          <w:t>C.  Nuisance</w:t>
        </w:r>
        <w:r w:rsidR="001853BF">
          <w:rPr>
            <w:noProof/>
            <w:webHidden/>
          </w:rPr>
          <w:tab/>
        </w:r>
        <w:r w:rsidR="001853BF">
          <w:rPr>
            <w:noProof/>
            <w:webHidden/>
          </w:rPr>
          <w:fldChar w:fldCharType="begin"/>
        </w:r>
        <w:r w:rsidR="001853BF">
          <w:rPr>
            <w:noProof/>
            <w:webHidden/>
          </w:rPr>
          <w:instrText xml:space="preserve"> PAGEREF _Toc518323519 \h </w:instrText>
        </w:r>
        <w:r w:rsidR="001853BF">
          <w:rPr>
            <w:noProof/>
            <w:webHidden/>
          </w:rPr>
        </w:r>
        <w:r w:rsidR="001853BF">
          <w:rPr>
            <w:noProof/>
            <w:webHidden/>
          </w:rPr>
          <w:fldChar w:fldCharType="separate"/>
        </w:r>
        <w:r w:rsidR="001853BF">
          <w:rPr>
            <w:noProof/>
            <w:webHidden/>
          </w:rPr>
          <w:t>510</w:t>
        </w:r>
        <w:r w:rsidR="001853BF">
          <w:rPr>
            <w:noProof/>
            <w:webHidden/>
          </w:rPr>
          <w:fldChar w:fldCharType="end"/>
        </w:r>
      </w:hyperlink>
    </w:p>
    <w:p w14:paraId="16F04583" w14:textId="77777777" w:rsidR="001853BF" w:rsidRDefault="00E35F15">
      <w:pPr>
        <w:pStyle w:val="TOC3"/>
        <w:tabs>
          <w:tab w:val="right" w:leader="dot" w:pos="8630"/>
        </w:tabs>
        <w:rPr>
          <w:noProof/>
        </w:rPr>
      </w:pPr>
      <w:hyperlink w:anchor="_Toc518323520" w:history="1">
        <w:r w:rsidR="001853BF" w:rsidRPr="000F1856">
          <w:rPr>
            <w:rStyle w:val="Hyperlink"/>
            <w:noProof/>
          </w:rPr>
          <w:t>1.  Private Nuisance</w:t>
        </w:r>
        <w:r w:rsidR="001853BF">
          <w:rPr>
            <w:noProof/>
            <w:webHidden/>
          </w:rPr>
          <w:tab/>
        </w:r>
        <w:r w:rsidR="001853BF">
          <w:rPr>
            <w:noProof/>
            <w:webHidden/>
          </w:rPr>
          <w:fldChar w:fldCharType="begin"/>
        </w:r>
        <w:r w:rsidR="001853BF">
          <w:rPr>
            <w:noProof/>
            <w:webHidden/>
          </w:rPr>
          <w:instrText xml:space="preserve"> PAGEREF _Toc518323520 \h </w:instrText>
        </w:r>
        <w:r w:rsidR="001853BF">
          <w:rPr>
            <w:noProof/>
            <w:webHidden/>
          </w:rPr>
        </w:r>
        <w:r w:rsidR="001853BF">
          <w:rPr>
            <w:noProof/>
            <w:webHidden/>
          </w:rPr>
          <w:fldChar w:fldCharType="separate"/>
        </w:r>
        <w:r w:rsidR="001853BF">
          <w:rPr>
            <w:noProof/>
            <w:webHidden/>
          </w:rPr>
          <w:t>510</w:t>
        </w:r>
        <w:r w:rsidR="001853BF">
          <w:rPr>
            <w:noProof/>
            <w:webHidden/>
          </w:rPr>
          <w:fldChar w:fldCharType="end"/>
        </w:r>
      </w:hyperlink>
    </w:p>
    <w:p w14:paraId="1AA7689E" w14:textId="77777777" w:rsidR="001853BF" w:rsidRDefault="00E35F15">
      <w:pPr>
        <w:pStyle w:val="TOC4"/>
        <w:tabs>
          <w:tab w:val="right" w:leader="dot" w:pos="8630"/>
        </w:tabs>
        <w:rPr>
          <w:noProof/>
          <w:sz w:val="22"/>
          <w:szCs w:val="22"/>
        </w:rPr>
      </w:pPr>
      <w:hyperlink w:anchor="_Toc518323521" w:history="1">
        <w:r w:rsidR="001853BF" w:rsidRPr="00FD75E5">
          <w:rPr>
            <w:rStyle w:val="Hyperlink"/>
            <w:i/>
            <w:noProof/>
          </w:rPr>
          <w:t>Fontainebleau Hotel Corp. v. Forty-Five Twenty-Five, Inc</w:t>
        </w:r>
        <w:r w:rsidR="001853BF">
          <w:rPr>
            <w:noProof/>
            <w:webHidden/>
          </w:rPr>
          <w:tab/>
        </w:r>
        <w:r w:rsidR="001853BF">
          <w:rPr>
            <w:noProof/>
            <w:webHidden/>
          </w:rPr>
          <w:fldChar w:fldCharType="begin"/>
        </w:r>
        <w:r w:rsidR="001853BF">
          <w:rPr>
            <w:noProof/>
            <w:webHidden/>
          </w:rPr>
          <w:instrText xml:space="preserve"> PAGEREF _Toc518323521 \h </w:instrText>
        </w:r>
        <w:r w:rsidR="001853BF">
          <w:rPr>
            <w:noProof/>
            <w:webHidden/>
          </w:rPr>
        </w:r>
        <w:r w:rsidR="001853BF">
          <w:rPr>
            <w:noProof/>
            <w:webHidden/>
          </w:rPr>
          <w:fldChar w:fldCharType="separate"/>
        </w:r>
        <w:r w:rsidR="001853BF">
          <w:rPr>
            <w:noProof/>
            <w:webHidden/>
          </w:rPr>
          <w:t>510</w:t>
        </w:r>
        <w:r w:rsidR="001853BF">
          <w:rPr>
            <w:noProof/>
            <w:webHidden/>
          </w:rPr>
          <w:fldChar w:fldCharType="end"/>
        </w:r>
      </w:hyperlink>
    </w:p>
    <w:p w14:paraId="23652774" w14:textId="77777777" w:rsidR="001853BF" w:rsidRDefault="00E35F15">
      <w:pPr>
        <w:pStyle w:val="TOC5"/>
        <w:tabs>
          <w:tab w:val="right" w:leader="dot" w:pos="8630"/>
        </w:tabs>
        <w:rPr>
          <w:noProof/>
          <w:sz w:val="22"/>
          <w:szCs w:val="22"/>
        </w:rPr>
      </w:pPr>
      <w:hyperlink w:anchor="_Toc51832352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_Toc518323522 \h </w:instrText>
        </w:r>
        <w:r w:rsidR="001853BF">
          <w:rPr>
            <w:noProof/>
            <w:webHidden/>
          </w:rPr>
        </w:r>
        <w:r w:rsidR="001853BF">
          <w:rPr>
            <w:noProof/>
            <w:webHidden/>
          </w:rPr>
          <w:fldChar w:fldCharType="separate"/>
        </w:r>
        <w:r w:rsidR="001853BF">
          <w:rPr>
            <w:noProof/>
            <w:webHidden/>
          </w:rPr>
          <w:t>512</w:t>
        </w:r>
        <w:r w:rsidR="001853BF">
          <w:rPr>
            <w:noProof/>
            <w:webHidden/>
          </w:rPr>
          <w:fldChar w:fldCharType="end"/>
        </w:r>
      </w:hyperlink>
    </w:p>
    <w:p w14:paraId="7AA74D80" w14:textId="77777777" w:rsidR="001853BF" w:rsidRDefault="00E35F15">
      <w:pPr>
        <w:pStyle w:val="TOC4"/>
        <w:tabs>
          <w:tab w:val="right" w:leader="dot" w:pos="8630"/>
        </w:tabs>
        <w:rPr>
          <w:noProof/>
          <w:sz w:val="22"/>
          <w:szCs w:val="22"/>
        </w:rPr>
      </w:pPr>
      <w:hyperlink w:anchor="_Toc518323523" w:history="1">
        <w:r w:rsidR="001853BF" w:rsidRPr="00FD75E5">
          <w:rPr>
            <w:rStyle w:val="Hyperlink"/>
            <w:i/>
            <w:noProof/>
          </w:rPr>
          <w:t>Ensign v. Walls</w:t>
        </w:r>
        <w:r w:rsidR="001853BF">
          <w:rPr>
            <w:noProof/>
            <w:webHidden/>
          </w:rPr>
          <w:tab/>
        </w:r>
        <w:r w:rsidR="001853BF">
          <w:rPr>
            <w:noProof/>
            <w:webHidden/>
          </w:rPr>
          <w:fldChar w:fldCharType="begin"/>
        </w:r>
        <w:r w:rsidR="001853BF">
          <w:rPr>
            <w:noProof/>
            <w:webHidden/>
          </w:rPr>
          <w:instrText xml:space="preserve"> PAGEREF _Toc518323523 \h </w:instrText>
        </w:r>
        <w:r w:rsidR="001853BF">
          <w:rPr>
            <w:noProof/>
            <w:webHidden/>
          </w:rPr>
        </w:r>
        <w:r w:rsidR="001853BF">
          <w:rPr>
            <w:noProof/>
            <w:webHidden/>
          </w:rPr>
          <w:fldChar w:fldCharType="separate"/>
        </w:r>
        <w:r w:rsidR="001853BF">
          <w:rPr>
            <w:noProof/>
            <w:webHidden/>
          </w:rPr>
          <w:t>515</w:t>
        </w:r>
        <w:r w:rsidR="001853BF">
          <w:rPr>
            <w:noProof/>
            <w:webHidden/>
          </w:rPr>
          <w:fldChar w:fldCharType="end"/>
        </w:r>
      </w:hyperlink>
    </w:p>
    <w:p w14:paraId="7F5528D3" w14:textId="77777777" w:rsidR="001853BF" w:rsidRDefault="00E35F15">
      <w:pPr>
        <w:pStyle w:val="TOC5"/>
        <w:tabs>
          <w:tab w:val="right" w:leader="dot" w:pos="8630"/>
        </w:tabs>
        <w:rPr>
          <w:noProof/>
          <w:sz w:val="22"/>
          <w:szCs w:val="22"/>
        </w:rPr>
      </w:pPr>
      <w:hyperlink w:anchor="_Toc51832352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_Toc518323524 \h </w:instrText>
        </w:r>
        <w:r w:rsidR="001853BF">
          <w:rPr>
            <w:noProof/>
            <w:webHidden/>
          </w:rPr>
        </w:r>
        <w:r w:rsidR="001853BF">
          <w:rPr>
            <w:noProof/>
            <w:webHidden/>
          </w:rPr>
          <w:fldChar w:fldCharType="separate"/>
        </w:r>
        <w:r w:rsidR="001853BF">
          <w:rPr>
            <w:noProof/>
            <w:webHidden/>
          </w:rPr>
          <w:t>516</w:t>
        </w:r>
        <w:r w:rsidR="001853BF">
          <w:rPr>
            <w:noProof/>
            <w:webHidden/>
          </w:rPr>
          <w:fldChar w:fldCharType="end"/>
        </w:r>
      </w:hyperlink>
    </w:p>
    <w:p w14:paraId="010C1447" w14:textId="77777777" w:rsidR="001853BF" w:rsidRDefault="00E35F15">
      <w:pPr>
        <w:pStyle w:val="TOC4"/>
        <w:tabs>
          <w:tab w:val="right" w:leader="dot" w:pos="8630"/>
        </w:tabs>
        <w:rPr>
          <w:noProof/>
          <w:sz w:val="22"/>
          <w:szCs w:val="22"/>
        </w:rPr>
      </w:pPr>
      <w:hyperlink w:anchor="_Toc518323525" w:history="1">
        <w:r w:rsidR="001853BF" w:rsidRPr="00FD75E5">
          <w:rPr>
            <w:rStyle w:val="Hyperlink"/>
            <w:i/>
            <w:noProof/>
          </w:rPr>
          <w:t>Boomer v. Atlantic Cement Co</w:t>
        </w:r>
        <w:r w:rsidR="001853BF">
          <w:rPr>
            <w:noProof/>
            <w:webHidden/>
          </w:rPr>
          <w:tab/>
        </w:r>
        <w:r w:rsidR="001853BF">
          <w:rPr>
            <w:noProof/>
            <w:webHidden/>
          </w:rPr>
          <w:fldChar w:fldCharType="begin"/>
        </w:r>
        <w:r w:rsidR="001853BF">
          <w:rPr>
            <w:noProof/>
            <w:webHidden/>
          </w:rPr>
          <w:instrText xml:space="preserve"> PAGEREF _Toc518323525 \h </w:instrText>
        </w:r>
        <w:r w:rsidR="001853BF">
          <w:rPr>
            <w:noProof/>
            <w:webHidden/>
          </w:rPr>
        </w:r>
        <w:r w:rsidR="001853BF">
          <w:rPr>
            <w:noProof/>
            <w:webHidden/>
          </w:rPr>
          <w:fldChar w:fldCharType="separate"/>
        </w:r>
        <w:r w:rsidR="001853BF">
          <w:rPr>
            <w:noProof/>
            <w:webHidden/>
          </w:rPr>
          <w:t>520</w:t>
        </w:r>
        <w:r w:rsidR="001853BF">
          <w:rPr>
            <w:noProof/>
            <w:webHidden/>
          </w:rPr>
          <w:fldChar w:fldCharType="end"/>
        </w:r>
      </w:hyperlink>
    </w:p>
    <w:p w14:paraId="47729161" w14:textId="77777777" w:rsidR="001853BF" w:rsidRDefault="00E35F15">
      <w:pPr>
        <w:pStyle w:val="TOC5"/>
        <w:tabs>
          <w:tab w:val="right" w:leader="dot" w:pos="8630"/>
        </w:tabs>
        <w:rPr>
          <w:noProof/>
          <w:sz w:val="22"/>
          <w:szCs w:val="22"/>
        </w:rPr>
      </w:pPr>
      <w:hyperlink w:anchor="_Toc51832352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_Toc518323526 \h </w:instrText>
        </w:r>
        <w:r w:rsidR="001853BF">
          <w:rPr>
            <w:noProof/>
            <w:webHidden/>
          </w:rPr>
        </w:r>
        <w:r w:rsidR="001853BF">
          <w:rPr>
            <w:noProof/>
            <w:webHidden/>
          </w:rPr>
          <w:fldChar w:fldCharType="separate"/>
        </w:r>
        <w:r w:rsidR="001853BF">
          <w:rPr>
            <w:noProof/>
            <w:webHidden/>
          </w:rPr>
          <w:t>523</w:t>
        </w:r>
        <w:r w:rsidR="001853BF">
          <w:rPr>
            <w:noProof/>
            <w:webHidden/>
          </w:rPr>
          <w:fldChar w:fldCharType="end"/>
        </w:r>
      </w:hyperlink>
    </w:p>
    <w:p w14:paraId="114008D0" w14:textId="77777777" w:rsidR="001853BF" w:rsidRDefault="00E35F15">
      <w:pPr>
        <w:pStyle w:val="TOC4"/>
        <w:tabs>
          <w:tab w:val="right" w:leader="dot" w:pos="8630"/>
        </w:tabs>
        <w:rPr>
          <w:noProof/>
          <w:sz w:val="22"/>
          <w:szCs w:val="22"/>
        </w:rPr>
      </w:pPr>
      <w:hyperlink w:anchor="_Toc518323527" w:history="1">
        <w:r w:rsidR="001853BF" w:rsidRPr="000F1856">
          <w:rPr>
            <w:rStyle w:val="Hyperlink"/>
            <w:noProof/>
          </w:rPr>
          <w:t>S</w:t>
        </w:r>
        <w:r w:rsidR="001853BF" w:rsidRPr="00FD75E5">
          <w:rPr>
            <w:rStyle w:val="Hyperlink"/>
            <w:i/>
            <w:noProof/>
          </w:rPr>
          <w:t>pur Industries v. Del Webb Development Co</w:t>
        </w:r>
        <w:r w:rsidR="001853BF">
          <w:rPr>
            <w:noProof/>
            <w:webHidden/>
          </w:rPr>
          <w:tab/>
        </w:r>
        <w:r w:rsidR="001853BF">
          <w:rPr>
            <w:noProof/>
            <w:webHidden/>
          </w:rPr>
          <w:fldChar w:fldCharType="begin"/>
        </w:r>
        <w:r w:rsidR="001853BF">
          <w:rPr>
            <w:noProof/>
            <w:webHidden/>
          </w:rPr>
          <w:instrText xml:space="preserve"> PAGEREF _Toc518323527 \h </w:instrText>
        </w:r>
        <w:r w:rsidR="001853BF">
          <w:rPr>
            <w:noProof/>
            <w:webHidden/>
          </w:rPr>
        </w:r>
        <w:r w:rsidR="001853BF">
          <w:rPr>
            <w:noProof/>
            <w:webHidden/>
          </w:rPr>
          <w:fldChar w:fldCharType="separate"/>
        </w:r>
        <w:r w:rsidR="001853BF">
          <w:rPr>
            <w:noProof/>
            <w:webHidden/>
          </w:rPr>
          <w:t>526</w:t>
        </w:r>
        <w:r w:rsidR="001853BF">
          <w:rPr>
            <w:noProof/>
            <w:webHidden/>
          </w:rPr>
          <w:fldChar w:fldCharType="end"/>
        </w:r>
      </w:hyperlink>
    </w:p>
    <w:p w14:paraId="609ED8F2" w14:textId="77777777" w:rsidR="001853BF" w:rsidRDefault="00E35F15">
      <w:pPr>
        <w:pStyle w:val="TOC5"/>
        <w:tabs>
          <w:tab w:val="right" w:leader="dot" w:pos="8630"/>
        </w:tabs>
        <w:rPr>
          <w:noProof/>
          <w:sz w:val="22"/>
          <w:szCs w:val="22"/>
        </w:rPr>
      </w:pPr>
      <w:hyperlink w:anchor="_Toc51832352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_Toc518323528 \h </w:instrText>
        </w:r>
        <w:r w:rsidR="001853BF">
          <w:rPr>
            <w:noProof/>
            <w:webHidden/>
          </w:rPr>
        </w:r>
        <w:r w:rsidR="001853BF">
          <w:rPr>
            <w:noProof/>
            <w:webHidden/>
          </w:rPr>
          <w:fldChar w:fldCharType="separate"/>
        </w:r>
        <w:r w:rsidR="001853BF">
          <w:rPr>
            <w:noProof/>
            <w:webHidden/>
          </w:rPr>
          <w:t>529</w:t>
        </w:r>
        <w:r w:rsidR="001853BF">
          <w:rPr>
            <w:noProof/>
            <w:webHidden/>
          </w:rPr>
          <w:fldChar w:fldCharType="end"/>
        </w:r>
      </w:hyperlink>
    </w:p>
    <w:p w14:paraId="48F59D65" w14:textId="77777777" w:rsidR="001853BF" w:rsidRDefault="00E35F15">
      <w:pPr>
        <w:pStyle w:val="TOC3"/>
        <w:tabs>
          <w:tab w:val="right" w:leader="dot" w:pos="8630"/>
        </w:tabs>
        <w:rPr>
          <w:noProof/>
        </w:rPr>
      </w:pPr>
      <w:hyperlink w:anchor="_Toc518323529" w:history="1">
        <w:r w:rsidR="001853BF" w:rsidRPr="000F1856">
          <w:rPr>
            <w:rStyle w:val="Hyperlink"/>
            <w:noProof/>
          </w:rPr>
          <w:t>2.  Public Nuisance</w:t>
        </w:r>
        <w:r w:rsidR="001853BF">
          <w:rPr>
            <w:noProof/>
            <w:webHidden/>
          </w:rPr>
          <w:tab/>
        </w:r>
        <w:r w:rsidR="001853BF">
          <w:rPr>
            <w:noProof/>
            <w:webHidden/>
          </w:rPr>
          <w:fldChar w:fldCharType="begin"/>
        </w:r>
        <w:r w:rsidR="001853BF">
          <w:rPr>
            <w:noProof/>
            <w:webHidden/>
          </w:rPr>
          <w:instrText xml:space="preserve"> PAGEREF _Toc518323529 \h </w:instrText>
        </w:r>
        <w:r w:rsidR="001853BF">
          <w:rPr>
            <w:noProof/>
            <w:webHidden/>
          </w:rPr>
        </w:r>
        <w:r w:rsidR="001853BF">
          <w:rPr>
            <w:noProof/>
            <w:webHidden/>
          </w:rPr>
          <w:fldChar w:fldCharType="separate"/>
        </w:r>
        <w:r w:rsidR="001853BF">
          <w:rPr>
            <w:noProof/>
            <w:webHidden/>
          </w:rPr>
          <w:t>531</w:t>
        </w:r>
        <w:r w:rsidR="001853BF">
          <w:rPr>
            <w:noProof/>
            <w:webHidden/>
          </w:rPr>
          <w:fldChar w:fldCharType="end"/>
        </w:r>
      </w:hyperlink>
    </w:p>
    <w:p w14:paraId="11A41199" w14:textId="77777777" w:rsidR="001853BF" w:rsidRDefault="00E35F15">
      <w:pPr>
        <w:pStyle w:val="TOC4"/>
        <w:tabs>
          <w:tab w:val="right" w:leader="dot" w:pos="8630"/>
        </w:tabs>
        <w:rPr>
          <w:noProof/>
          <w:sz w:val="22"/>
          <w:szCs w:val="22"/>
        </w:rPr>
      </w:pPr>
      <w:hyperlink w:anchor="_Toc518323530" w:history="1">
        <w:r w:rsidR="001853BF" w:rsidRPr="00FD75E5">
          <w:rPr>
            <w:rStyle w:val="Hyperlink"/>
            <w:i/>
            <w:noProof/>
          </w:rPr>
          <w:t>Leo v. General Electric Co</w:t>
        </w:r>
        <w:r w:rsidR="001853BF">
          <w:rPr>
            <w:noProof/>
            <w:webHidden/>
          </w:rPr>
          <w:tab/>
        </w:r>
        <w:r w:rsidR="001853BF">
          <w:rPr>
            <w:noProof/>
            <w:webHidden/>
          </w:rPr>
          <w:fldChar w:fldCharType="begin"/>
        </w:r>
        <w:r w:rsidR="001853BF">
          <w:rPr>
            <w:noProof/>
            <w:webHidden/>
          </w:rPr>
          <w:instrText xml:space="preserve"> PAGEREF _Toc518323530 \h </w:instrText>
        </w:r>
        <w:r w:rsidR="001853BF">
          <w:rPr>
            <w:noProof/>
            <w:webHidden/>
          </w:rPr>
        </w:r>
        <w:r w:rsidR="001853BF">
          <w:rPr>
            <w:noProof/>
            <w:webHidden/>
          </w:rPr>
          <w:fldChar w:fldCharType="separate"/>
        </w:r>
        <w:r w:rsidR="001853BF">
          <w:rPr>
            <w:noProof/>
            <w:webHidden/>
          </w:rPr>
          <w:t>531</w:t>
        </w:r>
        <w:r w:rsidR="001853BF">
          <w:rPr>
            <w:noProof/>
            <w:webHidden/>
          </w:rPr>
          <w:fldChar w:fldCharType="end"/>
        </w:r>
      </w:hyperlink>
    </w:p>
    <w:p w14:paraId="5E43CF41" w14:textId="77777777" w:rsidR="001853BF" w:rsidRDefault="00E35F15">
      <w:pPr>
        <w:pStyle w:val="TOC4"/>
        <w:tabs>
          <w:tab w:val="right" w:leader="dot" w:pos="8630"/>
        </w:tabs>
        <w:rPr>
          <w:noProof/>
          <w:sz w:val="22"/>
          <w:szCs w:val="22"/>
        </w:rPr>
      </w:pPr>
      <w:hyperlink w:anchor="_Toc518323531" w:history="1">
        <w:r w:rsidR="001853BF" w:rsidRPr="00FD75E5">
          <w:rPr>
            <w:rStyle w:val="Hyperlink"/>
            <w:i/>
            <w:noProof/>
          </w:rPr>
          <w:t>532 Madison Avenue Gourmet Foods, Inc. v. Finlandia Center</w:t>
        </w:r>
        <w:r w:rsidR="001853BF">
          <w:rPr>
            <w:noProof/>
            <w:webHidden/>
          </w:rPr>
          <w:tab/>
        </w:r>
        <w:r w:rsidR="001853BF">
          <w:rPr>
            <w:noProof/>
            <w:webHidden/>
          </w:rPr>
          <w:fldChar w:fldCharType="begin"/>
        </w:r>
        <w:r w:rsidR="001853BF">
          <w:rPr>
            <w:noProof/>
            <w:webHidden/>
          </w:rPr>
          <w:instrText xml:space="preserve"> PAGEREF _Toc518323531 \h </w:instrText>
        </w:r>
        <w:r w:rsidR="001853BF">
          <w:rPr>
            <w:noProof/>
            <w:webHidden/>
          </w:rPr>
        </w:r>
        <w:r w:rsidR="001853BF">
          <w:rPr>
            <w:noProof/>
            <w:webHidden/>
          </w:rPr>
          <w:fldChar w:fldCharType="separate"/>
        </w:r>
        <w:r w:rsidR="001853BF">
          <w:rPr>
            <w:noProof/>
            <w:webHidden/>
          </w:rPr>
          <w:t>533</w:t>
        </w:r>
        <w:r w:rsidR="001853BF">
          <w:rPr>
            <w:noProof/>
            <w:webHidden/>
          </w:rPr>
          <w:fldChar w:fldCharType="end"/>
        </w:r>
      </w:hyperlink>
    </w:p>
    <w:p w14:paraId="6A72E50D" w14:textId="77777777" w:rsidR="001853BF" w:rsidRDefault="00E35F15">
      <w:pPr>
        <w:pStyle w:val="TOC5"/>
        <w:tabs>
          <w:tab w:val="right" w:leader="dot" w:pos="8630"/>
        </w:tabs>
        <w:rPr>
          <w:noProof/>
          <w:sz w:val="22"/>
          <w:szCs w:val="22"/>
        </w:rPr>
      </w:pPr>
      <w:hyperlink w:anchor="_Toc51832353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_Toc518323532 \h </w:instrText>
        </w:r>
        <w:r w:rsidR="001853BF">
          <w:rPr>
            <w:noProof/>
            <w:webHidden/>
          </w:rPr>
        </w:r>
        <w:r w:rsidR="001853BF">
          <w:rPr>
            <w:noProof/>
            <w:webHidden/>
          </w:rPr>
          <w:fldChar w:fldCharType="separate"/>
        </w:r>
        <w:r w:rsidR="001853BF">
          <w:rPr>
            <w:noProof/>
            <w:webHidden/>
          </w:rPr>
          <w:t>534</w:t>
        </w:r>
        <w:r w:rsidR="001853BF">
          <w:rPr>
            <w:noProof/>
            <w:webHidden/>
          </w:rPr>
          <w:fldChar w:fldCharType="end"/>
        </w:r>
      </w:hyperlink>
    </w:p>
    <w:p w14:paraId="54CA07E7" w14:textId="77777777" w:rsidR="001853BF" w:rsidRDefault="00E35F15">
      <w:pPr>
        <w:pStyle w:val="TOC4"/>
        <w:tabs>
          <w:tab w:val="right" w:leader="dot" w:pos="8630"/>
        </w:tabs>
        <w:rPr>
          <w:noProof/>
          <w:sz w:val="22"/>
          <w:szCs w:val="22"/>
        </w:rPr>
      </w:pPr>
      <w:hyperlink w:anchor="_Toc518323533" w:history="1">
        <w:r w:rsidR="001853BF" w:rsidRPr="000F1856">
          <w:rPr>
            <w:rStyle w:val="Hyperlink"/>
            <w:noProof/>
          </w:rPr>
          <w:t>The Rhode Island Lead Paint Saga</w:t>
        </w:r>
        <w:r w:rsidR="001853BF">
          <w:rPr>
            <w:noProof/>
            <w:webHidden/>
          </w:rPr>
          <w:tab/>
        </w:r>
        <w:r w:rsidR="001853BF">
          <w:rPr>
            <w:noProof/>
            <w:webHidden/>
          </w:rPr>
          <w:fldChar w:fldCharType="begin"/>
        </w:r>
        <w:r w:rsidR="001853BF">
          <w:rPr>
            <w:noProof/>
            <w:webHidden/>
          </w:rPr>
          <w:instrText xml:space="preserve"> PAGEREF _Toc518323533 \h </w:instrText>
        </w:r>
        <w:r w:rsidR="001853BF">
          <w:rPr>
            <w:noProof/>
            <w:webHidden/>
          </w:rPr>
        </w:r>
        <w:r w:rsidR="001853BF">
          <w:rPr>
            <w:noProof/>
            <w:webHidden/>
          </w:rPr>
          <w:fldChar w:fldCharType="separate"/>
        </w:r>
        <w:r w:rsidR="001853BF">
          <w:rPr>
            <w:noProof/>
            <w:webHidden/>
          </w:rPr>
          <w:t>535</w:t>
        </w:r>
        <w:r w:rsidR="001853BF">
          <w:rPr>
            <w:noProof/>
            <w:webHidden/>
          </w:rPr>
          <w:fldChar w:fldCharType="end"/>
        </w:r>
      </w:hyperlink>
    </w:p>
    <w:p w14:paraId="659DFD23" w14:textId="77777777" w:rsidR="001853BF" w:rsidRDefault="00E35F15">
      <w:pPr>
        <w:pStyle w:val="TOC5"/>
        <w:tabs>
          <w:tab w:val="right" w:leader="dot" w:pos="8630"/>
        </w:tabs>
        <w:rPr>
          <w:noProof/>
          <w:sz w:val="22"/>
          <w:szCs w:val="22"/>
        </w:rPr>
      </w:pPr>
      <w:hyperlink w:anchor="_Toc518323534" w:history="1">
        <w:r w:rsidR="001853BF" w:rsidRPr="000F1856">
          <w:rPr>
            <w:rStyle w:val="Hyperlink"/>
            <w:noProof/>
          </w:rPr>
          <w:t>Peter B. Lord, “3 companies found liable in lead-paint nuisance suit,” Providence Journal</w:t>
        </w:r>
        <w:r w:rsidR="001853BF">
          <w:rPr>
            <w:noProof/>
            <w:webHidden/>
          </w:rPr>
          <w:tab/>
        </w:r>
        <w:r w:rsidR="001853BF">
          <w:rPr>
            <w:noProof/>
            <w:webHidden/>
          </w:rPr>
          <w:fldChar w:fldCharType="begin"/>
        </w:r>
        <w:r w:rsidR="001853BF">
          <w:rPr>
            <w:noProof/>
            <w:webHidden/>
          </w:rPr>
          <w:instrText xml:space="preserve"> PAGEREF _Toc518323534 \h </w:instrText>
        </w:r>
        <w:r w:rsidR="001853BF">
          <w:rPr>
            <w:noProof/>
            <w:webHidden/>
          </w:rPr>
        </w:r>
        <w:r w:rsidR="001853BF">
          <w:rPr>
            <w:noProof/>
            <w:webHidden/>
          </w:rPr>
          <w:fldChar w:fldCharType="separate"/>
        </w:r>
        <w:r w:rsidR="001853BF">
          <w:rPr>
            <w:noProof/>
            <w:webHidden/>
          </w:rPr>
          <w:t>535</w:t>
        </w:r>
        <w:r w:rsidR="001853BF">
          <w:rPr>
            <w:noProof/>
            <w:webHidden/>
          </w:rPr>
          <w:fldChar w:fldCharType="end"/>
        </w:r>
      </w:hyperlink>
    </w:p>
    <w:p w14:paraId="790507D8" w14:textId="77777777" w:rsidR="001853BF" w:rsidRDefault="00E35F15">
      <w:pPr>
        <w:pStyle w:val="TOC5"/>
        <w:tabs>
          <w:tab w:val="right" w:leader="dot" w:pos="8630"/>
        </w:tabs>
        <w:rPr>
          <w:noProof/>
          <w:sz w:val="22"/>
          <w:szCs w:val="22"/>
        </w:rPr>
      </w:pPr>
      <w:hyperlink w:anchor="_Toc518323535" w:history="1">
        <w:r w:rsidR="001853BF" w:rsidRPr="000F1856">
          <w:rPr>
            <w:rStyle w:val="Hyperlink"/>
            <w:noProof/>
          </w:rPr>
          <w:t xml:space="preserve">Joe Nocera, “The Pursuit of Justice, or Money?,” </w:t>
        </w:r>
        <w:r w:rsidR="001853BF" w:rsidRPr="000F1856">
          <w:rPr>
            <w:rStyle w:val="Hyperlink"/>
            <w:smallCaps/>
            <w:noProof/>
          </w:rPr>
          <w:t>New York Times</w:t>
        </w:r>
        <w:r w:rsidR="001853BF">
          <w:rPr>
            <w:noProof/>
            <w:webHidden/>
          </w:rPr>
          <w:tab/>
        </w:r>
        <w:r w:rsidR="001853BF">
          <w:rPr>
            <w:noProof/>
            <w:webHidden/>
          </w:rPr>
          <w:fldChar w:fldCharType="begin"/>
        </w:r>
        <w:r w:rsidR="001853BF">
          <w:rPr>
            <w:noProof/>
            <w:webHidden/>
          </w:rPr>
          <w:instrText xml:space="preserve"> PAGEREF _Toc518323535 \h </w:instrText>
        </w:r>
        <w:r w:rsidR="001853BF">
          <w:rPr>
            <w:noProof/>
            <w:webHidden/>
          </w:rPr>
        </w:r>
        <w:r w:rsidR="001853BF">
          <w:rPr>
            <w:noProof/>
            <w:webHidden/>
          </w:rPr>
          <w:fldChar w:fldCharType="separate"/>
        </w:r>
        <w:r w:rsidR="001853BF">
          <w:rPr>
            <w:noProof/>
            <w:webHidden/>
          </w:rPr>
          <w:t>536</w:t>
        </w:r>
        <w:r w:rsidR="001853BF">
          <w:rPr>
            <w:noProof/>
            <w:webHidden/>
          </w:rPr>
          <w:fldChar w:fldCharType="end"/>
        </w:r>
      </w:hyperlink>
    </w:p>
    <w:p w14:paraId="510AEB65" w14:textId="77777777" w:rsidR="001853BF" w:rsidRDefault="00E35F15">
      <w:pPr>
        <w:pStyle w:val="TOC5"/>
        <w:tabs>
          <w:tab w:val="right" w:leader="dot" w:pos="8630"/>
        </w:tabs>
        <w:rPr>
          <w:noProof/>
          <w:sz w:val="22"/>
          <w:szCs w:val="22"/>
        </w:rPr>
      </w:pPr>
      <w:hyperlink w:anchor="_Toc518323536" w:history="1">
        <w:r w:rsidR="001853BF" w:rsidRPr="000F1856">
          <w:rPr>
            <w:rStyle w:val="Hyperlink"/>
            <w:noProof/>
          </w:rPr>
          <w:t xml:space="preserve">Peter B. Lord, “R.I. high court overturns lead-paint verdict,” </w:t>
        </w:r>
        <w:r w:rsidR="001853BF" w:rsidRPr="000F1856">
          <w:rPr>
            <w:rStyle w:val="Hyperlink"/>
            <w:smallCaps/>
            <w:noProof/>
          </w:rPr>
          <w:t>Providence Journal</w:t>
        </w:r>
        <w:r w:rsidR="001853BF">
          <w:rPr>
            <w:noProof/>
            <w:webHidden/>
          </w:rPr>
          <w:tab/>
        </w:r>
        <w:r w:rsidR="001853BF">
          <w:rPr>
            <w:noProof/>
            <w:webHidden/>
          </w:rPr>
          <w:fldChar w:fldCharType="begin"/>
        </w:r>
        <w:r w:rsidR="001853BF">
          <w:rPr>
            <w:noProof/>
            <w:webHidden/>
          </w:rPr>
          <w:instrText xml:space="preserve"> PAGEREF _Toc518323536 \h </w:instrText>
        </w:r>
        <w:r w:rsidR="001853BF">
          <w:rPr>
            <w:noProof/>
            <w:webHidden/>
          </w:rPr>
        </w:r>
        <w:r w:rsidR="001853BF">
          <w:rPr>
            <w:noProof/>
            <w:webHidden/>
          </w:rPr>
          <w:fldChar w:fldCharType="separate"/>
        </w:r>
        <w:r w:rsidR="001853BF">
          <w:rPr>
            <w:noProof/>
            <w:webHidden/>
          </w:rPr>
          <w:t>537</w:t>
        </w:r>
        <w:r w:rsidR="001853BF">
          <w:rPr>
            <w:noProof/>
            <w:webHidden/>
          </w:rPr>
          <w:fldChar w:fldCharType="end"/>
        </w:r>
      </w:hyperlink>
    </w:p>
    <w:p w14:paraId="2AF55A55" w14:textId="77777777" w:rsidR="001853BF" w:rsidRDefault="00E35F15">
      <w:pPr>
        <w:pStyle w:val="TOC4"/>
        <w:tabs>
          <w:tab w:val="right" w:leader="dot" w:pos="8630"/>
        </w:tabs>
        <w:rPr>
          <w:noProof/>
          <w:sz w:val="22"/>
          <w:szCs w:val="22"/>
        </w:rPr>
      </w:pPr>
      <w:hyperlink w:anchor="_Toc518323537" w:history="1">
        <w:r w:rsidR="001853BF" w:rsidRPr="00FD75E5">
          <w:rPr>
            <w:rStyle w:val="Hyperlink"/>
            <w:i/>
            <w:noProof/>
          </w:rPr>
          <w:t>Rhode Island v. Lead Industries Association</w:t>
        </w:r>
        <w:r w:rsidR="001853BF">
          <w:rPr>
            <w:noProof/>
            <w:webHidden/>
          </w:rPr>
          <w:tab/>
        </w:r>
        <w:r w:rsidR="001853BF">
          <w:rPr>
            <w:noProof/>
            <w:webHidden/>
          </w:rPr>
          <w:fldChar w:fldCharType="begin"/>
        </w:r>
        <w:r w:rsidR="001853BF">
          <w:rPr>
            <w:noProof/>
            <w:webHidden/>
          </w:rPr>
          <w:instrText xml:space="preserve"> PAGEREF _Toc518323537 \h </w:instrText>
        </w:r>
        <w:r w:rsidR="001853BF">
          <w:rPr>
            <w:noProof/>
            <w:webHidden/>
          </w:rPr>
        </w:r>
        <w:r w:rsidR="001853BF">
          <w:rPr>
            <w:noProof/>
            <w:webHidden/>
          </w:rPr>
          <w:fldChar w:fldCharType="separate"/>
        </w:r>
        <w:r w:rsidR="001853BF">
          <w:rPr>
            <w:noProof/>
            <w:webHidden/>
          </w:rPr>
          <w:t>537</w:t>
        </w:r>
        <w:r w:rsidR="001853BF">
          <w:rPr>
            <w:noProof/>
            <w:webHidden/>
          </w:rPr>
          <w:fldChar w:fldCharType="end"/>
        </w:r>
      </w:hyperlink>
    </w:p>
    <w:p w14:paraId="21974426" w14:textId="77777777" w:rsidR="001853BF" w:rsidRDefault="00E35F15">
      <w:pPr>
        <w:pStyle w:val="TOC5"/>
        <w:tabs>
          <w:tab w:val="right" w:leader="dot" w:pos="8630"/>
        </w:tabs>
        <w:rPr>
          <w:noProof/>
          <w:sz w:val="22"/>
          <w:szCs w:val="22"/>
        </w:rPr>
      </w:pPr>
      <w:hyperlink w:anchor="_Toc518323538"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_Toc518323538 \h </w:instrText>
        </w:r>
        <w:r w:rsidR="001853BF">
          <w:rPr>
            <w:noProof/>
            <w:webHidden/>
          </w:rPr>
        </w:r>
        <w:r w:rsidR="001853BF">
          <w:rPr>
            <w:noProof/>
            <w:webHidden/>
          </w:rPr>
          <w:fldChar w:fldCharType="separate"/>
        </w:r>
        <w:r w:rsidR="001853BF">
          <w:rPr>
            <w:noProof/>
            <w:webHidden/>
          </w:rPr>
          <w:t>540</w:t>
        </w:r>
        <w:r w:rsidR="001853BF">
          <w:rPr>
            <w:noProof/>
            <w:webHidden/>
          </w:rPr>
          <w:fldChar w:fldCharType="end"/>
        </w:r>
      </w:hyperlink>
    </w:p>
    <w:p w14:paraId="431E3468" w14:textId="77777777" w:rsidR="001853BF" w:rsidRDefault="00E35F15">
      <w:pPr>
        <w:pStyle w:val="TOC4"/>
        <w:tabs>
          <w:tab w:val="right" w:leader="dot" w:pos="8630"/>
        </w:tabs>
        <w:rPr>
          <w:noProof/>
          <w:sz w:val="22"/>
          <w:szCs w:val="22"/>
        </w:rPr>
      </w:pPr>
      <w:hyperlink w:anchor="_Toc518323539" w:history="1">
        <w:r w:rsidR="001853BF" w:rsidRPr="00FD75E5">
          <w:rPr>
            <w:rStyle w:val="Hyperlink"/>
            <w:i/>
            <w:noProof/>
          </w:rPr>
          <w:t>County of Santa Clara v. Superior Court</w:t>
        </w:r>
        <w:r w:rsidR="001853BF">
          <w:rPr>
            <w:noProof/>
            <w:webHidden/>
          </w:rPr>
          <w:tab/>
        </w:r>
        <w:r w:rsidR="001853BF">
          <w:rPr>
            <w:noProof/>
            <w:webHidden/>
          </w:rPr>
          <w:fldChar w:fldCharType="begin"/>
        </w:r>
        <w:r w:rsidR="001853BF">
          <w:rPr>
            <w:noProof/>
            <w:webHidden/>
          </w:rPr>
          <w:instrText xml:space="preserve"> PAGEREF _Toc518323539 \h </w:instrText>
        </w:r>
        <w:r w:rsidR="001853BF">
          <w:rPr>
            <w:noProof/>
            <w:webHidden/>
          </w:rPr>
        </w:r>
        <w:r w:rsidR="001853BF">
          <w:rPr>
            <w:noProof/>
            <w:webHidden/>
          </w:rPr>
          <w:fldChar w:fldCharType="separate"/>
        </w:r>
        <w:r w:rsidR="001853BF">
          <w:rPr>
            <w:noProof/>
            <w:webHidden/>
          </w:rPr>
          <w:t>541</w:t>
        </w:r>
        <w:r w:rsidR="001853BF">
          <w:rPr>
            <w:noProof/>
            <w:webHidden/>
          </w:rPr>
          <w:fldChar w:fldCharType="end"/>
        </w:r>
      </w:hyperlink>
    </w:p>
    <w:p w14:paraId="78CD4202" w14:textId="77777777" w:rsidR="001853BF" w:rsidRDefault="00E35F15">
      <w:pPr>
        <w:pStyle w:val="TOC5"/>
        <w:tabs>
          <w:tab w:val="right" w:leader="dot" w:pos="8630"/>
        </w:tabs>
        <w:rPr>
          <w:noProof/>
          <w:sz w:val="22"/>
          <w:szCs w:val="22"/>
        </w:rPr>
      </w:pPr>
      <w:hyperlink w:anchor="_Toc518323540"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_Toc518323540 \h </w:instrText>
        </w:r>
        <w:r w:rsidR="001853BF">
          <w:rPr>
            <w:noProof/>
            <w:webHidden/>
          </w:rPr>
        </w:r>
        <w:r w:rsidR="001853BF">
          <w:rPr>
            <w:noProof/>
            <w:webHidden/>
          </w:rPr>
          <w:fldChar w:fldCharType="separate"/>
        </w:r>
        <w:r w:rsidR="001853BF">
          <w:rPr>
            <w:noProof/>
            <w:webHidden/>
          </w:rPr>
          <w:t>543</w:t>
        </w:r>
        <w:r w:rsidR="001853BF">
          <w:rPr>
            <w:noProof/>
            <w:webHidden/>
          </w:rPr>
          <w:fldChar w:fldCharType="end"/>
        </w:r>
      </w:hyperlink>
    </w:p>
    <w:p w14:paraId="756A4AD2" w14:textId="77777777" w:rsidR="001853BF" w:rsidRDefault="00E35F15">
      <w:pPr>
        <w:pStyle w:val="TOC4"/>
        <w:tabs>
          <w:tab w:val="right" w:leader="dot" w:pos="8630"/>
        </w:tabs>
        <w:rPr>
          <w:noProof/>
          <w:sz w:val="22"/>
          <w:szCs w:val="22"/>
        </w:rPr>
      </w:pPr>
      <w:hyperlink w:anchor="_Toc518323541" w:history="1">
        <w:r w:rsidR="001853BF" w:rsidRPr="00FD75E5">
          <w:rPr>
            <w:rStyle w:val="Hyperlink"/>
            <w:i/>
            <w:noProof/>
          </w:rPr>
          <w:t>Camden County v. Beretta</w:t>
        </w:r>
        <w:r w:rsidR="001853BF">
          <w:rPr>
            <w:noProof/>
            <w:webHidden/>
          </w:rPr>
          <w:tab/>
        </w:r>
        <w:r w:rsidR="001853BF">
          <w:rPr>
            <w:noProof/>
            <w:webHidden/>
          </w:rPr>
          <w:fldChar w:fldCharType="begin"/>
        </w:r>
        <w:r w:rsidR="001853BF">
          <w:rPr>
            <w:noProof/>
            <w:webHidden/>
          </w:rPr>
          <w:instrText xml:space="preserve"> PAGEREF _Toc518323541 \h </w:instrText>
        </w:r>
        <w:r w:rsidR="001853BF">
          <w:rPr>
            <w:noProof/>
            <w:webHidden/>
          </w:rPr>
        </w:r>
        <w:r w:rsidR="001853BF">
          <w:rPr>
            <w:noProof/>
            <w:webHidden/>
          </w:rPr>
          <w:fldChar w:fldCharType="separate"/>
        </w:r>
        <w:r w:rsidR="001853BF">
          <w:rPr>
            <w:noProof/>
            <w:webHidden/>
          </w:rPr>
          <w:t>543</w:t>
        </w:r>
        <w:r w:rsidR="001853BF">
          <w:rPr>
            <w:noProof/>
            <w:webHidden/>
          </w:rPr>
          <w:fldChar w:fldCharType="end"/>
        </w:r>
      </w:hyperlink>
    </w:p>
    <w:p w14:paraId="09C5637D" w14:textId="77777777" w:rsidR="001853BF" w:rsidRDefault="00E35F15">
      <w:pPr>
        <w:pStyle w:val="TOC5"/>
        <w:tabs>
          <w:tab w:val="right" w:leader="dot" w:pos="8630"/>
        </w:tabs>
        <w:rPr>
          <w:noProof/>
          <w:sz w:val="22"/>
          <w:szCs w:val="22"/>
        </w:rPr>
      </w:pPr>
      <w:hyperlink w:anchor="_Toc518323542" w:history="1">
        <w:r w:rsidR="001853BF" w:rsidRPr="000F1856">
          <w:rPr>
            <w:rStyle w:val="Hyperlink"/>
            <w:noProof/>
            <w:bdr w:val="none" w:sz="0" w:space="0" w:color="auto" w:frame="1"/>
          </w:rPr>
          <w:t>Note</w:t>
        </w:r>
        <w:r w:rsidR="001853BF">
          <w:rPr>
            <w:noProof/>
            <w:webHidden/>
          </w:rPr>
          <w:tab/>
        </w:r>
        <w:r w:rsidR="001853BF">
          <w:rPr>
            <w:noProof/>
            <w:webHidden/>
          </w:rPr>
          <w:fldChar w:fldCharType="begin"/>
        </w:r>
        <w:r w:rsidR="001853BF">
          <w:rPr>
            <w:noProof/>
            <w:webHidden/>
          </w:rPr>
          <w:instrText xml:space="preserve"> PAGEREF _Toc518323542 \h </w:instrText>
        </w:r>
        <w:r w:rsidR="001853BF">
          <w:rPr>
            <w:noProof/>
            <w:webHidden/>
          </w:rPr>
        </w:r>
        <w:r w:rsidR="001853BF">
          <w:rPr>
            <w:noProof/>
            <w:webHidden/>
          </w:rPr>
          <w:fldChar w:fldCharType="separate"/>
        </w:r>
        <w:r w:rsidR="001853BF">
          <w:rPr>
            <w:noProof/>
            <w:webHidden/>
          </w:rPr>
          <w:t>547</w:t>
        </w:r>
        <w:r w:rsidR="001853BF">
          <w:rPr>
            <w:noProof/>
            <w:webHidden/>
          </w:rPr>
          <w:fldChar w:fldCharType="end"/>
        </w:r>
      </w:hyperlink>
    </w:p>
    <w:p w14:paraId="74865600" w14:textId="77777777" w:rsidR="001853BF" w:rsidRDefault="00E35F15">
      <w:pPr>
        <w:pStyle w:val="TOC2"/>
        <w:tabs>
          <w:tab w:val="right" w:leader="dot" w:pos="8630"/>
        </w:tabs>
        <w:rPr>
          <w:b w:val="0"/>
          <w:noProof/>
        </w:rPr>
      </w:pPr>
      <w:hyperlink w:anchor="_Toc518323543" w:history="1">
        <w:r w:rsidR="001853BF" w:rsidRPr="000F1856">
          <w:rPr>
            <w:rStyle w:val="Hyperlink"/>
            <w:noProof/>
          </w:rPr>
          <w:t>D.  Strict Liability for Products?</w:t>
        </w:r>
        <w:r w:rsidR="001853BF">
          <w:rPr>
            <w:noProof/>
            <w:webHidden/>
          </w:rPr>
          <w:tab/>
        </w:r>
        <w:r w:rsidR="001853BF">
          <w:rPr>
            <w:noProof/>
            <w:webHidden/>
          </w:rPr>
          <w:fldChar w:fldCharType="begin"/>
        </w:r>
        <w:r w:rsidR="001853BF">
          <w:rPr>
            <w:noProof/>
            <w:webHidden/>
          </w:rPr>
          <w:instrText xml:space="preserve"> PAGEREF _Toc518323543 \h </w:instrText>
        </w:r>
        <w:r w:rsidR="001853BF">
          <w:rPr>
            <w:noProof/>
            <w:webHidden/>
          </w:rPr>
        </w:r>
        <w:r w:rsidR="001853BF">
          <w:rPr>
            <w:noProof/>
            <w:webHidden/>
          </w:rPr>
          <w:fldChar w:fldCharType="separate"/>
        </w:r>
        <w:r w:rsidR="001853BF">
          <w:rPr>
            <w:noProof/>
            <w:webHidden/>
          </w:rPr>
          <w:t>547</w:t>
        </w:r>
        <w:r w:rsidR="001853BF">
          <w:rPr>
            <w:noProof/>
            <w:webHidden/>
          </w:rPr>
          <w:fldChar w:fldCharType="end"/>
        </w:r>
      </w:hyperlink>
    </w:p>
    <w:p w14:paraId="609E228D" w14:textId="77777777" w:rsidR="001853BF" w:rsidRDefault="00E35F15">
      <w:pPr>
        <w:pStyle w:val="TOC3"/>
        <w:tabs>
          <w:tab w:val="right" w:leader="dot" w:pos="8630"/>
        </w:tabs>
        <w:rPr>
          <w:noProof/>
        </w:rPr>
      </w:pPr>
      <w:hyperlink w:anchor="_Toc518323544" w:history="1">
        <w:r w:rsidR="001853BF" w:rsidRPr="000F1856">
          <w:rPr>
            <w:rStyle w:val="Hyperlink"/>
            <w:noProof/>
          </w:rPr>
          <w:t>1. Beginnings</w:t>
        </w:r>
        <w:r w:rsidR="001853BF">
          <w:rPr>
            <w:noProof/>
            <w:webHidden/>
          </w:rPr>
          <w:tab/>
        </w:r>
        <w:r w:rsidR="001853BF">
          <w:rPr>
            <w:noProof/>
            <w:webHidden/>
          </w:rPr>
          <w:fldChar w:fldCharType="begin"/>
        </w:r>
        <w:r w:rsidR="001853BF">
          <w:rPr>
            <w:noProof/>
            <w:webHidden/>
          </w:rPr>
          <w:instrText xml:space="preserve"> PAGEREF _Toc518323544 \h </w:instrText>
        </w:r>
        <w:r w:rsidR="001853BF">
          <w:rPr>
            <w:noProof/>
            <w:webHidden/>
          </w:rPr>
        </w:r>
        <w:r w:rsidR="001853BF">
          <w:rPr>
            <w:noProof/>
            <w:webHidden/>
          </w:rPr>
          <w:fldChar w:fldCharType="separate"/>
        </w:r>
        <w:r w:rsidR="001853BF">
          <w:rPr>
            <w:noProof/>
            <w:webHidden/>
          </w:rPr>
          <w:t>547</w:t>
        </w:r>
        <w:r w:rsidR="001853BF">
          <w:rPr>
            <w:noProof/>
            <w:webHidden/>
          </w:rPr>
          <w:fldChar w:fldCharType="end"/>
        </w:r>
      </w:hyperlink>
    </w:p>
    <w:p w14:paraId="2DA0726F" w14:textId="77777777" w:rsidR="001853BF" w:rsidRDefault="00E35F15">
      <w:pPr>
        <w:pStyle w:val="TOC4"/>
        <w:tabs>
          <w:tab w:val="right" w:leader="dot" w:pos="8630"/>
        </w:tabs>
        <w:rPr>
          <w:noProof/>
          <w:sz w:val="22"/>
          <w:szCs w:val="22"/>
        </w:rPr>
      </w:pPr>
      <w:hyperlink w:anchor="_Toc518323545" w:history="1">
        <w:r w:rsidR="001853BF" w:rsidRPr="00022873">
          <w:rPr>
            <w:rStyle w:val="Hyperlink"/>
            <w:i/>
            <w:noProof/>
          </w:rPr>
          <w:t>Winterbottom v. Wright</w:t>
        </w:r>
        <w:r w:rsidR="001853BF">
          <w:rPr>
            <w:noProof/>
            <w:webHidden/>
          </w:rPr>
          <w:tab/>
        </w:r>
        <w:r w:rsidR="001853BF">
          <w:rPr>
            <w:noProof/>
            <w:webHidden/>
          </w:rPr>
          <w:fldChar w:fldCharType="begin"/>
        </w:r>
        <w:r w:rsidR="001853BF">
          <w:rPr>
            <w:noProof/>
            <w:webHidden/>
          </w:rPr>
          <w:instrText xml:space="preserve"> PAGEREF _Toc518323545 \h </w:instrText>
        </w:r>
        <w:r w:rsidR="001853BF">
          <w:rPr>
            <w:noProof/>
            <w:webHidden/>
          </w:rPr>
        </w:r>
        <w:r w:rsidR="001853BF">
          <w:rPr>
            <w:noProof/>
            <w:webHidden/>
          </w:rPr>
          <w:fldChar w:fldCharType="separate"/>
        </w:r>
        <w:r w:rsidR="001853BF">
          <w:rPr>
            <w:noProof/>
            <w:webHidden/>
          </w:rPr>
          <w:t>548</w:t>
        </w:r>
        <w:r w:rsidR="001853BF">
          <w:rPr>
            <w:noProof/>
            <w:webHidden/>
          </w:rPr>
          <w:fldChar w:fldCharType="end"/>
        </w:r>
      </w:hyperlink>
    </w:p>
    <w:p w14:paraId="7F52E5C9" w14:textId="77777777" w:rsidR="001853BF" w:rsidRDefault="00E35F15">
      <w:pPr>
        <w:pStyle w:val="TOC5"/>
        <w:tabs>
          <w:tab w:val="right" w:leader="dot" w:pos="8630"/>
        </w:tabs>
        <w:rPr>
          <w:noProof/>
          <w:sz w:val="22"/>
          <w:szCs w:val="22"/>
        </w:rPr>
      </w:pPr>
      <w:hyperlink w:anchor="_Toc518323546"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_Toc518323546 \h </w:instrText>
        </w:r>
        <w:r w:rsidR="001853BF">
          <w:rPr>
            <w:noProof/>
            <w:webHidden/>
          </w:rPr>
        </w:r>
        <w:r w:rsidR="001853BF">
          <w:rPr>
            <w:noProof/>
            <w:webHidden/>
          </w:rPr>
          <w:fldChar w:fldCharType="separate"/>
        </w:r>
        <w:r w:rsidR="001853BF">
          <w:rPr>
            <w:noProof/>
            <w:webHidden/>
          </w:rPr>
          <w:t>549</w:t>
        </w:r>
        <w:r w:rsidR="001853BF">
          <w:rPr>
            <w:noProof/>
            <w:webHidden/>
          </w:rPr>
          <w:fldChar w:fldCharType="end"/>
        </w:r>
      </w:hyperlink>
    </w:p>
    <w:p w14:paraId="2A464B94" w14:textId="77777777" w:rsidR="001853BF" w:rsidRDefault="00E35F15">
      <w:pPr>
        <w:pStyle w:val="TOC4"/>
        <w:tabs>
          <w:tab w:val="right" w:leader="dot" w:pos="8630"/>
        </w:tabs>
        <w:rPr>
          <w:noProof/>
          <w:sz w:val="22"/>
          <w:szCs w:val="22"/>
        </w:rPr>
      </w:pPr>
      <w:hyperlink w:anchor="_Toc518323547" w:history="1">
        <w:r w:rsidR="001853BF" w:rsidRPr="00022873">
          <w:rPr>
            <w:rStyle w:val="Hyperlink"/>
            <w:i/>
            <w:noProof/>
          </w:rPr>
          <w:t>MacPherson v. Buick Motor Company</w:t>
        </w:r>
        <w:r w:rsidR="001853BF">
          <w:rPr>
            <w:noProof/>
            <w:webHidden/>
          </w:rPr>
          <w:tab/>
        </w:r>
        <w:r w:rsidR="001853BF">
          <w:rPr>
            <w:noProof/>
            <w:webHidden/>
          </w:rPr>
          <w:fldChar w:fldCharType="begin"/>
        </w:r>
        <w:r w:rsidR="001853BF">
          <w:rPr>
            <w:noProof/>
            <w:webHidden/>
          </w:rPr>
          <w:instrText xml:space="preserve"> PAGEREF _Toc518323547 \h </w:instrText>
        </w:r>
        <w:r w:rsidR="001853BF">
          <w:rPr>
            <w:noProof/>
            <w:webHidden/>
          </w:rPr>
        </w:r>
        <w:r w:rsidR="001853BF">
          <w:rPr>
            <w:noProof/>
            <w:webHidden/>
          </w:rPr>
          <w:fldChar w:fldCharType="separate"/>
        </w:r>
        <w:r w:rsidR="001853BF">
          <w:rPr>
            <w:noProof/>
            <w:webHidden/>
          </w:rPr>
          <w:t>550</w:t>
        </w:r>
        <w:r w:rsidR="001853BF">
          <w:rPr>
            <w:noProof/>
            <w:webHidden/>
          </w:rPr>
          <w:fldChar w:fldCharType="end"/>
        </w:r>
      </w:hyperlink>
    </w:p>
    <w:p w14:paraId="65CE3478" w14:textId="77777777" w:rsidR="001853BF" w:rsidRDefault="00E35F15">
      <w:pPr>
        <w:pStyle w:val="TOC5"/>
        <w:tabs>
          <w:tab w:val="right" w:leader="dot" w:pos="8630"/>
        </w:tabs>
        <w:rPr>
          <w:noProof/>
          <w:sz w:val="22"/>
          <w:szCs w:val="22"/>
        </w:rPr>
      </w:pPr>
      <w:hyperlink w:anchor="_Toc51832354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_Toc518323548 \h </w:instrText>
        </w:r>
        <w:r w:rsidR="001853BF">
          <w:rPr>
            <w:noProof/>
            <w:webHidden/>
          </w:rPr>
        </w:r>
        <w:r w:rsidR="001853BF">
          <w:rPr>
            <w:noProof/>
            <w:webHidden/>
          </w:rPr>
          <w:fldChar w:fldCharType="separate"/>
        </w:r>
        <w:r w:rsidR="001853BF">
          <w:rPr>
            <w:noProof/>
            <w:webHidden/>
          </w:rPr>
          <w:t>553</w:t>
        </w:r>
        <w:r w:rsidR="001853BF">
          <w:rPr>
            <w:noProof/>
            <w:webHidden/>
          </w:rPr>
          <w:fldChar w:fldCharType="end"/>
        </w:r>
      </w:hyperlink>
    </w:p>
    <w:p w14:paraId="32BFD947" w14:textId="77777777" w:rsidR="001853BF" w:rsidRDefault="00E35F15">
      <w:pPr>
        <w:pStyle w:val="TOC4"/>
        <w:tabs>
          <w:tab w:val="right" w:leader="dot" w:pos="8630"/>
        </w:tabs>
        <w:rPr>
          <w:noProof/>
          <w:sz w:val="22"/>
          <w:szCs w:val="22"/>
        </w:rPr>
      </w:pPr>
      <w:hyperlink w:anchor="_Toc518323549" w:history="1">
        <w:r w:rsidR="001853BF" w:rsidRPr="00022873">
          <w:rPr>
            <w:rStyle w:val="Hyperlink"/>
            <w:i/>
            <w:noProof/>
          </w:rPr>
          <w:t>Escola v. Coca Cola Bottling Co. of Fresno</w:t>
        </w:r>
        <w:r w:rsidR="001853BF">
          <w:rPr>
            <w:noProof/>
            <w:webHidden/>
          </w:rPr>
          <w:tab/>
        </w:r>
        <w:r w:rsidR="001853BF">
          <w:rPr>
            <w:noProof/>
            <w:webHidden/>
          </w:rPr>
          <w:fldChar w:fldCharType="begin"/>
        </w:r>
        <w:r w:rsidR="001853BF">
          <w:rPr>
            <w:noProof/>
            <w:webHidden/>
          </w:rPr>
          <w:instrText xml:space="preserve"> PAGEREF _Toc518323549 \h </w:instrText>
        </w:r>
        <w:r w:rsidR="001853BF">
          <w:rPr>
            <w:noProof/>
            <w:webHidden/>
          </w:rPr>
        </w:r>
        <w:r w:rsidR="001853BF">
          <w:rPr>
            <w:noProof/>
            <w:webHidden/>
          </w:rPr>
          <w:fldChar w:fldCharType="separate"/>
        </w:r>
        <w:r w:rsidR="001853BF">
          <w:rPr>
            <w:noProof/>
            <w:webHidden/>
          </w:rPr>
          <w:t>555</w:t>
        </w:r>
        <w:r w:rsidR="001853BF">
          <w:rPr>
            <w:noProof/>
            <w:webHidden/>
          </w:rPr>
          <w:fldChar w:fldCharType="end"/>
        </w:r>
      </w:hyperlink>
    </w:p>
    <w:p w14:paraId="04FF5209" w14:textId="77777777" w:rsidR="001853BF" w:rsidRDefault="00E35F15">
      <w:pPr>
        <w:pStyle w:val="TOC5"/>
        <w:tabs>
          <w:tab w:val="right" w:leader="dot" w:pos="8630"/>
        </w:tabs>
        <w:rPr>
          <w:noProof/>
          <w:sz w:val="22"/>
          <w:szCs w:val="22"/>
        </w:rPr>
      </w:pPr>
      <w:hyperlink w:anchor="_Toc51832355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_Toc518323550 \h </w:instrText>
        </w:r>
        <w:r w:rsidR="001853BF">
          <w:rPr>
            <w:noProof/>
            <w:webHidden/>
          </w:rPr>
        </w:r>
        <w:r w:rsidR="001853BF">
          <w:rPr>
            <w:noProof/>
            <w:webHidden/>
          </w:rPr>
          <w:fldChar w:fldCharType="separate"/>
        </w:r>
        <w:r w:rsidR="001853BF">
          <w:rPr>
            <w:noProof/>
            <w:webHidden/>
          </w:rPr>
          <w:t>558</w:t>
        </w:r>
        <w:r w:rsidR="001853BF">
          <w:rPr>
            <w:noProof/>
            <w:webHidden/>
          </w:rPr>
          <w:fldChar w:fldCharType="end"/>
        </w:r>
      </w:hyperlink>
    </w:p>
    <w:p w14:paraId="51FAE38F" w14:textId="77777777" w:rsidR="001853BF" w:rsidRDefault="00E35F15">
      <w:pPr>
        <w:pStyle w:val="TOC4"/>
        <w:tabs>
          <w:tab w:val="right" w:leader="dot" w:pos="8630"/>
        </w:tabs>
        <w:rPr>
          <w:noProof/>
          <w:sz w:val="22"/>
          <w:szCs w:val="22"/>
        </w:rPr>
      </w:pPr>
      <w:hyperlink w:anchor="_Toc518323551" w:history="1">
        <w:r w:rsidR="001853BF" w:rsidRPr="00022873">
          <w:rPr>
            <w:rStyle w:val="Hyperlink"/>
            <w:i/>
            <w:noProof/>
          </w:rPr>
          <w:t>Temple v. Wean United, Inc</w:t>
        </w:r>
        <w:r w:rsidR="001853BF">
          <w:rPr>
            <w:noProof/>
            <w:webHidden/>
          </w:rPr>
          <w:tab/>
        </w:r>
        <w:r w:rsidR="001853BF">
          <w:rPr>
            <w:noProof/>
            <w:webHidden/>
          </w:rPr>
          <w:fldChar w:fldCharType="begin"/>
        </w:r>
        <w:r w:rsidR="001853BF">
          <w:rPr>
            <w:noProof/>
            <w:webHidden/>
          </w:rPr>
          <w:instrText xml:space="preserve"> PAGEREF _Toc518323551 \h </w:instrText>
        </w:r>
        <w:r w:rsidR="001853BF">
          <w:rPr>
            <w:noProof/>
            <w:webHidden/>
          </w:rPr>
        </w:r>
        <w:r w:rsidR="001853BF">
          <w:rPr>
            <w:noProof/>
            <w:webHidden/>
          </w:rPr>
          <w:fldChar w:fldCharType="separate"/>
        </w:r>
        <w:r w:rsidR="001853BF">
          <w:rPr>
            <w:noProof/>
            <w:webHidden/>
          </w:rPr>
          <w:t>561</w:t>
        </w:r>
        <w:r w:rsidR="001853BF">
          <w:rPr>
            <w:noProof/>
            <w:webHidden/>
          </w:rPr>
          <w:fldChar w:fldCharType="end"/>
        </w:r>
      </w:hyperlink>
    </w:p>
    <w:p w14:paraId="20F8B8F2" w14:textId="77777777" w:rsidR="001853BF" w:rsidRDefault="00E35F15">
      <w:pPr>
        <w:pStyle w:val="TOC5"/>
        <w:tabs>
          <w:tab w:val="right" w:leader="dot" w:pos="8630"/>
        </w:tabs>
        <w:rPr>
          <w:noProof/>
          <w:sz w:val="22"/>
          <w:szCs w:val="22"/>
        </w:rPr>
      </w:pPr>
      <w:hyperlink w:anchor="_Toc51832355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_Toc518323552 \h </w:instrText>
        </w:r>
        <w:r w:rsidR="001853BF">
          <w:rPr>
            <w:noProof/>
            <w:webHidden/>
          </w:rPr>
        </w:r>
        <w:r w:rsidR="001853BF">
          <w:rPr>
            <w:noProof/>
            <w:webHidden/>
          </w:rPr>
          <w:fldChar w:fldCharType="separate"/>
        </w:r>
        <w:r w:rsidR="001853BF">
          <w:rPr>
            <w:noProof/>
            <w:webHidden/>
          </w:rPr>
          <w:t>563</w:t>
        </w:r>
        <w:r w:rsidR="001853BF">
          <w:rPr>
            <w:noProof/>
            <w:webHidden/>
          </w:rPr>
          <w:fldChar w:fldCharType="end"/>
        </w:r>
      </w:hyperlink>
    </w:p>
    <w:p w14:paraId="00DBE725" w14:textId="77777777" w:rsidR="001853BF" w:rsidRDefault="00E35F15">
      <w:pPr>
        <w:pStyle w:val="TOC3"/>
        <w:tabs>
          <w:tab w:val="right" w:leader="dot" w:pos="8630"/>
        </w:tabs>
        <w:rPr>
          <w:noProof/>
        </w:rPr>
      </w:pPr>
      <w:hyperlink w:anchor="_Toc518323553" w:history="1">
        <w:r w:rsidR="001853BF" w:rsidRPr="000F1856">
          <w:rPr>
            <w:rStyle w:val="Hyperlink"/>
            <w:noProof/>
          </w:rPr>
          <w:t>2.  Manufacturing Defects</w:t>
        </w:r>
        <w:r w:rsidR="001853BF">
          <w:rPr>
            <w:noProof/>
            <w:webHidden/>
          </w:rPr>
          <w:tab/>
        </w:r>
        <w:r w:rsidR="001853BF">
          <w:rPr>
            <w:noProof/>
            <w:webHidden/>
          </w:rPr>
          <w:fldChar w:fldCharType="begin"/>
        </w:r>
        <w:r w:rsidR="001853BF">
          <w:rPr>
            <w:noProof/>
            <w:webHidden/>
          </w:rPr>
          <w:instrText xml:space="preserve"> PAGEREF _Toc518323553 \h </w:instrText>
        </w:r>
        <w:r w:rsidR="001853BF">
          <w:rPr>
            <w:noProof/>
            <w:webHidden/>
          </w:rPr>
        </w:r>
        <w:r w:rsidR="001853BF">
          <w:rPr>
            <w:noProof/>
            <w:webHidden/>
          </w:rPr>
          <w:fldChar w:fldCharType="separate"/>
        </w:r>
        <w:r w:rsidR="001853BF">
          <w:rPr>
            <w:noProof/>
            <w:webHidden/>
          </w:rPr>
          <w:t>564</w:t>
        </w:r>
        <w:r w:rsidR="001853BF">
          <w:rPr>
            <w:noProof/>
            <w:webHidden/>
          </w:rPr>
          <w:fldChar w:fldCharType="end"/>
        </w:r>
      </w:hyperlink>
    </w:p>
    <w:p w14:paraId="0F3F3802" w14:textId="77777777" w:rsidR="001853BF" w:rsidRDefault="00E35F15">
      <w:pPr>
        <w:pStyle w:val="TOC4"/>
        <w:tabs>
          <w:tab w:val="right" w:leader="dot" w:pos="8630"/>
        </w:tabs>
        <w:rPr>
          <w:noProof/>
          <w:sz w:val="22"/>
          <w:szCs w:val="22"/>
        </w:rPr>
      </w:pPr>
      <w:hyperlink w:anchor="_Toc518323554" w:history="1">
        <w:r w:rsidR="001853BF" w:rsidRPr="00022873">
          <w:rPr>
            <w:rStyle w:val="Hyperlink"/>
            <w:i/>
            <w:noProof/>
          </w:rPr>
          <w:t>Speller v. Sears, Roebuck and Co</w:t>
        </w:r>
        <w:r w:rsidR="001853BF">
          <w:rPr>
            <w:noProof/>
            <w:webHidden/>
          </w:rPr>
          <w:tab/>
        </w:r>
        <w:r w:rsidR="001853BF">
          <w:rPr>
            <w:noProof/>
            <w:webHidden/>
          </w:rPr>
          <w:fldChar w:fldCharType="begin"/>
        </w:r>
        <w:r w:rsidR="001853BF">
          <w:rPr>
            <w:noProof/>
            <w:webHidden/>
          </w:rPr>
          <w:instrText xml:space="preserve"> PAGEREF _Toc518323554 \h </w:instrText>
        </w:r>
        <w:r w:rsidR="001853BF">
          <w:rPr>
            <w:noProof/>
            <w:webHidden/>
          </w:rPr>
        </w:r>
        <w:r w:rsidR="001853BF">
          <w:rPr>
            <w:noProof/>
            <w:webHidden/>
          </w:rPr>
          <w:fldChar w:fldCharType="separate"/>
        </w:r>
        <w:r w:rsidR="001853BF">
          <w:rPr>
            <w:noProof/>
            <w:webHidden/>
          </w:rPr>
          <w:t>565</w:t>
        </w:r>
        <w:r w:rsidR="001853BF">
          <w:rPr>
            <w:noProof/>
            <w:webHidden/>
          </w:rPr>
          <w:fldChar w:fldCharType="end"/>
        </w:r>
      </w:hyperlink>
    </w:p>
    <w:p w14:paraId="075455BC" w14:textId="77777777" w:rsidR="001853BF" w:rsidRDefault="00E35F15">
      <w:pPr>
        <w:pStyle w:val="TOC5"/>
        <w:tabs>
          <w:tab w:val="right" w:leader="dot" w:pos="8630"/>
        </w:tabs>
        <w:rPr>
          <w:noProof/>
          <w:sz w:val="22"/>
          <w:szCs w:val="22"/>
        </w:rPr>
      </w:pPr>
      <w:hyperlink w:anchor="_Toc518323555"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_Toc518323555 \h </w:instrText>
        </w:r>
        <w:r w:rsidR="001853BF">
          <w:rPr>
            <w:noProof/>
            <w:webHidden/>
          </w:rPr>
        </w:r>
        <w:r w:rsidR="001853BF">
          <w:rPr>
            <w:noProof/>
            <w:webHidden/>
          </w:rPr>
          <w:fldChar w:fldCharType="separate"/>
        </w:r>
        <w:r w:rsidR="001853BF">
          <w:rPr>
            <w:noProof/>
            <w:webHidden/>
          </w:rPr>
          <w:t>567</w:t>
        </w:r>
        <w:r w:rsidR="001853BF">
          <w:rPr>
            <w:noProof/>
            <w:webHidden/>
          </w:rPr>
          <w:fldChar w:fldCharType="end"/>
        </w:r>
      </w:hyperlink>
    </w:p>
    <w:p w14:paraId="4969C455" w14:textId="77777777" w:rsidR="001853BF" w:rsidRDefault="00E35F15">
      <w:pPr>
        <w:pStyle w:val="TOC3"/>
        <w:tabs>
          <w:tab w:val="right" w:leader="dot" w:pos="8630"/>
        </w:tabs>
        <w:rPr>
          <w:noProof/>
        </w:rPr>
      </w:pPr>
      <w:hyperlink w:anchor="_Toc518323556" w:history="1">
        <w:r w:rsidR="001853BF" w:rsidRPr="000F1856">
          <w:rPr>
            <w:rStyle w:val="Hyperlink"/>
            <w:noProof/>
          </w:rPr>
          <w:t>3.  Design Defects</w:t>
        </w:r>
        <w:r w:rsidR="001853BF">
          <w:rPr>
            <w:noProof/>
            <w:webHidden/>
          </w:rPr>
          <w:tab/>
        </w:r>
        <w:r w:rsidR="001853BF">
          <w:rPr>
            <w:noProof/>
            <w:webHidden/>
          </w:rPr>
          <w:fldChar w:fldCharType="begin"/>
        </w:r>
        <w:r w:rsidR="001853BF">
          <w:rPr>
            <w:noProof/>
            <w:webHidden/>
          </w:rPr>
          <w:instrText xml:space="preserve"> PAGEREF _Toc518323556 \h </w:instrText>
        </w:r>
        <w:r w:rsidR="001853BF">
          <w:rPr>
            <w:noProof/>
            <w:webHidden/>
          </w:rPr>
        </w:r>
        <w:r w:rsidR="001853BF">
          <w:rPr>
            <w:noProof/>
            <w:webHidden/>
          </w:rPr>
          <w:fldChar w:fldCharType="separate"/>
        </w:r>
        <w:r w:rsidR="001853BF">
          <w:rPr>
            <w:noProof/>
            <w:webHidden/>
          </w:rPr>
          <w:t>569</w:t>
        </w:r>
        <w:r w:rsidR="001853BF">
          <w:rPr>
            <w:noProof/>
            <w:webHidden/>
          </w:rPr>
          <w:fldChar w:fldCharType="end"/>
        </w:r>
      </w:hyperlink>
    </w:p>
    <w:p w14:paraId="799DC775" w14:textId="77777777" w:rsidR="001853BF" w:rsidRDefault="00E35F15">
      <w:pPr>
        <w:pStyle w:val="TOC4"/>
        <w:tabs>
          <w:tab w:val="right" w:leader="dot" w:pos="8630"/>
        </w:tabs>
        <w:rPr>
          <w:noProof/>
          <w:sz w:val="22"/>
          <w:szCs w:val="22"/>
        </w:rPr>
      </w:pPr>
      <w:hyperlink w:anchor="_Toc518323557" w:history="1">
        <w:r w:rsidR="001853BF" w:rsidRPr="00022873">
          <w:rPr>
            <w:rStyle w:val="Hyperlink"/>
            <w:i/>
            <w:noProof/>
          </w:rPr>
          <w:t>Barker v. Lull Engineering Company, Inc</w:t>
        </w:r>
        <w:r w:rsidR="001853BF">
          <w:rPr>
            <w:noProof/>
            <w:webHidden/>
          </w:rPr>
          <w:tab/>
        </w:r>
        <w:r w:rsidR="001853BF">
          <w:rPr>
            <w:noProof/>
            <w:webHidden/>
          </w:rPr>
          <w:fldChar w:fldCharType="begin"/>
        </w:r>
        <w:r w:rsidR="001853BF">
          <w:rPr>
            <w:noProof/>
            <w:webHidden/>
          </w:rPr>
          <w:instrText xml:space="preserve"> PAGEREF _Toc518323557 \h </w:instrText>
        </w:r>
        <w:r w:rsidR="001853BF">
          <w:rPr>
            <w:noProof/>
            <w:webHidden/>
          </w:rPr>
        </w:r>
        <w:r w:rsidR="001853BF">
          <w:rPr>
            <w:noProof/>
            <w:webHidden/>
          </w:rPr>
          <w:fldChar w:fldCharType="separate"/>
        </w:r>
        <w:r w:rsidR="001853BF">
          <w:rPr>
            <w:noProof/>
            <w:webHidden/>
          </w:rPr>
          <w:t>569</w:t>
        </w:r>
        <w:r w:rsidR="001853BF">
          <w:rPr>
            <w:noProof/>
            <w:webHidden/>
          </w:rPr>
          <w:fldChar w:fldCharType="end"/>
        </w:r>
      </w:hyperlink>
    </w:p>
    <w:p w14:paraId="34F9BC1B" w14:textId="77777777" w:rsidR="001853BF" w:rsidRDefault="00E35F15">
      <w:pPr>
        <w:pStyle w:val="TOC5"/>
        <w:tabs>
          <w:tab w:val="right" w:leader="dot" w:pos="8630"/>
        </w:tabs>
        <w:rPr>
          <w:noProof/>
          <w:sz w:val="22"/>
          <w:szCs w:val="22"/>
        </w:rPr>
      </w:pPr>
      <w:hyperlink w:anchor="_Toc51832355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_Toc518323558 \h </w:instrText>
        </w:r>
        <w:r w:rsidR="001853BF">
          <w:rPr>
            <w:noProof/>
            <w:webHidden/>
          </w:rPr>
        </w:r>
        <w:r w:rsidR="001853BF">
          <w:rPr>
            <w:noProof/>
            <w:webHidden/>
          </w:rPr>
          <w:fldChar w:fldCharType="separate"/>
        </w:r>
        <w:r w:rsidR="001853BF">
          <w:rPr>
            <w:noProof/>
            <w:webHidden/>
          </w:rPr>
          <w:t>575</w:t>
        </w:r>
        <w:r w:rsidR="001853BF">
          <w:rPr>
            <w:noProof/>
            <w:webHidden/>
          </w:rPr>
          <w:fldChar w:fldCharType="end"/>
        </w:r>
      </w:hyperlink>
    </w:p>
    <w:p w14:paraId="6BB22129" w14:textId="77777777" w:rsidR="001853BF" w:rsidRDefault="00E35F15">
      <w:pPr>
        <w:pStyle w:val="TOC4"/>
        <w:tabs>
          <w:tab w:val="right" w:leader="dot" w:pos="8630"/>
        </w:tabs>
        <w:rPr>
          <w:noProof/>
          <w:sz w:val="22"/>
          <w:szCs w:val="22"/>
        </w:rPr>
      </w:pPr>
      <w:hyperlink w:anchor="_Toc518323559" w:history="1">
        <w:r w:rsidR="001853BF" w:rsidRPr="00022873">
          <w:rPr>
            <w:rStyle w:val="Hyperlink"/>
            <w:i/>
            <w:noProof/>
          </w:rPr>
          <w:t>Wright v. Brooke Group, Ltd.</w:t>
        </w:r>
        <w:r w:rsidR="001853BF">
          <w:rPr>
            <w:noProof/>
            <w:webHidden/>
          </w:rPr>
          <w:tab/>
        </w:r>
        <w:r w:rsidR="001853BF">
          <w:rPr>
            <w:noProof/>
            <w:webHidden/>
          </w:rPr>
          <w:fldChar w:fldCharType="begin"/>
        </w:r>
        <w:r w:rsidR="001853BF">
          <w:rPr>
            <w:noProof/>
            <w:webHidden/>
          </w:rPr>
          <w:instrText xml:space="preserve"> PAGEREF _Toc518323559 \h </w:instrText>
        </w:r>
        <w:r w:rsidR="001853BF">
          <w:rPr>
            <w:noProof/>
            <w:webHidden/>
          </w:rPr>
        </w:r>
        <w:r w:rsidR="001853BF">
          <w:rPr>
            <w:noProof/>
            <w:webHidden/>
          </w:rPr>
          <w:fldChar w:fldCharType="separate"/>
        </w:r>
        <w:r w:rsidR="001853BF">
          <w:rPr>
            <w:noProof/>
            <w:webHidden/>
          </w:rPr>
          <w:t>578</w:t>
        </w:r>
        <w:r w:rsidR="001853BF">
          <w:rPr>
            <w:noProof/>
            <w:webHidden/>
          </w:rPr>
          <w:fldChar w:fldCharType="end"/>
        </w:r>
      </w:hyperlink>
    </w:p>
    <w:p w14:paraId="2BAF1B6E" w14:textId="77777777" w:rsidR="001853BF" w:rsidRDefault="00E35F15">
      <w:pPr>
        <w:pStyle w:val="TOC5"/>
        <w:tabs>
          <w:tab w:val="right" w:leader="dot" w:pos="8630"/>
        </w:tabs>
        <w:rPr>
          <w:noProof/>
          <w:sz w:val="22"/>
          <w:szCs w:val="22"/>
        </w:rPr>
      </w:pPr>
      <w:hyperlink w:anchor="_Toc51832356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_Toc518323560 \h </w:instrText>
        </w:r>
        <w:r w:rsidR="001853BF">
          <w:rPr>
            <w:noProof/>
            <w:webHidden/>
          </w:rPr>
        </w:r>
        <w:r w:rsidR="001853BF">
          <w:rPr>
            <w:noProof/>
            <w:webHidden/>
          </w:rPr>
          <w:fldChar w:fldCharType="separate"/>
        </w:r>
        <w:r w:rsidR="001853BF">
          <w:rPr>
            <w:noProof/>
            <w:webHidden/>
          </w:rPr>
          <w:t>582</w:t>
        </w:r>
        <w:r w:rsidR="001853BF">
          <w:rPr>
            <w:noProof/>
            <w:webHidden/>
          </w:rPr>
          <w:fldChar w:fldCharType="end"/>
        </w:r>
      </w:hyperlink>
    </w:p>
    <w:p w14:paraId="77BC1669" w14:textId="77777777" w:rsidR="001853BF" w:rsidRDefault="00E35F15">
      <w:pPr>
        <w:pStyle w:val="TOC3"/>
        <w:tabs>
          <w:tab w:val="right" w:leader="dot" w:pos="8630"/>
        </w:tabs>
        <w:rPr>
          <w:noProof/>
        </w:rPr>
      </w:pPr>
      <w:hyperlink w:anchor="_Toc518323561" w:history="1">
        <w:r w:rsidR="001853BF" w:rsidRPr="000F1856">
          <w:rPr>
            <w:rStyle w:val="Hyperlink"/>
            <w:noProof/>
          </w:rPr>
          <w:t>4. Warning Defects</w:t>
        </w:r>
        <w:r w:rsidR="001853BF">
          <w:rPr>
            <w:noProof/>
            <w:webHidden/>
          </w:rPr>
          <w:tab/>
        </w:r>
        <w:r w:rsidR="001853BF">
          <w:rPr>
            <w:noProof/>
            <w:webHidden/>
          </w:rPr>
          <w:fldChar w:fldCharType="begin"/>
        </w:r>
        <w:r w:rsidR="001853BF">
          <w:rPr>
            <w:noProof/>
            <w:webHidden/>
          </w:rPr>
          <w:instrText xml:space="preserve"> PAGEREF _Toc518323561 \h </w:instrText>
        </w:r>
        <w:r w:rsidR="001853BF">
          <w:rPr>
            <w:noProof/>
            <w:webHidden/>
          </w:rPr>
        </w:r>
        <w:r w:rsidR="001853BF">
          <w:rPr>
            <w:noProof/>
            <w:webHidden/>
          </w:rPr>
          <w:fldChar w:fldCharType="separate"/>
        </w:r>
        <w:r w:rsidR="001853BF">
          <w:rPr>
            <w:noProof/>
            <w:webHidden/>
          </w:rPr>
          <w:t>584</w:t>
        </w:r>
        <w:r w:rsidR="001853BF">
          <w:rPr>
            <w:noProof/>
            <w:webHidden/>
          </w:rPr>
          <w:fldChar w:fldCharType="end"/>
        </w:r>
      </w:hyperlink>
    </w:p>
    <w:p w14:paraId="05B4B6FB" w14:textId="77777777" w:rsidR="001853BF" w:rsidRDefault="00E35F15">
      <w:pPr>
        <w:pStyle w:val="TOC4"/>
        <w:tabs>
          <w:tab w:val="right" w:leader="dot" w:pos="8630"/>
        </w:tabs>
        <w:rPr>
          <w:noProof/>
          <w:sz w:val="22"/>
          <w:szCs w:val="22"/>
        </w:rPr>
      </w:pPr>
      <w:hyperlink w:anchor="_Toc518323562" w:history="1">
        <w:r w:rsidR="001853BF" w:rsidRPr="00022873">
          <w:rPr>
            <w:rStyle w:val="Hyperlink"/>
            <w:i/>
            <w:noProof/>
          </w:rPr>
          <w:t>Liriano v. Hobart Corp. (“Liriano I”)</w:t>
        </w:r>
        <w:r w:rsidR="001853BF">
          <w:rPr>
            <w:noProof/>
            <w:webHidden/>
          </w:rPr>
          <w:tab/>
        </w:r>
        <w:r w:rsidR="001853BF">
          <w:rPr>
            <w:noProof/>
            <w:webHidden/>
          </w:rPr>
          <w:fldChar w:fldCharType="begin"/>
        </w:r>
        <w:r w:rsidR="001853BF">
          <w:rPr>
            <w:noProof/>
            <w:webHidden/>
          </w:rPr>
          <w:instrText xml:space="preserve"> PAGEREF _Toc518323562 \h </w:instrText>
        </w:r>
        <w:r w:rsidR="001853BF">
          <w:rPr>
            <w:noProof/>
            <w:webHidden/>
          </w:rPr>
        </w:r>
        <w:r w:rsidR="001853BF">
          <w:rPr>
            <w:noProof/>
            <w:webHidden/>
          </w:rPr>
          <w:fldChar w:fldCharType="separate"/>
        </w:r>
        <w:r w:rsidR="001853BF">
          <w:rPr>
            <w:noProof/>
            <w:webHidden/>
          </w:rPr>
          <w:t>584</w:t>
        </w:r>
        <w:r w:rsidR="001853BF">
          <w:rPr>
            <w:noProof/>
            <w:webHidden/>
          </w:rPr>
          <w:fldChar w:fldCharType="end"/>
        </w:r>
      </w:hyperlink>
    </w:p>
    <w:p w14:paraId="00DC5FFA" w14:textId="77777777" w:rsidR="001853BF" w:rsidRDefault="00E35F15">
      <w:pPr>
        <w:pStyle w:val="TOC4"/>
        <w:tabs>
          <w:tab w:val="right" w:leader="dot" w:pos="8630"/>
        </w:tabs>
        <w:rPr>
          <w:noProof/>
          <w:sz w:val="22"/>
          <w:szCs w:val="22"/>
        </w:rPr>
      </w:pPr>
      <w:hyperlink w:anchor="_Toc518323563" w:history="1">
        <w:r w:rsidR="001853BF" w:rsidRPr="00022873">
          <w:rPr>
            <w:rStyle w:val="Hyperlink"/>
            <w:i/>
            <w:noProof/>
          </w:rPr>
          <w:t>Liriano v. Hobart Corp. (“Liriano II”)</w:t>
        </w:r>
        <w:r w:rsidR="001853BF">
          <w:rPr>
            <w:noProof/>
            <w:webHidden/>
          </w:rPr>
          <w:tab/>
        </w:r>
        <w:r w:rsidR="001853BF">
          <w:rPr>
            <w:noProof/>
            <w:webHidden/>
          </w:rPr>
          <w:fldChar w:fldCharType="begin"/>
        </w:r>
        <w:r w:rsidR="001853BF">
          <w:rPr>
            <w:noProof/>
            <w:webHidden/>
          </w:rPr>
          <w:instrText xml:space="preserve"> PAGEREF _Toc518323563 \h </w:instrText>
        </w:r>
        <w:r w:rsidR="001853BF">
          <w:rPr>
            <w:noProof/>
            <w:webHidden/>
          </w:rPr>
        </w:r>
        <w:r w:rsidR="001853BF">
          <w:rPr>
            <w:noProof/>
            <w:webHidden/>
          </w:rPr>
          <w:fldChar w:fldCharType="separate"/>
        </w:r>
        <w:r w:rsidR="001853BF">
          <w:rPr>
            <w:noProof/>
            <w:webHidden/>
          </w:rPr>
          <w:t>588</w:t>
        </w:r>
        <w:r w:rsidR="001853BF">
          <w:rPr>
            <w:noProof/>
            <w:webHidden/>
          </w:rPr>
          <w:fldChar w:fldCharType="end"/>
        </w:r>
      </w:hyperlink>
    </w:p>
    <w:p w14:paraId="215AB46B" w14:textId="77777777" w:rsidR="001853BF" w:rsidRDefault="00E35F15">
      <w:pPr>
        <w:pStyle w:val="TOC5"/>
        <w:tabs>
          <w:tab w:val="right" w:leader="dot" w:pos="8630"/>
        </w:tabs>
        <w:rPr>
          <w:noProof/>
          <w:sz w:val="22"/>
          <w:szCs w:val="22"/>
        </w:rPr>
      </w:pPr>
      <w:hyperlink w:anchor="_Toc518323564"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_Toc518323564 \h </w:instrText>
        </w:r>
        <w:r w:rsidR="001853BF">
          <w:rPr>
            <w:noProof/>
            <w:webHidden/>
          </w:rPr>
        </w:r>
        <w:r w:rsidR="001853BF">
          <w:rPr>
            <w:noProof/>
            <w:webHidden/>
          </w:rPr>
          <w:fldChar w:fldCharType="separate"/>
        </w:r>
        <w:r w:rsidR="001853BF">
          <w:rPr>
            <w:noProof/>
            <w:webHidden/>
          </w:rPr>
          <w:t>591</w:t>
        </w:r>
        <w:r w:rsidR="001853BF">
          <w:rPr>
            <w:noProof/>
            <w:webHidden/>
          </w:rPr>
          <w:fldChar w:fldCharType="end"/>
        </w:r>
      </w:hyperlink>
    </w:p>
    <w:p w14:paraId="2FC821FF" w14:textId="77777777" w:rsidR="001853BF" w:rsidRDefault="00E35F15">
      <w:pPr>
        <w:pStyle w:val="TOC4"/>
        <w:tabs>
          <w:tab w:val="right" w:leader="dot" w:pos="8630"/>
        </w:tabs>
        <w:rPr>
          <w:noProof/>
          <w:sz w:val="22"/>
          <w:szCs w:val="22"/>
        </w:rPr>
      </w:pPr>
      <w:hyperlink w:anchor="_Toc518323565" w:history="1">
        <w:r w:rsidR="001853BF" w:rsidRPr="00022873">
          <w:rPr>
            <w:rStyle w:val="Hyperlink"/>
            <w:i/>
            <w:noProof/>
          </w:rPr>
          <w:t>Liriano v. Hobart Corp. (“Liriano III”)</w:t>
        </w:r>
        <w:r w:rsidR="001853BF">
          <w:rPr>
            <w:noProof/>
            <w:webHidden/>
          </w:rPr>
          <w:tab/>
        </w:r>
        <w:r w:rsidR="001853BF">
          <w:rPr>
            <w:noProof/>
            <w:webHidden/>
          </w:rPr>
          <w:fldChar w:fldCharType="begin"/>
        </w:r>
        <w:r w:rsidR="001853BF">
          <w:rPr>
            <w:noProof/>
            <w:webHidden/>
          </w:rPr>
          <w:instrText xml:space="preserve"> PAGEREF _Toc518323565 \h </w:instrText>
        </w:r>
        <w:r w:rsidR="001853BF">
          <w:rPr>
            <w:noProof/>
            <w:webHidden/>
          </w:rPr>
        </w:r>
        <w:r w:rsidR="001853BF">
          <w:rPr>
            <w:noProof/>
            <w:webHidden/>
          </w:rPr>
          <w:fldChar w:fldCharType="separate"/>
        </w:r>
        <w:r w:rsidR="001853BF">
          <w:rPr>
            <w:noProof/>
            <w:webHidden/>
          </w:rPr>
          <w:t>592</w:t>
        </w:r>
        <w:r w:rsidR="001853BF">
          <w:rPr>
            <w:noProof/>
            <w:webHidden/>
          </w:rPr>
          <w:fldChar w:fldCharType="end"/>
        </w:r>
      </w:hyperlink>
    </w:p>
    <w:p w14:paraId="2BCD10A9" w14:textId="77777777" w:rsidR="001853BF" w:rsidRDefault="00E35F15">
      <w:pPr>
        <w:pStyle w:val="TOC5"/>
        <w:tabs>
          <w:tab w:val="right" w:leader="dot" w:pos="8630"/>
        </w:tabs>
        <w:rPr>
          <w:noProof/>
          <w:sz w:val="22"/>
          <w:szCs w:val="22"/>
        </w:rPr>
      </w:pPr>
      <w:hyperlink w:anchor="_Toc518323566"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_Toc518323566 \h </w:instrText>
        </w:r>
        <w:r w:rsidR="001853BF">
          <w:rPr>
            <w:noProof/>
            <w:webHidden/>
          </w:rPr>
        </w:r>
        <w:r w:rsidR="001853BF">
          <w:rPr>
            <w:noProof/>
            <w:webHidden/>
          </w:rPr>
          <w:fldChar w:fldCharType="separate"/>
        </w:r>
        <w:r w:rsidR="001853BF">
          <w:rPr>
            <w:noProof/>
            <w:webHidden/>
          </w:rPr>
          <w:t>597</w:t>
        </w:r>
        <w:r w:rsidR="001853BF">
          <w:rPr>
            <w:noProof/>
            <w:webHidden/>
          </w:rPr>
          <w:fldChar w:fldCharType="end"/>
        </w:r>
      </w:hyperlink>
    </w:p>
    <w:p w14:paraId="7504FD7E" w14:textId="77777777" w:rsidR="001853BF" w:rsidRDefault="00E35F15">
      <w:pPr>
        <w:pStyle w:val="TOC3"/>
        <w:tabs>
          <w:tab w:val="right" w:leader="dot" w:pos="8630"/>
        </w:tabs>
        <w:rPr>
          <w:noProof/>
        </w:rPr>
      </w:pPr>
      <w:hyperlink w:anchor="_Toc518323567" w:history="1">
        <w:r w:rsidR="001853BF" w:rsidRPr="000F1856">
          <w:rPr>
            <w:rStyle w:val="Hyperlink"/>
            <w:noProof/>
          </w:rPr>
          <w:t>5.  The Preemption Question</w:t>
        </w:r>
        <w:r w:rsidR="001853BF">
          <w:rPr>
            <w:noProof/>
            <w:webHidden/>
          </w:rPr>
          <w:tab/>
        </w:r>
        <w:r w:rsidR="001853BF">
          <w:rPr>
            <w:noProof/>
            <w:webHidden/>
          </w:rPr>
          <w:fldChar w:fldCharType="begin"/>
        </w:r>
        <w:r w:rsidR="001853BF">
          <w:rPr>
            <w:noProof/>
            <w:webHidden/>
          </w:rPr>
          <w:instrText xml:space="preserve"> PAGEREF _Toc518323567 \h </w:instrText>
        </w:r>
        <w:r w:rsidR="001853BF">
          <w:rPr>
            <w:noProof/>
            <w:webHidden/>
          </w:rPr>
        </w:r>
        <w:r w:rsidR="001853BF">
          <w:rPr>
            <w:noProof/>
            <w:webHidden/>
          </w:rPr>
          <w:fldChar w:fldCharType="separate"/>
        </w:r>
        <w:r w:rsidR="001853BF">
          <w:rPr>
            <w:noProof/>
            <w:webHidden/>
          </w:rPr>
          <w:t>597</w:t>
        </w:r>
        <w:r w:rsidR="001853BF">
          <w:rPr>
            <w:noProof/>
            <w:webHidden/>
          </w:rPr>
          <w:fldChar w:fldCharType="end"/>
        </w:r>
      </w:hyperlink>
    </w:p>
    <w:p w14:paraId="5B7DC804" w14:textId="77777777" w:rsidR="001853BF" w:rsidRDefault="00E35F15">
      <w:pPr>
        <w:pStyle w:val="TOC4"/>
        <w:tabs>
          <w:tab w:val="right" w:leader="dot" w:pos="8630"/>
        </w:tabs>
        <w:rPr>
          <w:noProof/>
          <w:sz w:val="22"/>
          <w:szCs w:val="22"/>
        </w:rPr>
      </w:pPr>
      <w:hyperlink w:anchor="_Toc518323568" w:history="1">
        <w:r w:rsidR="001853BF" w:rsidRPr="00022873">
          <w:rPr>
            <w:rStyle w:val="Hyperlink"/>
            <w:i/>
            <w:noProof/>
          </w:rPr>
          <w:t>Geier v. American Honda Motor Co</w:t>
        </w:r>
        <w:r w:rsidR="001853BF">
          <w:rPr>
            <w:noProof/>
            <w:webHidden/>
          </w:rPr>
          <w:tab/>
        </w:r>
        <w:r w:rsidR="001853BF">
          <w:rPr>
            <w:noProof/>
            <w:webHidden/>
          </w:rPr>
          <w:fldChar w:fldCharType="begin"/>
        </w:r>
        <w:r w:rsidR="001853BF">
          <w:rPr>
            <w:noProof/>
            <w:webHidden/>
          </w:rPr>
          <w:instrText xml:space="preserve"> PAGEREF _Toc518323568 \h </w:instrText>
        </w:r>
        <w:r w:rsidR="001853BF">
          <w:rPr>
            <w:noProof/>
            <w:webHidden/>
          </w:rPr>
        </w:r>
        <w:r w:rsidR="001853BF">
          <w:rPr>
            <w:noProof/>
            <w:webHidden/>
          </w:rPr>
          <w:fldChar w:fldCharType="separate"/>
        </w:r>
        <w:r w:rsidR="001853BF">
          <w:rPr>
            <w:noProof/>
            <w:webHidden/>
          </w:rPr>
          <w:t>598</w:t>
        </w:r>
        <w:r w:rsidR="001853BF">
          <w:rPr>
            <w:noProof/>
            <w:webHidden/>
          </w:rPr>
          <w:fldChar w:fldCharType="end"/>
        </w:r>
      </w:hyperlink>
    </w:p>
    <w:p w14:paraId="036F1FA4" w14:textId="77777777" w:rsidR="001853BF" w:rsidRDefault="00E35F15">
      <w:pPr>
        <w:pStyle w:val="TOC5"/>
        <w:tabs>
          <w:tab w:val="right" w:leader="dot" w:pos="8630"/>
        </w:tabs>
        <w:rPr>
          <w:noProof/>
          <w:sz w:val="22"/>
          <w:szCs w:val="22"/>
        </w:rPr>
      </w:pPr>
      <w:hyperlink w:anchor="_Toc518323569"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_Toc518323569 \h </w:instrText>
        </w:r>
        <w:r w:rsidR="001853BF">
          <w:rPr>
            <w:noProof/>
            <w:webHidden/>
          </w:rPr>
        </w:r>
        <w:r w:rsidR="001853BF">
          <w:rPr>
            <w:noProof/>
            <w:webHidden/>
          </w:rPr>
          <w:fldChar w:fldCharType="separate"/>
        </w:r>
        <w:r w:rsidR="001853BF">
          <w:rPr>
            <w:noProof/>
            <w:webHidden/>
          </w:rPr>
          <w:t>602</w:t>
        </w:r>
        <w:r w:rsidR="001853BF">
          <w:rPr>
            <w:noProof/>
            <w:webHidden/>
          </w:rPr>
          <w:fldChar w:fldCharType="end"/>
        </w:r>
      </w:hyperlink>
    </w:p>
    <w:p w14:paraId="591D966A" w14:textId="77777777" w:rsidR="001853BF" w:rsidRDefault="00E35F15">
      <w:pPr>
        <w:pStyle w:val="TOC4"/>
        <w:tabs>
          <w:tab w:val="right" w:leader="dot" w:pos="8630"/>
        </w:tabs>
        <w:rPr>
          <w:noProof/>
          <w:sz w:val="22"/>
          <w:szCs w:val="22"/>
        </w:rPr>
      </w:pPr>
      <w:hyperlink w:anchor="_Toc518323570" w:history="1">
        <w:r w:rsidR="001853BF" w:rsidRPr="00022873">
          <w:rPr>
            <w:rStyle w:val="Hyperlink"/>
            <w:i/>
            <w:noProof/>
          </w:rPr>
          <w:t>Wyeth v. Levine</w:t>
        </w:r>
        <w:r w:rsidR="001853BF">
          <w:rPr>
            <w:noProof/>
            <w:webHidden/>
          </w:rPr>
          <w:tab/>
        </w:r>
        <w:r w:rsidR="001853BF">
          <w:rPr>
            <w:noProof/>
            <w:webHidden/>
          </w:rPr>
          <w:fldChar w:fldCharType="begin"/>
        </w:r>
        <w:r w:rsidR="001853BF">
          <w:rPr>
            <w:noProof/>
            <w:webHidden/>
          </w:rPr>
          <w:instrText xml:space="preserve"> PAGEREF _Toc518323570 \h </w:instrText>
        </w:r>
        <w:r w:rsidR="001853BF">
          <w:rPr>
            <w:noProof/>
            <w:webHidden/>
          </w:rPr>
        </w:r>
        <w:r w:rsidR="001853BF">
          <w:rPr>
            <w:noProof/>
            <w:webHidden/>
          </w:rPr>
          <w:fldChar w:fldCharType="separate"/>
        </w:r>
        <w:r w:rsidR="001853BF">
          <w:rPr>
            <w:noProof/>
            <w:webHidden/>
          </w:rPr>
          <w:t>603</w:t>
        </w:r>
        <w:r w:rsidR="001853BF">
          <w:rPr>
            <w:noProof/>
            <w:webHidden/>
          </w:rPr>
          <w:fldChar w:fldCharType="end"/>
        </w:r>
      </w:hyperlink>
    </w:p>
    <w:p w14:paraId="5F20576B" w14:textId="77777777" w:rsidR="001853BF" w:rsidRDefault="00E35F15">
      <w:pPr>
        <w:pStyle w:val="TOC5"/>
        <w:tabs>
          <w:tab w:val="right" w:leader="dot" w:pos="8630"/>
        </w:tabs>
        <w:rPr>
          <w:noProof/>
          <w:sz w:val="22"/>
          <w:szCs w:val="22"/>
        </w:rPr>
      </w:pPr>
      <w:hyperlink w:anchor="_Toc518323571"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_Toc518323571 \h </w:instrText>
        </w:r>
        <w:r w:rsidR="001853BF">
          <w:rPr>
            <w:noProof/>
            <w:webHidden/>
          </w:rPr>
        </w:r>
        <w:r w:rsidR="001853BF">
          <w:rPr>
            <w:noProof/>
            <w:webHidden/>
          </w:rPr>
          <w:fldChar w:fldCharType="separate"/>
        </w:r>
        <w:r w:rsidR="001853BF">
          <w:rPr>
            <w:noProof/>
            <w:webHidden/>
          </w:rPr>
          <w:t>610</w:t>
        </w:r>
        <w:r w:rsidR="001853BF">
          <w:rPr>
            <w:noProof/>
            <w:webHidden/>
          </w:rPr>
          <w:fldChar w:fldCharType="end"/>
        </w:r>
      </w:hyperlink>
    </w:p>
    <w:p w14:paraId="76C687D3" w14:textId="77777777" w:rsidR="001853BF" w:rsidRDefault="00E35F15">
      <w:pPr>
        <w:pStyle w:val="TOC4"/>
        <w:tabs>
          <w:tab w:val="right" w:leader="dot" w:pos="8630"/>
        </w:tabs>
        <w:rPr>
          <w:noProof/>
          <w:sz w:val="22"/>
          <w:szCs w:val="22"/>
        </w:rPr>
      </w:pPr>
      <w:hyperlink w:anchor="_Toc518323572" w:history="1">
        <w:r w:rsidR="001853BF" w:rsidRPr="00022873">
          <w:rPr>
            <w:rStyle w:val="Hyperlink"/>
            <w:i/>
            <w:noProof/>
          </w:rPr>
          <w:t>PLIVA, Inc. v. Mensing</w:t>
        </w:r>
        <w:r w:rsidR="001853BF">
          <w:rPr>
            <w:noProof/>
            <w:webHidden/>
          </w:rPr>
          <w:tab/>
        </w:r>
        <w:r w:rsidR="001853BF">
          <w:rPr>
            <w:noProof/>
            <w:webHidden/>
          </w:rPr>
          <w:fldChar w:fldCharType="begin"/>
        </w:r>
        <w:r w:rsidR="001853BF">
          <w:rPr>
            <w:noProof/>
            <w:webHidden/>
          </w:rPr>
          <w:instrText xml:space="preserve"> PAGEREF _Toc518323572 \h </w:instrText>
        </w:r>
        <w:r w:rsidR="001853BF">
          <w:rPr>
            <w:noProof/>
            <w:webHidden/>
          </w:rPr>
        </w:r>
        <w:r w:rsidR="001853BF">
          <w:rPr>
            <w:noProof/>
            <w:webHidden/>
          </w:rPr>
          <w:fldChar w:fldCharType="separate"/>
        </w:r>
        <w:r w:rsidR="001853BF">
          <w:rPr>
            <w:noProof/>
            <w:webHidden/>
          </w:rPr>
          <w:t>613</w:t>
        </w:r>
        <w:r w:rsidR="001853BF">
          <w:rPr>
            <w:noProof/>
            <w:webHidden/>
          </w:rPr>
          <w:fldChar w:fldCharType="end"/>
        </w:r>
      </w:hyperlink>
    </w:p>
    <w:p w14:paraId="39558F55" w14:textId="77777777" w:rsidR="001853BF" w:rsidRDefault="00E35F15">
      <w:pPr>
        <w:pStyle w:val="TOC5"/>
        <w:tabs>
          <w:tab w:val="right" w:leader="dot" w:pos="8630"/>
        </w:tabs>
        <w:rPr>
          <w:noProof/>
          <w:sz w:val="22"/>
          <w:szCs w:val="22"/>
        </w:rPr>
      </w:pPr>
      <w:hyperlink w:anchor="_Toc518323573"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_Toc518323573 \h </w:instrText>
        </w:r>
        <w:r w:rsidR="001853BF">
          <w:rPr>
            <w:noProof/>
            <w:webHidden/>
          </w:rPr>
        </w:r>
        <w:r w:rsidR="001853BF">
          <w:rPr>
            <w:noProof/>
            <w:webHidden/>
          </w:rPr>
          <w:fldChar w:fldCharType="separate"/>
        </w:r>
        <w:r w:rsidR="001853BF">
          <w:rPr>
            <w:noProof/>
            <w:webHidden/>
          </w:rPr>
          <w:t>618</w:t>
        </w:r>
        <w:r w:rsidR="001853BF">
          <w:rPr>
            <w:noProof/>
            <w:webHidden/>
          </w:rPr>
          <w:fldChar w:fldCharType="end"/>
        </w:r>
      </w:hyperlink>
    </w:p>
    <w:p w14:paraId="22687617" w14:textId="77777777" w:rsidR="001853BF" w:rsidRDefault="00E35F15">
      <w:pPr>
        <w:pStyle w:val="TOC1"/>
        <w:tabs>
          <w:tab w:val="right" w:leader="dot" w:pos="8630"/>
        </w:tabs>
        <w:rPr>
          <w:b w:val="0"/>
          <w:noProof/>
          <w:sz w:val="22"/>
          <w:szCs w:val="22"/>
        </w:rPr>
      </w:pPr>
      <w:hyperlink w:anchor="_Toc518323574" w:history="1">
        <w:r w:rsidR="001853BF" w:rsidRPr="000F1856">
          <w:rPr>
            <w:rStyle w:val="Hyperlink"/>
            <w:noProof/>
          </w:rPr>
          <w:t>CHAPTER 10. DAMAGES</w:t>
        </w:r>
        <w:r w:rsidR="001853BF">
          <w:rPr>
            <w:noProof/>
            <w:webHidden/>
          </w:rPr>
          <w:tab/>
        </w:r>
        <w:r w:rsidR="001853BF">
          <w:rPr>
            <w:noProof/>
            <w:webHidden/>
          </w:rPr>
          <w:fldChar w:fldCharType="begin"/>
        </w:r>
        <w:r w:rsidR="001853BF">
          <w:rPr>
            <w:noProof/>
            <w:webHidden/>
          </w:rPr>
          <w:instrText xml:space="preserve"> PAGEREF _Toc518323574 \h </w:instrText>
        </w:r>
        <w:r w:rsidR="001853BF">
          <w:rPr>
            <w:noProof/>
            <w:webHidden/>
          </w:rPr>
        </w:r>
        <w:r w:rsidR="001853BF">
          <w:rPr>
            <w:noProof/>
            <w:webHidden/>
          </w:rPr>
          <w:fldChar w:fldCharType="separate"/>
        </w:r>
        <w:r w:rsidR="001853BF">
          <w:rPr>
            <w:noProof/>
            <w:webHidden/>
          </w:rPr>
          <w:t>621</w:t>
        </w:r>
        <w:r w:rsidR="001853BF">
          <w:rPr>
            <w:noProof/>
            <w:webHidden/>
          </w:rPr>
          <w:fldChar w:fldCharType="end"/>
        </w:r>
      </w:hyperlink>
    </w:p>
    <w:p w14:paraId="1C870B67" w14:textId="77777777" w:rsidR="001853BF" w:rsidRDefault="00E35F15">
      <w:pPr>
        <w:pStyle w:val="TOC2"/>
        <w:tabs>
          <w:tab w:val="right" w:leader="dot" w:pos="8630"/>
        </w:tabs>
        <w:rPr>
          <w:b w:val="0"/>
          <w:noProof/>
        </w:rPr>
      </w:pPr>
      <w:hyperlink w:anchor="_Toc518323575" w:history="1">
        <w:r w:rsidR="001853BF" w:rsidRPr="000F1856">
          <w:rPr>
            <w:rStyle w:val="Hyperlink"/>
            <w:noProof/>
          </w:rPr>
          <w:t>A.  Compensatory Damages</w:t>
        </w:r>
        <w:r w:rsidR="001853BF">
          <w:rPr>
            <w:noProof/>
            <w:webHidden/>
          </w:rPr>
          <w:tab/>
        </w:r>
        <w:r w:rsidR="001853BF">
          <w:rPr>
            <w:noProof/>
            <w:webHidden/>
          </w:rPr>
          <w:fldChar w:fldCharType="begin"/>
        </w:r>
        <w:r w:rsidR="001853BF">
          <w:rPr>
            <w:noProof/>
            <w:webHidden/>
          </w:rPr>
          <w:instrText xml:space="preserve"> PAGEREF _Toc518323575 \h </w:instrText>
        </w:r>
        <w:r w:rsidR="001853BF">
          <w:rPr>
            <w:noProof/>
            <w:webHidden/>
          </w:rPr>
        </w:r>
        <w:r w:rsidR="001853BF">
          <w:rPr>
            <w:noProof/>
            <w:webHidden/>
          </w:rPr>
          <w:fldChar w:fldCharType="separate"/>
        </w:r>
        <w:r w:rsidR="001853BF">
          <w:rPr>
            <w:noProof/>
            <w:webHidden/>
          </w:rPr>
          <w:t>622</w:t>
        </w:r>
        <w:r w:rsidR="001853BF">
          <w:rPr>
            <w:noProof/>
            <w:webHidden/>
          </w:rPr>
          <w:fldChar w:fldCharType="end"/>
        </w:r>
      </w:hyperlink>
    </w:p>
    <w:p w14:paraId="03CD26FE" w14:textId="77777777" w:rsidR="001853BF" w:rsidRDefault="00E35F15">
      <w:pPr>
        <w:pStyle w:val="TOC3"/>
        <w:tabs>
          <w:tab w:val="right" w:leader="dot" w:pos="8630"/>
        </w:tabs>
        <w:rPr>
          <w:noProof/>
        </w:rPr>
      </w:pPr>
      <w:hyperlink w:anchor="_Toc518323576" w:history="1">
        <w:r w:rsidR="001853BF" w:rsidRPr="000F1856">
          <w:rPr>
            <w:rStyle w:val="Hyperlink"/>
            <w:noProof/>
          </w:rPr>
          <w:t>1.  Pecuniary Damages</w:t>
        </w:r>
        <w:r w:rsidR="001853BF">
          <w:rPr>
            <w:noProof/>
            <w:webHidden/>
          </w:rPr>
          <w:tab/>
        </w:r>
        <w:r w:rsidR="001853BF">
          <w:rPr>
            <w:noProof/>
            <w:webHidden/>
          </w:rPr>
          <w:fldChar w:fldCharType="begin"/>
        </w:r>
        <w:r w:rsidR="001853BF">
          <w:rPr>
            <w:noProof/>
            <w:webHidden/>
          </w:rPr>
          <w:instrText xml:space="preserve"> PAGEREF _Toc518323576 \h </w:instrText>
        </w:r>
        <w:r w:rsidR="001853BF">
          <w:rPr>
            <w:noProof/>
            <w:webHidden/>
          </w:rPr>
        </w:r>
        <w:r w:rsidR="001853BF">
          <w:rPr>
            <w:noProof/>
            <w:webHidden/>
          </w:rPr>
          <w:fldChar w:fldCharType="separate"/>
        </w:r>
        <w:r w:rsidR="001853BF">
          <w:rPr>
            <w:noProof/>
            <w:webHidden/>
          </w:rPr>
          <w:t>622</w:t>
        </w:r>
        <w:r w:rsidR="001853BF">
          <w:rPr>
            <w:noProof/>
            <w:webHidden/>
          </w:rPr>
          <w:fldChar w:fldCharType="end"/>
        </w:r>
      </w:hyperlink>
    </w:p>
    <w:p w14:paraId="705D9711" w14:textId="77777777" w:rsidR="001853BF" w:rsidRDefault="00E35F15">
      <w:pPr>
        <w:pStyle w:val="TOC4"/>
        <w:tabs>
          <w:tab w:val="right" w:leader="dot" w:pos="8630"/>
        </w:tabs>
        <w:rPr>
          <w:noProof/>
          <w:sz w:val="22"/>
          <w:szCs w:val="22"/>
        </w:rPr>
      </w:pPr>
      <w:hyperlink w:anchor="_Toc518323577" w:history="1">
        <w:r w:rsidR="001853BF" w:rsidRPr="00022873">
          <w:rPr>
            <w:rStyle w:val="Hyperlink"/>
            <w:i/>
            <w:noProof/>
          </w:rPr>
          <w:t>O’Shea v. Riverway Towing Co</w:t>
        </w:r>
        <w:r w:rsidR="001853BF">
          <w:rPr>
            <w:noProof/>
            <w:webHidden/>
          </w:rPr>
          <w:tab/>
        </w:r>
        <w:r w:rsidR="001853BF">
          <w:rPr>
            <w:noProof/>
            <w:webHidden/>
          </w:rPr>
          <w:fldChar w:fldCharType="begin"/>
        </w:r>
        <w:r w:rsidR="001853BF">
          <w:rPr>
            <w:noProof/>
            <w:webHidden/>
          </w:rPr>
          <w:instrText xml:space="preserve"> PAGEREF _Toc518323577 \h </w:instrText>
        </w:r>
        <w:r w:rsidR="001853BF">
          <w:rPr>
            <w:noProof/>
            <w:webHidden/>
          </w:rPr>
        </w:r>
        <w:r w:rsidR="001853BF">
          <w:rPr>
            <w:noProof/>
            <w:webHidden/>
          </w:rPr>
          <w:fldChar w:fldCharType="separate"/>
        </w:r>
        <w:r w:rsidR="001853BF">
          <w:rPr>
            <w:noProof/>
            <w:webHidden/>
          </w:rPr>
          <w:t>622</w:t>
        </w:r>
        <w:r w:rsidR="001853BF">
          <w:rPr>
            <w:noProof/>
            <w:webHidden/>
          </w:rPr>
          <w:fldChar w:fldCharType="end"/>
        </w:r>
      </w:hyperlink>
    </w:p>
    <w:p w14:paraId="51795B3D" w14:textId="77777777" w:rsidR="001853BF" w:rsidRDefault="00E35F15">
      <w:pPr>
        <w:pStyle w:val="TOC5"/>
        <w:tabs>
          <w:tab w:val="right" w:leader="dot" w:pos="8630"/>
        </w:tabs>
        <w:rPr>
          <w:noProof/>
          <w:sz w:val="22"/>
          <w:szCs w:val="22"/>
        </w:rPr>
      </w:pPr>
      <w:hyperlink w:anchor="_Toc51832357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_Toc518323578 \h </w:instrText>
        </w:r>
        <w:r w:rsidR="001853BF">
          <w:rPr>
            <w:noProof/>
            <w:webHidden/>
          </w:rPr>
        </w:r>
        <w:r w:rsidR="001853BF">
          <w:rPr>
            <w:noProof/>
            <w:webHidden/>
          </w:rPr>
          <w:fldChar w:fldCharType="separate"/>
        </w:r>
        <w:r w:rsidR="001853BF">
          <w:rPr>
            <w:noProof/>
            <w:webHidden/>
          </w:rPr>
          <w:t>626</w:t>
        </w:r>
        <w:r w:rsidR="001853BF">
          <w:rPr>
            <w:noProof/>
            <w:webHidden/>
          </w:rPr>
          <w:fldChar w:fldCharType="end"/>
        </w:r>
      </w:hyperlink>
    </w:p>
    <w:p w14:paraId="37AE1AF0" w14:textId="77777777" w:rsidR="001853BF" w:rsidRDefault="00E35F15">
      <w:pPr>
        <w:pStyle w:val="TOC4"/>
        <w:tabs>
          <w:tab w:val="right" w:leader="dot" w:pos="8630"/>
        </w:tabs>
        <w:rPr>
          <w:noProof/>
          <w:sz w:val="22"/>
          <w:szCs w:val="22"/>
        </w:rPr>
      </w:pPr>
      <w:hyperlink w:anchor="_Toc518323579" w:history="1">
        <w:r w:rsidR="001853BF" w:rsidRPr="00022873">
          <w:rPr>
            <w:rStyle w:val="Hyperlink"/>
            <w:i/>
            <w:noProof/>
          </w:rPr>
          <w:t>Feldman v. Allegheny Airlines</w:t>
        </w:r>
        <w:r w:rsidR="001853BF">
          <w:rPr>
            <w:noProof/>
            <w:webHidden/>
          </w:rPr>
          <w:tab/>
        </w:r>
        <w:r w:rsidR="001853BF">
          <w:rPr>
            <w:noProof/>
            <w:webHidden/>
          </w:rPr>
          <w:fldChar w:fldCharType="begin"/>
        </w:r>
        <w:r w:rsidR="001853BF">
          <w:rPr>
            <w:noProof/>
            <w:webHidden/>
          </w:rPr>
          <w:instrText xml:space="preserve"> PAGEREF _Toc518323579 \h </w:instrText>
        </w:r>
        <w:r w:rsidR="001853BF">
          <w:rPr>
            <w:noProof/>
            <w:webHidden/>
          </w:rPr>
        </w:r>
        <w:r w:rsidR="001853BF">
          <w:rPr>
            <w:noProof/>
            <w:webHidden/>
          </w:rPr>
          <w:fldChar w:fldCharType="separate"/>
        </w:r>
        <w:r w:rsidR="001853BF">
          <w:rPr>
            <w:noProof/>
            <w:webHidden/>
          </w:rPr>
          <w:t>629</w:t>
        </w:r>
        <w:r w:rsidR="001853BF">
          <w:rPr>
            <w:noProof/>
            <w:webHidden/>
          </w:rPr>
          <w:fldChar w:fldCharType="end"/>
        </w:r>
      </w:hyperlink>
    </w:p>
    <w:p w14:paraId="2D4C329E" w14:textId="77777777" w:rsidR="001853BF" w:rsidRDefault="00E35F15">
      <w:pPr>
        <w:pStyle w:val="TOC5"/>
        <w:tabs>
          <w:tab w:val="right" w:leader="dot" w:pos="8630"/>
        </w:tabs>
        <w:rPr>
          <w:noProof/>
          <w:sz w:val="22"/>
          <w:szCs w:val="22"/>
        </w:rPr>
      </w:pPr>
      <w:hyperlink w:anchor="_Toc51832358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_Toc518323580 \h </w:instrText>
        </w:r>
        <w:r w:rsidR="001853BF">
          <w:rPr>
            <w:noProof/>
            <w:webHidden/>
          </w:rPr>
        </w:r>
        <w:r w:rsidR="001853BF">
          <w:rPr>
            <w:noProof/>
            <w:webHidden/>
          </w:rPr>
          <w:fldChar w:fldCharType="separate"/>
        </w:r>
        <w:r w:rsidR="001853BF">
          <w:rPr>
            <w:noProof/>
            <w:webHidden/>
          </w:rPr>
          <w:t>632</w:t>
        </w:r>
        <w:r w:rsidR="001853BF">
          <w:rPr>
            <w:noProof/>
            <w:webHidden/>
          </w:rPr>
          <w:fldChar w:fldCharType="end"/>
        </w:r>
      </w:hyperlink>
    </w:p>
    <w:p w14:paraId="5F3EB189" w14:textId="77777777" w:rsidR="001853BF" w:rsidRDefault="00E35F15">
      <w:pPr>
        <w:pStyle w:val="TOC3"/>
        <w:tabs>
          <w:tab w:val="right" w:leader="dot" w:pos="8630"/>
        </w:tabs>
        <w:rPr>
          <w:noProof/>
        </w:rPr>
      </w:pPr>
      <w:hyperlink w:anchor="_Toc518323581" w:history="1">
        <w:r w:rsidR="001853BF" w:rsidRPr="000F1856">
          <w:rPr>
            <w:rStyle w:val="Hyperlink"/>
            <w:noProof/>
          </w:rPr>
          <w:t>2.  Nonpecuniary Damages</w:t>
        </w:r>
        <w:r w:rsidR="001853BF">
          <w:rPr>
            <w:noProof/>
            <w:webHidden/>
          </w:rPr>
          <w:tab/>
        </w:r>
        <w:r w:rsidR="001853BF">
          <w:rPr>
            <w:noProof/>
            <w:webHidden/>
          </w:rPr>
          <w:fldChar w:fldCharType="begin"/>
        </w:r>
        <w:r w:rsidR="001853BF">
          <w:rPr>
            <w:noProof/>
            <w:webHidden/>
          </w:rPr>
          <w:instrText xml:space="preserve"> PAGEREF _Toc518323581 \h </w:instrText>
        </w:r>
        <w:r w:rsidR="001853BF">
          <w:rPr>
            <w:noProof/>
            <w:webHidden/>
          </w:rPr>
        </w:r>
        <w:r w:rsidR="001853BF">
          <w:rPr>
            <w:noProof/>
            <w:webHidden/>
          </w:rPr>
          <w:fldChar w:fldCharType="separate"/>
        </w:r>
        <w:r w:rsidR="001853BF">
          <w:rPr>
            <w:noProof/>
            <w:webHidden/>
          </w:rPr>
          <w:t>635</w:t>
        </w:r>
        <w:r w:rsidR="001853BF">
          <w:rPr>
            <w:noProof/>
            <w:webHidden/>
          </w:rPr>
          <w:fldChar w:fldCharType="end"/>
        </w:r>
      </w:hyperlink>
    </w:p>
    <w:p w14:paraId="032DC252" w14:textId="77777777" w:rsidR="001853BF" w:rsidRDefault="00E35F15">
      <w:pPr>
        <w:pStyle w:val="TOC4"/>
        <w:tabs>
          <w:tab w:val="right" w:leader="dot" w:pos="8630"/>
        </w:tabs>
        <w:rPr>
          <w:noProof/>
          <w:sz w:val="22"/>
          <w:szCs w:val="22"/>
        </w:rPr>
      </w:pPr>
      <w:hyperlink w:anchor="_Toc518323582" w:history="1">
        <w:r w:rsidR="001853BF" w:rsidRPr="000F1856">
          <w:rPr>
            <w:rStyle w:val="Hyperlink"/>
            <w:noProof/>
          </w:rPr>
          <w:t>The Rise of Pain and Suffering</w:t>
        </w:r>
        <w:r w:rsidR="001853BF">
          <w:rPr>
            <w:noProof/>
            <w:webHidden/>
          </w:rPr>
          <w:tab/>
        </w:r>
        <w:r w:rsidR="001853BF">
          <w:rPr>
            <w:noProof/>
            <w:webHidden/>
          </w:rPr>
          <w:fldChar w:fldCharType="begin"/>
        </w:r>
        <w:r w:rsidR="001853BF">
          <w:rPr>
            <w:noProof/>
            <w:webHidden/>
          </w:rPr>
          <w:instrText xml:space="preserve"> PAGEREF _Toc518323582 \h </w:instrText>
        </w:r>
        <w:r w:rsidR="001853BF">
          <w:rPr>
            <w:noProof/>
            <w:webHidden/>
          </w:rPr>
        </w:r>
        <w:r w:rsidR="001853BF">
          <w:rPr>
            <w:noProof/>
            <w:webHidden/>
          </w:rPr>
          <w:fldChar w:fldCharType="separate"/>
        </w:r>
        <w:r w:rsidR="001853BF">
          <w:rPr>
            <w:noProof/>
            <w:webHidden/>
          </w:rPr>
          <w:t>636</w:t>
        </w:r>
        <w:r w:rsidR="001853BF">
          <w:rPr>
            <w:noProof/>
            <w:webHidden/>
          </w:rPr>
          <w:fldChar w:fldCharType="end"/>
        </w:r>
      </w:hyperlink>
    </w:p>
    <w:p w14:paraId="0D846656" w14:textId="77777777" w:rsidR="001853BF" w:rsidRDefault="00E35F15">
      <w:pPr>
        <w:pStyle w:val="TOC4"/>
        <w:tabs>
          <w:tab w:val="right" w:leader="dot" w:pos="8630"/>
        </w:tabs>
        <w:rPr>
          <w:noProof/>
          <w:sz w:val="22"/>
          <w:szCs w:val="22"/>
        </w:rPr>
      </w:pPr>
      <w:hyperlink w:anchor="_Toc518323583" w:history="1">
        <w:r w:rsidR="001853BF" w:rsidRPr="00022873">
          <w:rPr>
            <w:rStyle w:val="Hyperlink"/>
            <w:i/>
            <w:noProof/>
          </w:rPr>
          <w:t>McDougald v. Garber</w:t>
        </w:r>
        <w:r w:rsidR="001853BF">
          <w:rPr>
            <w:noProof/>
            <w:webHidden/>
          </w:rPr>
          <w:tab/>
        </w:r>
        <w:r w:rsidR="001853BF">
          <w:rPr>
            <w:noProof/>
            <w:webHidden/>
          </w:rPr>
          <w:fldChar w:fldCharType="begin"/>
        </w:r>
        <w:r w:rsidR="001853BF">
          <w:rPr>
            <w:noProof/>
            <w:webHidden/>
          </w:rPr>
          <w:instrText xml:space="preserve"> PAGEREF _Toc518323583 \h </w:instrText>
        </w:r>
        <w:r w:rsidR="001853BF">
          <w:rPr>
            <w:noProof/>
            <w:webHidden/>
          </w:rPr>
        </w:r>
        <w:r w:rsidR="001853BF">
          <w:rPr>
            <w:noProof/>
            <w:webHidden/>
          </w:rPr>
          <w:fldChar w:fldCharType="separate"/>
        </w:r>
        <w:r w:rsidR="001853BF">
          <w:rPr>
            <w:noProof/>
            <w:webHidden/>
          </w:rPr>
          <w:t>639</w:t>
        </w:r>
        <w:r w:rsidR="001853BF">
          <w:rPr>
            <w:noProof/>
            <w:webHidden/>
          </w:rPr>
          <w:fldChar w:fldCharType="end"/>
        </w:r>
      </w:hyperlink>
    </w:p>
    <w:p w14:paraId="2B569A9B" w14:textId="77777777" w:rsidR="001853BF" w:rsidRDefault="00E35F15">
      <w:pPr>
        <w:pStyle w:val="TOC5"/>
        <w:tabs>
          <w:tab w:val="right" w:leader="dot" w:pos="8630"/>
        </w:tabs>
        <w:rPr>
          <w:noProof/>
          <w:sz w:val="22"/>
          <w:szCs w:val="22"/>
        </w:rPr>
      </w:pPr>
      <w:hyperlink w:anchor="_Toc518323584"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_Toc518323584 \h </w:instrText>
        </w:r>
        <w:r w:rsidR="001853BF">
          <w:rPr>
            <w:noProof/>
            <w:webHidden/>
          </w:rPr>
        </w:r>
        <w:r w:rsidR="001853BF">
          <w:rPr>
            <w:noProof/>
            <w:webHidden/>
          </w:rPr>
          <w:fldChar w:fldCharType="separate"/>
        </w:r>
        <w:r w:rsidR="001853BF">
          <w:rPr>
            <w:noProof/>
            <w:webHidden/>
          </w:rPr>
          <w:t>645</w:t>
        </w:r>
        <w:r w:rsidR="001853BF">
          <w:rPr>
            <w:noProof/>
            <w:webHidden/>
          </w:rPr>
          <w:fldChar w:fldCharType="end"/>
        </w:r>
      </w:hyperlink>
    </w:p>
    <w:p w14:paraId="347600FB" w14:textId="77777777" w:rsidR="001853BF" w:rsidRDefault="00E35F15">
      <w:pPr>
        <w:pStyle w:val="TOC3"/>
        <w:tabs>
          <w:tab w:val="right" w:leader="dot" w:pos="8630"/>
        </w:tabs>
        <w:rPr>
          <w:noProof/>
        </w:rPr>
      </w:pPr>
      <w:hyperlink w:anchor="_Toc518323585" w:history="1">
        <w:r w:rsidR="001853BF" w:rsidRPr="000F1856">
          <w:rPr>
            <w:rStyle w:val="Hyperlink"/>
            <w:noProof/>
          </w:rPr>
          <w:t>3.  Environmental Damages</w:t>
        </w:r>
        <w:r w:rsidR="001853BF">
          <w:rPr>
            <w:noProof/>
            <w:webHidden/>
          </w:rPr>
          <w:tab/>
        </w:r>
        <w:r w:rsidR="001853BF">
          <w:rPr>
            <w:noProof/>
            <w:webHidden/>
          </w:rPr>
          <w:fldChar w:fldCharType="begin"/>
        </w:r>
        <w:r w:rsidR="001853BF">
          <w:rPr>
            <w:noProof/>
            <w:webHidden/>
          </w:rPr>
          <w:instrText xml:space="preserve"> PAGEREF _Toc518323585 \h </w:instrText>
        </w:r>
        <w:r w:rsidR="001853BF">
          <w:rPr>
            <w:noProof/>
            <w:webHidden/>
          </w:rPr>
        </w:r>
        <w:r w:rsidR="001853BF">
          <w:rPr>
            <w:noProof/>
            <w:webHidden/>
          </w:rPr>
          <w:fldChar w:fldCharType="separate"/>
        </w:r>
        <w:r w:rsidR="001853BF">
          <w:rPr>
            <w:noProof/>
            <w:webHidden/>
          </w:rPr>
          <w:t>649</w:t>
        </w:r>
        <w:r w:rsidR="001853BF">
          <w:rPr>
            <w:noProof/>
            <w:webHidden/>
          </w:rPr>
          <w:fldChar w:fldCharType="end"/>
        </w:r>
      </w:hyperlink>
    </w:p>
    <w:p w14:paraId="2E105A67" w14:textId="77777777" w:rsidR="001853BF" w:rsidRDefault="00E35F15">
      <w:pPr>
        <w:pStyle w:val="TOC4"/>
        <w:tabs>
          <w:tab w:val="right" w:leader="dot" w:pos="8630"/>
        </w:tabs>
        <w:rPr>
          <w:noProof/>
          <w:sz w:val="22"/>
          <w:szCs w:val="22"/>
        </w:rPr>
      </w:pPr>
      <w:hyperlink w:anchor="_Toc518323586" w:history="1">
        <w:r w:rsidR="001853BF" w:rsidRPr="00022873">
          <w:rPr>
            <w:rStyle w:val="Hyperlink"/>
            <w:i/>
            <w:noProof/>
          </w:rPr>
          <w:t>United States v. CB &amp; I Constructors, Inc</w:t>
        </w:r>
        <w:r w:rsidR="001853BF">
          <w:rPr>
            <w:noProof/>
            <w:webHidden/>
          </w:rPr>
          <w:tab/>
        </w:r>
        <w:r w:rsidR="001853BF">
          <w:rPr>
            <w:noProof/>
            <w:webHidden/>
          </w:rPr>
          <w:fldChar w:fldCharType="begin"/>
        </w:r>
        <w:r w:rsidR="001853BF">
          <w:rPr>
            <w:noProof/>
            <w:webHidden/>
          </w:rPr>
          <w:instrText xml:space="preserve"> PAGEREF _Toc518323586 \h </w:instrText>
        </w:r>
        <w:r w:rsidR="001853BF">
          <w:rPr>
            <w:noProof/>
            <w:webHidden/>
          </w:rPr>
        </w:r>
        <w:r w:rsidR="001853BF">
          <w:rPr>
            <w:noProof/>
            <w:webHidden/>
          </w:rPr>
          <w:fldChar w:fldCharType="separate"/>
        </w:r>
        <w:r w:rsidR="001853BF">
          <w:rPr>
            <w:noProof/>
            <w:webHidden/>
          </w:rPr>
          <w:t>649</w:t>
        </w:r>
        <w:r w:rsidR="001853BF">
          <w:rPr>
            <w:noProof/>
            <w:webHidden/>
          </w:rPr>
          <w:fldChar w:fldCharType="end"/>
        </w:r>
      </w:hyperlink>
    </w:p>
    <w:p w14:paraId="4468E441" w14:textId="77777777" w:rsidR="001853BF" w:rsidRDefault="00E35F15">
      <w:pPr>
        <w:pStyle w:val="TOC5"/>
        <w:tabs>
          <w:tab w:val="right" w:leader="dot" w:pos="8630"/>
        </w:tabs>
        <w:rPr>
          <w:noProof/>
          <w:sz w:val="22"/>
          <w:szCs w:val="22"/>
        </w:rPr>
      </w:pPr>
      <w:hyperlink w:anchor="_Toc518323587" w:history="1">
        <w:r w:rsidR="001853BF" w:rsidRPr="000F1856">
          <w:rPr>
            <w:rStyle w:val="Hyperlink"/>
            <w:noProof/>
          </w:rPr>
          <w:t>Note</w:t>
        </w:r>
        <w:r w:rsidR="001853BF">
          <w:rPr>
            <w:noProof/>
            <w:webHidden/>
          </w:rPr>
          <w:tab/>
        </w:r>
        <w:r w:rsidR="001853BF">
          <w:rPr>
            <w:noProof/>
            <w:webHidden/>
          </w:rPr>
          <w:fldChar w:fldCharType="begin"/>
        </w:r>
        <w:r w:rsidR="001853BF">
          <w:rPr>
            <w:noProof/>
            <w:webHidden/>
          </w:rPr>
          <w:instrText xml:space="preserve"> PAGEREF _Toc518323587 \h </w:instrText>
        </w:r>
        <w:r w:rsidR="001853BF">
          <w:rPr>
            <w:noProof/>
            <w:webHidden/>
          </w:rPr>
        </w:r>
        <w:r w:rsidR="001853BF">
          <w:rPr>
            <w:noProof/>
            <w:webHidden/>
          </w:rPr>
          <w:fldChar w:fldCharType="separate"/>
        </w:r>
        <w:r w:rsidR="001853BF">
          <w:rPr>
            <w:noProof/>
            <w:webHidden/>
          </w:rPr>
          <w:t>651</w:t>
        </w:r>
        <w:r w:rsidR="001853BF">
          <w:rPr>
            <w:noProof/>
            <w:webHidden/>
          </w:rPr>
          <w:fldChar w:fldCharType="end"/>
        </w:r>
      </w:hyperlink>
    </w:p>
    <w:p w14:paraId="07096C5B" w14:textId="77777777" w:rsidR="001853BF" w:rsidRDefault="00E35F15">
      <w:pPr>
        <w:pStyle w:val="TOC3"/>
        <w:tabs>
          <w:tab w:val="right" w:leader="dot" w:pos="8630"/>
        </w:tabs>
        <w:rPr>
          <w:noProof/>
        </w:rPr>
      </w:pPr>
      <w:hyperlink w:anchor="_Toc518323588" w:history="1">
        <w:r w:rsidR="001853BF" w:rsidRPr="000F1856">
          <w:rPr>
            <w:rStyle w:val="Hyperlink"/>
            <w:noProof/>
          </w:rPr>
          <w:t>4.  Death Cases</w:t>
        </w:r>
        <w:r w:rsidR="001853BF">
          <w:rPr>
            <w:noProof/>
            <w:webHidden/>
          </w:rPr>
          <w:tab/>
        </w:r>
        <w:r w:rsidR="001853BF">
          <w:rPr>
            <w:noProof/>
            <w:webHidden/>
          </w:rPr>
          <w:fldChar w:fldCharType="begin"/>
        </w:r>
        <w:r w:rsidR="001853BF">
          <w:rPr>
            <w:noProof/>
            <w:webHidden/>
          </w:rPr>
          <w:instrText xml:space="preserve"> PAGEREF _Toc518323588 \h </w:instrText>
        </w:r>
        <w:r w:rsidR="001853BF">
          <w:rPr>
            <w:noProof/>
            <w:webHidden/>
          </w:rPr>
        </w:r>
        <w:r w:rsidR="001853BF">
          <w:rPr>
            <w:noProof/>
            <w:webHidden/>
          </w:rPr>
          <w:fldChar w:fldCharType="separate"/>
        </w:r>
        <w:r w:rsidR="001853BF">
          <w:rPr>
            <w:noProof/>
            <w:webHidden/>
          </w:rPr>
          <w:t>651</w:t>
        </w:r>
        <w:r w:rsidR="001853BF">
          <w:rPr>
            <w:noProof/>
            <w:webHidden/>
          </w:rPr>
          <w:fldChar w:fldCharType="end"/>
        </w:r>
      </w:hyperlink>
    </w:p>
    <w:p w14:paraId="0F8E9144" w14:textId="77777777" w:rsidR="001853BF" w:rsidRDefault="00E35F15">
      <w:pPr>
        <w:pStyle w:val="TOC4"/>
        <w:tabs>
          <w:tab w:val="right" w:leader="dot" w:pos="8630"/>
        </w:tabs>
        <w:rPr>
          <w:noProof/>
          <w:sz w:val="22"/>
          <w:szCs w:val="22"/>
        </w:rPr>
      </w:pPr>
      <w:hyperlink w:anchor="_Toc518323589" w:history="1">
        <w:r w:rsidR="001853BF" w:rsidRPr="000F1856">
          <w:rPr>
            <w:rStyle w:val="Hyperlink"/>
            <w:noProof/>
          </w:rPr>
          <w:t>Wrongful Death Actions</w:t>
        </w:r>
        <w:r w:rsidR="001853BF">
          <w:rPr>
            <w:noProof/>
            <w:webHidden/>
          </w:rPr>
          <w:tab/>
        </w:r>
        <w:r w:rsidR="001853BF">
          <w:rPr>
            <w:noProof/>
            <w:webHidden/>
          </w:rPr>
          <w:fldChar w:fldCharType="begin"/>
        </w:r>
        <w:r w:rsidR="001853BF">
          <w:rPr>
            <w:noProof/>
            <w:webHidden/>
          </w:rPr>
          <w:instrText xml:space="preserve"> PAGEREF _Toc518323589 \h </w:instrText>
        </w:r>
        <w:r w:rsidR="001853BF">
          <w:rPr>
            <w:noProof/>
            <w:webHidden/>
          </w:rPr>
        </w:r>
        <w:r w:rsidR="001853BF">
          <w:rPr>
            <w:noProof/>
            <w:webHidden/>
          </w:rPr>
          <w:fldChar w:fldCharType="separate"/>
        </w:r>
        <w:r w:rsidR="001853BF">
          <w:rPr>
            <w:noProof/>
            <w:webHidden/>
          </w:rPr>
          <w:t>651</w:t>
        </w:r>
        <w:r w:rsidR="001853BF">
          <w:rPr>
            <w:noProof/>
            <w:webHidden/>
          </w:rPr>
          <w:fldChar w:fldCharType="end"/>
        </w:r>
      </w:hyperlink>
    </w:p>
    <w:p w14:paraId="6B6785A3" w14:textId="77777777" w:rsidR="001853BF" w:rsidRDefault="00E35F15">
      <w:pPr>
        <w:pStyle w:val="TOC4"/>
        <w:tabs>
          <w:tab w:val="right" w:leader="dot" w:pos="8630"/>
        </w:tabs>
        <w:rPr>
          <w:noProof/>
          <w:sz w:val="22"/>
          <w:szCs w:val="22"/>
        </w:rPr>
      </w:pPr>
      <w:hyperlink w:anchor="_Toc518323590" w:history="1">
        <w:r w:rsidR="001853BF" w:rsidRPr="000F1856">
          <w:rPr>
            <w:rStyle w:val="Hyperlink"/>
            <w:noProof/>
          </w:rPr>
          <w:t>Survival Actions</w:t>
        </w:r>
        <w:r w:rsidR="001853BF">
          <w:rPr>
            <w:noProof/>
            <w:webHidden/>
          </w:rPr>
          <w:tab/>
        </w:r>
        <w:r w:rsidR="001853BF">
          <w:rPr>
            <w:noProof/>
            <w:webHidden/>
          </w:rPr>
          <w:fldChar w:fldCharType="begin"/>
        </w:r>
        <w:r w:rsidR="001853BF">
          <w:rPr>
            <w:noProof/>
            <w:webHidden/>
          </w:rPr>
          <w:instrText xml:space="preserve"> PAGEREF _Toc518323590 \h </w:instrText>
        </w:r>
        <w:r w:rsidR="001853BF">
          <w:rPr>
            <w:noProof/>
            <w:webHidden/>
          </w:rPr>
        </w:r>
        <w:r w:rsidR="001853BF">
          <w:rPr>
            <w:noProof/>
            <w:webHidden/>
          </w:rPr>
          <w:fldChar w:fldCharType="separate"/>
        </w:r>
        <w:r w:rsidR="001853BF">
          <w:rPr>
            <w:noProof/>
            <w:webHidden/>
          </w:rPr>
          <w:t>653</w:t>
        </w:r>
        <w:r w:rsidR="001853BF">
          <w:rPr>
            <w:noProof/>
            <w:webHidden/>
          </w:rPr>
          <w:fldChar w:fldCharType="end"/>
        </w:r>
      </w:hyperlink>
    </w:p>
    <w:p w14:paraId="7D7EB74C" w14:textId="77777777" w:rsidR="001853BF" w:rsidRDefault="00E35F15">
      <w:pPr>
        <w:pStyle w:val="TOC4"/>
        <w:tabs>
          <w:tab w:val="right" w:leader="dot" w:pos="8630"/>
        </w:tabs>
        <w:rPr>
          <w:noProof/>
          <w:sz w:val="22"/>
          <w:szCs w:val="22"/>
        </w:rPr>
      </w:pPr>
      <w:hyperlink w:anchor="_Toc518323591" w:history="1">
        <w:r w:rsidR="001853BF" w:rsidRPr="000F1856">
          <w:rPr>
            <w:rStyle w:val="Hyperlink"/>
            <w:noProof/>
          </w:rPr>
          <w:t>Death Cases and Family Structure</w:t>
        </w:r>
        <w:r w:rsidR="001853BF">
          <w:rPr>
            <w:noProof/>
            <w:webHidden/>
          </w:rPr>
          <w:tab/>
        </w:r>
        <w:r w:rsidR="001853BF">
          <w:rPr>
            <w:noProof/>
            <w:webHidden/>
          </w:rPr>
          <w:fldChar w:fldCharType="begin"/>
        </w:r>
        <w:r w:rsidR="001853BF">
          <w:rPr>
            <w:noProof/>
            <w:webHidden/>
          </w:rPr>
          <w:instrText xml:space="preserve"> PAGEREF _Toc518323591 \h </w:instrText>
        </w:r>
        <w:r w:rsidR="001853BF">
          <w:rPr>
            <w:noProof/>
            <w:webHidden/>
          </w:rPr>
        </w:r>
        <w:r w:rsidR="001853BF">
          <w:rPr>
            <w:noProof/>
            <w:webHidden/>
          </w:rPr>
          <w:fldChar w:fldCharType="separate"/>
        </w:r>
        <w:r w:rsidR="001853BF">
          <w:rPr>
            <w:noProof/>
            <w:webHidden/>
          </w:rPr>
          <w:t>653</w:t>
        </w:r>
        <w:r w:rsidR="001853BF">
          <w:rPr>
            <w:noProof/>
            <w:webHidden/>
          </w:rPr>
          <w:fldChar w:fldCharType="end"/>
        </w:r>
      </w:hyperlink>
    </w:p>
    <w:p w14:paraId="014ACCD5" w14:textId="77777777" w:rsidR="001853BF" w:rsidRDefault="00E35F15">
      <w:pPr>
        <w:pStyle w:val="TOC4"/>
        <w:tabs>
          <w:tab w:val="right" w:leader="dot" w:pos="8630"/>
        </w:tabs>
        <w:rPr>
          <w:noProof/>
          <w:sz w:val="22"/>
          <w:szCs w:val="22"/>
        </w:rPr>
      </w:pPr>
      <w:hyperlink w:anchor="_Toc518323592" w:history="1">
        <w:r w:rsidR="001853BF" w:rsidRPr="000F1856">
          <w:rPr>
            <w:rStyle w:val="Hyperlink"/>
            <w:noProof/>
          </w:rPr>
          <w:t>The Death Case Paradox</w:t>
        </w:r>
        <w:r w:rsidR="001853BF">
          <w:rPr>
            <w:noProof/>
            <w:webHidden/>
          </w:rPr>
          <w:tab/>
        </w:r>
        <w:r w:rsidR="001853BF">
          <w:rPr>
            <w:noProof/>
            <w:webHidden/>
          </w:rPr>
          <w:fldChar w:fldCharType="begin"/>
        </w:r>
        <w:r w:rsidR="001853BF">
          <w:rPr>
            <w:noProof/>
            <w:webHidden/>
          </w:rPr>
          <w:instrText xml:space="preserve"> PAGEREF _Toc518323592 \h </w:instrText>
        </w:r>
        <w:r w:rsidR="001853BF">
          <w:rPr>
            <w:noProof/>
            <w:webHidden/>
          </w:rPr>
        </w:r>
        <w:r w:rsidR="001853BF">
          <w:rPr>
            <w:noProof/>
            <w:webHidden/>
          </w:rPr>
          <w:fldChar w:fldCharType="separate"/>
        </w:r>
        <w:r w:rsidR="001853BF">
          <w:rPr>
            <w:noProof/>
            <w:webHidden/>
          </w:rPr>
          <w:t>654</w:t>
        </w:r>
        <w:r w:rsidR="001853BF">
          <w:rPr>
            <w:noProof/>
            <w:webHidden/>
          </w:rPr>
          <w:fldChar w:fldCharType="end"/>
        </w:r>
      </w:hyperlink>
    </w:p>
    <w:p w14:paraId="2DA0C259" w14:textId="77777777" w:rsidR="001853BF" w:rsidRDefault="00E35F15">
      <w:pPr>
        <w:pStyle w:val="TOC2"/>
        <w:tabs>
          <w:tab w:val="right" w:leader="dot" w:pos="8630"/>
        </w:tabs>
        <w:rPr>
          <w:b w:val="0"/>
          <w:noProof/>
        </w:rPr>
      </w:pPr>
      <w:hyperlink w:anchor="_Toc518323593" w:history="1">
        <w:r w:rsidR="001853BF" w:rsidRPr="000F1856">
          <w:rPr>
            <w:rStyle w:val="Hyperlink"/>
            <w:noProof/>
          </w:rPr>
          <w:t>B.  Damages in Practice</w:t>
        </w:r>
        <w:r w:rsidR="001853BF">
          <w:rPr>
            <w:noProof/>
            <w:webHidden/>
          </w:rPr>
          <w:tab/>
        </w:r>
        <w:r w:rsidR="001853BF">
          <w:rPr>
            <w:noProof/>
            <w:webHidden/>
          </w:rPr>
          <w:fldChar w:fldCharType="begin"/>
        </w:r>
        <w:r w:rsidR="001853BF">
          <w:rPr>
            <w:noProof/>
            <w:webHidden/>
          </w:rPr>
          <w:instrText xml:space="preserve"> PAGEREF _Toc518323593 \h </w:instrText>
        </w:r>
        <w:r w:rsidR="001853BF">
          <w:rPr>
            <w:noProof/>
            <w:webHidden/>
          </w:rPr>
        </w:r>
        <w:r w:rsidR="001853BF">
          <w:rPr>
            <w:noProof/>
            <w:webHidden/>
          </w:rPr>
          <w:fldChar w:fldCharType="separate"/>
        </w:r>
        <w:r w:rsidR="001853BF">
          <w:rPr>
            <w:noProof/>
            <w:webHidden/>
          </w:rPr>
          <w:t>654</w:t>
        </w:r>
        <w:r w:rsidR="001853BF">
          <w:rPr>
            <w:noProof/>
            <w:webHidden/>
          </w:rPr>
          <w:fldChar w:fldCharType="end"/>
        </w:r>
      </w:hyperlink>
    </w:p>
    <w:p w14:paraId="0B4CA84D" w14:textId="77777777" w:rsidR="001853BF" w:rsidRDefault="00E35F15">
      <w:pPr>
        <w:pStyle w:val="TOC3"/>
        <w:tabs>
          <w:tab w:val="right" w:leader="dot" w:pos="8630"/>
        </w:tabs>
        <w:rPr>
          <w:noProof/>
        </w:rPr>
      </w:pPr>
      <w:hyperlink w:anchor="_Toc518323594" w:history="1">
        <w:r w:rsidR="001853BF" w:rsidRPr="000F1856">
          <w:rPr>
            <w:rStyle w:val="Hyperlink"/>
            <w:noProof/>
          </w:rPr>
          <w:t>1.  Plaintiffs’ Lawyers and the Contingency Fee</w:t>
        </w:r>
        <w:r w:rsidR="001853BF">
          <w:rPr>
            <w:noProof/>
            <w:webHidden/>
          </w:rPr>
          <w:tab/>
        </w:r>
        <w:r w:rsidR="001853BF">
          <w:rPr>
            <w:noProof/>
            <w:webHidden/>
          </w:rPr>
          <w:fldChar w:fldCharType="begin"/>
        </w:r>
        <w:r w:rsidR="001853BF">
          <w:rPr>
            <w:noProof/>
            <w:webHidden/>
          </w:rPr>
          <w:instrText xml:space="preserve"> PAGEREF _Toc518323594 \h </w:instrText>
        </w:r>
        <w:r w:rsidR="001853BF">
          <w:rPr>
            <w:noProof/>
            <w:webHidden/>
          </w:rPr>
        </w:r>
        <w:r w:rsidR="001853BF">
          <w:rPr>
            <w:noProof/>
            <w:webHidden/>
          </w:rPr>
          <w:fldChar w:fldCharType="separate"/>
        </w:r>
        <w:r w:rsidR="001853BF">
          <w:rPr>
            <w:noProof/>
            <w:webHidden/>
          </w:rPr>
          <w:t>654</w:t>
        </w:r>
        <w:r w:rsidR="001853BF">
          <w:rPr>
            <w:noProof/>
            <w:webHidden/>
          </w:rPr>
          <w:fldChar w:fldCharType="end"/>
        </w:r>
      </w:hyperlink>
    </w:p>
    <w:p w14:paraId="16E15A65" w14:textId="77777777" w:rsidR="001853BF" w:rsidRDefault="00E35F15">
      <w:pPr>
        <w:pStyle w:val="TOC3"/>
        <w:tabs>
          <w:tab w:val="right" w:leader="dot" w:pos="8630"/>
        </w:tabs>
        <w:rPr>
          <w:noProof/>
        </w:rPr>
      </w:pPr>
      <w:hyperlink w:anchor="_Toc518323595" w:history="1">
        <w:r w:rsidR="001853BF" w:rsidRPr="000F1856">
          <w:rPr>
            <w:rStyle w:val="Hyperlink"/>
            <w:noProof/>
          </w:rPr>
          <w:t>2.  The Role of Defendants’ Insurance</w:t>
        </w:r>
        <w:r w:rsidR="001853BF">
          <w:rPr>
            <w:noProof/>
            <w:webHidden/>
          </w:rPr>
          <w:tab/>
        </w:r>
        <w:r w:rsidR="001853BF">
          <w:rPr>
            <w:noProof/>
            <w:webHidden/>
          </w:rPr>
          <w:fldChar w:fldCharType="begin"/>
        </w:r>
        <w:r w:rsidR="001853BF">
          <w:rPr>
            <w:noProof/>
            <w:webHidden/>
          </w:rPr>
          <w:instrText xml:space="preserve"> PAGEREF _Toc518323595 \h </w:instrText>
        </w:r>
        <w:r w:rsidR="001853BF">
          <w:rPr>
            <w:noProof/>
            <w:webHidden/>
          </w:rPr>
        </w:r>
        <w:r w:rsidR="001853BF">
          <w:rPr>
            <w:noProof/>
            <w:webHidden/>
          </w:rPr>
          <w:fldChar w:fldCharType="separate"/>
        </w:r>
        <w:r w:rsidR="001853BF">
          <w:rPr>
            <w:noProof/>
            <w:webHidden/>
          </w:rPr>
          <w:t>659</w:t>
        </w:r>
        <w:r w:rsidR="001853BF">
          <w:rPr>
            <w:noProof/>
            <w:webHidden/>
          </w:rPr>
          <w:fldChar w:fldCharType="end"/>
        </w:r>
      </w:hyperlink>
    </w:p>
    <w:p w14:paraId="5E558A4D" w14:textId="77777777" w:rsidR="001853BF" w:rsidRDefault="00E35F15">
      <w:pPr>
        <w:pStyle w:val="TOC3"/>
        <w:tabs>
          <w:tab w:val="right" w:leader="dot" w:pos="8630"/>
        </w:tabs>
        <w:rPr>
          <w:noProof/>
        </w:rPr>
      </w:pPr>
      <w:hyperlink w:anchor="_Toc518323596" w:history="1">
        <w:r w:rsidR="001853BF" w:rsidRPr="000F1856">
          <w:rPr>
            <w:rStyle w:val="Hyperlink"/>
            <w:noProof/>
          </w:rPr>
          <w:t>3.  Subrogation; or, The Role of Plaintiffs’ Insurance</w:t>
        </w:r>
        <w:r w:rsidR="001853BF">
          <w:rPr>
            <w:noProof/>
            <w:webHidden/>
          </w:rPr>
          <w:tab/>
        </w:r>
        <w:r w:rsidR="001853BF">
          <w:rPr>
            <w:noProof/>
            <w:webHidden/>
          </w:rPr>
          <w:fldChar w:fldCharType="begin"/>
        </w:r>
        <w:r w:rsidR="001853BF">
          <w:rPr>
            <w:noProof/>
            <w:webHidden/>
          </w:rPr>
          <w:instrText xml:space="preserve"> PAGEREF _Toc518323596 \h </w:instrText>
        </w:r>
        <w:r w:rsidR="001853BF">
          <w:rPr>
            <w:noProof/>
            <w:webHidden/>
          </w:rPr>
        </w:r>
        <w:r w:rsidR="001853BF">
          <w:rPr>
            <w:noProof/>
            <w:webHidden/>
          </w:rPr>
          <w:fldChar w:fldCharType="separate"/>
        </w:r>
        <w:r w:rsidR="001853BF">
          <w:rPr>
            <w:noProof/>
            <w:webHidden/>
          </w:rPr>
          <w:t>660</w:t>
        </w:r>
        <w:r w:rsidR="001853BF">
          <w:rPr>
            <w:noProof/>
            <w:webHidden/>
          </w:rPr>
          <w:fldChar w:fldCharType="end"/>
        </w:r>
      </w:hyperlink>
    </w:p>
    <w:p w14:paraId="12A7979C" w14:textId="77777777" w:rsidR="001853BF" w:rsidRDefault="00E35F15">
      <w:pPr>
        <w:pStyle w:val="TOC3"/>
        <w:tabs>
          <w:tab w:val="right" w:leader="dot" w:pos="8630"/>
        </w:tabs>
        <w:rPr>
          <w:noProof/>
        </w:rPr>
      </w:pPr>
      <w:hyperlink w:anchor="_Toc518323597" w:history="1">
        <w:r w:rsidR="001853BF" w:rsidRPr="000F1856">
          <w:rPr>
            <w:rStyle w:val="Hyperlink"/>
            <w:noProof/>
          </w:rPr>
          <w:t>4.  The “Bronx Jury” Effect</w:t>
        </w:r>
        <w:r w:rsidR="001853BF">
          <w:rPr>
            <w:noProof/>
            <w:webHidden/>
          </w:rPr>
          <w:tab/>
        </w:r>
        <w:r w:rsidR="001853BF">
          <w:rPr>
            <w:noProof/>
            <w:webHidden/>
          </w:rPr>
          <w:fldChar w:fldCharType="begin"/>
        </w:r>
        <w:r w:rsidR="001853BF">
          <w:rPr>
            <w:noProof/>
            <w:webHidden/>
          </w:rPr>
          <w:instrText xml:space="preserve"> PAGEREF _Toc518323597 \h </w:instrText>
        </w:r>
        <w:r w:rsidR="001853BF">
          <w:rPr>
            <w:noProof/>
            <w:webHidden/>
          </w:rPr>
        </w:r>
        <w:r w:rsidR="001853BF">
          <w:rPr>
            <w:noProof/>
            <w:webHidden/>
          </w:rPr>
          <w:fldChar w:fldCharType="separate"/>
        </w:r>
        <w:r w:rsidR="001853BF">
          <w:rPr>
            <w:noProof/>
            <w:webHidden/>
          </w:rPr>
          <w:t>662</w:t>
        </w:r>
        <w:r w:rsidR="001853BF">
          <w:rPr>
            <w:noProof/>
            <w:webHidden/>
          </w:rPr>
          <w:fldChar w:fldCharType="end"/>
        </w:r>
      </w:hyperlink>
    </w:p>
    <w:p w14:paraId="426FFF8F" w14:textId="77777777" w:rsidR="001853BF" w:rsidRDefault="00E35F15">
      <w:pPr>
        <w:pStyle w:val="TOC3"/>
        <w:tabs>
          <w:tab w:val="right" w:leader="dot" w:pos="8630"/>
        </w:tabs>
        <w:rPr>
          <w:noProof/>
        </w:rPr>
      </w:pPr>
      <w:hyperlink w:anchor="_Toc518323598" w:history="1">
        <w:r w:rsidR="001853BF" w:rsidRPr="000F1856">
          <w:rPr>
            <w:rStyle w:val="Hyperlink"/>
            <w:noProof/>
          </w:rPr>
          <w:t>5.  Beyond Dollars</w:t>
        </w:r>
        <w:r w:rsidR="001853BF">
          <w:rPr>
            <w:noProof/>
            <w:webHidden/>
          </w:rPr>
          <w:tab/>
        </w:r>
        <w:r w:rsidR="001853BF">
          <w:rPr>
            <w:noProof/>
            <w:webHidden/>
          </w:rPr>
          <w:fldChar w:fldCharType="begin"/>
        </w:r>
        <w:r w:rsidR="001853BF">
          <w:rPr>
            <w:noProof/>
            <w:webHidden/>
          </w:rPr>
          <w:instrText xml:space="preserve"> PAGEREF _Toc518323598 \h </w:instrText>
        </w:r>
        <w:r w:rsidR="001853BF">
          <w:rPr>
            <w:noProof/>
            <w:webHidden/>
          </w:rPr>
        </w:r>
        <w:r w:rsidR="001853BF">
          <w:rPr>
            <w:noProof/>
            <w:webHidden/>
          </w:rPr>
          <w:fldChar w:fldCharType="separate"/>
        </w:r>
        <w:r w:rsidR="001853BF">
          <w:rPr>
            <w:noProof/>
            <w:webHidden/>
          </w:rPr>
          <w:t>664</w:t>
        </w:r>
        <w:r w:rsidR="001853BF">
          <w:rPr>
            <w:noProof/>
            <w:webHidden/>
          </w:rPr>
          <w:fldChar w:fldCharType="end"/>
        </w:r>
      </w:hyperlink>
    </w:p>
    <w:p w14:paraId="5DABDA27" w14:textId="77777777" w:rsidR="001853BF" w:rsidRDefault="00E35F15">
      <w:pPr>
        <w:pStyle w:val="TOC3"/>
        <w:tabs>
          <w:tab w:val="right" w:leader="dot" w:pos="8630"/>
        </w:tabs>
        <w:rPr>
          <w:noProof/>
        </w:rPr>
      </w:pPr>
      <w:hyperlink w:anchor="_Toc518323599" w:history="1">
        <w:r w:rsidR="001853BF" w:rsidRPr="000F1856">
          <w:rPr>
            <w:rStyle w:val="Hyperlink"/>
            <w:noProof/>
          </w:rPr>
          <w:t>6.  The Death of Liability?</w:t>
        </w:r>
        <w:r w:rsidR="001853BF">
          <w:rPr>
            <w:noProof/>
            <w:webHidden/>
          </w:rPr>
          <w:tab/>
        </w:r>
        <w:r w:rsidR="001853BF">
          <w:rPr>
            <w:noProof/>
            <w:webHidden/>
          </w:rPr>
          <w:fldChar w:fldCharType="begin"/>
        </w:r>
        <w:r w:rsidR="001853BF">
          <w:rPr>
            <w:noProof/>
            <w:webHidden/>
          </w:rPr>
          <w:instrText xml:space="preserve"> PAGEREF _Toc518323599 \h </w:instrText>
        </w:r>
        <w:r w:rsidR="001853BF">
          <w:rPr>
            <w:noProof/>
            <w:webHidden/>
          </w:rPr>
        </w:r>
        <w:r w:rsidR="001853BF">
          <w:rPr>
            <w:noProof/>
            <w:webHidden/>
          </w:rPr>
          <w:fldChar w:fldCharType="separate"/>
        </w:r>
        <w:r w:rsidR="001853BF">
          <w:rPr>
            <w:noProof/>
            <w:webHidden/>
          </w:rPr>
          <w:t>665</w:t>
        </w:r>
        <w:r w:rsidR="001853BF">
          <w:rPr>
            <w:noProof/>
            <w:webHidden/>
          </w:rPr>
          <w:fldChar w:fldCharType="end"/>
        </w:r>
      </w:hyperlink>
    </w:p>
    <w:p w14:paraId="24DCF5C4" w14:textId="77777777" w:rsidR="001853BF" w:rsidRDefault="00E35F15">
      <w:pPr>
        <w:pStyle w:val="TOC2"/>
        <w:tabs>
          <w:tab w:val="right" w:leader="dot" w:pos="8630"/>
        </w:tabs>
        <w:rPr>
          <w:b w:val="0"/>
          <w:noProof/>
        </w:rPr>
      </w:pPr>
      <w:hyperlink w:anchor="_Toc518323600" w:history="1">
        <w:r w:rsidR="001853BF" w:rsidRPr="000F1856">
          <w:rPr>
            <w:rStyle w:val="Hyperlink"/>
            <w:noProof/>
          </w:rPr>
          <w:t>C.  Mass Settlements</w:t>
        </w:r>
        <w:r w:rsidR="001853BF">
          <w:rPr>
            <w:noProof/>
            <w:webHidden/>
          </w:rPr>
          <w:tab/>
        </w:r>
        <w:r w:rsidR="001853BF">
          <w:rPr>
            <w:noProof/>
            <w:webHidden/>
          </w:rPr>
          <w:fldChar w:fldCharType="begin"/>
        </w:r>
        <w:r w:rsidR="001853BF">
          <w:rPr>
            <w:noProof/>
            <w:webHidden/>
          </w:rPr>
          <w:instrText xml:space="preserve"> PAGEREF _Toc518323600 \h </w:instrText>
        </w:r>
        <w:r w:rsidR="001853BF">
          <w:rPr>
            <w:noProof/>
            <w:webHidden/>
          </w:rPr>
        </w:r>
        <w:r w:rsidR="001853BF">
          <w:rPr>
            <w:noProof/>
            <w:webHidden/>
          </w:rPr>
          <w:fldChar w:fldCharType="separate"/>
        </w:r>
        <w:r w:rsidR="001853BF">
          <w:rPr>
            <w:noProof/>
            <w:webHidden/>
          </w:rPr>
          <w:t>668</w:t>
        </w:r>
        <w:r w:rsidR="001853BF">
          <w:rPr>
            <w:noProof/>
            <w:webHidden/>
          </w:rPr>
          <w:fldChar w:fldCharType="end"/>
        </w:r>
      </w:hyperlink>
    </w:p>
    <w:p w14:paraId="4BCD33BF" w14:textId="77777777" w:rsidR="001853BF" w:rsidRDefault="00E35F15">
      <w:pPr>
        <w:pStyle w:val="TOC3"/>
        <w:tabs>
          <w:tab w:val="right" w:leader="dot" w:pos="8630"/>
        </w:tabs>
        <w:rPr>
          <w:noProof/>
        </w:rPr>
      </w:pPr>
      <w:hyperlink w:anchor="_Toc518323601" w:history="1">
        <w:r w:rsidR="001853BF" w:rsidRPr="000F1856">
          <w:rPr>
            <w:rStyle w:val="Hyperlink"/>
            <w:noProof/>
          </w:rPr>
          <w:t>1.  The September 11th Victim Compensation Fund</w:t>
        </w:r>
        <w:r w:rsidR="001853BF">
          <w:rPr>
            <w:noProof/>
            <w:webHidden/>
          </w:rPr>
          <w:tab/>
        </w:r>
        <w:r w:rsidR="001853BF">
          <w:rPr>
            <w:noProof/>
            <w:webHidden/>
          </w:rPr>
          <w:fldChar w:fldCharType="begin"/>
        </w:r>
        <w:r w:rsidR="001853BF">
          <w:rPr>
            <w:noProof/>
            <w:webHidden/>
          </w:rPr>
          <w:instrText xml:space="preserve"> PAGEREF _Toc518323601 \h </w:instrText>
        </w:r>
        <w:r w:rsidR="001853BF">
          <w:rPr>
            <w:noProof/>
            <w:webHidden/>
          </w:rPr>
        </w:r>
        <w:r w:rsidR="001853BF">
          <w:rPr>
            <w:noProof/>
            <w:webHidden/>
          </w:rPr>
          <w:fldChar w:fldCharType="separate"/>
        </w:r>
        <w:r w:rsidR="001853BF">
          <w:rPr>
            <w:noProof/>
            <w:webHidden/>
          </w:rPr>
          <w:t>668</w:t>
        </w:r>
        <w:r w:rsidR="001853BF">
          <w:rPr>
            <w:noProof/>
            <w:webHidden/>
          </w:rPr>
          <w:fldChar w:fldCharType="end"/>
        </w:r>
      </w:hyperlink>
    </w:p>
    <w:p w14:paraId="1A471489" w14:textId="77777777" w:rsidR="001853BF" w:rsidRDefault="00E35F15">
      <w:pPr>
        <w:pStyle w:val="TOC3"/>
        <w:tabs>
          <w:tab w:val="right" w:leader="dot" w:pos="8630"/>
        </w:tabs>
        <w:rPr>
          <w:noProof/>
        </w:rPr>
      </w:pPr>
      <w:hyperlink w:anchor="_Toc518323602" w:history="1">
        <w:r w:rsidR="001853BF" w:rsidRPr="000F1856">
          <w:rPr>
            <w:rStyle w:val="Hyperlink"/>
            <w:noProof/>
          </w:rPr>
          <w:t>2.  Aggregation: Class Actions and their Limits</w:t>
        </w:r>
        <w:r w:rsidR="001853BF">
          <w:rPr>
            <w:noProof/>
            <w:webHidden/>
          </w:rPr>
          <w:tab/>
        </w:r>
        <w:r w:rsidR="001853BF">
          <w:rPr>
            <w:noProof/>
            <w:webHidden/>
          </w:rPr>
          <w:fldChar w:fldCharType="begin"/>
        </w:r>
        <w:r w:rsidR="001853BF">
          <w:rPr>
            <w:noProof/>
            <w:webHidden/>
          </w:rPr>
          <w:instrText xml:space="preserve"> PAGEREF _Toc518323602 \h </w:instrText>
        </w:r>
        <w:r w:rsidR="001853BF">
          <w:rPr>
            <w:noProof/>
            <w:webHidden/>
          </w:rPr>
        </w:r>
        <w:r w:rsidR="001853BF">
          <w:rPr>
            <w:noProof/>
            <w:webHidden/>
          </w:rPr>
          <w:fldChar w:fldCharType="separate"/>
        </w:r>
        <w:r w:rsidR="001853BF">
          <w:rPr>
            <w:noProof/>
            <w:webHidden/>
          </w:rPr>
          <w:t>671</w:t>
        </w:r>
        <w:r w:rsidR="001853BF">
          <w:rPr>
            <w:noProof/>
            <w:webHidden/>
          </w:rPr>
          <w:fldChar w:fldCharType="end"/>
        </w:r>
      </w:hyperlink>
    </w:p>
    <w:p w14:paraId="33EB7FB2" w14:textId="77777777" w:rsidR="001853BF" w:rsidRDefault="00E35F15">
      <w:pPr>
        <w:pStyle w:val="TOC3"/>
        <w:tabs>
          <w:tab w:val="right" w:leader="dot" w:pos="8630"/>
        </w:tabs>
        <w:rPr>
          <w:noProof/>
        </w:rPr>
      </w:pPr>
      <w:hyperlink w:anchor="_Toc518323603" w:history="1">
        <w:r w:rsidR="001853BF" w:rsidRPr="000F1856">
          <w:rPr>
            <w:rStyle w:val="Hyperlink"/>
            <w:noProof/>
          </w:rPr>
          <w:t>3.  The Vioxx Settlement</w:t>
        </w:r>
        <w:r w:rsidR="001853BF">
          <w:rPr>
            <w:noProof/>
            <w:webHidden/>
          </w:rPr>
          <w:tab/>
        </w:r>
        <w:r w:rsidR="001853BF">
          <w:rPr>
            <w:noProof/>
            <w:webHidden/>
          </w:rPr>
          <w:fldChar w:fldCharType="begin"/>
        </w:r>
        <w:r w:rsidR="001853BF">
          <w:rPr>
            <w:noProof/>
            <w:webHidden/>
          </w:rPr>
          <w:instrText xml:space="preserve"> PAGEREF _Toc518323603 \h </w:instrText>
        </w:r>
        <w:r w:rsidR="001853BF">
          <w:rPr>
            <w:noProof/>
            <w:webHidden/>
          </w:rPr>
        </w:r>
        <w:r w:rsidR="001853BF">
          <w:rPr>
            <w:noProof/>
            <w:webHidden/>
          </w:rPr>
          <w:fldChar w:fldCharType="separate"/>
        </w:r>
        <w:r w:rsidR="001853BF">
          <w:rPr>
            <w:noProof/>
            <w:webHidden/>
          </w:rPr>
          <w:t>673</w:t>
        </w:r>
        <w:r w:rsidR="001853BF">
          <w:rPr>
            <w:noProof/>
            <w:webHidden/>
          </w:rPr>
          <w:fldChar w:fldCharType="end"/>
        </w:r>
      </w:hyperlink>
    </w:p>
    <w:p w14:paraId="6C8EA4C8" w14:textId="77777777" w:rsidR="001853BF" w:rsidRDefault="00E35F15">
      <w:pPr>
        <w:pStyle w:val="TOC3"/>
        <w:tabs>
          <w:tab w:val="right" w:leader="dot" w:pos="8630"/>
        </w:tabs>
        <w:rPr>
          <w:noProof/>
        </w:rPr>
      </w:pPr>
      <w:hyperlink w:anchor="_Toc518323604" w:history="1">
        <w:r w:rsidR="001853BF" w:rsidRPr="000F1856">
          <w:rPr>
            <w:rStyle w:val="Hyperlink"/>
            <w:noProof/>
          </w:rPr>
          <w:t>4. The BP Oil Spill</w:t>
        </w:r>
        <w:r w:rsidR="001853BF">
          <w:rPr>
            <w:noProof/>
            <w:webHidden/>
          </w:rPr>
          <w:tab/>
        </w:r>
        <w:r w:rsidR="001853BF">
          <w:rPr>
            <w:noProof/>
            <w:webHidden/>
          </w:rPr>
          <w:fldChar w:fldCharType="begin"/>
        </w:r>
        <w:r w:rsidR="001853BF">
          <w:rPr>
            <w:noProof/>
            <w:webHidden/>
          </w:rPr>
          <w:instrText xml:space="preserve"> PAGEREF _Toc518323604 \h </w:instrText>
        </w:r>
        <w:r w:rsidR="001853BF">
          <w:rPr>
            <w:noProof/>
            <w:webHidden/>
          </w:rPr>
        </w:r>
        <w:r w:rsidR="001853BF">
          <w:rPr>
            <w:noProof/>
            <w:webHidden/>
          </w:rPr>
          <w:fldChar w:fldCharType="separate"/>
        </w:r>
        <w:r w:rsidR="001853BF">
          <w:rPr>
            <w:noProof/>
            <w:webHidden/>
          </w:rPr>
          <w:t>677</w:t>
        </w:r>
        <w:r w:rsidR="001853BF">
          <w:rPr>
            <w:noProof/>
            <w:webHidden/>
          </w:rPr>
          <w:fldChar w:fldCharType="end"/>
        </w:r>
      </w:hyperlink>
    </w:p>
    <w:p w14:paraId="375473AF" w14:textId="77777777" w:rsidR="001853BF" w:rsidRDefault="00E35F15">
      <w:pPr>
        <w:pStyle w:val="TOC3"/>
        <w:tabs>
          <w:tab w:val="right" w:leader="dot" w:pos="8630"/>
        </w:tabs>
        <w:rPr>
          <w:noProof/>
        </w:rPr>
      </w:pPr>
      <w:hyperlink w:anchor="_Toc518323605" w:history="1">
        <w:r w:rsidR="001853BF" w:rsidRPr="000F1856">
          <w:rPr>
            <w:rStyle w:val="Hyperlink"/>
            <w:noProof/>
          </w:rPr>
          <w:t>5.  State Attorneys General</w:t>
        </w:r>
        <w:r w:rsidR="001853BF">
          <w:rPr>
            <w:noProof/>
            <w:webHidden/>
          </w:rPr>
          <w:tab/>
        </w:r>
        <w:r w:rsidR="001853BF">
          <w:rPr>
            <w:noProof/>
            <w:webHidden/>
          </w:rPr>
          <w:fldChar w:fldCharType="begin"/>
        </w:r>
        <w:r w:rsidR="001853BF">
          <w:rPr>
            <w:noProof/>
            <w:webHidden/>
          </w:rPr>
          <w:instrText xml:space="preserve"> PAGEREF _Toc518323605 \h </w:instrText>
        </w:r>
        <w:r w:rsidR="001853BF">
          <w:rPr>
            <w:noProof/>
            <w:webHidden/>
          </w:rPr>
        </w:r>
        <w:r w:rsidR="001853BF">
          <w:rPr>
            <w:noProof/>
            <w:webHidden/>
          </w:rPr>
          <w:fldChar w:fldCharType="separate"/>
        </w:r>
        <w:r w:rsidR="001853BF">
          <w:rPr>
            <w:noProof/>
            <w:webHidden/>
          </w:rPr>
          <w:t>678</w:t>
        </w:r>
        <w:r w:rsidR="001853BF">
          <w:rPr>
            <w:noProof/>
            <w:webHidden/>
          </w:rPr>
          <w:fldChar w:fldCharType="end"/>
        </w:r>
      </w:hyperlink>
    </w:p>
    <w:p w14:paraId="3DE6D11F" w14:textId="77777777" w:rsidR="001853BF" w:rsidRDefault="00E35F15">
      <w:pPr>
        <w:pStyle w:val="TOC2"/>
        <w:tabs>
          <w:tab w:val="right" w:leader="dot" w:pos="8630"/>
        </w:tabs>
        <w:rPr>
          <w:b w:val="0"/>
          <w:noProof/>
        </w:rPr>
      </w:pPr>
      <w:hyperlink w:anchor="_Toc518323606" w:history="1">
        <w:r w:rsidR="001853BF" w:rsidRPr="000F1856">
          <w:rPr>
            <w:rStyle w:val="Hyperlink"/>
            <w:noProof/>
          </w:rPr>
          <w:t>D. Punitive Damages</w:t>
        </w:r>
        <w:r w:rsidR="001853BF">
          <w:rPr>
            <w:noProof/>
            <w:webHidden/>
          </w:rPr>
          <w:tab/>
        </w:r>
        <w:r w:rsidR="001853BF">
          <w:rPr>
            <w:noProof/>
            <w:webHidden/>
          </w:rPr>
          <w:fldChar w:fldCharType="begin"/>
        </w:r>
        <w:r w:rsidR="001853BF">
          <w:rPr>
            <w:noProof/>
            <w:webHidden/>
          </w:rPr>
          <w:instrText xml:space="preserve"> PAGEREF _Toc518323606 \h </w:instrText>
        </w:r>
        <w:r w:rsidR="001853BF">
          <w:rPr>
            <w:noProof/>
            <w:webHidden/>
          </w:rPr>
        </w:r>
        <w:r w:rsidR="001853BF">
          <w:rPr>
            <w:noProof/>
            <w:webHidden/>
          </w:rPr>
          <w:fldChar w:fldCharType="separate"/>
        </w:r>
        <w:r w:rsidR="001853BF">
          <w:rPr>
            <w:noProof/>
            <w:webHidden/>
          </w:rPr>
          <w:t>679</w:t>
        </w:r>
        <w:r w:rsidR="001853BF">
          <w:rPr>
            <w:noProof/>
            <w:webHidden/>
          </w:rPr>
          <w:fldChar w:fldCharType="end"/>
        </w:r>
      </w:hyperlink>
    </w:p>
    <w:p w14:paraId="5AF17637" w14:textId="77777777" w:rsidR="001853BF" w:rsidRDefault="00E35F15">
      <w:pPr>
        <w:pStyle w:val="TOC3"/>
        <w:tabs>
          <w:tab w:val="right" w:leader="dot" w:pos="8630"/>
        </w:tabs>
        <w:rPr>
          <w:noProof/>
        </w:rPr>
      </w:pPr>
      <w:hyperlink w:anchor="_Toc518323607" w:history="1">
        <w:r w:rsidR="001853BF" w:rsidRPr="000F1856">
          <w:rPr>
            <w:rStyle w:val="Hyperlink"/>
            <w:i/>
            <w:noProof/>
          </w:rPr>
          <w:t>Kemezy v. Peters</w:t>
        </w:r>
        <w:r w:rsidR="001853BF">
          <w:rPr>
            <w:noProof/>
            <w:webHidden/>
          </w:rPr>
          <w:tab/>
        </w:r>
        <w:r w:rsidR="001853BF">
          <w:rPr>
            <w:noProof/>
            <w:webHidden/>
          </w:rPr>
          <w:fldChar w:fldCharType="begin"/>
        </w:r>
        <w:r w:rsidR="001853BF">
          <w:rPr>
            <w:noProof/>
            <w:webHidden/>
          </w:rPr>
          <w:instrText xml:space="preserve"> PAGEREF _Toc518323607 \h </w:instrText>
        </w:r>
        <w:r w:rsidR="001853BF">
          <w:rPr>
            <w:noProof/>
            <w:webHidden/>
          </w:rPr>
        </w:r>
        <w:r w:rsidR="001853BF">
          <w:rPr>
            <w:noProof/>
            <w:webHidden/>
          </w:rPr>
          <w:fldChar w:fldCharType="separate"/>
        </w:r>
        <w:r w:rsidR="001853BF">
          <w:rPr>
            <w:noProof/>
            <w:webHidden/>
          </w:rPr>
          <w:t>679</w:t>
        </w:r>
        <w:r w:rsidR="001853BF">
          <w:rPr>
            <w:noProof/>
            <w:webHidden/>
          </w:rPr>
          <w:fldChar w:fldCharType="end"/>
        </w:r>
      </w:hyperlink>
    </w:p>
    <w:p w14:paraId="7C5101A8" w14:textId="77777777" w:rsidR="001853BF" w:rsidRDefault="00E35F15">
      <w:pPr>
        <w:pStyle w:val="TOC4"/>
        <w:tabs>
          <w:tab w:val="right" w:leader="dot" w:pos="8630"/>
        </w:tabs>
        <w:rPr>
          <w:noProof/>
          <w:sz w:val="22"/>
          <w:szCs w:val="22"/>
        </w:rPr>
      </w:pPr>
      <w:hyperlink w:anchor="_Toc518323608"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_Toc518323608 \h </w:instrText>
        </w:r>
        <w:r w:rsidR="001853BF">
          <w:rPr>
            <w:noProof/>
            <w:webHidden/>
          </w:rPr>
        </w:r>
        <w:r w:rsidR="001853BF">
          <w:rPr>
            <w:noProof/>
            <w:webHidden/>
          </w:rPr>
          <w:fldChar w:fldCharType="separate"/>
        </w:r>
        <w:r w:rsidR="001853BF">
          <w:rPr>
            <w:noProof/>
            <w:webHidden/>
          </w:rPr>
          <w:t>682</w:t>
        </w:r>
        <w:r w:rsidR="001853BF">
          <w:rPr>
            <w:noProof/>
            <w:webHidden/>
          </w:rPr>
          <w:fldChar w:fldCharType="end"/>
        </w:r>
      </w:hyperlink>
    </w:p>
    <w:p w14:paraId="4AB97687" w14:textId="77777777" w:rsidR="001853BF" w:rsidRDefault="00E35F15">
      <w:pPr>
        <w:pStyle w:val="TOC3"/>
        <w:tabs>
          <w:tab w:val="right" w:leader="dot" w:pos="8630"/>
        </w:tabs>
        <w:rPr>
          <w:noProof/>
        </w:rPr>
      </w:pPr>
      <w:hyperlink w:anchor="_Toc518323609" w:history="1">
        <w:r w:rsidR="001853BF" w:rsidRPr="000F1856">
          <w:rPr>
            <w:rStyle w:val="Hyperlink"/>
            <w:i/>
            <w:noProof/>
          </w:rPr>
          <w:t>State Farm Mut. Auto. Ins. Co. v. Campbell</w:t>
        </w:r>
        <w:r w:rsidR="001853BF">
          <w:rPr>
            <w:noProof/>
            <w:webHidden/>
          </w:rPr>
          <w:tab/>
        </w:r>
        <w:r w:rsidR="001853BF">
          <w:rPr>
            <w:noProof/>
            <w:webHidden/>
          </w:rPr>
          <w:fldChar w:fldCharType="begin"/>
        </w:r>
        <w:r w:rsidR="001853BF">
          <w:rPr>
            <w:noProof/>
            <w:webHidden/>
          </w:rPr>
          <w:instrText xml:space="preserve"> PAGEREF _Toc518323609 \h </w:instrText>
        </w:r>
        <w:r w:rsidR="001853BF">
          <w:rPr>
            <w:noProof/>
            <w:webHidden/>
          </w:rPr>
        </w:r>
        <w:r w:rsidR="001853BF">
          <w:rPr>
            <w:noProof/>
            <w:webHidden/>
          </w:rPr>
          <w:fldChar w:fldCharType="separate"/>
        </w:r>
        <w:r w:rsidR="001853BF">
          <w:rPr>
            <w:noProof/>
            <w:webHidden/>
          </w:rPr>
          <w:t>685</w:t>
        </w:r>
        <w:r w:rsidR="001853BF">
          <w:rPr>
            <w:noProof/>
            <w:webHidden/>
          </w:rPr>
          <w:fldChar w:fldCharType="end"/>
        </w:r>
      </w:hyperlink>
    </w:p>
    <w:p w14:paraId="4804F37B" w14:textId="77777777" w:rsidR="001853BF" w:rsidRDefault="00E35F15">
      <w:pPr>
        <w:pStyle w:val="TOC4"/>
        <w:tabs>
          <w:tab w:val="right" w:leader="dot" w:pos="8630"/>
        </w:tabs>
        <w:rPr>
          <w:noProof/>
          <w:sz w:val="22"/>
          <w:szCs w:val="22"/>
        </w:rPr>
      </w:pPr>
      <w:hyperlink w:anchor="_Toc518323610"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_Toc518323610 \h </w:instrText>
        </w:r>
        <w:r w:rsidR="001853BF">
          <w:rPr>
            <w:noProof/>
            <w:webHidden/>
          </w:rPr>
        </w:r>
        <w:r w:rsidR="001853BF">
          <w:rPr>
            <w:noProof/>
            <w:webHidden/>
          </w:rPr>
          <w:fldChar w:fldCharType="separate"/>
        </w:r>
        <w:r w:rsidR="001853BF">
          <w:rPr>
            <w:noProof/>
            <w:webHidden/>
          </w:rPr>
          <w:t>690</w:t>
        </w:r>
        <w:r w:rsidR="001853BF">
          <w:rPr>
            <w:noProof/>
            <w:webHidden/>
          </w:rPr>
          <w:fldChar w:fldCharType="end"/>
        </w:r>
      </w:hyperlink>
    </w:p>
    <w:p w14:paraId="00FD98BE" w14:textId="77777777" w:rsidR="001853BF" w:rsidRDefault="00E35F15">
      <w:pPr>
        <w:pStyle w:val="TOC3"/>
        <w:tabs>
          <w:tab w:val="right" w:leader="dot" w:pos="8630"/>
        </w:tabs>
        <w:rPr>
          <w:noProof/>
        </w:rPr>
      </w:pPr>
      <w:hyperlink w:anchor="_Toc518323611" w:history="1">
        <w:r w:rsidR="001853BF" w:rsidRPr="000F1856">
          <w:rPr>
            <w:rStyle w:val="Hyperlink"/>
            <w:i/>
            <w:noProof/>
          </w:rPr>
          <w:t>Philip Morris USA v. Williams</w:t>
        </w:r>
        <w:r w:rsidR="001853BF">
          <w:rPr>
            <w:noProof/>
            <w:webHidden/>
          </w:rPr>
          <w:tab/>
        </w:r>
        <w:r w:rsidR="001853BF">
          <w:rPr>
            <w:noProof/>
            <w:webHidden/>
          </w:rPr>
          <w:fldChar w:fldCharType="begin"/>
        </w:r>
        <w:r w:rsidR="001853BF">
          <w:rPr>
            <w:noProof/>
            <w:webHidden/>
          </w:rPr>
          <w:instrText xml:space="preserve"> PAGEREF _Toc518323611 \h </w:instrText>
        </w:r>
        <w:r w:rsidR="001853BF">
          <w:rPr>
            <w:noProof/>
            <w:webHidden/>
          </w:rPr>
        </w:r>
        <w:r w:rsidR="001853BF">
          <w:rPr>
            <w:noProof/>
            <w:webHidden/>
          </w:rPr>
          <w:fldChar w:fldCharType="separate"/>
        </w:r>
        <w:r w:rsidR="001853BF">
          <w:rPr>
            <w:noProof/>
            <w:webHidden/>
          </w:rPr>
          <w:t>691</w:t>
        </w:r>
        <w:r w:rsidR="001853BF">
          <w:rPr>
            <w:noProof/>
            <w:webHidden/>
          </w:rPr>
          <w:fldChar w:fldCharType="end"/>
        </w:r>
      </w:hyperlink>
    </w:p>
    <w:p w14:paraId="1BD96972" w14:textId="77777777" w:rsidR="001853BF" w:rsidRDefault="00E35F15">
      <w:pPr>
        <w:pStyle w:val="TOC4"/>
        <w:tabs>
          <w:tab w:val="right" w:leader="dot" w:pos="8630"/>
        </w:tabs>
        <w:rPr>
          <w:noProof/>
          <w:sz w:val="22"/>
          <w:szCs w:val="22"/>
        </w:rPr>
      </w:pPr>
      <w:hyperlink w:anchor="_Toc518323612" w:history="1">
        <w:r w:rsidR="001853BF" w:rsidRPr="000F1856">
          <w:rPr>
            <w:rStyle w:val="Hyperlink"/>
            <w:noProof/>
          </w:rPr>
          <w:t>Notes</w:t>
        </w:r>
        <w:r w:rsidR="001853BF">
          <w:rPr>
            <w:noProof/>
            <w:webHidden/>
          </w:rPr>
          <w:tab/>
        </w:r>
        <w:r w:rsidR="001853BF">
          <w:rPr>
            <w:noProof/>
            <w:webHidden/>
          </w:rPr>
          <w:fldChar w:fldCharType="begin"/>
        </w:r>
        <w:r w:rsidR="001853BF">
          <w:rPr>
            <w:noProof/>
            <w:webHidden/>
          </w:rPr>
          <w:instrText xml:space="preserve"> PAGEREF _Toc518323612 \h </w:instrText>
        </w:r>
        <w:r w:rsidR="001853BF">
          <w:rPr>
            <w:noProof/>
            <w:webHidden/>
          </w:rPr>
        </w:r>
        <w:r w:rsidR="001853BF">
          <w:rPr>
            <w:noProof/>
            <w:webHidden/>
          </w:rPr>
          <w:fldChar w:fldCharType="separate"/>
        </w:r>
        <w:r w:rsidR="001853BF">
          <w:rPr>
            <w:noProof/>
            <w:webHidden/>
          </w:rPr>
          <w:t>697</w:t>
        </w:r>
        <w:r w:rsidR="001853BF">
          <w:rPr>
            <w:noProof/>
            <w:webHidden/>
          </w:rPr>
          <w:fldChar w:fldCharType="end"/>
        </w:r>
      </w:hyperlink>
    </w:p>
    <w:p w14:paraId="14229F8F" w14:textId="77777777" w:rsidR="00BC3D1D" w:rsidRDefault="0031785D" w:rsidP="00296689">
      <w:pPr>
        <w:pStyle w:val="Heading1"/>
      </w:pPr>
      <w:r w:rsidRPr="00EA551D">
        <w:fldChar w:fldCharType="end"/>
      </w:r>
    </w:p>
    <w:p w14:paraId="07348430" w14:textId="77777777" w:rsidR="00BC3D1D" w:rsidRDefault="00BC3D1D">
      <w:pPr>
        <w:rPr>
          <w:b/>
          <w:bCs/>
          <w:sz w:val="28"/>
          <w:lang w:eastAsia="en-US"/>
        </w:rPr>
      </w:pPr>
      <w:r>
        <w:br w:type="page"/>
      </w:r>
    </w:p>
    <w:p w14:paraId="10D295A3" w14:textId="77777777" w:rsidR="00FF20BE" w:rsidRDefault="00FF20BE" w:rsidP="00296689">
      <w:pPr>
        <w:pStyle w:val="Heading1"/>
        <w:sectPr w:rsidR="00FF20BE" w:rsidSect="007E19CF">
          <w:headerReference w:type="even" r:id="rId20"/>
          <w:pgSz w:w="12240" w:h="15840"/>
          <w:pgMar w:top="1440" w:right="1800" w:bottom="1440" w:left="1800" w:header="720" w:footer="720" w:gutter="0"/>
          <w:pgNumType w:fmt="lowerRoman"/>
          <w:cols w:space="720"/>
          <w:noEndnote/>
        </w:sectPr>
      </w:pPr>
    </w:p>
    <w:p w14:paraId="25700944" w14:textId="7CEC5054" w:rsidR="00FE764C" w:rsidRPr="00B23151" w:rsidRDefault="750671CE" w:rsidP="00296689">
      <w:pPr>
        <w:pStyle w:val="Heading1"/>
      </w:pPr>
      <w:bookmarkStart w:id="22" w:name="_Toc364636033"/>
      <w:bookmarkStart w:id="23" w:name="_Toc518323190"/>
      <w:r>
        <w:lastRenderedPageBreak/>
        <w:t>CHAPTER 1. AN INTRODUCTION TO AMERICAN TORT LAW</w:t>
      </w:r>
      <w:bookmarkEnd w:id="22"/>
      <w:bookmarkEnd w:id="23"/>
    </w:p>
    <w:p w14:paraId="562047D3" w14:textId="77777777" w:rsidR="000D6229" w:rsidRDefault="000D6229" w:rsidP="00807664">
      <w:pPr>
        <w:widowControl w:val="0"/>
        <w:autoSpaceDE w:val="0"/>
        <w:autoSpaceDN w:val="0"/>
        <w:adjustRightInd w:val="0"/>
        <w:rPr>
          <w:rFonts w:ascii="Times New Roman" w:hAnsi="Times New Roman" w:cs="Times New Roman"/>
        </w:rPr>
      </w:pPr>
    </w:p>
    <w:p w14:paraId="55D3A207" w14:textId="77777777" w:rsidR="00644103" w:rsidRPr="004B1DFF" w:rsidRDefault="00644103" w:rsidP="00807664">
      <w:pPr>
        <w:widowControl w:val="0"/>
        <w:autoSpaceDE w:val="0"/>
        <w:autoSpaceDN w:val="0"/>
        <w:adjustRightInd w:val="0"/>
        <w:rPr>
          <w:rFonts w:ascii="Times New Roman" w:hAnsi="Times New Roman" w:cs="Times New Roman"/>
        </w:rPr>
      </w:pPr>
    </w:p>
    <w:p w14:paraId="2F70467D" w14:textId="77777777" w:rsidR="00523F18" w:rsidRPr="00777970" w:rsidRDefault="00523F18" w:rsidP="00777970">
      <w:pPr>
        <w:pStyle w:val="Heading2"/>
      </w:pPr>
      <w:bookmarkStart w:id="24" w:name="_Toc364636034"/>
      <w:bookmarkStart w:id="25" w:name="_Toc518323191"/>
      <w:r w:rsidRPr="00777970">
        <w:t>A.  Principles and Institutions</w:t>
      </w:r>
      <w:bookmarkEnd w:id="24"/>
      <w:bookmarkEnd w:id="25"/>
    </w:p>
    <w:p w14:paraId="014D0547" w14:textId="77777777" w:rsidR="000D6229" w:rsidRDefault="000D6229" w:rsidP="00807664">
      <w:pPr>
        <w:widowControl w:val="0"/>
        <w:autoSpaceDE w:val="0"/>
        <w:autoSpaceDN w:val="0"/>
        <w:adjustRightInd w:val="0"/>
        <w:rPr>
          <w:rFonts w:ascii="Times New Roman" w:hAnsi="Times New Roman" w:cs="Times New Roman"/>
        </w:rPr>
      </w:pPr>
    </w:p>
    <w:p w14:paraId="2A1E9C0A" w14:textId="77777777" w:rsidR="006F1186" w:rsidRPr="004B1DFF" w:rsidRDefault="006F1186" w:rsidP="00807664">
      <w:pPr>
        <w:widowControl w:val="0"/>
        <w:autoSpaceDE w:val="0"/>
        <w:autoSpaceDN w:val="0"/>
        <w:adjustRightInd w:val="0"/>
        <w:rPr>
          <w:rFonts w:ascii="Times New Roman" w:hAnsi="Times New Roman" w:cs="Times New Roman"/>
        </w:rPr>
      </w:pPr>
    </w:p>
    <w:p w14:paraId="02D01C6F" w14:textId="48D26727" w:rsidR="000D6229" w:rsidRPr="004B1DFF" w:rsidRDefault="007637B5" w:rsidP="750671CE">
      <w:pPr>
        <w:widowControl w:val="0"/>
        <w:autoSpaceDE w:val="0"/>
        <w:autoSpaceDN w:val="0"/>
        <w:adjustRightInd w:val="0"/>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i/>
          <w:iCs/>
        </w:rPr>
        <w:t>Tort law is the common law of civil wrongs not arising out of contract</w:t>
      </w:r>
      <w:r w:rsidRPr="750671CE">
        <w:rPr>
          <w:rFonts w:ascii="Times New Roman" w:eastAsia="Times New Roman" w:hAnsi="Times New Roman" w:cs="Times New Roman"/>
        </w:rPr>
        <w:t xml:space="preserve">.  Torts books often start with a definition because tort law, unlike other mainstays of the first year in the American law school curriculum, can seem strange and unfamiliar to </w:t>
      </w:r>
      <w:r w:rsidR="00FA0A3D" w:rsidRPr="750671CE">
        <w:rPr>
          <w:rFonts w:ascii="Times New Roman" w:eastAsia="Times New Roman" w:hAnsi="Times New Roman" w:cs="Times New Roman"/>
        </w:rPr>
        <w:t>the new</w:t>
      </w:r>
      <w:r w:rsidR="000D6229" w:rsidRPr="750671CE">
        <w:rPr>
          <w:rFonts w:ascii="Times New Roman" w:eastAsia="Times New Roman" w:hAnsi="Times New Roman" w:cs="Times New Roman"/>
        </w:rPr>
        <w:t xml:space="preserve"> law student.  Terms</w:t>
      </w:r>
      <w:r w:rsidR="00FA0A3D" w:rsidRPr="750671CE">
        <w:rPr>
          <w:rFonts w:ascii="Times New Roman" w:eastAsia="Times New Roman" w:hAnsi="Times New Roman" w:cs="Times New Roman"/>
        </w:rPr>
        <w:t xml:space="preserve"> like</w:t>
      </w:r>
      <w:r w:rsidR="000D6229"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contracts,</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procedure,</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proper</w:t>
      </w:r>
      <w:r w:rsidR="00FA0A3D" w:rsidRPr="750671CE">
        <w:rPr>
          <w:rFonts w:ascii="Times New Roman" w:eastAsia="Times New Roman" w:hAnsi="Times New Roman" w:cs="Times New Roman"/>
        </w:rPr>
        <w:t>ty,</w:t>
      </w:r>
      <w:r w:rsidR="00B05F31">
        <w:rPr>
          <w:rFonts w:ascii="Times New Roman" w:eastAsia="Times New Roman" w:hAnsi="Times New Roman" w:cs="Times New Roman"/>
        </w:rPr>
        <w:t>”</w:t>
      </w:r>
      <w:r w:rsidR="00FA0A3D" w:rsidRPr="750671CE">
        <w:rPr>
          <w:rFonts w:ascii="Times New Roman" w:eastAsia="Times New Roman" w:hAnsi="Times New Roman" w:cs="Times New Roman"/>
        </w:rPr>
        <w:t xml:space="preserve"> and </w:t>
      </w:r>
      <w:r w:rsidR="00B05F31">
        <w:rPr>
          <w:rFonts w:ascii="Times New Roman" w:eastAsia="Times New Roman" w:hAnsi="Times New Roman" w:cs="Times New Roman"/>
        </w:rPr>
        <w:t>“</w:t>
      </w:r>
      <w:r w:rsidR="00FA0A3D" w:rsidRPr="750671CE">
        <w:rPr>
          <w:rFonts w:ascii="Times New Roman" w:eastAsia="Times New Roman" w:hAnsi="Times New Roman" w:cs="Times New Roman"/>
        </w:rPr>
        <w:t>criminal law</w:t>
      </w:r>
      <w:r w:rsidR="00FF3F96">
        <w:rPr>
          <w:rFonts w:ascii="Times New Roman" w:eastAsia="Times New Roman" w:hAnsi="Times New Roman" w:cs="Times New Roman"/>
        </w:rPr>
        <w:t>,</w:t>
      </w:r>
      <w:r w:rsidR="00B05F31">
        <w:rPr>
          <w:rFonts w:ascii="Times New Roman" w:eastAsia="Times New Roman" w:hAnsi="Times New Roman" w:cs="Times New Roman"/>
        </w:rPr>
        <w:t>”</w:t>
      </w:r>
      <w:r w:rsidR="00FA0A3D" w:rsidRPr="750671CE">
        <w:rPr>
          <w:rFonts w:ascii="Times New Roman" w:eastAsia="Times New Roman" w:hAnsi="Times New Roman" w:cs="Times New Roman"/>
        </w:rPr>
        <w:t xml:space="preserve"> are relatively </w:t>
      </w:r>
      <w:r w:rsidR="000D6229" w:rsidRPr="750671CE">
        <w:rPr>
          <w:rFonts w:ascii="Times New Roman" w:eastAsia="Times New Roman" w:hAnsi="Times New Roman" w:cs="Times New Roman"/>
        </w:rPr>
        <w:t>familiar to the student</w:t>
      </w:r>
      <w:r w:rsidR="00886987" w:rsidRPr="750671CE">
        <w:rPr>
          <w:rFonts w:ascii="Times New Roman" w:eastAsia="Times New Roman" w:hAnsi="Times New Roman" w:cs="Times New Roman"/>
        </w:rPr>
        <w:t xml:space="preserve"> long</w:t>
      </w:r>
      <w:r w:rsidR="000D6229" w:rsidRPr="750671CE">
        <w:rPr>
          <w:rFonts w:ascii="Times New Roman" w:eastAsia="Times New Roman" w:hAnsi="Times New Roman" w:cs="Times New Roman"/>
        </w:rPr>
        <w:t xml:space="preserve"> before he or she arrives for the first day of class</w:t>
      </w:r>
      <w:r w:rsidR="00886987" w:rsidRPr="750671CE">
        <w:rPr>
          <w:rFonts w:ascii="Times New Roman" w:eastAsia="Times New Roman" w:hAnsi="Times New Roman" w:cs="Times New Roman"/>
        </w:rPr>
        <w:t>es</w:t>
      </w:r>
      <w:r w:rsidR="000D6229" w:rsidRPr="750671CE">
        <w:rPr>
          <w:rFonts w:ascii="Times New Roman" w:eastAsia="Times New Roman" w:hAnsi="Times New Roman" w:cs="Times New Roman"/>
        </w:rPr>
        <w:t>.</w:t>
      </w:r>
      <w:r w:rsidR="00C5233C"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00886987" w:rsidRPr="750671CE">
        <w:rPr>
          <w:rFonts w:ascii="Times New Roman" w:eastAsia="Times New Roman" w:hAnsi="Times New Roman" w:cs="Times New Roman"/>
        </w:rPr>
        <w:t>C</w:t>
      </w:r>
      <w:r w:rsidR="000D6229" w:rsidRPr="750671CE">
        <w:rPr>
          <w:rFonts w:ascii="Times New Roman" w:eastAsia="Times New Roman" w:hAnsi="Times New Roman" w:cs="Times New Roman"/>
        </w:rPr>
        <w:t>onstitutional law</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 xml:space="preserve"> will resonate with the law student </w:t>
      </w:r>
      <w:r w:rsidR="00886987" w:rsidRPr="750671CE">
        <w:rPr>
          <w:rFonts w:ascii="Times New Roman" w:eastAsia="Times New Roman" w:hAnsi="Times New Roman" w:cs="Times New Roman"/>
        </w:rPr>
        <w:t>who has</w:t>
      </w:r>
      <w:r w:rsidR="000D6229" w:rsidRPr="750671CE">
        <w:rPr>
          <w:rFonts w:ascii="Times New Roman" w:eastAsia="Times New Roman" w:hAnsi="Times New Roman" w:cs="Times New Roman"/>
        </w:rPr>
        <w:t xml:space="preserve"> </w:t>
      </w:r>
      <w:r w:rsidR="00886987" w:rsidRPr="750671CE">
        <w:rPr>
          <w:rFonts w:ascii="Times New Roman" w:eastAsia="Times New Roman" w:hAnsi="Times New Roman" w:cs="Times New Roman"/>
        </w:rPr>
        <w:t xml:space="preserve">even a passing </w:t>
      </w:r>
      <w:r w:rsidR="000D6229" w:rsidRPr="750671CE">
        <w:rPr>
          <w:rFonts w:ascii="Times New Roman" w:eastAsia="Times New Roman" w:hAnsi="Times New Roman" w:cs="Times New Roman"/>
        </w:rPr>
        <w:t>interest in politics</w:t>
      </w:r>
      <w:r w:rsidR="00886987" w:rsidRPr="750671CE">
        <w:rPr>
          <w:rFonts w:ascii="Times New Roman" w:eastAsia="Times New Roman" w:hAnsi="Times New Roman" w:cs="Times New Roman"/>
        </w:rPr>
        <w:t xml:space="preserve"> or public policy</w:t>
      </w:r>
      <w:r w:rsidR="000D6229" w:rsidRPr="750671CE">
        <w:rPr>
          <w:rFonts w:ascii="Times New Roman" w:eastAsia="Times New Roman" w:hAnsi="Times New Roman" w:cs="Times New Roman"/>
        </w:rPr>
        <w:t xml:space="preserve">.  Alone among first year subjects, </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tort</w:t>
      </w:r>
      <w:r w:rsidR="00886987" w:rsidRPr="750671CE">
        <w:rPr>
          <w:rFonts w:ascii="Times New Roman" w:eastAsia="Times New Roman" w:hAnsi="Times New Roman" w:cs="Times New Roman"/>
        </w:rPr>
        <w:t>s</w:t>
      </w:r>
      <w:r w:rsidR="00B05F31">
        <w:rPr>
          <w:rFonts w:ascii="Times New Roman" w:eastAsia="Times New Roman" w:hAnsi="Times New Roman" w:cs="Times New Roman"/>
        </w:rPr>
        <w:t>”</w:t>
      </w:r>
      <w:r w:rsidR="000D6229" w:rsidRPr="750671CE">
        <w:rPr>
          <w:rFonts w:ascii="Times New Roman" w:eastAsia="Times New Roman" w:hAnsi="Times New Roman" w:cs="Times New Roman"/>
        </w:rPr>
        <w:t xml:space="preserve"> has not made much headway into lay usage.  </w:t>
      </w:r>
      <w:r w:rsidRPr="750671CE">
        <w:rPr>
          <w:rFonts w:ascii="Times New Roman" w:eastAsia="Times New Roman" w:hAnsi="Times New Roman" w:cs="Times New Roman"/>
        </w:rPr>
        <w:t>Indeed, the situation is even worse than this</w:t>
      </w:r>
      <w:r w:rsidR="00FA0A3D" w:rsidRPr="750671CE">
        <w:rPr>
          <w:rFonts w:ascii="Times New Roman" w:eastAsia="Times New Roman" w:hAnsi="Times New Roman" w:cs="Times New Roman"/>
        </w:rPr>
        <w:t xml:space="preserve"> suggests, for to the extent the term</w:t>
      </w:r>
      <w:r w:rsidR="000D6229" w:rsidRPr="750671CE">
        <w:rPr>
          <w:rFonts w:ascii="Times New Roman" w:eastAsia="Times New Roman" w:hAnsi="Times New Roman" w:cs="Times New Roman"/>
        </w:rPr>
        <w:t xml:space="preserve"> </w:t>
      </w:r>
      <w:r w:rsidR="00886987" w:rsidRPr="750671CE">
        <w:rPr>
          <w:rFonts w:ascii="Times New Roman" w:eastAsia="Times New Roman" w:hAnsi="Times New Roman" w:cs="Times New Roman"/>
        </w:rPr>
        <w:t>has</w:t>
      </w:r>
      <w:r w:rsidR="00FA0A3D" w:rsidRPr="750671CE">
        <w:rPr>
          <w:rFonts w:ascii="Times New Roman" w:eastAsia="Times New Roman" w:hAnsi="Times New Roman" w:cs="Times New Roman"/>
        </w:rPr>
        <w:t xml:space="preserve"> made its way into popular usage</w:t>
      </w:r>
      <w:r w:rsidR="00852BB1" w:rsidRPr="750671CE">
        <w:rPr>
          <w:rFonts w:ascii="Times New Roman" w:eastAsia="Times New Roman" w:hAnsi="Times New Roman" w:cs="Times New Roman"/>
        </w:rPr>
        <w:t>,</w:t>
      </w:r>
      <w:r w:rsidR="000D6229" w:rsidRPr="750671CE">
        <w:rPr>
          <w:rFonts w:ascii="Times New Roman" w:eastAsia="Times New Roman" w:hAnsi="Times New Roman" w:cs="Times New Roman"/>
        </w:rPr>
        <w:t xml:space="preserve"> </w:t>
      </w:r>
      <w:r w:rsidR="00886987" w:rsidRPr="750671CE">
        <w:rPr>
          <w:rFonts w:ascii="Times New Roman" w:eastAsia="Times New Roman" w:hAnsi="Times New Roman" w:cs="Times New Roman"/>
        </w:rPr>
        <w:t xml:space="preserve">the results have </w:t>
      </w:r>
      <w:r w:rsidR="000D6229" w:rsidRPr="750671CE">
        <w:rPr>
          <w:rFonts w:ascii="Times New Roman" w:eastAsia="Times New Roman" w:hAnsi="Times New Roman" w:cs="Times New Roman"/>
        </w:rPr>
        <w:t xml:space="preserve">often </w:t>
      </w:r>
      <w:r w:rsidR="00886987" w:rsidRPr="750671CE">
        <w:rPr>
          <w:rFonts w:ascii="Times New Roman" w:eastAsia="Times New Roman" w:hAnsi="Times New Roman" w:cs="Times New Roman"/>
        </w:rPr>
        <w:t xml:space="preserve">been </w:t>
      </w:r>
      <w:r w:rsidR="000D6229" w:rsidRPr="750671CE">
        <w:rPr>
          <w:rFonts w:ascii="Times New Roman" w:eastAsia="Times New Roman" w:hAnsi="Times New Roman" w:cs="Times New Roman"/>
        </w:rPr>
        <w:t>te</w:t>
      </w:r>
      <w:r w:rsidR="00FA0A3D" w:rsidRPr="750671CE">
        <w:rPr>
          <w:rFonts w:ascii="Times New Roman" w:eastAsia="Times New Roman" w:hAnsi="Times New Roman" w:cs="Times New Roman"/>
        </w:rPr>
        <w:t>rrible</w:t>
      </w:r>
      <w:r w:rsidR="000D6229" w:rsidRPr="750671CE">
        <w:rPr>
          <w:rFonts w:ascii="Times New Roman" w:eastAsia="Times New Roman" w:hAnsi="Times New Roman" w:cs="Times New Roman"/>
        </w:rPr>
        <w:t xml:space="preserve"> misuse</w:t>
      </w:r>
      <w:r w:rsidR="00886987" w:rsidRPr="750671CE">
        <w:rPr>
          <w:rFonts w:ascii="Times New Roman" w:eastAsia="Times New Roman" w:hAnsi="Times New Roman" w:cs="Times New Roman"/>
        </w:rPr>
        <w:t xml:space="preserve"> and misunderstanding</w:t>
      </w:r>
      <w:r w:rsidR="000D6229" w:rsidRPr="750671CE">
        <w:rPr>
          <w:rFonts w:ascii="Times New Roman" w:eastAsia="Times New Roman" w:hAnsi="Times New Roman" w:cs="Times New Roman"/>
        </w:rPr>
        <w:t xml:space="preserve">.  </w:t>
      </w:r>
    </w:p>
    <w:p w14:paraId="04DF852D" w14:textId="77777777" w:rsidR="000D6229" w:rsidRPr="004B1DFF" w:rsidRDefault="000D6229" w:rsidP="00807664">
      <w:pPr>
        <w:widowControl w:val="0"/>
        <w:autoSpaceDE w:val="0"/>
        <w:autoSpaceDN w:val="0"/>
        <w:adjustRightInd w:val="0"/>
        <w:rPr>
          <w:rFonts w:ascii="Times New Roman" w:hAnsi="Times New Roman" w:cs="Times New Roman"/>
        </w:rPr>
      </w:pPr>
    </w:p>
    <w:p w14:paraId="0E04CCD4" w14:textId="544991BF" w:rsidR="000D6229" w:rsidRPr="004B1DFF" w:rsidRDefault="00A802F6" w:rsidP="750671CE">
      <w:pPr>
        <w:widowControl w:val="0"/>
        <w:autoSpaceDE w:val="0"/>
        <w:autoSpaceDN w:val="0"/>
        <w:adjustRightInd w:val="0"/>
        <w:rPr>
          <w:rFonts w:ascii="Times New Roman" w:eastAsia="Times New Roman" w:hAnsi="Times New Roman" w:cs="Times New Roman"/>
        </w:rPr>
      </w:pPr>
      <w:r w:rsidRPr="00ED068A">
        <w:rPr>
          <w:rFonts w:ascii="Times New Roman" w:hAnsi="Times New Roman" w:cs="Times New Roman"/>
        </w:rPr>
        <w:tab/>
      </w:r>
      <w:r w:rsidRPr="750671CE">
        <w:rPr>
          <w:rFonts w:ascii="Times New Roman" w:eastAsia="Times New Roman" w:hAnsi="Times New Roman" w:cs="Times New Roman"/>
        </w:rPr>
        <w:t>So let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start with a definition and take it piece by piece: </w:t>
      </w:r>
      <w:r w:rsidRPr="750671CE">
        <w:rPr>
          <w:rFonts w:ascii="Times New Roman" w:eastAsia="Times New Roman" w:hAnsi="Times New Roman" w:cs="Times New Roman"/>
          <w:i/>
          <w:iCs/>
        </w:rPr>
        <w:t>Tort law is the common law of civil wrongs not arising out of contract.</w:t>
      </w:r>
      <w:r w:rsidRPr="750671CE">
        <w:rPr>
          <w:rFonts w:ascii="Times New Roman" w:eastAsia="Times New Roman" w:hAnsi="Times New Roman" w:cs="Times New Roman"/>
        </w:rPr>
        <w:t xml:space="preserve">  We call tort law a </w:t>
      </w:r>
      <w:r w:rsidR="00B05F31">
        <w:rPr>
          <w:rFonts w:ascii="Times New Roman" w:eastAsia="Times New Roman" w:hAnsi="Times New Roman" w:cs="Times New Roman"/>
        </w:rPr>
        <w:t>“</w:t>
      </w:r>
      <w:r w:rsidRPr="750671CE">
        <w:rPr>
          <w:rFonts w:ascii="Times New Roman" w:eastAsia="Times New Roman" w:hAnsi="Times New Roman" w:cs="Times New Roman"/>
        </w:rPr>
        <w:t>common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courts in the centuries after the Norman Conquest in 1066.  (The common law was the law </w:t>
      </w:r>
      <w:r w:rsidRPr="750671CE">
        <w:rPr>
          <w:rFonts w:ascii="Times New Roman" w:eastAsia="Times New Roman" w:hAnsi="Times New Roman" w:cs="Times New Roman"/>
          <w:i/>
          <w:iCs/>
        </w:rPr>
        <w:t>common</w:t>
      </w:r>
      <w:r w:rsidRPr="750671CE">
        <w:rPr>
          <w:rFonts w:ascii="Times New Roman" w:eastAsia="Times New Roman" w:hAnsi="Times New Roman" w:cs="Times New Roman"/>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not necessarily exclusively so.  State legislatures and the U.S. Congress increasingly alter the common law of torts.  The Federal Constitution and its state-level counterparts largely (but not entirely) give the Congress and state legislatures power to make such alterations, though as we shall see constitutional constraints </w:t>
      </w:r>
      <w:r w:rsidR="00563CE4">
        <w:rPr>
          <w:rFonts w:ascii="Times New Roman" w:eastAsia="Times New Roman" w:hAnsi="Times New Roman" w:cs="Times New Roman"/>
        </w:rPr>
        <w:t>touch</w:t>
      </w:r>
      <w:r w:rsidR="00563CE4"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4B1DFF" w:rsidRDefault="000D6229" w:rsidP="00807664">
      <w:pPr>
        <w:widowControl w:val="0"/>
        <w:autoSpaceDE w:val="0"/>
        <w:autoSpaceDN w:val="0"/>
        <w:adjustRightInd w:val="0"/>
        <w:rPr>
          <w:rFonts w:ascii="Times New Roman" w:hAnsi="Times New Roman" w:cs="Times New Roman"/>
        </w:rPr>
      </w:pPr>
    </w:p>
    <w:p w14:paraId="541A679F" w14:textId="041CB9E2" w:rsidR="0059479A" w:rsidRPr="004B1DFF" w:rsidRDefault="00A802F6" w:rsidP="750671CE">
      <w:pPr>
        <w:widowControl w:val="0"/>
        <w:autoSpaceDE w:val="0"/>
        <w:autoSpaceDN w:val="0"/>
        <w:adjustRightInd w:val="0"/>
        <w:rPr>
          <w:rFonts w:ascii="Times New Roman" w:eastAsia="Times New Roman" w:hAnsi="Times New Roman" w:cs="Times New Roman"/>
        </w:rPr>
      </w:pPr>
      <w:r w:rsidRPr="00ED068A">
        <w:rPr>
          <w:rFonts w:ascii="Times New Roman" w:hAnsi="Times New Roman" w:cs="Times New Roman"/>
        </w:rPr>
        <w:tab/>
      </w:r>
      <w:r w:rsidRPr="750671CE">
        <w:rPr>
          <w:rFonts w:ascii="Times New Roman" w:eastAsia="Times New Roman" w:hAnsi="Times New Roman" w:cs="Times New Roman"/>
        </w:rPr>
        <w:t xml:space="preserve">Tort law deals with </w:t>
      </w:r>
      <w:r w:rsidRPr="750671CE">
        <w:rPr>
          <w:rFonts w:ascii="Times New Roman" w:eastAsia="Times New Roman" w:hAnsi="Times New Roman" w:cs="Times New Roman"/>
          <w:i/>
          <w:iCs/>
        </w:rPr>
        <w:t xml:space="preserve">civil </w:t>
      </w:r>
      <w:r w:rsidRPr="750671CE">
        <w:rPr>
          <w:rFonts w:ascii="Times New Roman" w:eastAsia="Times New Roman" w:hAnsi="Times New Roman" w:cs="Times New Roman"/>
        </w:rPr>
        <w:t>wrongs as opposed to violations of the criminal law.  This means that tort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w:t>
      </w:r>
      <w:r w:rsidRPr="750671CE">
        <w:rPr>
          <w:rFonts w:ascii="Times New Roman" w:eastAsia="Times New Roman" w:hAnsi="Times New Roman" w:cs="Times New Roman"/>
        </w:rPr>
        <w:lastRenderedPageBreak/>
        <w:t xml:space="preserve">Constitution does not require states to offer jury trials in tort cases, though most states do anyway.  The standard of proof is a preponderance of the evidence rather than beyond a reasonable doubt.  Parties without lawyers are not usually offered free court-appointed counsel.  Most importantly, perhaps, the fact that tort law is the law of </w:t>
      </w:r>
      <w:r w:rsidRPr="750671CE">
        <w:rPr>
          <w:rFonts w:ascii="Times New Roman" w:eastAsia="Times New Roman" w:hAnsi="Times New Roman" w:cs="Times New Roman"/>
          <w:i/>
          <w:iCs/>
        </w:rPr>
        <w:t xml:space="preserve">civil </w:t>
      </w:r>
      <w:r w:rsidRPr="750671CE">
        <w:rPr>
          <w:rFonts w:ascii="Times New Roman" w:eastAsia="Times New Roman" w:hAnsi="Times New Roman" w:cs="Times New Roman"/>
        </w:rPr>
        <w:t xml:space="preserve">wrongs means that, with one exception, tort law does not aim to punish.  Punishment is a principal function of the criminal justice system.  The remedies in a torts case aim not to punish the defendant, but to compensate the plaintiff, almost always through monetary compensation to make 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4B1DFF" w:rsidRDefault="00990F80" w:rsidP="00807664">
      <w:pPr>
        <w:widowControl w:val="0"/>
        <w:autoSpaceDE w:val="0"/>
        <w:autoSpaceDN w:val="0"/>
        <w:adjustRightInd w:val="0"/>
        <w:rPr>
          <w:rFonts w:ascii="Times New Roman" w:hAnsi="Times New Roman" w:cs="Times New Roman"/>
        </w:rPr>
      </w:pPr>
    </w:p>
    <w:p w14:paraId="4B772043" w14:textId="25692A33" w:rsidR="00990F80" w:rsidRPr="004B1DFF" w:rsidRDefault="00A802F6" w:rsidP="750671CE">
      <w:pPr>
        <w:widowControl w:val="0"/>
        <w:autoSpaceDE w:val="0"/>
        <w:autoSpaceDN w:val="0"/>
        <w:adjustRightInd w:val="0"/>
        <w:rPr>
          <w:rFonts w:ascii="Times New Roman" w:eastAsia="Times New Roman" w:hAnsi="Times New Roman" w:cs="Times New Roman"/>
        </w:rPr>
      </w:pPr>
      <w:r w:rsidRPr="00E159B1">
        <w:rPr>
          <w:rFonts w:ascii="Times New Roman" w:hAnsi="Times New Roman" w:cs="Times New Roman"/>
        </w:rPr>
        <w:tab/>
      </w:r>
      <w:r w:rsidRPr="750671CE">
        <w:rPr>
          <w:rFonts w:ascii="Times New Roman" w:eastAsia="Times New Roman" w:hAnsi="Times New Roman" w:cs="Times New Roman"/>
        </w:rPr>
        <w:t xml:space="preserve">Tort law is a field not merely of civil law: it is a field of civil law </w:t>
      </w:r>
      <w:r w:rsidRPr="750671CE">
        <w:rPr>
          <w:rFonts w:ascii="Times New Roman" w:eastAsia="Times New Roman" w:hAnsi="Times New Roman" w:cs="Times New Roman"/>
          <w:i/>
          <w:iCs/>
        </w:rPr>
        <w:t>wrongs</w:t>
      </w:r>
      <w:r w:rsidRPr="750671CE">
        <w:rPr>
          <w:rFonts w:ascii="Times New Roman" w:eastAsia="Times New Roman" w:hAnsi="Times New Roman" w:cs="Times New Roman"/>
        </w:rPr>
        <w:t xml:space="preserve">.  The term </w:t>
      </w:r>
      <w:r w:rsidR="00B05F31">
        <w:rPr>
          <w:rFonts w:ascii="Times New Roman" w:eastAsia="Times New Roman" w:hAnsi="Times New Roman" w:cs="Times New Roman"/>
        </w:rPr>
        <w:t>“</w:t>
      </w:r>
      <w:r w:rsidRPr="750671CE">
        <w:rPr>
          <w:rFonts w:ascii="Times New Roman" w:eastAsia="Times New Roman" w:hAnsi="Times New Roman" w:cs="Times New Roman"/>
        </w:rPr>
        <w:t>tort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comes from the Latin meaning bend or twist.  (It shares the same root as the word </w:t>
      </w:r>
      <w:r w:rsidR="00B05F31">
        <w:rPr>
          <w:rFonts w:ascii="Times New Roman" w:eastAsia="Times New Roman" w:hAnsi="Times New Roman" w:cs="Times New Roman"/>
        </w:rPr>
        <w:t>“</w:t>
      </w:r>
      <w:r w:rsidRPr="750671CE">
        <w:rPr>
          <w:rFonts w:ascii="Times New Roman" w:eastAsia="Times New Roman" w:hAnsi="Times New Roman" w:cs="Times New Roman"/>
        </w:rPr>
        <w:t>torture.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centuries, tort law has thus been connected </w:t>
      </w:r>
      <w:r w:rsidR="00AC2BCB" w:rsidRPr="750671CE">
        <w:rPr>
          <w:rFonts w:ascii="Times New Roman" w:eastAsia="Times New Roman" w:hAnsi="Times New Roman" w:cs="Times New Roman"/>
        </w:rPr>
        <w:t xml:space="preserve">indelibly </w:t>
      </w:r>
      <w:r w:rsidRPr="750671CE">
        <w:rPr>
          <w:rFonts w:ascii="Times New Roman" w:eastAsia="Times New Roman" w:hAnsi="Times New Roman" w:cs="Times New Roman"/>
        </w:rPr>
        <w:t>to the moral concept of wrongfulness.  But the emphasis on wrongfulness produces two kinds of puzzles.  The first is how to measure it.  Some cases are easy, of course: in such cases, we know wrongfulness when we see it.  Others are hard.  And in the hard cases the distinction between right and wrong can be a hair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breadth.  Perhaps for this reason, some domains in tort law purport to do away with the concept of wrongfulness.  As we shall see, there is some reason to think that the early modern English common law may have required defendants to pay for the injuries they caused regardless of whether they had acted wrongly.  And since at least the middle of the nineteenth century, important areas of the law (urged on by prominent jurists and commentators) have embraced so-called strict or no-fault liability doctrines that allocate accident costs without regard to questions of wrongfulness.  In the field of product-related injuries, for example, which we will spend considerable time discussing later in this book, the trend toward eliminating fault or wrongdoing from the analysis of torts cases has been especially powerful in the past half century.  </w:t>
      </w:r>
    </w:p>
    <w:p w14:paraId="341D74F8" w14:textId="77777777" w:rsidR="002B252A" w:rsidRPr="004B1DFF" w:rsidRDefault="002B252A" w:rsidP="00807664">
      <w:pPr>
        <w:widowControl w:val="0"/>
        <w:autoSpaceDE w:val="0"/>
        <w:autoSpaceDN w:val="0"/>
        <w:adjustRightInd w:val="0"/>
        <w:rPr>
          <w:rFonts w:ascii="Times New Roman" w:hAnsi="Times New Roman" w:cs="Times New Roman"/>
        </w:rPr>
      </w:pPr>
    </w:p>
    <w:p w14:paraId="691D24A2" w14:textId="2F1AD491" w:rsidR="0032457A" w:rsidRPr="004B1DFF" w:rsidRDefault="00A802F6" w:rsidP="750671CE">
      <w:pPr>
        <w:widowControl w:val="0"/>
        <w:autoSpaceDE w:val="0"/>
        <w:autoSpaceDN w:val="0"/>
        <w:adjustRightInd w:val="0"/>
        <w:rPr>
          <w:rFonts w:ascii="Times New Roman" w:eastAsia="Times New Roman" w:hAnsi="Times New Roman" w:cs="Times New Roman"/>
        </w:rPr>
      </w:pPr>
      <w:r w:rsidRPr="00E159B1">
        <w:rPr>
          <w:rFonts w:ascii="Times New Roman" w:hAnsi="Times New Roman" w:cs="Times New Roman"/>
        </w:rPr>
        <w:tab/>
      </w:r>
      <w:r w:rsidRPr="750671CE">
        <w:rPr>
          <w:rFonts w:ascii="Times New Roman" w:eastAsia="Times New Roman" w:hAnsi="Times New Roman" w:cs="Times New Roman"/>
        </w:rPr>
        <w:t xml:space="preserve">Last, tort law is a common law field of civil wrongs </w:t>
      </w:r>
      <w:r w:rsidRPr="750671CE">
        <w:rPr>
          <w:rFonts w:ascii="Times New Roman" w:eastAsia="Times New Roman" w:hAnsi="Times New Roman" w:cs="Times New Roman"/>
          <w:i/>
          <w:iCs/>
        </w:rPr>
        <w:t>not arising out of contract</w:t>
      </w:r>
      <w:r w:rsidRPr="750671CE">
        <w:rPr>
          <w:rFonts w:ascii="Times New Roman" w:eastAsia="Times New Roman" w:hAnsi="Times New Roman" w:cs="Times New Roman"/>
        </w:rPr>
        <w:t>.  This means that, as a conceptual matter, the obligations that tort law recognizes exist independent of any agreement between the parties.  For a person to have a legal obligation to another arising out of tort law, they need not have promised the other person anything.  The law of torts itself, not the terms of any agreement, specif</w:t>
      </w:r>
      <w:r w:rsidR="00FF3F96">
        <w:rPr>
          <w:rFonts w:ascii="Times New Roman" w:eastAsia="Times New Roman" w:hAnsi="Times New Roman" w:cs="Times New Roman"/>
        </w:rPr>
        <w:t xml:space="preserve">ies </w:t>
      </w:r>
      <w:r w:rsidRPr="750671CE">
        <w:rPr>
          <w:rFonts w:ascii="Times New Roman" w:eastAsia="Times New Roman" w:hAnsi="Times New Roman" w:cs="Times New Roman"/>
        </w:rPr>
        <w:t xml:space="preserve">the contours of the obligations it enforces.  </w:t>
      </w:r>
    </w:p>
    <w:p w14:paraId="1E135330" w14:textId="77777777" w:rsidR="0032457A" w:rsidRPr="004B1DFF" w:rsidRDefault="0032457A" w:rsidP="00807664">
      <w:pPr>
        <w:widowControl w:val="0"/>
        <w:autoSpaceDE w:val="0"/>
        <w:autoSpaceDN w:val="0"/>
        <w:adjustRightInd w:val="0"/>
        <w:rPr>
          <w:rFonts w:ascii="Times New Roman" w:hAnsi="Times New Roman" w:cs="Times New Roman"/>
        </w:rPr>
      </w:pPr>
    </w:p>
    <w:p w14:paraId="666B2756" w14:textId="5D2E47C5" w:rsidR="00E97561"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Yet this final piece of our definition, like each element of the definition that has preceded it, comes with caveats and exceptions, two of which are worth noting here.  First, many and perhaps even most torts cases </w:t>
      </w:r>
      <w:r w:rsidRPr="00591009">
        <w:rPr>
          <w:rFonts w:ascii="Times New Roman" w:eastAsia="Times New Roman" w:hAnsi="Times New Roman" w:cs="Times New Roman"/>
          <w:i/>
        </w:rPr>
        <w:t>do</w:t>
      </w:r>
      <w:r w:rsidRPr="750671CE">
        <w:rPr>
          <w:rFonts w:ascii="Times New Roman" w:eastAsia="Times New Roman" w:hAnsi="Times New Roman" w:cs="Times New Roman"/>
        </w:rPr>
        <w:t xml:space="preserve"> arise out of the interactions of parties who are in contractual relationships with one another, or at least in relationships akin to </w:t>
      </w:r>
      <w:r w:rsidRPr="750671CE">
        <w:rPr>
          <w:rFonts w:ascii="Times New Roman" w:eastAsia="Times New Roman" w:hAnsi="Times New Roman" w:cs="Times New Roman"/>
        </w:rPr>
        <w:lastRenderedPageBreak/>
        <w:t>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 when they purport to alter or perhaps even abolish tort obligations altogether.  </w:t>
      </w:r>
    </w:p>
    <w:p w14:paraId="37D0F259" w14:textId="77777777" w:rsidR="00E97561" w:rsidRPr="004B1DFF" w:rsidRDefault="00E97561" w:rsidP="00807664">
      <w:pPr>
        <w:widowControl w:val="0"/>
        <w:autoSpaceDE w:val="0"/>
        <w:autoSpaceDN w:val="0"/>
        <w:adjustRightInd w:val="0"/>
        <w:rPr>
          <w:rFonts w:ascii="Times New Roman" w:hAnsi="Times New Roman" w:cs="Times New Roman"/>
        </w:rPr>
      </w:pPr>
    </w:p>
    <w:p w14:paraId="65EE0D95" w14:textId="5C4E7215" w:rsidR="002B252A"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4B1DFF" w:rsidRDefault="000D6229" w:rsidP="00807664">
      <w:pPr>
        <w:widowControl w:val="0"/>
        <w:autoSpaceDE w:val="0"/>
        <w:autoSpaceDN w:val="0"/>
        <w:adjustRightInd w:val="0"/>
        <w:rPr>
          <w:rFonts w:ascii="Times New Roman" w:hAnsi="Times New Roman" w:cs="Times New Roman"/>
        </w:rPr>
      </w:pPr>
    </w:p>
    <w:p w14:paraId="2BB817CA" w14:textId="77777777" w:rsidR="005A13EB" w:rsidRPr="004B1DFF" w:rsidRDefault="750671CE" w:rsidP="750671CE">
      <w:pPr>
        <w:widowControl w:val="0"/>
        <w:autoSpaceDE w:val="0"/>
        <w:autoSpaceDN w:val="0"/>
        <w:adjustRightInd w:val="0"/>
        <w:jc w:val="center"/>
        <w:rPr>
          <w:rFonts w:ascii="Times New Roman" w:eastAsia="Times New Roman" w:hAnsi="Times New Roman" w:cs="Times New Roman"/>
        </w:rPr>
      </w:pPr>
      <w:r w:rsidRPr="750671CE">
        <w:rPr>
          <w:rFonts w:ascii="Times New Roman" w:eastAsia="Times New Roman" w:hAnsi="Times New Roman" w:cs="Times New Roman"/>
        </w:rPr>
        <w:t>****</w:t>
      </w:r>
    </w:p>
    <w:p w14:paraId="50757C78" w14:textId="77777777" w:rsidR="005A13EB" w:rsidRPr="004B1DFF" w:rsidRDefault="005A13EB" w:rsidP="00807664">
      <w:pPr>
        <w:widowControl w:val="0"/>
        <w:autoSpaceDE w:val="0"/>
        <w:autoSpaceDN w:val="0"/>
        <w:adjustRightInd w:val="0"/>
        <w:rPr>
          <w:rFonts w:ascii="Times New Roman" w:hAnsi="Times New Roman" w:cs="Times New Roman"/>
        </w:rPr>
      </w:pPr>
    </w:p>
    <w:p w14:paraId="4634EA80" w14:textId="319D36DA" w:rsidR="00A47773"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Tort law in the United States consists of a sprawling set of social institutions and practices.  One way to see this is to observe that formal definitions of tort law do not differ much from one legal order to another.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4B1DFF" w:rsidRDefault="00A47773" w:rsidP="00807664">
      <w:pPr>
        <w:widowControl w:val="0"/>
        <w:autoSpaceDE w:val="0"/>
        <w:autoSpaceDN w:val="0"/>
        <w:adjustRightInd w:val="0"/>
        <w:rPr>
          <w:rFonts w:ascii="Times New Roman" w:hAnsi="Times New Roman" w:cs="Times New Roman"/>
        </w:rPr>
      </w:pPr>
    </w:p>
    <w:p w14:paraId="7BE18CCB" w14:textId="1319432A" w:rsidR="00A47773"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First, tort law</w:t>
      </w:r>
      <w:r w:rsidR="00B05F31">
        <w:rPr>
          <w:rFonts w:ascii="Times New Roman" w:eastAsia="Times New Roman" w:hAnsi="Times New Roman" w:cs="Times New Roman"/>
        </w:rPr>
        <w:t>’</w:t>
      </w:r>
      <w:r w:rsidRPr="750671CE">
        <w:rPr>
          <w:rFonts w:ascii="Times New Roman" w:eastAsia="Times New Roman" w:hAnsi="Times New Roman" w:cs="Times New Roman"/>
        </w:rPr>
        <w:t>s doctrines and principles embody the law</w:t>
      </w:r>
      <w:r w:rsidR="00B05F31">
        <w:rPr>
          <w:rFonts w:ascii="Times New Roman" w:eastAsia="Times New Roman" w:hAnsi="Times New Roman" w:cs="Times New Roman"/>
        </w:rPr>
        <w:t>’</w:t>
      </w:r>
      <w:r w:rsidRPr="750671CE">
        <w:rPr>
          <w:rFonts w:ascii="Times New Roman" w:eastAsia="Times New Roman" w:hAnsi="Times New Roman" w:cs="Times New Roman"/>
        </w:rPr>
        <w:t>s basic norms of interpersonal obligation.  Torts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jurists have argued for many decades about these principles, about what they are and what they ought to be.  Some see in tort law either an instantiation or an opportunity for utilitarianism in action.  Others see a science of duties and finely tailored interpersonal obligations.  This book will introduce the basic controversy over tort law</w:t>
      </w:r>
      <w:r w:rsidR="00B05F31">
        <w:rPr>
          <w:rFonts w:ascii="Times New Roman" w:eastAsia="Times New Roman" w:hAnsi="Times New Roman" w:cs="Times New Roman"/>
        </w:rPr>
        <w:t>’</w:t>
      </w:r>
      <w:r w:rsidRPr="750671CE">
        <w:rPr>
          <w:rFonts w:ascii="Times New Roman" w:eastAsia="Times New Roman" w:hAnsi="Times New Roman" w:cs="Times New Roman"/>
        </w:rPr>
        <w:t>s moral commitments.  These controversies are significant in part because they represent live debates in practical moral philosophy.  But they also matter for the purpose of identifying ways to decide the hardest and most cutting-edge cases in the field, cases in which there is no obvious existing answer in the law and for which lawyers, judges, and juries will need to grasp the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underlying principles.  </w:t>
      </w:r>
    </w:p>
    <w:p w14:paraId="16E34375" w14:textId="77777777" w:rsidR="00A47773" w:rsidRPr="004B1DFF" w:rsidRDefault="00A47773" w:rsidP="00807664">
      <w:pPr>
        <w:widowControl w:val="0"/>
        <w:autoSpaceDE w:val="0"/>
        <w:autoSpaceDN w:val="0"/>
        <w:adjustRightInd w:val="0"/>
        <w:ind w:firstLine="720"/>
        <w:rPr>
          <w:rFonts w:ascii="Times New Roman" w:hAnsi="Times New Roman" w:cs="Times New Roman"/>
        </w:rPr>
      </w:pPr>
    </w:p>
    <w:p w14:paraId="279F8EC9" w14:textId="77777777" w:rsidR="00A47773"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77777777" w:rsidR="00A47773" w:rsidRPr="004B1DFF" w:rsidRDefault="00A47773" w:rsidP="00807664">
      <w:pPr>
        <w:widowControl w:val="0"/>
        <w:autoSpaceDE w:val="0"/>
        <w:autoSpaceDN w:val="0"/>
        <w:adjustRightInd w:val="0"/>
        <w:ind w:firstLine="720"/>
        <w:rPr>
          <w:rFonts w:ascii="Times New Roman" w:hAnsi="Times New Roman" w:cs="Times New Roman"/>
        </w:rPr>
      </w:pPr>
    </w:p>
    <w:p w14:paraId="32801912" w14:textId="67F57D9A" w:rsidR="0030667D"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Third, American tort law shapes and is shaped by an important array of institutions, among them insurance companies, the administrative state, the jury, social customs, cost-benefit analysis,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4B1DFF" w:rsidRDefault="0030667D" w:rsidP="00807664">
      <w:pPr>
        <w:widowControl w:val="0"/>
        <w:autoSpaceDE w:val="0"/>
        <w:autoSpaceDN w:val="0"/>
        <w:adjustRightInd w:val="0"/>
        <w:ind w:firstLine="720"/>
        <w:rPr>
          <w:rFonts w:ascii="Times New Roman" w:hAnsi="Times New Roman" w:cs="Times New Roman"/>
        </w:rPr>
      </w:pPr>
    </w:p>
    <w:p w14:paraId="1F6F2DF4" w14:textId="6AC2D1FC" w:rsidR="005A13EB"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Here, then, is the theory of this book: understanding the characteristic features of American tort law requires exploring the field</w:t>
      </w:r>
      <w:r w:rsidR="00B05F31">
        <w:rPr>
          <w:rFonts w:ascii="Times New Roman" w:eastAsia="Times New Roman" w:hAnsi="Times New Roman" w:cs="Times New Roman"/>
        </w:rPr>
        <w:t>’</w:t>
      </w:r>
      <w:r w:rsidRPr="750671CE">
        <w:rPr>
          <w:rFonts w:ascii="Times New Roman" w:eastAsia="Times New Roman" w:hAnsi="Times New Roman" w:cs="Times New Roman"/>
        </w:rPr>
        <w:t>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Thankfully, we can begin to think in these ways by exploring one of the field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simplest and best-known cases, a case that began as a classroom interaction between two boys in nineteenth-century Wisconsin.   </w:t>
      </w:r>
    </w:p>
    <w:p w14:paraId="0742B8B2" w14:textId="77777777" w:rsidR="00E97561" w:rsidRDefault="00E97561" w:rsidP="00807664">
      <w:pPr>
        <w:widowControl w:val="0"/>
        <w:autoSpaceDE w:val="0"/>
        <w:autoSpaceDN w:val="0"/>
        <w:adjustRightInd w:val="0"/>
        <w:rPr>
          <w:rFonts w:ascii="Times New Roman" w:hAnsi="Times New Roman" w:cs="Times New Roman"/>
        </w:rPr>
      </w:pPr>
    </w:p>
    <w:p w14:paraId="32FBC0E8" w14:textId="77777777" w:rsidR="00644103" w:rsidRPr="004B1DFF" w:rsidRDefault="00644103" w:rsidP="00807664">
      <w:pPr>
        <w:widowControl w:val="0"/>
        <w:autoSpaceDE w:val="0"/>
        <w:autoSpaceDN w:val="0"/>
        <w:adjustRightInd w:val="0"/>
        <w:rPr>
          <w:rFonts w:ascii="Times New Roman" w:hAnsi="Times New Roman" w:cs="Times New Roman"/>
        </w:rPr>
      </w:pPr>
    </w:p>
    <w:p w14:paraId="25B429FB" w14:textId="77777777" w:rsidR="005A13EB" w:rsidRPr="004B1DFF" w:rsidRDefault="00A802F6" w:rsidP="00415772">
      <w:pPr>
        <w:pStyle w:val="Heading2"/>
      </w:pPr>
      <w:bookmarkStart w:id="26" w:name="_Toc364636035"/>
      <w:bookmarkStart w:id="27" w:name="_Toc518323192"/>
      <w:r w:rsidRPr="00E159B1">
        <w:t>B.  An Introductory Case: The Tort of Battery</w:t>
      </w:r>
      <w:bookmarkEnd w:id="26"/>
      <w:bookmarkEnd w:id="27"/>
    </w:p>
    <w:p w14:paraId="0BBB4732" w14:textId="77777777" w:rsidR="000D6229" w:rsidRDefault="000D6229" w:rsidP="00807664">
      <w:pPr>
        <w:widowControl w:val="0"/>
        <w:autoSpaceDE w:val="0"/>
        <w:autoSpaceDN w:val="0"/>
        <w:adjustRightInd w:val="0"/>
        <w:rPr>
          <w:rFonts w:ascii="Times New Roman" w:hAnsi="Times New Roman" w:cs="Times New Roman"/>
        </w:rPr>
      </w:pPr>
    </w:p>
    <w:p w14:paraId="7153778F" w14:textId="77777777" w:rsidR="006F1186" w:rsidRPr="004B1DFF" w:rsidRDefault="006F1186" w:rsidP="00807664">
      <w:pPr>
        <w:widowControl w:val="0"/>
        <w:autoSpaceDE w:val="0"/>
        <w:autoSpaceDN w:val="0"/>
        <w:adjustRightInd w:val="0"/>
        <w:rPr>
          <w:rFonts w:ascii="Times New Roman" w:hAnsi="Times New Roman" w:cs="Times New Roman"/>
        </w:rPr>
      </w:pPr>
    </w:p>
    <w:p w14:paraId="2AA707CE" w14:textId="66B45912" w:rsidR="00FE764C" w:rsidRPr="004B1DFF" w:rsidRDefault="00DA4F31" w:rsidP="750671CE">
      <w:pPr>
        <w:widowControl w:val="0"/>
        <w:autoSpaceDE w:val="0"/>
        <w:autoSpaceDN w:val="0"/>
        <w:adjustRightInd w:val="0"/>
        <w:rPr>
          <w:rFonts w:ascii="Times New Roman" w:eastAsia="Times New Roman" w:hAnsi="Times New Roman" w:cs="Times New Roman"/>
          <w:b/>
          <w:bCs/>
        </w:rPr>
      </w:pPr>
      <w:bookmarkStart w:id="28" w:name="_Toc518323193"/>
      <w:r>
        <w:rPr>
          <w:rStyle w:val="Heading3Char"/>
        </w:rPr>
        <w:t xml:space="preserve">1. </w:t>
      </w:r>
      <w:r w:rsidR="00A802F6" w:rsidRPr="00146231">
        <w:rPr>
          <w:rStyle w:val="Heading3Char"/>
          <w:i/>
        </w:rPr>
        <w:t>Vosburg v. Putney</w:t>
      </w:r>
      <w:bookmarkEnd w:id="28"/>
      <w:r w:rsidR="00A802F6" w:rsidRPr="750671CE">
        <w:rPr>
          <w:rFonts w:ascii="Times New Roman" w:eastAsia="Times New Roman" w:hAnsi="Times New Roman" w:cs="Times New Roman"/>
          <w:b/>
          <w:bCs/>
        </w:rPr>
        <w:t>, 50 N.W. 403 (Wis. 1891)</w:t>
      </w:r>
    </w:p>
    <w:p w14:paraId="64E33DFA" w14:textId="77777777" w:rsidR="00B52877" w:rsidRPr="004B1DFF" w:rsidRDefault="00B52877" w:rsidP="00807664">
      <w:pPr>
        <w:widowControl w:val="0"/>
        <w:autoSpaceDE w:val="0"/>
        <w:autoSpaceDN w:val="0"/>
        <w:adjustRightInd w:val="0"/>
        <w:rPr>
          <w:rFonts w:ascii="Times New Roman" w:hAnsi="Times New Roman" w:cs="Times New Roman"/>
        </w:rPr>
      </w:pPr>
    </w:p>
    <w:p w14:paraId="7CCD9F58" w14:textId="77777777" w:rsidR="00B52877"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w:t>
      </w:r>
      <w:r w:rsidRPr="750671CE">
        <w:rPr>
          <w:rFonts w:ascii="Times New Roman" w:eastAsia="Times New Roman" w:hAnsi="Times New Roman" w:cs="Times New Roman"/>
        </w:rPr>
        <w:lastRenderedPageBreak/>
        <w:t xml:space="preserve">the same was reversed for error, and a new trial awarded. </w:t>
      </w:r>
    </w:p>
    <w:p w14:paraId="1D927893" w14:textId="17284F96" w:rsidR="00BD65DB" w:rsidRDefault="00BD65DB" w:rsidP="00591009">
      <w:pPr>
        <w:widowControl w:val="0"/>
        <w:autoSpaceDE w:val="0"/>
        <w:autoSpaceDN w:val="0"/>
        <w:adjustRightInd w:val="0"/>
        <w:rPr>
          <w:rFonts w:ascii="Times New Roman" w:hAnsi="Times New Roman" w:cs="Times New Roman"/>
        </w:rPr>
      </w:pPr>
    </w:p>
    <w:p w14:paraId="446BE6A5" w14:textId="54E984A4" w:rsidR="00B52877" w:rsidRPr="004B1DFF"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[The opinion of the court in the initial appeal provides the following additional facts:</w:t>
      </w:r>
    </w:p>
    <w:p w14:paraId="7A7C19D6" w14:textId="77777777" w:rsidR="00B52877" w:rsidRPr="004B1DFF" w:rsidRDefault="00B52877" w:rsidP="00415772">
      <w:pPr>
        <w:widowControl w:val="0"/>
        <w:autoSpaceDE w:val="0"/>
        <w:autoSpaceDN w:val="0"/>
        <w:adjustRightInd w:val="0"/>
        <w:rPr>
          <w:rFonts w:ascii="Times New Roman" w:hAnsi="Times New Roman" w:cs="Times New Roman"/>
        </w:rPr>
      </w:pPr>
    </w:p>
    <w:p w14:paraId="05F8150A" w14:textId="4FCFCD9E" w:rsidR="00B52877" w:rsidRPr="004B1DFF" w:rsidRDefault="00B05F31" w:rsidP="750671CE">
      <w:pPr>
        <w:widowControl w:val="0"/>
        <w:autoSpaceDE w:val="0"/>
        <w:autoSpaceDN w:val="0"/>
        <w:adjustRightInd w:val="0"/>
        <w:ind w:firstLine="720"/>
        <w:rPr>
          <w:rFonts w:ascii="Times New Roman" w:eastAsia="Times New Roman" w:hAnsi="Times New Roman" w:cs="Times New Roman"/>
        </w:rPr>
      </w:pPr>
      <w:r>
        <w:rPr>
          <w:rFonts w:ascii="Times New Roman" w:eastAsia="Times New Roman" w:hAnsi="Times New Roman" w:cs="Times New Roman"/>
        </w:rPr>
        <w:t>“</w:t>
      </w:r>
      <w:r w:rsidR="750671CE" w:rsidRPr="750671CE">
        <w:rPr>
          <w:rFonts w:ascii="Times New Roman" w:eastAsia="Times New Roman" w:hAnsi="Times New Roman" w:cs="Times New Roman"/>
        </w:rPr>
        <w:t>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rPr>
          <w:rFonts w:ascii="Times New Roman" w:eastAsia="Times New Roman" w:hAnsi="Times New Roman" w:cs="Times New Roman"/>
        </w:rPr>
        <w:t>’</w:t>
      </w:r>
      <w:r w:rsidR="750671CE" w:rsidRPr="750671CE">
        <w:rPr>
          <w:rFonts w:ascii="Times New Roman" w:eastAsia="Times New Roman" w:hAnsi="Times New Roman" w:cs="Times New Roman"/>
        </w:rPr>
        <w:t>s injury. It does not appear that there was any visible mark made or left by this touch or kick of the defendant</w:t>
      </w:r>
      <w:r>
        <w:rPr>
          <w:rFonts w:ascii="Times New Roman" w:eastAsia="Times New Roman" w:hAnsi="Times New Roman" w:cs="Times New Roman"/>
        </w:rPr>
        <w:t>’</w:t>
      </w:r>
      <w:r w:rsidR="750671CE" w:rsidRPr="750671CE">
        <w:rPr>
          <w:rFonts w:ascii="Times New Roman" w:eastAsia="Times New Roman" w:hAnsi="Times New Roman" w:cs="Times New Roman"/>
        </w:rPr>
        <w:t xml:space="preserve">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w:t>
      </w:r>
      <w:r>
        <w:rPr>
          <w:rFonts w:ascii="Times New Roman" w:eastAsia="Times New Roman" w:hAnsi="Times New Roman" w:cs="Times New Roman"/>
        </w:rPr>
        <w:t>‘</w:t>
      </w:r>
      <w:r w:rsidR="750671CE" w:rsidRPr="750671CE">
        <w:rPr>
          <w:rFonts w:ascii="Times New Roman" w:eastAsia="Times New Roman" w:hAnsi="Times New Roman" w:cs="Times New Roman"/>
        </w:rPr>
        <w:t>It is a peculiar case, an unfortunate case, a case, I think I am at liberty to say that ought not to have come into court. The parents of these children ought, in some way, if possible, to have adjusted it between themselves.</w:t>
      </w:r>
      <w:r>
        <w:rPr>
          <w:rFonts w:ascii="Times New Roman" w:eastAsia="Times New Roman" w:hAnsi="Times New Roman" w:cs="Times New Roman"/>
        </w:rPr>
        <w:t>’</w:t>
      </w:r>
      <w:r w:rsidR="750671CE" w:rsidRPr="750671CE">
        <w:rPr>
          <w:rFonts w:ascii="Times New Roman" w:eastAsia="Times New Roman" w:hAnsi="Times New Roman" w:cs="Times New Roman"/>
        </w:rPr>
        <w:t xml:space="preserve"> We have much of the same feeling about the case.</w:t>
      </w:r>
      <w:r>
        <w:rPr>
          <w:rFonts w:ascii="Times New Roman" w:eastAsia="Times New Roman" w:hAnsi="Times New Roman" w:cs="Times New Roman"/>
        </w:rPr>
        <w:t>”</w:t>
      </w:r>
      <w:r w:rsidR="750671CE" w:rsidRPr="750671CE">
        <w:rPr>
          <w:rFonts w:ascii="Times New Roman" w:eastAsia="Times New Roman" w:hAnsi="Times New Roman" w:cs="Times New Roman"/>
        </w:rPr>
        <w:t>]</w:t>
      </w:r>
    </w:p>
    <w:p w14:paraId="194BE27F" w14:textId="77777777" w:rsidR="00B52877" w:rsidRPr="004B1DFF" w:rsidRDefault="00B52877" w:rsidP="00415772">
      <w:pPr>
        <w:widowControl w:val="0"/>
        <w:autoSpaceDE w:val="0"/>
        <w:autoSpaceDN w:val="0"/>
        <w:adjustRightInd w:val="0"/>
        <w:rPr>
          <w:rFonts w:ascii="Times New Roman" w:hAnsi="Times New Roman" w:cs="Times New Roman"/>
        </w:rPr>
      </w:pPr>
    </w:p>
    <w:p w14:paraId="0F3CEF04" w14:textId="7322E8BC" w:rsidR="00B52877" w:rsidRPr="004B1DFF" w:rsidRDefault="00A802F6"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xml:space="preserve"> </w:t>
      </w:r>
      <w:r w:rsidRPr="00E159B1">
        <w:rPr>
          <w:rFonts w:ascii="Times New Roman" w:hAnsi="Times New Roman" w:cs="Times New Roman"/>
        </w:rPr>
        <w:tab/>
      </w:r>
      <w:r w:rsidRPr="750671CE">
        <w:rPr>
          <w:rFonts w:ascii="Times New Roman" w:eastAsia="Times New Roman" w:hAnsi="Times New Roman" w:cs="Times New Roman"/>
        </w:rPr>
        <w:t xml:space="preserve">The case has been again tried in the circuit court, and the trial resulted in a verdict </w:t>
      </w:r>
      <w:r w:rsidR="00676472">
        <w:rPr>
          <w:rFonts w:ascii="Times New Roman" w:eastAsia="Times New Roman" w:hAnsi="Times New Roman" w:cs="Times New Roman"/>
        </w:rPr>
        <w:t>for plaintiff for $2,500. . . .</w:t>
      </w:r>
      <w:r w:rsidRPr="750671CE">
        <w:rPr>
          <w:rFonts w:ascii="Times New Roman" w:eastAsia="Times New Roman" w:hAnsi="Times New Roman" w:cs="Times New Roman"/>
        </w:rPr>
        <w:t xml:space="preserve"> On the last trial the jury found a special verdict, as follows: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750671CE">
        <w:rPr>
          <w:rFonts w:ascii="Times New Roman" w:eastAsia="Times New Roman" w:hAnsi="Times New Roman" w:cs="Times New Roman"/>
          <w:i/>
          <w:iCs/>
        </w:rPr>
        <w:t>tibia</w:t>
      </w:r>
      <w:r w:rsidRPr="750671CE">
        <w:rPr>
          <w:rFonts w:ascii="Times New Roman" w:eastAsia="Times New Roman" w:hAnsi="Times New Roman" w:cs="Times New Roman"/>
        </w:rPr>
        <w:t xml:space="preserve"> in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right leg become inflamed or diseased to some extent </w:t>
      </w:r>
      <w:r w:rsidRPr="750671CE">
        <w:rPr>
          <w:rFonts w:ascii="Times New Roman" w:eastAsia="Times New Roman" w:hAnsi="Times New Roman" w:cs="Times New Roman"/>
        </w:rPr>
        <w:lastRenderedPageBreak/>
        <w:t>before he received the blow or kick from the defendant? A. No. (5) What was the exciting cause of the injury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leg? A. Kick. (6) Did the defendant, in touching the plaintiff with his foot, intend to do him any harm? A. No. (7) At what sum do you assess the damages of the plaintiff? A. Twenty-five hundred dollars.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FAA2DDE" w14:textId="77777777" w:rsidR="00B52877" w:rsidRPr="004B1DFF" w:rsidRDefault="00B52877" w:rsidP="00415772">
      <w:pPr>
        <w:widowControl w:val="0"/>
        <w:autoSpaceDE w:val="0"/>
        <w:autoSpaceDN w:val="0"/>
        <w:adjustRightInd w:val="0"/>
        <w:rPr>
          <w:rFonts w:ascii="Times New Roman" w:hAnsi="Times New Roman" w:cs="Times New Roman"/>
        </w:rPr>
      </w:pPr>
    </w:p>
    <w:p w14:paraId="2EAE6714" w14:textId="77777777" w:rsidR="00B52877" w:rsidRPr="004B1DFF" w:rsidRDefault="750671CE" w:rsidP="750671CE">
      <w:pPr>
        <w:widowControl w:val="0"/>
        <w:autoSpaceDE w:val="0"/>
        <w:autoSpaceDN w:val="0"/>
        <w:adjustRightInd w:val="0"/>
        <w:rPr>
          <w:rFonts w:ascii="Times New Roman" w:eastAsia="Times New Roman" w:hAnsi="Times New Roman" w:cs="Times New Roman"/>
          <w:smallCaps/>
        </w:rPr>
      </w:pPr>
      <w:r w:rsidRPr="750671CE">
        <w:rPr>
          <w:rFonts w:ascii="Times New Roman" w:eastAsia="Times New Roman" w:hAnsi="Times New Roman" w:cs="Times New Roman"/>
          <w:smallCaps/>
        </w:rPr>
        <w:t>Lyon, J.</w:t>
      </w:r>
    </w:p>
    <w:p w14:paraId="73B54467" w14:textId="77777777" w:rsidR="00B52877" w:rsidRPr="004B1DFF" w:rsidRDefault="00B52877" w:rsidP="00415772">
      <w:pPr>
        <w:widowControl w:val="0"/>
        <w:autoSpaceDE w:val="0"/>
        <w:autoSpaceDN w:val="0"/>
        <w:adjustRightInd w:val="0"/>
        <w:rPr>
          <w:rFonts w:ascii="Times New Roman" w:hAnsi="Times New Roman" w:cs="Times New Roman"/>
        </w:rPr>
      </w:pPr>
    </w:p>
    <w:p w14:paraId="0C0E10F7" w14:textId="5B898C3C" w:rsidR="00B52877" w:rsidRPr="004B1DFF"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xml:space="preserve"> . . .</w:t>
      </w:r>
    </w:p>
    <w:p w14:paraId="12AD9CCA" w14:textId="77777777" w:rsidR="00B52877" w:rsidRPr="004B1DFF" w:rsidRDefault="00B52877" w:rsidP="00415772">
      <w:pPr>
        <w:widowControl w:val="0"/>
        <w:autoSpaceDE w:val="0"/>
        <w:autoSpaceDN w:val="0"/>
        <w:adjustRightInd w:val="0"/>
        <w:rPr>
          <w:rFonts w:ascii="Times New Roman" w:hAnsi="Times New Roman" w:cs="Times New Roman"/>
        </w:rPr>
      </w:pPr>
    </w:p>
    <w:p w14:paraId="2964A8AE" w14:textId="01602C8A" w:rsidR="00B52877" w:rsidRPr="004B1DFF" w:rsidRDefault="00A802F6"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xml:space="preserve"> </w:t>
      </w:r>
      <w:r w:rsidRPr="00E159B1">
        <w:rPr>
          <w:rFonts w:ascii="Times New Roman" w:hAnsi="Times New Roman" w:cs="Times New Roman"/>
        </w:rPr>
        <w:tab/>
      </w:r>
      <w:r w:rsidRPr="750671CE">
        <w:rPr>
          <w:rFonts w:ascii="Times New Roman" w:eastAsia="Times New Roman" w:hAnsi="Times New Roman" w:cs="Times New Roman"/>
        </w:rPr>
        <w:t>The jury having found that the defendant, in touching the plaintiff with his foot, did not intend to do him any harm, counsel for defendant maintain that the plaintiff has no cause of action, and that defendant</w:t>
      </w:r>
      <w:r w:rsidR="00B05F31">
        <w:rPr>
          <w:rFonts w:ascii="Times New Roman" w:eastAsia="Times New Roman" w:hAnsi="Times New Roman" w:cs="Times New Roman"/>
        </w:rPr>
        <w:t>’</w:t>
      </w:r>
      <w:r w:rsidRPr="750671CE">
        <w:rPr>
          <w:rFonts w:ascii="Times New Roman" w:eastAsia="Times New Roman" w:hAnsi="Times New Roman" w:cs="Times New Roman"/>
        </w:rPr>
        <w:t>s motion for judgment on the special verdict should have been granted. In support of this proposition coun</w:t>
      </w:r>
      <w:r w:rsidR="00676472">
        <w:rPr>
          <w:rFonts w:ascii="Times New Roman" w:eastAsia="Times New Roman" w:hAnsi="Times New Roman" w:cs="Times New Roman"/>
        </w:rPr>
        <w:t xml:space="preserve">sel quote from 2 Greenl. Ev. § </w:t>
      </w:r>
      <w:r w:rsidRPr="750671CE">
        <w:rPr>
          <w:rFonts w:ascii="Times New Roman" w:eastAsia="Times New Roman" w:hAnsi="Times New Roman" w:cs="Times New Roman"/>
        </w:rPr>
        <w:t xml:space="preserve">83, the rule that </w:t>
      </w:r>
      <w:r w:rsidR="00B05F31">
        <w:rPr>
          <w:rFonts w:ascii="Times New Roman" w:eastAsia="Times New Roman" w:hAnsi="Times New Roman" w:cs="Times New Roman"/>
        </w:rPr>
        <w:t>“</w:t>
      </w:r>
      <w:r w:rsidRPr="750671CE">
        <w:rPr>
          <w:rFonts w:ascii="Times New Roman" w:eastAsia="Times New Roman" w:hAnsi="Times New Roman" w:cs="Times New Roman"/>
        </w:rPr>
        <w:t>the intention to do harm is of the essence of an assault.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5A7F700" w14:textId="77777777" w:rsidR="00B52877" w:rsidRPr="004B1DFF" w:rsidRDefault="00B52877" w:rsidP="00415772">
      <w:pPr>
        <w:widowControl w:val="0"/>
        <w:autoSpaceDE w:val="0"/>
        <w:autoSpaceDN w:val="0"/>
        <w:adjustRightInd w:val="0"/>
        <w:rPr>
          <w:rFonts w:ascii="Times New Roman" w:hAnsi="Times New Roman" w:cs="Times New Roman"/>
        </w:rPr>
      </w:pPr>
    </w:p>
    <w:p w14:paraId="67BB8208" w14:textId="77777777" w:rsidR="00B52877"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1F784E3E" w14:textId="77777777" w:rsidR="00B52877" w:rsidRPr="004B1DFF" w:rsidRDefault="00B52877" w:rsidP="00415772">
      <w:pPr>
        <w:widowControl w:val="0"/>
        <w:autoSpaceDE w:val="0"/>
        <w:autoSpaceDN w:val="0"/>
        <w:adjustRightInd w:val="0"/>
        <w:rPr>
          <w:rFonts w:ascii="Times New Roman" w:hAnsi="Times New Roman" w:cs="Times New Roman"/>
        </w:rPr>
      </w:pPr>
    </w:p>
    <w:p w14:paraId="655E5220" w14:textId="10BDB5DA" w:rsidR="00B52877" w:rsidRPr="004B1DFF"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xml:space="preserve"> . . .</w:t>
      </w:r>
    </w:p>
    <w:p w14:paraId="6E8178E7" w14:textId="77777777" w:rsidR="00B52877" w:rsidRPr="004B1DFF" w:rsidRDefault="00B52877" w:rsidP="00415772">
      <w:pPr>
        <w:widowControl w:val="0"/>
        <w:autoSpaceDE w:val="0"/>
        <w:autoSpaceDN w:val="0"/>
        <w:adjustRightInd w:val="0"/>
        <w:rPr>
          <w:rFonts w:ascii="Times New Roman" w:hAnsi="Times New Roman" w:cs="Times New Roman"/>
        </w:rPr>
      </w:pPr>
    </w:p>
    <w:p w14:paraId="7808299B" w14:textId="4D80E3F7" w:rsidR="00B52877"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00B05F31">
        <w:rPr>
          <w:rFonts w:ascii="Times New Roman" w:eastAsia="Times New Roman" w:hAnsi="Times New Roman" w:cs="Times New Roman"/>
        </w:rPr>
        <w:t>“</w:t>
      </w:r>
      <w:r w:rsidRPr="750671CE">
        <w:rPr>
          <w:rFonts w:ascii="Times New Roman" w:eastAsia="Times New Roman" w:hAnsi="Times New Roman" w:cs="Times New Roman"/>
          <w:i/>
          <w:iCs/>
        </w:rPr>
        <w:t>ex contractu</w:t>
      </w:r>
      <w:r w:rsidR="00B05F31">
        <w:rPr>
          <w:rFonts w:ascii="Times New Roman" w:eastAsia="Times New Roman" w:hAnsi="Times New Roman" w:cs="Times New Roman"/>
          <w:i/>
          <w:iCs/>
        </w:rPr>
        <w:t>”</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rPr>
        <w:lastRenderedPageBreak/>
        <w:t xml:space="preserve">not </w:t>
      </w:r>
      <w:r w:rsidR="00B05F31">
        <w:rPr>
          <w:rFonts w:ascii="Times New Roman" w:eastAsia="Times New Roman" w:hAnsi="Times New Roman" w:cs="Times New Roman"/>
        </w:rPr>
        <w:t>“</w:t>
      </w:r>
      <w:r w:rsidRPr="750671CE">
        <w:rPr>
          <w:rFonts w:ascii="Times New Roman" w:eastAsia="Times New Roman" w:hAnsi="Times New Roman" w:cs="Times New Roman"/>
          <w:i/>
          <w:iCs/>
        </w:rPr>
        <w:t>ex delicto</w:t>
      </w:r>
      <w:r w:rsidRPr="750671CE">
        <w:rPr>
          <w:rFonts w:ascii="Times New Roman" w:eastAsia="Times New Roman" w:hAnsi="Times New Roman" w:cs="Times New Roman"/>
        </w:rPr>
        <w:t>,</w:t>
      </w:r>
      <w:r w:rsidR="00B05F31">
        <w:rPr>
          <w:rFonts w:ascii="Times New Roman" w:eastAsia="Times New Roman" w:hAnsi="Times New Roman" w:cs="Times New Roman"/>
          <w:i/>
          <w:iCs/>
        </w:rPr>
        <w:t>”</w:t>
      </w:r>
      <w:r w:rsidRPr="750671CE">
        <w:rPr>
          <w:rFonts w:ascii="Times New Roman" w:eastAsia="Times New Roman" w:hAnsi="Times New Roman" w:cs="Times New Roman"/>
        </w:rPr>
        <w:t xml:space="preserve"> a different rule of damages would be applicable in which unforeseeable da</w:t>
      </w:r>
      <w:r w:rsidR="00676472">
        <w:rPr>
          <w:rFonts w:ascii="Times New Roman" w:eastAsia="Times New Roman" w:hAnsi="Times New Roman" w:cs="Times New Roman"/>
        </w:rPr>
        <w:t>mages would not be recoverable.]</w:t>
      </w:r>
    </w:p>
    <w:p w14:paraId="6C310A87" w14:textId="77777777" w:rsidR="00B52877" w:rsidRPr="004B1DFF" w:rsidRDefault="00B52877" w:rsidP="00415772">
      <w:pPr>
        <w:widowControl w:val="0"/>
        <w:autoSpaceDE w:val="0"/>
        <w:autoSpaceDN w:val="0"/>
        <w:adjustRightInd w:val="0"/>
        <w:rPr>
          <w:rFonts w:ascii="Times New Roman" w:hAnsi="Times New Roman" w:cs="Times New Roman"/>
        </w:rPr>
      </w:pPr>
    </w:p>
    <w:p w14:paraId="306DDA8D" w14:textId="467E3A74" w:rsidR="00B52877" w:rsidRPr="00676472" w:rsidRDefault="750671CE" w:rsidP="750671CE">
      <w:pPr>
        <w:widowControl w:val="0"/>
        <w:autoSpaceDE w:val="0"/>
        <w:autoSpaceDN w:val="0"/>
        <w:adjustRightInd w:val="0"/>
        <w:rPr>
          <w:rFonts w:ascii="Times New Roman" w:eastAsia="Times New Roman" w:hAnsi="Times New Roman" w:cs="Times New Roman"/>
          <w:iCs/>
        </w:rPr>
      </w:pPr>
      <w:r w:rsidRPr="00676472">
        <w:rPr>
          <w:rFonts w:ascii="Times New Roman" w:eastAsia="Times New Roman" w:hAnsi="Times New Roman" w:cs="Times New Roman"/>
          <w:iCs/>
        </w:rPr>
        <w:t>[Despite upholding the plaintiff</w:t>
      </w:r>
      <w:r w:rsidR="00B05F31">
        <w:rPr>
          <w:rFonts w:ascii="Times New Roman" w:eastAsia="Times New Roman" w:hAnsi="Times New Roman" w:cs="Times New Roman"/>
          <w:iCs/>
        </w:rPr>
        <w:t>’</w:t>
      </w:r>
      <w:r w:rsidRPr="00676472">
        <w:rPr>
          <w:rFonts w:ascii="Times New Roman" w:eastAsia="Times New Roman" w:hAnsi="Times New Roman" w:cs="Times New Roman"/>
          <w:iCs/>
        </w:rPr>
        <w:t>s verdict in these two critical respects, the court nonetheless ruled in a separate part of its opinion that the trial court had erroneously overruled the defendant</w:t>
      </w:r>
      <w:r w:rsidR="00B05F31">
        <w:rPr>
          <w:rFonts w:ascii="Times New Roman" w:eastAsia="Times New Roman" w:hAnsi="Times New Roman" w:cs="Times New Roman"/>
          <w:iCs/>
        </w:rPr>
        <w:t>’</w:t>
      </w:r>
      <w:r w:rsidRPr="00676472">
        <w:rPr>
          <w:rFonts w:ascii="Times New Roman" w:eastAsia="Times New Roman" w:hAnsi="Times New Roman" w:cs="Times New Roman"/>
          <w:iCs/>
        </w:rPr>
        <w:t>s objection to one of plaintiff</w:t>
      </w:r>
      <w:r w:rsidR="00B05F31">
        <w:rPr>
          <w:rFonts w:ascii="Times New Roman" w:eastAsia="Times New Roman" w:hAnsi="Times New Roman" w:cs="Times New Roman"/>
          <w:iCs/>
        </w:rPr>
        <w:t>’</w:t>
      </w:r>
      <w:r w:rsidRPr="00676472">
        <w:rPr>
          <w:rFonts w:ascii="Times New Roman" w:eastAsia="Times New Roman" w:hAnsi="Times New Roman" w:cs="Times New Roman"/>
          <w:iCs/>
        </w:rPr>
        <w:t>s counsel</w:t>
      </w:r>
      <w:r w:rsidR="00B05F31">
        <w:rPr>
          <w:rFonts w:ascii="Times New Roman" w:eastAsia="Times New Roman" w:hAnsi="Times New Roman" w:cs="Times New Roman"/>
          <w:iCs/>
        </w:rPr>
        <w:t>’</w:t>
      </w:r>
      <w:r w:rsidRPr="00676472">
        <w:rPr>
          <w:rFonts w:ascii="Times New Roman" w:eastAsia="Times New Roman" w:hAnsi="Times New Roman" w:cs="Times New Roman"/>
          <w:iCs/>
        </w:rPr>
        <w:t>s questions.  Accordingly, the court sent the case back to the trial court for another new trial.]</w:t>
      </w:r>
    </w:p>
    <w:p w14:paraId="0166104B" w14:textId="77777777" w:rsidR="00DC6A21" w:rsidRDefault="00DC6A21" w:rsidP="00807664">
      <w:pPr>
        <w:widowControl w:val="0"/>
        <w:autoSpaceDE w:val="0"/>
        <w:autoSpaceDN w:val="0"/>
        <w:adjustRightInd w:val="0"/>
        <w:rPr>
          <w:rFonts w:ascii="Times New Roman" w:hAnsi="Times New Roman" w:cs="Times New Roman"/>
        </w:rPr>
      </w:pPr>
    </w:p>
    <w:p w14:paraId="25E9B04A" w14:textId="77777777" w:rsidR="00644103" w:rsidRPr="004B1DFF" w:rsidRDefault="00644103" w:rsidP="00807664">
      <w:pPr>
        <w:widowControl w:val="0"/>
        <w:autoSpaceDE w:val="0"/>
        <w:autoSpaceDN w:val="0"/>
        <w:adjustRightInd w:val="0"/>
        <w:rPr>
          <w:rFonts w:ascii="Times New Roman" w:hAnsi="Times New Roman" w:cs="Times New Roman"/>
        </w:rPr>
      </w:pPr>
    </w:p>
    <w:p w14:paraId="438BC225" w14:textId="77777777" w:rsidR="00024C0F" w:rsidRPr="004B1DFF" w:rsidRDefault="00A802F6" w:rsidP="00322687">
      <w:pPr>
        <w:pStyle w:val="Heading3"/>
      </w:pPr>
      <w:bookmarkStart w:id="29" w:name="_Toc364636036"/>
      <w:bookmarkStart w:id="30" w:name="_Toc518323194"/>
      <w:r w:rsidRPr="00E159B1">
        <w:t>2. Anatomy of a Torts Case</w:t>
      </w:r>
      <w:bookmarkEnd w:id="29"/>
      <w:bookmarkEnd w:id="30"/>
    </w:p>
    <w:p w14:paraId="63A3E86C" w14:textId="77777777" w:rsidR="00306C55" w:rsidRPr="004B1DFF" w:rsidRDefault="00306C55" w:rsidP="00807664">
      <w:pPr>
        <w:widowControl w:val="0"/>
        <w:autoSpaceDE w:val="0"/>
        <w:autoSpaceDN w:val="0"/>
        <w:adjustRightInd w:val="0"/>
        <w:rPr>
          <w:rFonts w:ascii="Times New Roman" w:hAnsi="Times New Roman" w:cs="Times New Roman"/>
          <w:b/>
        </w:rPr>
      </w:pPr>
    </w:p>
    <w:p w14:paraId="22185A84" w14:textId="20FF6673" w:rsidR="007573DD"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i/>
          <w:iCs/>
        </w:rPr>
        <w:t>Vosburg v. Putney</w:t>
      </w:r>
      <w:r w:rsidRPr="750671CE">
        <w:rPr>
          <w:rFonts w:ascii="Times New Roman" w:eastAsia="Times New Roman" w:hAnsi="Times New Roman" w:cs="Times New Roman"/>
        </w:rPr>
        <w:t xml:space="preserve"> was a simple case.  By now</w:t>
      </w:r>
      <w:r w:rsidR="00FF3F96">
        <w:rPr>
          <w:rFonts w:ascii="Times New Roman" w:eastAsia="Times New Roman" w:hAnsi="Times New Roman" w:cs="Times New Roman"/>
        </w:rPr>
        <w:t>,</w:t>
      </w:r>
      <w:r w:rsidRPr="750671CE">
        <w:rPr>
          <w:rFonts w:ascii="Times New Roman" w:eastAsia="Times New Roman" w:hAnsi="Times New Roman" w:cs="Times New Roman"/>
        </w:rPr>
        <w:t xml:space="preserve"> it is an old case.  But getting to the bottom of it reveals much about the complexities of American tort law right up to the present day.  </w:t>
      </w:r>
    </w:p>
    <w:p w14:paraId="1B554748" w14:textId="77777777" w:rsidR="007573DD" w:rsidRPr="004B1DFF" w:rsidRDefault="007573DD" w:rsidP="00807664">
      <w:pPr>
        <w:widowControl w:val="0"/>
        <w:autoSpaceDE w:val="0"/>
        <w:autoSpaceDN w:val="0"/>
        <w:adjustRightInd w:val="0"/>
        <w:ind w:firstLine="720"/>
        <w:rPr>
          <w:rFonts w:ascii="Times New Roman" w:hAnsi="Times New Roman" w:cs="Times New Roman"/>
        </w:rPr>
      </w:pPr>
    </w:p>
    <w:p w14:paraId="319C5A04" w14:textId="3F3CC61E" w:rsidR="007573DD"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At an elementary level, the case presents two kinds of questions that will run through the rest of this book and that are omnipresent in legal analysis: </w:t>
      </w:r>
      <w:r w:rsidRPr="750671CE">
        <w:rPr>
          <w:rFonts w:ascii="Times New Roman" w:eastAsia="Times New Roman" w:hAnsi="Times New Roman" w:cs="Times New Roman"/>
          <w:i/>
          <w:iCs/>
        </w:rPr>
        <w:t>questions of fact</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questions of law</w:t>
      </w:r>
      <w:r w:rsidRPr="750671CE">
        <w:rPr>
          <w:rFonts w:ascii="Times New Roman" w:eastAsia="Times New Roman" w:hAnsi="Times New Roman" w:cs="Times New Roman"/>
        </w:rPr>
        <w:t>.  There are, for example, questions of fact about causation.  What caused the injuries to the leg?  Would those injuries have come about anyway if Putney had not made contact with Vosburg on the 20th of February?  There are also questions of fact about Putney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intent: what did he mean to accomplish when he reached out and kicked his classmate?  </w:t>
      </w:r>
    </w:p>
    <w:p w14:paraId="56362285" w14:textId="77777777" w:rsidR="007573DD" w:rsidRPr="004B1DFF" w:rsidRDefault="007573DD" w:rsidP="00807664">
      <w:pPr>
        <w:widowControl w:val="0"/>
        <w:autoSpaceDE w:val="0"/>
        <w:autoSpaceDN w:val="0"/>
        <w:adjustRightInd w:val="0"/>
        <w:ind w:firstLine="720"/>
        <w:rPr>
          <w:rFonts w:ascii="Times New Roman" w:hAnsi="Times New Roman" w:cs="Times New Roman"/>
        </w:rPr>
      </w:pPr>
    </w:p>
    <w:p w14:paraId="75D724B3" w14:textId="36728910" w:rsidR="00D57627"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w:t>
      </w:r>
      <w:r w:rsidR="00B05F31">
        <w:rPr>
          <w:rFonts w:ascii="Times New Roman" w:eastAsia="Times New Roman" w:hAnsi="Times New Roman" w:cs="Times New Roman"/>
        </w:rPr>
        <w:t>’</w:t>
      </w:r>
      <w:r w:rsidRPr="750671CE">
        <w:rPr>
          <w:rFonts w:ascii="Times New Roman" w:eastAsia="Times New Roman" w:hAnsi="Times New Roman" w:cs="Times New Roman"/>
        </w:rPr>
        <w:t>s causal relationship to Vosburg</w:t>
      </w:r>
      <w:r w:rsidR="00B05F31">
        <w:rPr>
          <w:rFonts w:ascii="Times New Roman" w:eastAsia="Times New Roman" w:hAnsi="Times New Roman" w:cs="Times New Roman"/>
        </w:rPr>
        <w:t>’</w:t>
      </w:r>
      <w:r w:rsidRPr="750671CE">
        <w:rPr>
          <w:rFonts w:ascii="Times New Roman" w:eastAsia="Times New Roman" w:hAnsi="Times New Roman" w:cs="Times New Roman"/>
        </w:rPr>
        <w:t>s leg injury would ask whether it is sufficient for Vosburg to show that Putney</w:t>
      </w:r>
      <w:r w:rsidR="00B05F31">
        <w:rPr>
          <w:rFonts w:ascii="Times New Roman" w:eastAsia="Times New Roman" w:hAnsi="Times New Roman" w:cs="Times New Roman"/>
        </w:rPr>
        <w:t>’</w:t>
      </w:r>
      <w:r w:rsidRPr="750671CE">
        <w:rPr>
          <w:rFonts w:ascii="Times New Roman" w:eastAsia="Times New Roman" w:hAnsi="Times New Roman" w:cs="Times New Roman"/>
        </w:rPr>
        <w:t>s kick increased the likelihood of leg damage that was already in motion, or that Putney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kick accelerated that damage.   </w:t>
      </w:r>
    </w:p>
    <w:p w14:paraId="59A7E5CE" w14:textId="77777777" w:rsidR="00D57627" w:rsidRPr="004B1DFF" w:rsidRDefault="00D57627" w:rsidP="00807664">
      <w:pPr>
        <w:widowControl w:val="0"/>
        <w:autoSpaceDE w:val="0"/>
        <w:autoSpaceDN w:val="0"/>
        <w:adjustRightInd w:val="0"/>
        <w:ind w:firstLine="720"/>
        <w:rPr>
          <w:rFonts w:ascii="Times New Roman" w:hAnsi="Times New Roman" w:cs="Times New Roman"/>
        </w:rPr>
      </w:pPr>
    </w:p>
    <w:p w14:paraId="1927F691" w14:textId="3A3E9F47" w:rsidR="00B52877"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Once we bring in some of the context for the court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2D2ACD47" w14:textId="77777777" w:rsidR="00B52877" w:rsidRPr="004B1DFF" w:rsidRDefault="00B52877" w:rsidP="00807664">
      <w:pPr>
        <w:widowControl w:val="0"/>
        <w:autoSpaceDE w:val="0"/>
        <w:autoSpaceDN w:val="0"/>
        <w:adjustRightInd w:val="0"/>
        <w:rPr>
          <w:rFonts w:ascii="Times New Roman" w:hAnsi="Times New Roman" w:cs="Times New Roman"/>
        </w:rPr>
      </w:pPr>
    </w:p>
    <w:p w14:paraId="5E11E3E6" w14:textId="77777777" w:rsidR="00B52877" w:rsidRPr="004B1DFF" w:rsidRDefault="750671CE" w:rsidP="00676472">
      <w:pPr>
        <w:widowControl w:val="0"/>
        <w:autoSpaceDE w:val="0"/>
        <w:autoSpaceDN w:val="0"/>
        <w:adjustRightInd w:val="0"/>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rigors of his environment </w:t>
      </w:r>
      <w:r w:rsidRPr="750671CE">
        <w:rPr>
          <w:rFonts w:ascii="Times New Roman" w:eastAsia="Times New Roman" w:hAnsi="Times New Roman" w:cs="Times New Roman"/>
        </w:rPr>
        <w:lastRenderedPageBreak/>
        <w:t xml:space="preserve">demanded . . . .  </w:t>
      </w:r>
    </w:p>
    <w:p w14:paraId="6F60D6DA" w14:textId="77777777" w:rsidR="00B52877" w:rsidRPr="004B1DFF" w:rsidRDefault="00B52877" w:rsidP="00807664">
      <w:pPr>
        <w:widowControl w:val="0"/>
        <w:autoSpaceDE w:val="0"/>
        <w:autoSpaceDN w:val="0"/>
        <w:adjustRightInd w:val="0"/>
        <w:rPr>
          <w:rFonts w:ascii="Times New Roman" w:hAnsi="Times New Roman" w:cs="Times New Roman"/>
        </w:rPr>
      </w:pPr>
    </w:p>
    <w:p w14:paraId="711F6367" w14:textId="3380C400" w:rsidR="00533628" w:rsidRPr="004B1DFF"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xml:space="preserve">Zigurds L. Zile, </w:t>
      </w:r>
      <w:r w:rsidR="00676472" w:rsidRPr="00676472">
        <w:rPr>
          <w:rFonts w:ascii="Times New Roman" w:eastAsia="Times New Roman" w:hAnsi="Times New Roman" w:cs="Times New Roman"/>
          <w:iCs/>
        </w:rPr>
        <w:t>V</w:t>
      </w:r>
      <w:r w:rsidRPr="00676472">
        <w:rPr>
          <w:rFonts w:ascii="Times New Roman" w:eastAsia="Times New Roman" w:hAnsi="Times New Roman" w:cs="Times New Roman"/>
          <w:iCs/>
        </w:rPr>
        <w:t>osburg v. Putney</w:t>
      </w:r>
      <w:r w:rsidRPr="750671CE">
        <w:rPr>
          <w:rFonts w:ascii="Times New Roman" w:eastAsia="Times New Roman" w:hAnsi="Times New Roman" w:cs="Times New Roman"/>
          <w:i/>
          <w:iCs/>
        </w:rPr>
        <w:t>: A Centennial Story</w:t>
      </w:r>
      <w:r w:rsidRPr="750671CE">
        <w:rPr>
          <w:rFonts w:ascii="Times New Roman" w:eastAsia="Times New Roman" w:hAnsi="Times New Roman" w:cs="Times New Roman"/>
        </w:rPr>
        <w:t>,</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1992 </w:t>
      </w:r>
      <w:r w:rsidRPr="750671CE">
        <w:rPr>
          <w:rFonts w:ascii="Times New Roman" w:eastAsia="Times New Roman" w:hAnsi="Times New Roman" w:cs="Times New Roman"/>
          <w:smallCaps/>
        </w:rPr>
        <w:t>Wis. L. Rev.</w:t>
      </w:r>
      <w:r w:rsidRPr="750671CE">
        <w:rPr>
          <w:rFonts w:ascii="Times New Roman" w:eastAsia="Times New Roman" w:hAnsi="Times New Roman" w:cs="Times New Roman"/>
        </w:rPr>
        <w:t xml:space="preserve"> 877, 879.  George Putney, by contrast, was the only son of a prominent and prosperous local family.  Zile reports that George Putney was described by a contemporary as </w:t>
      </w:r>
      <w:r w:rsidR="00B05F31">
        <w:rPr>
          <w:rFonts w:ascii="Times New Roman" w:eastAsia="Times New Roman" w:hAnsi="Times New Roman" w:cs="Times New Roman"/>
        </w:rPr>
        <w:t>“</w:t>
      </w:r>
      <w:r w:rsidRPr="750671CE">
        <w:rPr>
          <w:rFonts w:ascii="Times New Roman" w:eastAsia="Times New Roman" w:hAnsi="Times New Roman" w:cs="Times New Roman"/>
        </w:rPr>
        <w:t>a sucker of a boy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with </w:t>
      </w:r>
      <w:r w:rsidR="00B05F31">
        <w:rPr>
          <w:rFonts w:ascii="Times New Roman" w:eastAsia="Times New Roman" w:hAnsi="Times New Roman" w:cs="Times New Roman"/>
        </w:rPr>
        <w:t>“</w:t>
      </w:r>
      <w:r w:rsidRPr="750671CE">
        <w:rPr>
          <w:rFonts w:ascii="Times New Roman" w:eastAsia="Times New Roman" w:hAnsi="Times New Roman" w:cs="Times New Roman"/>
        </w:rPr>
        <w:t>a bad temper.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 xml:space="preserve">at 882.  In fact, George had a minor altercation with Andrew a couple weeks prior to the incident at the center of the litigation when George inexplicably prevented Andrew from retrieving his textbook before an exam. </w:t>
      </w:r>
    </w:p>
    <w:p w14:paraId="5C354A25" w14:textId="77777777" w:rsidR="00F635C5" w:rsidRPr="004B1DFF" w:rsidRDefault="00F635C5" w:rsidP="00807664">
      <w:pPr>
        <w:widowControl w:val="0"/>
        <w:autoSpaceDE w:val="0"/>
        <w:autoSpaceDN w:val="0"/>
        <w:adjustRightInd w:val="0"/>
        <w:rPr>
          <w:rFonts w:ascii="Times New Roman" w:hAnsi="Times New Roman" w:cs="Times New Roman"/>
        </w:rPr>
      </w:pPr>
    </w:p>
    <w:p w14:paraId="036A64A8" w14:textId="07956F58" w:rsidR="00F635C5"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Vosburg family also initiated a criminal case against Putney.  Passions, it seems, ran high in 1889 in Waukesha.  Andrew</w:t>
      </w:r>
      <w:r w:rsidR="00B05F31">
        <w:rPr>
          <w:rFonts w:ascii="Times New Roman" w:eastAsia="Times New Roman" w:hAnsi="Times New Roman" w:cs="Times New Roman"/>
        </w:rPr>
        <w:t>’</w:t>
      </w:r>
      <w:r w:rsidRPr="750671CE">
        <w:rPr>
          <w:rFonts w:ascii="Times New Roman" w:eastAsia="Times New Roman" w:hAnsi="Times New Roman" w:cs="Times New Roman"/>
        </w:rPr>
        <w:t>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3A43422" w14:textId="77777777" w:rsidR="00F635C5" w:rsidRPr="004B1DFF" w:rsidRDefault="00F635C5" w:rsidP="00807664">
      <w:pPr>
        <w:widowControl w:val="0"/>
        <w:autoSpaceDE w:val="0"/>
        <w:autoSpaceDN w:val="0"/>
        <w:adjustRightInd w:val="0"/>
        <w:rPr>
          <w:rFonts w:ascii="Times New Roman" w:hAnsi="Times New Roman" w:cs="Times New Roman"/>
        </w:rPr>
      </w:pPr>
    </w:p>
    <w:p w14:paraId="6D70D18B" w14:textId="6C338928" w:rsidR="00F635C5"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civil and criminal cases arising out of the schoolboy</w:t>
      </w:r>
      <w:r w:rsidR="00B05F31">
        <w:rPr>
          <w:rFonts w:ascii="Times New Roman" w:eastAsia="Times New Roman" w:hAnsi="Times New Roman" w:cs="Times New Roman"/>
        </w:rPr>
        <w:t>’</w:t>
      </w:r>
      <w:r w:rsidRPr="750671CE">
        <w:rPr>
          <w:rFonts w:ascii="Times New Roman" w:eastAsia="Times New Roman" w:hAnsi="Times New Roman" w:cs="Times New Roman"/>
        </w:rPr>
        <w:t>s kick soon involved substantial time and expenses.  During the first jury trial in the civil suit, witnesses included Andrew, George, the boys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teacher, and Andrew</w:t>
      </w:r>
      <w:r w:rsidR="00B05F31">
        <w:rPr>
          <w:rFonts w:ascii="Times New Roman" w:eastAsia="Times New Roman" w:hAnsi="Times New Roman" w:cs="Times New Roman"/>
        </w:rPr>
        <w:t>’</w:t>
      </w:r>
      <w:r w:rsidRPr="750671CE">
        <w:rPr>
          <w:rFonts w:ascii="Times New Roman" w:eastAsia="Times New Roman" w:hAnsi="Times New Roman" w:cs="Times New Roman"/>
        </w:rPr>
        <w:t>s doctors.  When the case was retried in the December term of 1890, the plaintiff subpoenaed eight witnesses and the defendant subpoenaed eleven.  The third trial for Andrew</w:t>
      </w:r>
      <w:r w:rsidR="00B05F31">
        <w:rPr>
          <w:rFonts w:ascii="Times New Roman" w:eastAsia="Times New Roman" w:hAnsi="Times New Roman" w:cs="Times New Roman"/>
        </w:rPr>
        <w:t>’</w:t>
      </w:r>
      <w:r w:rsidRPr="750671CE">
        <w:rPr>
          <w:rFonts w:ascii="Times New Roman" w:eastAsia="Times New Roman" w:hAnsi="Times New Roman" w:cs="Times New Roman"/>
        </w:rPr>
        <w:t>s case seemed imminent until September 1893, when the circuit court dismissed the case for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failure to pay overdue court costs.  In still another proceeding, Andrew</w:t>
      </w:r>
      <w:r w:rsidR="00B05F31">
        <w:rPr>
          <w:rFonts w:ascii="Times New Roman" w:eastAsia="Times New Roman" w:hAnsi="Times New Roman" w:cs="Times New Roman"/>
        </w:rPr>
        <w:t>’</w:t>
      </w:r>
      <w:r w:rsidRPr="750671CE">
        <w:rPr>
          <w:rFonts w:ascii="Times New Roman" w:eastAsia="Times New Roman" w:hAnsi="Times New Roman" w:cs="Times New Roman"/>
        </w:rPr>
        <w:t>s father brought a claim against George Putney for the loss of his son</w:t>
      </w:r>
      <w:r w:rsidR="00B05F31">
        <w:rPr>
          <w:rFonts w:ascii="Times New Roman" w:eastAsia="Times New Roman" w:hAnsi="Times New Roman" w:cs="Times New Roman"/>
        </w:rPr>
        <w:t>’</w:t>
      </w:r>
      <w:r w:rsidRPr="750671CE">
        <w:rPr>
          <w:rFonts w:ascii="Times New Roman" w:eastAsia="Times New Roman" w:hAnsi="Times New Roman" w:cs="Times New Roman"/>
        </w:rPr>
        <w:t>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1C23AF7E" w14:textId="77777777" w:rsidR="00F635C5" w:rsidRPr="004B1DFF" w:rsidRDefault="00F635C5" w:rsidP="00807664">
      <w:pPr>
        <w:rPr>
          <w:rFonts w:ascii="Times New Roman" w:hAnsi="Times New Roman" w:cs="Times New Roman"/>
        </w:rPr>
      </w:pPr>
    </w:p>
    <w:p w14:paraId="20104121" w14:textId="436FF7A8" w:rsidR="00F635C5"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All told, the dispute between these families lasted for four and a half years and never produced even a dollar in actual damages changing hands.  The litigation was expensive, too.  Zile estimated that the Vosburgs </w:t>
      </w:r>
      <w:r w:rsidR="00B05F31">
        <w:rPr>
          <w:rFonts w:ascii="Times New Roman" w:eastAsia="Times New Roman" w:hAnsi="Times New Roman" w:cs="Times New Roman"/>
        </w:rPr>
        <w:t>“</w:t>
      </w:r>
      <w:r w:rsidRPr="750671CE">
        <w:rPr>
          <w:rFonts w:ascii="Times New Roman" w:eastAsia="Times New Roman" w:hAnsi="Times New Roman" w:cs="Times New Roman"/>
        </w:rPr>
        <w:t>would have incurred costs in the amount of $263 in order to get nothing.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Their lawyers probably spent considerably more in time and money in hopes of recovering a portion, usually a third, of the winnings.  The Putneys probably paid at least $560 in lawyers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fees and incurred additional costs summing to a further $677.  Zile, </w:t>
      </w:r>
      <w:r w:rsidRPr="750671CE">
        <w:rPr>
          <w:rFonts w:ascii="Times New Roman" w:eastAsia="Times New Roman" w:hAnsi="Times New Roman" w:cs="Times New Roman"/>
          <w:i/>
          <w:iCs/>
        </w:rPr>
        <w:t>supra</w:t>
      </w:r>
      <w:r w:rsidRPr="750671CE">
        <w:rPr>
          <w:rFonts w:ascii="Times New Roman" w:eastAsia="Times New Roman" w:hAnsi="Times New Roman" w:cs="Times New Roman"/>
        </w:rPr>
        <w:t>,</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at 977.  </w:t>
      </w:r>
    </w:p>
    <w:p w14:paraId="2A9F45FD" w14:textId="77777777" w:rsidR="00F635C5" w:rsidRPr="004B1DFF" w:rsidRDefault="00F635C5" w:rsidP="00807664">
      <w:pPr>
        <w:widowControl w:val="0"/>
        <w:autoSpaceDE w:val="0"/>
        <w:autoSpaceDN w:val="0"/>
        <w:adjustRightInd w:val="0"/>
        <w:ind w:firstLine="720"/>
        <w:rPr>
          <w:rFonts w:ascii="Times New Roman" w:hAnsi="Times New Roman" w:cs="Times New Roman"/>
        </w:rPr>
      </w:pPr>
    </w:p>
    <w:p w14:paraId="3B4CBAD3" w14:textId="0636B4A0" w:rsidR="00C8560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outsized expenses of the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xml:space="preserve"> case are not unusual in American tort law, at least not in the narrow slice of cases that go forward to trial.  Observers estimate the administrative costs of the tort system—lawyers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fees, expert witness fees, court costs, etc.—amount to between fifty and seventy cents for every dollar transferred from defendants to plaintiffs.  The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xml:space="preserve"> case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costs were almost exactly in this range: the parties together incurred some $1500 in costs in a dispute over two claims that juries seemed to value at around $3700 (a $2500 claim for Andrew plus the $1200 claim for </w:t>
      </w:r>
      <w:r w:rsidRPr="750671CE">
        <w:rPr>
          <w:rFonts w:ascii="Times New Roman" w:eastAsia="Times New Roman" w:hAnsi="Times New Roman" w:cs="Times New Roman"/>
        </w:rPr>
        <w:lastRenderedPageBreak/>
        <w:t>Seth).  The Vosburgs</w:t>
      </w:r>
      <w:r w:rsidR="00FF3F96">
        <w:rPr>
          <w:rFonts w:ascii="Times New Roman" w:eastAsia="Times New Roman" w:hAnsi="Times New Roman" w:cs="Times New Roman"/>
        </w:rPr>
        <w:t>’</w:t>
      </w:r>
      <w:r w:rsidRPr="750671CE">
        <w:rPr>
          <w:rFonts w:ascii="Times New Roman" w:eastAsia="Times New Roman" w:hAnsi="Times New Roman" w:cs="Times New Roman"/>
        </w:rPr>
        <w:t xml:space="preserve"> lawyers would have eaten up another one-third of whatever money the Putneys paid, for a total of around $2700 in costs on $3700 worth of tort claims.  </w:t>
      </w:r>
      <w:r w:rsidR="00AA4F7B">
        <w:rPr>
          <w:rFonts w:ascii="Times New Roman" w:eastAsia="Times New Roman" w:hAnsi="Times New Roman" w:cs="Times New Roman"/>
        </w:rPr>
        <w:t xml:space="preserve">The Vosburgs would only have recovered $2500 after subtracting their lawyers’ fees.  </w:t>
      </w:r>
      <w:r w:rsidRPr="750671CE">
        <w:rPr>
          <w:rFonts w:ascii="Times New Roman" w:eastAsia="Times New Roman" w:hAnsi="Times New Roman" w:cs="Times New Roman"/>
        </w:rPr>
        <w:t xml:space="preserve">This is equivalent to a costs-to-value ratio of </w:t>
      </w:r>
      <w:r w:rsidR="00AA4F7B">
        <w:rPr>
          <w:rFonts w:ascii="Times New Roman" w:eastAsia="Times New Roman" w:hAnsi="Times New Roman" w:cs="Times New Roman"/>
        </w:rPr>
        <w:t>more than 1</w:t>
      </w:r>
      <w:r w:rsidR="00475AE3">
        <w:rPr>
          <w:rFonts w:ascii="Times New Roman" w:eastAsia="Times New Roman" w:hAnsi="Times New Roman" w:cs="Times New Roman"/>
        </w:rPr>
        <w:t xml:space="preserve">, a figure that is </w:t>
      </w:r>
      <w:r w:rsidRPr="750671CE">
        <w:rPr>
          <w:rFonts w:ascii="Times New Roman" w:eastAsia="Times New Roman" w:hAnsi="Times New Roman" w:cs="Times New Roman"/>
        </w:rPr>
        <w:t>vastly higher</w:t>
      </w:r>
      <w:r w:rsidR="00475AE3">
        <w:rPr>
          <w:rFonts w:ascii="Times New Roman" w:eastAsia="Times New Roman" w:hAnsi="Times New Roman" w:cs="Times New Roman"/>
        </w:rPr>
        <w:t xml:space="preserve"> than the</w:t>
      </w:r>
      <w:r w:rsidRPr="750671CE">
        <w:rPr>
          <w:rFonts w:ascii="Times New Roman" w:eastAsia="Times New Roman" w:hAnsi="Times New Roman" w:cs="Times New Roman"/>
        </w:rPr>
        <w:t xml:space="preserve"> administrative cost </w:t>
      </w:r>
      <w:r w:rsidR="00AA4F7B">
        <w:rPr>
          <w:rFonts w:ascii="Times New Roman" w:eastAsia="Times New Roman" w:hAnsi="Times New Roman" w:cs="Times New Roman"/>
        </w:rPr>
        <w:t>ratios</w:t>
      </w:r>
      <w:r w:rsidR="00AA4F7B" w:rsidRPr="750671CE">
        <w:rPr>
          <w:rFonts w:ascii="Times New Roman" w:eastAsia="Times New Roman" w:hAnsi="Times New Roman" w:cs="Times New Roman"/>
        </w:rPr>
        <w:t xml:space="preserve"> </w:t>
      </w:r>
      <w:r w:rsidRPr="750671CE">
        <w:rPr>
          <w:rFonts w:ascii="Times New Roman" w:eastAsia="Times New Roman" w:hAnsi="Times New Roman" w:cs="Times New Roman"/>
        </w:rPr>
        <w:t>tha</w:t>
      </w:r>
      <w:r w:rsidR="00AA4F7B">
        <w:rPr>
          <w:rFonts w:ascii="Times New Roman" w:eastAsia="Times New Roman" w:hAnsi="Times New Roman" w:cs="Times New Roman"/>
        </w:rPr>
        <w:t>t</w:t>
      </w:r>
      <w:r w:rsidRPr="750671CE">
        <w:rPr>
          <w:rFonts w:ascii="Times New Roman" w:eastAsia="Times New Roman" w:hAnsi="Times New Roman" w:cs="Times New Roman"/>
        </w:rPr>
        <w:t xml:space="preserve"> attach to, say, disability claims in the Social Security system, where costs are typically closer to ten percent 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Default="00523F18" w:rsidP="00807664">
      <w:pPr>
        <w:widowControl w:val="0"/>
        <w:autoSpaceDE w:val="0"/>
        <w:autoSpaceDN w:val="0"/>
        <w:adjustRightInd w:val="0"/>
        <w:rPr>
          <w:rFonts w:ascii="Times New Roman" w:hAnsi="Times New Roman" w:cs="Times New Roman"/>
          <w:b/>
        </w:rPr>
      </w:pPr>
    </w:p>
    <w:p w14:paraId="111CDC14" w14:textId="77777777" w:rsidR="00644103" w:rsidRPr="004B1DFF" w:rsidRDefault="00644103" w:rsidP="00807664">
      <w:pPr>
        <w:widowControl w:val="0"/>
        <w:autoSpaceDE w:val="0"/>
        <w:autoSpaceDN w:val="0"/>
        <w:adjustRightInd w:val="0"/>
        <w:rPr>
          <w:rFonts w:ascii="Times New Roman" w:hAnsi="Times New Roman" w:cs="Times New Roman"/>
          <w:b/>
        </w:rPr>
      </w:pPr>
    </w:p>
    <w:p w14:paraId="0E4E3975" w14:textId="7205934F" w:rsidR="00F635C5" w:rsidRPr="004B1DFF" w:rsidRDefault="00523F18" w:rsidP="00322687">
      <w:pPr>
        <w:pStyle w:val="Heading3"/>
      </w:pPr>
      <w:bookmarkStart w:id="31" w:name="_Toc364636037"/>
      <w:bookmarkStart w:id="32" w:name="_Toc518323195"/>
      <w:r w:rsidRPr="004B1DFF">
        <w:t>3</w:t>
      </w:r>
      <w:r w:rsidR="00DA4F31">
        <w:t xml:space="preserve">. </w:t>
      </w:r>
      <w:r w:rsidR="00C44185" w:rsidRPr="004B1DFF">
        <w:t xml:space="preserve">The </w:t>
      </w:r>
      <w:r w:rsidR="00C44185" w:rsidRPr="00B54DCC">
        <w:t>Pervasiveness</w:t>
      </w:r>
      <w:r w:rsidR="00C44185" w:rsidRPr="004B1DFF">
        <w:t xml:space="preserve"> of Settlement</w:t>
      </w:r>
      <w:bookmarkEnd w:id="31"/>
      <w:bookmarkEnd w:id="32"/>
    </w:p>
    <w:p w14:paraId="69FEFD31" w14:textId="77777777" w:rsidR="00F635C5" w:rsidRPr="004B1DFF" w:rsidRDefault="00F635C5" w:rsidP="00807664">
      <w:pPr>
        <w:widowControl w:val="0"/>
        <w:autoSpaceDE w:val="0"/>
        <w:autoSpaceDN w:val="0"/>
        <w:adjustRightInd w:val="0"/>
        <w:rPr>
          <w:rFonts w:ascii="Times New Roman" w:hAnsi="Times New Roman" w:cs="Times New Roman"/>
        </w:rPr>
      </w:pPr>
    </w:p>
    <w:p w14:paraId="764429C6" w14:textId="77777777" w:rsidR="004055AF" w:rsidRPr="004B1DFF"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Given how counter-productive the litigation was, one great mystery in </w:t>
      </w:r>
      <w:r w:rsidRPr="750671CE">
        <w:rPr>
          <w:rFonts w:ascii="Times New Roman" w:eastAsia="Times New Roman" w:hAnsi="Times New Roman" w:cs="Times New Roman"/>
          <w:i/>
          <w:iCs/>
        </w:rPr>
        <w:t xml:space="preserve">Vosburg </w:t>
      </w:r>
      <w:r w:rsidRPr="750671CE">
        <w:rPr>
          <w:rFonts w:ascii="Times New Roman" w:eastAsia="Times New Roman" w:hAnsi="Times New Roman" w:cs="Times New Roman"/>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30037D21" w14:textId="77777777" w:rsidR="004055AF" w:rsidRPr="004B1DFF" w:rsidRDefault="004055AF" w:rsidP="004055AF">
      <w:pPr>
        <w:widowControl w:val="0"/>
        <w:autoSpaceDE w:val="0"/>
        <w:autoSpaceDN w:val="0"/>
        <w:adjustRightInd w:val="0"/>
        <w:ind w:right="-720" w:firstLine="720"/>
        <w:rPr>
          <w:rFonts w:ascii="Times New Roman" w:hAnsi="Times New Roman" w:cs="Times New Roman"/>
        </w:rPr>
      </w:pPr>
    </w:p>
    <w:p w14:paraId="10E4198E" w14:textId="7900EEEC" w:rsidR="00B52877" w:rsidRPr="004B1DFF" w:rsidRDefault="750671CE" w:rsidP="750671CE">
      <w:pPr>
        <w:widowControl w:val="0"/>
        <w:autoSpaceDE w:val="0"/>
        <w:autoSpaceDN w:val="0"/>
        <w:adjustRightInd w:val="0"/>
        <w:ind w:left="720" w:right="720"/>
        <w:jc w:val="both"/>
        <w:rPr>
          <w:rFonts w:ascii="Times New Roman" w:eastAsia="Times New Roman" w:hAnsi="Times New Roman" w:cs="Times New Roman"/>
        </w:rPr>
      </w:pPr>
      <w:r w:rsidRPr="750671CE">
        <w:rPr>
          <w:rFonts w:ascii="Times New Roman" w:eastAsia="Times New Roman" w:hAnsi="Times New Roman" w:cs="Times New Roman"/>
        </w:rPr>
        <w:t>Seth and Janet Vosburg and one of their attorneys called on Henry Putney [George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father] at his store, and the incident </w:t>
      </w:r>
      <w:r w:rsidR="00B05F31">
        <w:rPr>
          <w:rFonts w:ascii="Times New Roman" w:eastAsia="Times New Roman" w:hAnsi="Times New Roman" w:cs="Times New Roman"/>
        </w:rPr>
        <w:t>“</w:t>
      </w:r>
      <w:r w:rsidRPr="750671CE">
        <w:rPr>
          <w:rFonts w:ascii="Times New Roman" w:eastAsia="Times New Roman" w:hAnsi="Times New Roman" w:cs="Times New Roman"/>
        </w:rPr>
        <w:t>was talked over amongst [them].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Putneys offered to pay Dr. Bacon</w:t>
      </w:r>
      <w:r w:rsidR="00B05F31">
        <w:rPr>
          <w:rFonts w:ascii="Times New Roman" w:eastAsia="Times New Roman" w:hAnsi="Times New Roman" w:cs="Times New Roman"/>
        </w:rPr>
        <w:t>’</w:t>
      </w:r>
      <w:r w:rsidRPr="750671CE">
        <w:rPr>
          <w:rFonts w:ascii="Times New Roman" w:eastAsia="Times New Roman" w:hAnsi="Times New Roman" w:cs="Times New Roman"/>
        </w:rPr>
        <w:t>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w:t>
      </w:r>
      <w:r w:rsidR="00B05F31">
        <w:rPr>
          <w:rFonts w:ascii="Times New Roman" w:eastAsia="Times New Roman" w:hAnsi="Times New Roman" w:cs="Times New Roman"/>
        </w:rPr>
        <w:t>’</w:t>
      </w:r>
      <w:r w:rsidRPr="750671CE">
        <w:rPr>
          <w:rFonts w:ascii="Times New Roman" w:eastAsia="Times New Roman" w:hAnsi="Times New Roman" w:cs="Times New Roman"/>
        </w:rPr>
        <w:t>s convalescence and potential complications, like the amputation of Andrew</w:t>
      </w:r>
      <w:r w:rsidR="00B05F31">
        <w:rPr>
          <w:rFonts w:ascii="Times New Roman" w:eastAsia="Times New Roman" w:hAnsi="Times New Roman" w:cs="Times New Roman"/>
        </w:rPr>
        <w:t>’</w:t>
      </w:r>
      <w:r w:rsidRPr="750671CE">
        <w:rPr>
          <w:rFonts w:ascii="Times New Roman" w:eastAsia="Times New Roman" w:hAnsi="Times New Roman" w:cs="Times New Roman"/>
        </w:rPr>
        <w:t>s diseased leg, and to pay the lawyers for negotiating the settlement. To the Putneys, by contrast, particularly if they looked at George</w:t>
      </w:r>
      <w:r w:rsidR="00B05F31">
        <w:rPr>
          <w:rFonts w:ascii="Times New Roman" w:eastAsia="Times New Roman" w:hAnsi="Times New Roman" w:cs="Times New Roman"/>
        </w:rPr>
        <w:t>’</w:t>
      </w:r>
      <w:r w:rsidRPr="750671CE">
        <w:rPr>
          <w:rFonts w:ascii="Times New Roman" w:eastAsia="Times New Roman" w:hAnsi="Times New Roman" w:cs="Times New Roman"/>
        </w:rPr>
        <w:t>s role as peripheral, the sum of $250 might have seemed a generous price for the nuisance value of a threatened lawsuit.</w:t>
      </w:r>
    </w:p>
    <w:p w14:paraId="19B529C4" w14:textId="77777777" w:rsidR="00B52877" w:rsidRPr="004B1DFF" w:rsidRDefault="00B52877" w:rsidP="00B52877">
      <w:pPr>
        <w:widowControl w:val="0"/>
        <w:autoSpaceDE w:val="0"/>
        <w:autoSpaceDN w:val="0"/>
        <w:adjustRightInd w:val="0"/>
        <w:ind w:right="-720"/>
        <w:rPr>
          <w:rFonts w:ascii="Times New Roman" w:hAnsi="Times New Roman" w:cs="Times New Roman"/>
        </w:rPr>
      </w:pPr>
    </w:p>
    <w:p w14:paraId="560FFB20" w14:textId="77777777" w:rsidR="00306C55" w:rsidRPr="004B1DFF" w:rsidRDefault="750671CE" w:rsidP="750671CE">
      <w:pPr>
        <w:widowControl w:val="0"/>
        <w:autoSpaceDE w:val="0"/>
        <w:autoSpaceDN w:val="0"/>
        <w:adjustRightInd w:val="0"/>
        <w:ind w:right="-720"/>
        <w:rPr>
          <w:rFonts w:ascii="Times New Roman" w:eastAsia="Times New Roman" w:hAnsi="Times New Roman" w:cs="Times New Roman"/>
        </w:rPr>
      </w:pPr>
      <w:r w:rsidRPr="750671CE">
        <w:rPr>
          <w:rFonts w:ascii="Times New Roman" w:eastAsia="Times New Roman" w:hAnsi="Times New Roman" w:cs="Times New Roman"/>
        </w:rPr>
        <w:t xml:space="preserve">Zile, </w:t>
      </w:r>
      <w:r w:rsidRPr="750671CE">
        <w:rPr>
          <w:rFonts w:ascii="Times New Roman" w:eastAsia="Times New Roman" w:hAnsi="Times New Roman" w:cs="Times New Roman"/>
          <w:i/>
          <w:iCs/>
        </w:rPr>
        <w:t>supra</w:t>
      </w:r>
      <w:r w:rsidRPr="750671CE">
        <w:rPr>
          <w:rFonts w:ascii="Times New Roman" w:eastAsia="Times New Roman" w:hAnsi="Times New Roman" w:cs="Times New Roman"/>
        </w:rPr>
        <w:t xml:space="preserve">, at 894.  </w:t>
      </w:r>
    </w:p>
    <w:p w14:paraId="3E21D9EF" w14:textId="77777777" w:rsidR="00306C55" w:rsidRPr="004B1DFF" w:rsidRDefault="00306C55" w:rsidP="00B52877">
      <w:pPr>
        <w:widowControl w:val="0"/>
        <w:autoSpaceDE w:val="0"/>
        <w:autoSpaceDN w:val="0"/>
        <w:adjustRightInd w:val="0"/>
        <w:ind w:right="-720"/>
        <w:rPr>
          <w:rFonts w:ascii="Times New Roman" w:hAnsi="Times New Roman" w:cs="Times New Roman"/>
        </w:rPr>
      </w:pPr>
    </w:p>
    <w:p w14:paraId="33B28176" w14:textId="5A290C7A" w:rsidR="006E6D0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4B1DFF" w:rsidRDefault="006E6D0D" w:rsidP="006E6D0D">
      <w:pPr>
        <w:rPr>
          <w:rFonts w:ascii="Times New Roman" w:hAnsi="Times New Roman" w:cs="Times New Roman"/>
          <w:b/>
        </w:rPr>
      </w:pPr>
    </w:p>
    <w:p w14:paraId="1DAB38BB" w14:textId="7E0B371E" w:rsidR="006B2DE5" w:rsidRPr="004B1DFF" w:rsidRDefault="00A802F6" w:rsidP="750671CE">
      <w:pPr>
        <w:rPr>
          <w:rFonts w:ascii="Times New Roman" w:eastAsia="Times New Roman" w:hAnsi="Times New Roman" w:cs="Times New Roman"/>
        </w:rPr>
      </w:pPr>
      <w:r w:rsidRPr="00C3694F">
        <w:rPr>
          <w:rFonts w:ascii="Times New Roman" w:hAnsi="Times New Roman" w:cs="Times New Roman"/>
        </w:rPr>
        <w:lastRenderedPageBreak/>
        <w:tab/>
      </w:r>
      <w:r w:rsidRPr="750671CE">
        <w:rPr>
          <w:rFonts w:ascii="Times New Roman" w:eastAsia="Times New Roman" w:hAnsi="Times New Roman" w:cs="Times New Roman"/>
        </w:rPr>
        <w:t>So why didn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4CAC0EC9" w14:textId="77777777" w:rsidR="006B2DE5" w:rsidRPr="004B1DFF" w:rsidRDefault="006B2DE5" w:rsidP="006E6D0D">
      <w:pPr>
        <w:rPr>
          <w:rFonts w:ascii="Times New Roman" w:hAnsi="Times New Roman" w:cs="Times New Roman"/>
        </w:rPr>
      </w:pPr>
    </w:p>
    <w:p w14:paraId="7FC01F57" w14:textId="106BFDB3" w:rsidR="00AC3FDA" w:rsidRPr="00C3694F" w:rsidRDefault="750671CE" w:rsidP="00591009">
      <w:pPr>
        <w:pStyle w:val="FootnoteText"/>
        <w:ind w:firstLine="720"/>
        <w:rPr>
          <w:rFonts w:ascii="Times New Roman" w:eastAsia="Times New Roman" w:hAnsi="Times New Roman" w:cs="Times New Roman"/>
        </w:rPr>
      </w:pPr>
      <w:r w:rsidRPr="750671CE">
        <w:rPr>
          <w:rFonts w:ascii="Times New Roman" w:eastAsia="Times New Roman" w:hAnsi="Times New Roman" w:cs="Times New Roman"/>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750671CE">
        <w:rPr>
          <w:rFonts w:ascii="Times New Roman" w:eastAsia="Times New Roman" w:hAnsi="Times New Roman" w:cs="Times New Roman"/>
          <w:i/>
          <w:iCs/>
        </w:rPr>
        <w:t>The Vanishing Trial</w:t>
      </w:r>
      <w:r w:rsidRPr="750671CE">
        <w:rPr>
          <w:rFonts w:ascii="Times New Roman" w:eastAsia="Times New Roman" w:hAnsi="Times New Roman" w:cs="Times New Roman"/>
        </w:rPr>
        <w:t xml:space="preserve">, which concluded that the </w:t>
      </w:r>
      <w:r w:rsidR="00B05F31">
        <w:rPr>
          <w:rFonts w:ascii="Times New Roman" w:eastAsia="Times New Roman" w:hAnsi="Times New Roman" w:cs="Times New Roman"/>
        </w:rPr>
        <w:t>“</w:t>
      </w:r>
      <w:r w:rsidRPr="750671CE">
        <w:rPr>
          <w:rFonts w:ascii="Times New Roman" w:eastAsia="Times New Roman" w:hAnsi="Times New Roman" w:cs="Times New Roman"/>
        </w:rPr>
        <w:t>portion of federal civil cases resolved by federal trial fell from 11.5 percent [of all filings] in 1962 to 1.8 percent in 2002.</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Marc Galanter, </w:t>
      </w:r>
      <w:r w:rsidRPr="750671CE">
        <w:rPr>
          <w:rFonts w:ascii="Times New Roman" w:eastAsia="Times New Roman" w:hAnsi="Times New Roman" w:cs="Times New Roman"/>
          <w:i/>
          <w:iCs/>
        </w:rPr>
        <w:t>The Vanishing Trial: An Examination of Trials and Related Matters in Federal and State Courts</w:t>
      </w:r>
      <w:r w:rsidRPr="750671CE">
        <w:rPr>
          <w:rFonts w:ascii="Times New Roman" w:eastAsia="Times New Roman" w:hAnsi="Times New Roman" w:cs="Times New Roman"/>
        </w:rPr>
        <w:t xml:space="preserve">, 1 </w:t>
      </w:r>
      <w:r w:rsidRPr="750671CE">
        <w:rPr>
          <w:rFonts w:ascii="Times New Roman" w:eastAsia="Times New Roman" w:hAnsi="Times New Roman" w:cs="Times New Roman"/>
          <w:smallCaps/>
        </w:rPr>
        <w:t>J. Empirical Legal Stud.</w:t>
      </w:r>
      <w:r w:rsidRPr="750671CE">
        <w:rPr>
          <w:rFonts w:ascii="Times New Roman" w:eastAsia="Times New Roman" w:hAnsi="Times New Roman" w:cs="Times New Roman"/>
        </w:rPr>
        <w:t xml:space="preserve"> 459, 459 (2004).  Between 2008 and 2012, a mere </w:t>
      </w:r>
      <w:r w:rsidR="00B05F31">
        <w:rPr>
          <w:rFonts w:ascii="Times New Roman" w:eastAsia="Times New Roman" w:hAnsi="Times New Roman" w:cs="Times New Roman"/>
        </w:rPr>
        <w:t>“</w:t>
      </w:r>
      <w:r w:rsidRPr="750671CE">
        <w:rPr>
          <w:rFonts w:ascii="Times New Roman" w:eastAsia="Times New Roman" w:hAnsi="Times New Roman" w:cs="Times New Roman"/>
        </w:rPr>
        <w:t>0.56 percent or slightly more than one-half of one percent of all terminations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occurred by civil jury trials.  Charles S. Coody, </w:t>
      </w:r>
      <w:r w:rsidRPr="750671CE">
        <w:rPr>
          <w:rFonts w:ascii="Times New Roman" w:eastAsia="Times New Roman" w:hAnsi="Times New Roman" w:cs="Times New Roman"/>
          <w:i/>
          <w:iCs/>
        </w:rPr>
        <w:t>Vanishing Trial Skills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A.B.A. </w:t>
      </w:r>
      <w:r w:rsidRPr="750671CE">
        <w:rPr>
          <w:rFonts w:ascii="Times New Roman" w:eastAsia="Times New Roman" w:hAnsi="Times New Roman" w:cs="Times New Roman"/>
        </w:rPr>
        <w:t>(May 22, 2013), http://apps</w:t>
      </w:r>
    </w:p>
    <w:p w14:paraId="087F4325" w14:textId="3F257EC2" w:rsidR="00C8560F" w:rsidRDefault="750671CE" w:rsidP="750671CE">
      <w:pPr>
        <w:pStyle w:val="FootnoteText"/>
        <w:rPr>
          <w:rFonts w:ascii="Times New Roman" w:eastAsia="Times New Roman" w:hAnsi="Times New Roman" w:cs="Times New Roman"/>
        </w:rPr>
      </w:pPr>
      <w:r w:rsidRPr="750671CE">
        <w:rPr>
          <w:rFonts w:ascii="Times New Roman" w:eastAsia="Times New Roman" w:hAnsi="Times New Roman" w:cs="Times New Roman"/>
        </w:rPr>
        <w:t xml:space="preserve">.americanbar.org/litigation/committees/pretrial/email/spring2013/spring2013-0513-vanishing-trial-skills.html.  The following chart, compiled by Marc Galanter, who led the ABA study, </w:t>
      </w:r>
      <w:r w:rsidR="00563CE4">
        <w:rPr>
          <w:rFonts w:ascii="Times New Roman" w:eastAsia="Times New Roman" w:hAnsi="Times New Roman" w:cs="Times New Roman"/>
        </w:rPr>
        <w:t xml:space="preserve">and his co-author, </w:t>
      </w:r>
      <w:r w:rsidRPr="750671CE">
        <w:rPr>
          <w:rFonts w:ascii="Times New Roman" w:eastAsia="Times New Roman" w:hAnsi="Times New Roman" w:cs="Times New Roman"/>
        </w:rPr>
        <w:t xml:space="preserve">shows the stark picture of settlement in civil litigation generally: </w:t>
      </w:r>
    </w:p>
    <w:p w14:paraId="153FA3B5" w14:textId="77777777" w:rsidR="00E449AE" w:rsidRPr="004B1DFF" w:rsidRDefault="00E449AE" w:rsidP="006B2DE5">
      <w:pPr>
        <w:ind w:firstLine="720"/>
        <w:rPr>
          <w:rFonts w:ascii="Times New Roman" w:hAnsi="Times New Roman" w:cs="Times New Roman"/>
        </w:rPr>
      </w:pPr>
    </w:p>
    <w:p w14:paraId="4578123F" w14:textId="255D84F3" w:rsidR="006E6D0D"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b/>
          <w:bCs/>
          <w:sz w:val="20"/>
          <w:szCs w:val="20"/>
        </w:rPr>
        <w:t>Figure A: Percentage of Civil Terminations During or After Trial, U.S. District Courts, 1962-2010</w:t>
      </w:r>
      <w:r w:rsidR="004E58D7">
        <w:rPr>
          <w:noProof/>
          <w:lang w:eastAsia="en-US"/>
        </w:rPr>
        <w:drawing>
          <wp:inline distT="0" distB="0" distL="0" distR="0" wp14:anchorId="0DE9A7ED" wp14:editId="3DE8115E">
            <wp:extent cx="5486400" cy="3984100"/>
            <wp:effectExtent l="0" t="0" r="0" b="3810"/>
            <wp:docPr id="1544200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2A60DD45" w14:textId="33DADD87" w:rsidR="00AC3FDA" w:rsidRPr="008A3C5C"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lastRenderedPageBreak/>
        <w:t>Marc</w:t>
      </w:r>
      <w:r w:rsidRPr="008A3C5C">
        <w:rPr>
          <w:rFonts w:ascii="Times New Roman" w:eastAsia="Times New Roman" w:hAnsi="Times New Roman" w:cs="Times New Roman"/>
          <w:sz w:val="20"/>
          <w:szCs w:val="20"/>
        </w:rPr>
        <w:t xml:space="preserve"> Galanter &amp; Angela Frozena, </w:t>
      </w:r>
      <w:r w:rsidRPr="001A01A4">
        <w:rPr>
          <w:rFonts w:ascii="Times New Roman" w:eastAsia="Times New Roman" w:hAnsi="Times New Roman" w:cs="Times New Roman"/>
          <w:i/>
          <w:iCs/>
          <w:sz w:val="20"/>
          <w:szCs w:val="20"/>
        </w:rPr>
        <w:t>The Continuing Decline of Civil Trials in American Courts</w:t>
      </w:r>
      <w:r w:rsidRPr="001A01A4">
        <w:rPr>
          <w:rFonts w:ascii="Times New Roman" w:eastAsia="Times New Roman" w:hAnsi="Times New Roman" w:cs="Times New Roman"/>
          <w:sz w:val="20"/>
          <w:szCs w:val="20"/>
        </w:rPr>
        <w:t xml:space="preserve">, </w:t>
      </w:r>
      <w:r w:rsidRPr="001A01A4">
        <w:rPr>
          <w:rFonts w:ascii="Times New Roman" w:eastAsia="Times New Roman" w:hAnsi="Times New Roman" w:cs="Times New Roman"/>
          <w:smallCaps/>
          <w:sz w:val="20"/>
          <w:szCs w:val="20"/>
        </w:rPr>
        <w:t>Pound Civil Justice Inst.</w:t>
      </w:r>
      <w:r w:rsidRPr="001A01A4">
        <w:rPr>
          <w:rFonts w:ascii="Times New Roman" w:eastAsia="Times New Roman" w:hAnsi="Times New Roman" w:cs="Times New Roman"/>
          <w:sz w:val="20"/>
          <w:szCs w:val="20"/>
        </w:rPr>
        <w:t xml:space="preserve"> 1, 3 (2011), </w:t>
      </w:r>
      <w:r w:rsidRPr="00591009">
        <w:rPr>
          <w:rFonts w:ascii="Times New Roman" w:hAnsi="Times New Roman" w:cs="Times New Roman"/>
          <w:sz w:val="20"/>
          <w:szCs w:val="20"/>
        </w:rPr>
        <w:t>http://poundinstitute.org/docs/2011%20judges%20forum</w:t>
      </w:r>
    </w:p>
    <w:p w14:paraId="0D0A0C74" w14:textId="0FC2186D" w:rsidR="006E6D0D" w:rsidRPr="008A3C5C" w:rsidRDefault="750671CE" w:rsidP="750671CE">
      <w:pPr>
        <w:rPr>
          <w:rFonts w:ascii="Times New Roman" w:eastAsia="Times New Roman" w:hAnsi="Times New Roman" w:cs="Times New Roman"/>
        </w:rPr>
      </w:pPr>
      <w:r w:rsidRPr="00591009">
        <w:rPr>
          <w:rFonts w:ascii="Times New Roman" w:hAnsi="Times New Roman" w:cs="Times New Roman"/>
          <w:sz w:val="20"/>
          <w:szCs w:val="20"/>
        </w:rPr>
        <w:t>/2011%20Forum%20Galanter-Frozena%20Paper.pdf</w:t>
      </w:r>
      <w:r w:rsidRPr="008A3C5C">
        <w:rPr>
          <w:rFonts w:ascii="Times New Roman" w:eastAsia="Times New Roman" w:hAnsi="Times New Roman" w:cs="Times New Roman"/>
          <w:sz w:val="20"/>
          <w:szCs w:val="20"/>
        </w:rPr>
        <w:t>.</w:t>
      </w:r>
    </w:p>
    <w:p w14:paraId="558C6A59" w14:textId="77777777" w:rsidR="006E6D0D" w:rsidRPr="004B1DFF" w:rsidRDefault="006E6D0D" w:rsidP="006E6D0D">
      <w:pPr>
        <w:rPr>
          <w:rFonts w:ascii="Times New Roman" w:hAnsi="Times New Roman" w:cs="Times New Roman"/>
        </w:rPr>
      </w:pPr>
    </w:p>
    <w:p w14:paraId="06D8B89E" w14:textId="4D95ACE3" w:rsidR="006E6D0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Parties settle because, as the Vosburgs and Putneys learned, litigation is expensive and time-consuming.  Many parties are risk-averse; they have a preference for the certainty that settlement offers.  Moreover, there is reason to think that on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side, lawyers paid on a contingency basis, as a percentage of any settlement or award, will have an interest in avoiding long drawn-out proceedings.  Settlement minimizes their workload, allows them to take on additional claims, and often allows them to maximize their imputed hourly wage.  </w:t>
      </w:r>
    </w:p>
    <w:p w14:paraId="432F4889" w14:textId="77777777" w:rsidR="006E6D0D" w:rsidRPr="004B1DFF" w:rsidRDefault="006E6D0D" w:rsidP="006E6D0D">
      <w:pPr>
        <w:rPr>
          <w:rFonts w:ascii="Times New Roman" w:hAnsi="Times New Roman" w:cs="Times New Roman"/>
        </w:rPr>
      </w:pPr>
    </w:p>
    <w:p w14:paraId="07FE8005" w14:textId="56AD8559" w:rsidR="00862B16"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Given the incentives for the parties and for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lawyers, why is it then that some parties like the Vosburgs and Putneys don</w:t>
      </w:r>
      <w:r w:rsidR="00B05F31">
        <w:rPr>
          <w:rFonts w:ascii="Times New Roman" w:eastAsia="Times New Roman" w:hAnsi="Times New Roman" w:cs="Times New Roman"/>
        </w:rPr>
        <w:t>’</w:t>
      </w:r>
      <w:r w:rsidRPr="750671CE">
        <w:rPr>
          <w:rFonts w:ascii="Times New Roman" w:eastAsia="Times New Roman" w:hAnsi="Times New Roman" w:cs="Times New Roman"/>
        </w:rPr>
        <w:t>t settle?  Looked at this way, the question is not why there are so few trials.  The question is why there are any trials at all!  Why doesn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everyone settle?  </w:t>
      </w:r>
    </w:p>
    <w:p w14:paraId="498207E6" w14:textId="77777777" w:rsidR="00862B16" w:rsidRPr="004B1DFF" w:rsidRDefault="00862B16" w:rsidP="00E449AE">
      <w:pPr>
        <w:ind w:firstLine="720"/>
        <w:rPr>
          <w:rFonts w:ascii="Times New Roman" w:hAnsi="Times New Roman" w:cs="Times New Roman"/>
        </w:rPr>
      </w:pPr>
    </w:p>
    <w:p w14:paraId="1C75D25B" w14:textId="14D64B4C" w:rsidR="006E6D0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George Priest &amp; Benjamin Klein, </w:t>
      </w:r>
      <w:r w:rsidRPr="750671CE">
        <w:rPr>
          <w:rFonts w:ascii="Times New Roman" w:eastAsia="Times New Roman" w:hAnsi="Times New Roman" w:cs="Times New Roman"/>
          <w:i/>
          <w:iCs/>
        </w:rPr>
        <w:t>The Selection of Disputes for Litigation</w:t>
      </w:r>
      <w:r w:rsidRPr="750671CE">
        <w:rPr>
          <w:rFonts w:ascii="Times New Roman" w:eastAsia="Times New Roman" w:hAnsi="Times New Roman" w:cs="Times New Roman"/>
        </w:rPr>
        <w:t xml:space="preserve">, 13 </w:t>
      </w:r>
      <w:r w:rsidRPr="750671CE">
        <w:rPr>
          <w:rFonts w:ascii="Times New Roman" w:eastAsia="Times New Roman" w:hAnsi="Times New Roman" w:cs="Times New Roman"/>
          <w:smallCaps/>
        </w:rPr>
        <w:t>J. Legal Stud</w:t>
      </w:r>
      <w:r w:rsidRPr="750671CE">
        <w:rPr>
          <w:rFonts w:ascii="Times New Roman" w:eastAsia="Times New Roman" w:hAnsi="Times New Roman" w:cs="Times New Roman"/>
        </w:rPr>
        <w:t xml:space="preserve">. 1 (1984).  Consistent with this view, some observers suggest that the trend toward settlement since the middle of the twentieth century, at least in the federal courts, has been driven by the enactment of the Federal Rules of Civil Procedure </w:t>
      </w:r>
      <w:r w:rsidR="002A058A">
        <w:rPr>
          <w:rFonts w:ascii="Times New Roman" w:eastAsia="Times New Roman" w:hAnsi="Times New Roman" w:cs="Times New Roman"/>
        </w:rPr>
        <w:t xml:space="preserve">(FRCP) </w:t>
      </w:r>
      <w:r w:rsidRPr="750671CE">
        <w:rPr>
          <w:rFonts w:ascii="Times New Roman" w:eastAsia="Times New Roman" w:hAnsi="Times New Roman" w:cs="Times New Roman"/>
        </w:rPr>
        <w:t>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6F13B1B1" w14:textId="77777777" w:rsidR="00E620C5" w:rsidRPr="004B1DFF" w:rsidRDefault="00E620C5" w:rsidP="00E449AE">
      <w:pPr>
        <w:ind w:firstLine="720"/>
        <w:rPr>
          <w:rFonts w:ascii="Times New Roman" w:hAnsi="Times New Roman" w:cs="Times New Roman"/>
        </w:rPr>
      </w:pPr>
    </w:p>
    <w:p w14:paraId="6194BBD3" w14:textId="7C136511" w:rsidR="00E620C5"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Owen Fiss, </w:t>
      </w:r>
      <w:r w:rsidRPr="750671CE">
        <w:rPr>
          <w:rFonts w:ascii="Times New Roman" w:eastAsia="Times New Roman" w:hAnsi="Times New Roman" w:cs="Times New Roman"/>
          <w:i/>
          <w:iCs/>
        </w:rPr>
        <w:t>Against Settlement</w:t>
      </w:r>
      <w:r w:rsidRPr="750671CE">
        <w:rPr>
          <w:rFonts w:ascii="Times New Roman" w:eastAsia="Times New Roman" w:hAnsi="Times New Roman" w:cs="Times New Roman"/>
        </w:rPr>
        <w:t xml:space="preserve">, 93 </w:t>
      </w:r>
      <w:r w:rsidRPr="750671CE">
        <w:rPr>
          <w:rFonts w:ascii="Times New Roman" w:eastAsia="Times New Roman" w:hAnsi="Times New Roman" w:cs="Times New Roman"/>
          <w:smallCaps/>
        </w:rPr>
        <w:t>Yale L.J</w:t>
      </w:r>
      <w:r w:rsidRPr="750671CE">
        <w:rPr>
          <w:rFonts w:ascii="Times New Roman" w:eastAsia="Times New Roman" w:hAnsi="Times New Roman" w:cs="Times New Roman"/>
        </w:rPr>
        <w:t xml:space="preserve">. 1073 (1984); Judith Resnik, </w:t>
      </w:r>
      <w:r w:rsidRPr="750671CE">
        <w:rPr>
          <w:rFonts w:ascii="Times New Roman" w:eastAsia="Times New Roman" w:hAnsi="Times New Roman" w:cs="Times New Roman"/>
          <w:i/>
          <w:iCs/>
        </w:rPr>
        <w:t>Whither and Whether Adjudication?</w:t>
      </w:r>
      <w:r w:rsidRPr="750671CE">
        <w:rPr>
          <w:rFonts w:ascii="Times New Roman" w:eastAsia="Times New Roman" w:hAnsi="Times New Roman" w:cs="Times New Roman"/>
        </w:rPr>
        <w:t xml:space="preserve">, 86 </w:t>
      </w:r>
      <w:r w:rsidRPr="750671CE">
        <w:rPr>
          <w:rFonts w:ascii="Times New Roman" w:eastAsia="Times New Roman" w:hAnsi="Times New Roman" w:cs="Times New Roman"/>
          <w:smallCaps/>
        </w:rPr>
        <w:t>B.U. L. Rev</w:t>
      </w:r>
      <w:r w:rsidRPr="750671CE">
        <w:rPr>
          <w:rFonts w:ascii="Times New Roman" w:eastAsia="Times New Roman" w:hAnsi="Times New Roman" w:cs="Times New Roman"/>
        </w:rPr>
        <w:t>. 1101 (2006).  Of course, if trials are intrinsically valuable as public fora, then settlement rates are startlingly high.  For it appears that something about the tort system—and indeed</w:t>
      </w:r>
      <w:r w:rsidR="002A058A">
        <w:rPr>
          <w:rFonts w:ascii="Times New Roman" w:eastAsia="Times New Roman" w:hAnsi="Times New Roman" w:cs="Times New Roman"/>
        </w:rPr>
        <w:t>,</w:t>
      </w:r>
      <w:r w:rsidRPr="750671CE">
        <w:rPr>
          <w:rFonts w:ascii="Times New Roman" w:eastAsia="Times New Roman" w:hAnsi="Times New Roman" w:cs="Times New Roman"/>
        </w:rPr>
        <w:t xml:space="preserve"> civil litigation generally—produces vast numbers of settlements and very few judgments.  </w:t>
      </w:r>
    </w:p>
    <w:p w14:paraId="072C0495" w14:textId="77777777" w:rsidR="006E6D0D" w:rsidRDefault="006E6D0D" w:rsidP="00935D4A">
      <w:pPr>
        <w:rPr>
          <w:rFonts w:ascii="Times New Roman" w:hAnsi="Times New Roman" w:cs="Times New Roman"/>
          <w:b/>
        </w:rPr>
      </w:pPr>
    </w:p>
    <w:p w14:paraId="67FE0BDA" w14:textId="77777777" w:rsidR="00644103" w:rsidRPr="004B1DFF" w:rsidRDefault="00644103" w:rsidP="00935D4A">
      <w:pPr>
        <w:rPr>
          <w:rFonts w:ascii="Times New Roman" w:hAnsi="Times New Roman" w:cs="Times New Roman"/>
          <w:b/>
        </w:rPr>
      </w:pPr>
    </w:p>
    <w:p w14:paraId="3EB88EF0" w14:textId="77777777" w:rsidR="00DC2E72" w:rsidRPr="004B1DFF" w:rsidRDefault="00523F18" w:rsidP="00322687">
      <w:pPr>
        <w:pStyle w:val="Heading3"/>
      </w:pPr>
      <w:bookmarkStart w:id="33" w:name="_Toc364636038"/>
      <w:bookmarkStart w:id="34" w:name="_Toc518323196"/>
      <w:r w:rsidRPr="004B1DFF">
        <w:t>4</w:t>
      </w:r>
      <w:r w:rsidR="00935D4A" w:rsidRPr="004B1DFF">
        <w:t xml:space="preserve">. </w:t>
      </w:r>
      <w:r w:rsidR="00DC2E72" w:rsidRPr="004B1DFF">
        <w:t xml:space="preserve">The </w:t>
      </w:r>
      <w:r w:rsidRPr="004B1DFF">
        <w:t>Size</w:t>
      </w:r>
      <w:r w:rsidR="00DC2E72" w:rsidRPr="004B1DFF">
        <w:t xml:space="preserve"> of the Tort System</w:t>
      </w:r>
      <w:bookmarkEnd w:id="33"/>
      <w:bookmarkEnd w:id="34"/>
    </w:p>
    <w:p w14:paraId="4950599D" w14:textId="77777777" w:rsidR="008463B8" w:rsidRPr="004B1DFF" w:rsidRDefault="008463B8" w:rsidP="00935D4A">
      <w:pPr>
        <w:rPr>
          <w:rFonts w:ascii="Times New Roman" w:hAnsi="Times New Roman" w:cs="Times New Roman"/>
        </w:rPr>
      </w:pPr>
    </w:p>
    <w:p w14:paraId="2A8AC05E" w14:textId="77777777" w:rsidR="00774845" w:rsidRPr="004B1DFF" w:rsidRDefault="008463B8" w:rsidP="750671CE">
      <w:pPr>
        <w:rPr>
          <w:rFonts w:ascii="Times New Roman" w:eastAsia="Times New Roman" w:hAnsi="Times New Roman" w:cs="Times New Roman"/>
        </w:rPr>
      </w:pPr>
      <w:r w:rsidRPr="004B1DFF">
        <w:rPr>
          <w:rFonts w:ascii="Times New Roman" w:hAnsi="Times New Roman" w:cs="Times New Roman"/>
        </w:rPr>
        <w:tab/>
      </w:r>
      <w:r w:rsidR="00774845" w:rsidRPr="750671CE">
        <w:rPr>
          <w:rFonts w:ascii="Times New Roman" w:eastAsia="Times New Roman" w:hAnsi="Times New Roman" w:cs="Times New Roman"/>
        </w:rPr>
        <w:t xml:space="preserve">One way to glimpse the tort system in the aggregate </w:t>
      </w:r>
      <w:r w:rsidR="00F32418" w:rsidRPr="750671CE">
        <w:rPr>
          <w:rFonts w:ascii="Times New Roman" w:eastAsia="Times New Roman" w:hAnsi="Times New Roman" w:cs="Times New Roman"/>
        </w:rPr>
        <w:t>is to look at t</w:t>
      </w:r>
      <w:r w:rsidR="005270E7" w:rsidRPr="750671CE">
        <w:rPr>
          <w:rFonts w:ascii="Times New Roman" w:eastAsia="Times New Roman" w:hAnsi="Times New Roman" w:cs="Times New Roman"/>
        </w:rPr>
        <w:t>he total amount of money passing through the Am</w:t>
      </w:r>
      <w:r w:rsidR="00774845" w:rsidRPr="750671CE">
        <w:rPr>
          <w:rFonts w:ascii="Times New Roman" w:eastAsia="Times New Roman" w:hAnsi="Times New Roman" w:cs="Times New Roman"/>
        </w:rPr>
        <w:t xml:space="preserve">erican tort system each year.  It is here that little cases </w:t>
      </w:r>
      <w:r w:rsidR="00774845" w:rsidRPr="750671CE">
        <w:rPr>
          <w:rFonts w:ascii="Times New Roman" w:eastAsia="Times New Roman" w:hAnsi="Times New Roman" w:cs="Times New Roman"/>
        </w:rPr>
        <w:lastRenderedPageBreak/>
        <w:t xml:space="preserve">like </w:t>
      </w:r>
      <w:r w:rsidR="00A802F6" w:rsidRPr="750671CE">
        <w:rPr>
          <w:rFonts w:ascii="Times New Roman" w:eastAsia="Times New Roman" w:hAnsi="Times New Roman" w:cs="Times New Roman"/>
          <w:i/>
          <w:iCs/>
        </w:rPr>
        <w:t>Vosburg</w:t>
      </w:r>
      <w:r w:rsidR="00774845" w:rsidRPr="750671CE">
        <w:rPr>
          <w:rFonts w:ascii="Times New Roman" w:eastAsia="Times New Roman" w:hAnsi="Times New Roman" w:cs="Times New Roman"/>
        </w:rPr>
        <w:t xml:space="preserve"> connect up to the heated political controversies over tort law in the past several decades. </w:t>
      </w:r>
    </w:p>
    <w:p w14:paraId="280291F1" w14:textId="77777777" w:rsidR="00774845" w:rsidRPr="004B1DFF" w:rsidRDefault="00774845" w:rsidP="00935D4A">
      <w:pPr>
        <w:rPr>
          <w:rFonts w:ascii="Times New Roman" w:hAnsi="Times New Roman" w:cs="Times New Roman"/>
        </w:rPr>
      </w:pPr>
    </w:p>
    <w:p w14:paraId="76B5B23B" w14:textId="6DD65BB1" w:rsidR="00C8560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33836C48" w14:textId="77777777" w:rsidR="00B910BB" w:rsidRPr="004B1DFF" w:rsidRDefault="00B910BB" w:rsidP="00935D4A">
      <w:pPr>
        <w:rPr>
          <w:rFonts w:ascii="Times New Roman" w:hAnsi="Times New Roman" w:cs="Times New Roman"/>
          <w:b/>
        </w:rPr>
      </w:pPr>
    </w:p>
    <w:p w14:paraId="53DDE0E5" w14:textId="77777777" w:rsidR="003A4178" w:rsidRPr="00F53848" w:rsidRDefault="750671CE" w:rsidP="750671CE">
      <w:pPr>
        <w:rPr>
          <w:rFonts w:ascii="Times New Roman" w:eastAsia="Times New Roman" w:hAnsi="Times New Roman" w:cs="Times New Roman"/>
          <w:b/>
          <w:bCs/>
          <w:sz w:val="28"/>
          <w:szCs w:val="28"/>
        </w:rPr>
      </w:pPr>
      <w:r w:rsidRPr="750671CE">
        <w:rPr>
          <w:rFonts w:ascii="Times New Roman" w:eastAsia="Times New Roman" w:hAnsi="Times New Roman" w:cs="Times New Roman"/>
          <w:b/>
          <w:bCs/>
          <w:sz w:val="28"/>
          <w:szCs w:val="28"/>
        </w:rPr>
        <w:t>United States Tort Costs</w:t>
      </w:r>
    </w:p>
    <w:p w14:paraId="020989C3" w14:textId="77777777" w:rsidR="003A4178" w:rsidRPr="004B1DFF" w:rsidRDefault="003A4178" w:rsidP="00935D4A">
      <w:pPr>
        <w:rPr>
          <w:rFonts w:ascii="Times New Roman" w:hAnsi="Times New Roman" w:cs="Times New Roman"/>
        </w:rPr>
      </w:pPr>
    </w:p>
    <w:tbl>
      <w:tblPr>
        <w:tblW w:w="5860" w:type="dxa"/>
        <w:tblInd w:w="93" w:type="dxa"/>
        <w:tblLook w:val="04A0" w:firstRow="1" w:lastRow="0" w:firstColumn="1" w:lastColumn="0" w:noHBand="0" w:noVBand="1"/>
      </w:tblPr>
      <w:tblGrid>
        <w:gridCol w:w="1958"/>
        <w:gridCol w:w="1337"/>
        <w:gridCol w:w="1216"/>
        <w:gridCol w:w="1349"/>
      </w:tblGrid>
      <w:tr w:rsidR="003A4178" w:rsidRPr="004B1DFF" w14:paraId="39621670" w14:textId="77777777" w:rsidTr="750671CE">
        <w:trPr>
          <w:trHeight w:val="1200"/>
        </w:trPr>
        <w:tc>
          <w:tcPr>
            <w:tcW w:w="2040" w:type="dxa"/>
            <w:tcBorders>
              <w:top w:val="nil"/>
              <w:left w:val="nil"/>
              <w:bottom w:val="nil"/>
              <w:right w:val="nil"/>
            </w:tcBorders>
            <w:shd w:val="clear" w:color="auto" w:fill="auto"/>
            <w:vAlign w:val="bottom"/>
          </w:tcPr>
          <w:p w14:paraId="42F6A5C7" w14:textId="77777777" w:rsidR="003A4178" w:rsidRPr="00C3694F" w:rsidRDefault="750671CE" w:rsidP="750671CE">
            <w:pPr>
              <w:jc w:val="center"/>
              <w:rPr>
                <w:rFonts w:ascii="Times New Roman" w:eastAsia="Times New Roman" w:hAnsi="Times New Roman" w:cs="Times New Roman"/>
                <w:b/>
                <w:bCs/>
                <w:color w:val="000000" w:themeColor="text1"/>
              </w:rPr>
            </w:pPr>
            <w:r w:rsidRPr="750671CE">
              <w:rPr>
                <w:rFonts w:ascii="Times New Roman" w:eastAsia="Times New Roman" w:hAnsi="Times New Roman" w:cs="Times New Roman"/>
                <w:b/>
                <w:bCs/>
                <w:color w:val="000000" w:themeColor="text1"/>
              </w:rPr>
              <w:t>Year</w:t>
            </w:r>
          </w:p>
        </w:tc>
        <w:tc>
          <w:tcPr>
            <w:tcW w:w="1300" w:type="dxa"/>
            <w:tcBorders>
              <w:top w:val="nil"/>
              <w:left w:val="nil"/>
              <w:bottom w:val="nil"/>
              <w:right w:val="nil"/>
            </w:tcBorders>
            <w:shd w:val="clear" w:color="auto" w:fill="auto"/>
            <w:vAlign w:val="bottom"/>
          </w:tcPr>
          <w:p w14:paraId="0B429605" w14:textId="77777777" w:rsidR="003A4178" w:rsidRPr="00C3694F" w:rsidRDefault="750671CE" w:rsidP="750671CE">
            <w:pPr>
              <w:jc w:val="center"/>
              <w:rPr>
                <w:rFonts w:ascii="Times New Roman" w:eastAsia="Times New Roman" w:hAnsi="Times New Roman" w:cs="Times New Roman"/>
                <w:b/>
                <w:bCs/>
                <w:color w:val="000000" w:themeColor="text1"/>
              </w:rPr>
            </w:pPr>
            <w:r w:rsidRPr="750671CE">
              <w:rPr>
                <w:rFonts w:ascii="Times New Roman" w:eastAsia="Times New Roman" w:hAnsi="Times New Roman" w:cs="Times New Roman"/>
                <w:b/>
                <w:bCs/>
                <w:color w:val="000000" w:themeColor="text1"/>
              </w:rPr>
              <w:t>U.S. Population (millions)</w:t>
            </w:r>
          </w:p>
        </w:tc>
        <w:tc>
          <w:tcPr>
            <w:tcW w:w="1220" w:type="dxa"/>
            <w:tcBorders>
              <w:top w:val="nil"/>
              <w:left w:val="nil"/>
              <w:bottom w:val="nil"/>
              <w:right w:val="nil"/>
            </w:tcBorders>
            <w:shd w:val="clear" w:color="auto" w:fill="auto"/>
            <w:vAlign w:val="bottom"/>
          </w:tcPr>
          <w:p w14:paraId="1481F651" w14:textId="77777777" w:rsidR="003A4178" w:rsidRPr="00C3694F" w:rsidRDefault="750671CE" w:rsidP="750671CE">
            <w:pPr>
              <w:jc w:val="center"/>
              <w:rPr>
                <w:rFonts w:ascii="Times New Roman" w:eastAsia="Times New Roman" w:hAnsi="Times New Roman" w:cs="Times New Roman"/>
                <w:b/>
                <w:bCs/>
                <w:color w:val="000000" w:themeColor="text1"/>
              </w:rPr>
            </w:pPr>
            <w:r w:rsidRPr="750671CE">
              <w:rPr>
                <w:rFonts w:ascii="Times New Roman" w:eastAsia="Times New Roman" w:hAnsi="Times New Roman" w:cs="Times New Roman"/>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58D33340" w14:textId="67436896" w:rsidR="003A4178" w:rsidRPr="00C3694F" w:rsidRDefault="750671CE" w:rsidP="750671CE">
            <w:pPr>
              <w:jc w:val="center"/>
              <w:rPr>
                <w:rFonts w:ascii="Times New Roman" w:eastAsia="Times New Roman" w:hAnsi="Times New Roman" w:cs="Times New Roman"/>
                <w:b/>
                <w:bCs/>
                <w:color w:val="000000" w:themeColor="text1"/>
              </w:rPr>
            </w:pPr>
            <w:r w:rsidRPr="750671CE">
              <w:rPr>
                <w:rFonts w:ascii="Times New Roman" w:eastAsia="Times New Roman" w:hAnsi="Times New Roman" w:cs="Times New Roman"/>
                <w:b/>
                <w:bCs/>
                <w:color w:val="000000" w:themeColor="text1"/>
              </w:rPr>
              <w:t>Tort Costs as Percentage of GDP</w:t>
            </w:r>
          </w:p>
        </w:tc>
      </w:tr>
      <w:tr w:rsidR="003A4178" w:rsidRPr="004B1DFF" w14:paraId="731BD7B3" w14:textId="77777777" w:rsidTr="750671CE">
        <w:trPr>
          <w:trHeight w:val="600"/>
        </w:trPr>
        <w:tc>
          <w:tcPr>
            <w:tcW w:w="2040" w:type="dxa"/>
            <w:tcBorders>
              <w:top w:val="nil"/>
              <w:left w:val="nil"/>
              <w:bottom w:val="nil"/>
              <w:right w:val="nil"/>
            </w:tcBorders>
            <w:shd w:val="clear" w:color="auto" w:fill="auto"/>
            <w:vAlign w:val="bottom"/>
          </w:tcPr>
          <w:p w14:paraId="030387A8"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1950</w:t>
            </w:r>
          </w:p>
        </w:tc>
        <w:tc>
          <w:tcPr>
            <w:tcW w:w="1300" w:type="dxa"/>
            <w:tcBorders>
              <w:top w:val="nil"/>
              <w:left w:val="nil"/>
              <w:bottom w:val="nil"/>
              <w:right w:val="nil"/>
            </w:tcBorders>
            <w:shd w:val="clear" w:color="auto" w:fill="auto"/>
            <w:vAlign w:val="bottom"/>
          </w:tcPr>
          <w:p w14:paraId="3977D7A7"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152</w:t>
            </w:r>
          </w:p>
        </w:tc>
        <w:tc>
          <w:tcPr>
            <w:tcW w:w="1220" w:type="dxa"/>
            <w:tcBorders>
              <w:top w:val="nil"/>
              <w:left w:val="nil"/>
              <w:bottom w:val="nil"/>
              <w:right w:val="nil"/>
            </w:tcBorders>
            <w:shd w:val="clear" w:color="auto" w:fill="auto"/>
            <w:vAlign w:val="bottom"/>
          </w:tcPr>
          <w:p w14:paraId="4598EE2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16</w:t>
            </w:r>
          </w:p>
        </w:tc>
        <w:tc>
          <w:tcPr>
            <w:tcW w:w="1300" w:type="dxa"/>
            <w:tcBorders>
              <w:top w:val="nil"/>
              <w:left w:val="nil"/>
              <w:bottom w:val="nil"/>
              <w:right w:val="nil"/>
            </w:tcBorders>
            <w:shd w:val="clear" w:color="auto" w:fill="auto"/>
            <w:vAlign w:val="bottom"/>
          </w:tcPr>
          <w:p w14:paraId="16F5E9ED"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0.62%</w:t>
            </w:r>
          </w:p>
        </w:tc>
      </w:tr>
      <w:tr w:rsidR="003A4178" w:rsidRPr="004B1DFF" w14:paraId="44627061" w14:textId="77777777" w:rsidTr="750671CE">
        <w:trPr>
          <w:trHeight w:val="300"/>
        </w:trPr>
        <w:tc>
          <w:tcPr>
            <w:tcW w:w="2040" w:type="dxa"/>
            <w:tcBorders>
              <w:top w:val="nil"/>
              <w:left w:val="nil"/>
              <w:bottom w:val="nil"/>
              <w:right w:val="nil"/>
            </w:tcBorders>
            <w:shd w:val="clear" w:color="auto" w:fill="auto"/>
            <w:vAlign w:val="bottom"/>
          </w:tcPr>
          <w:p w14:paraId="0E2EED7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1960</w:t>
            </w:r>
          </w:p>
        </w:tc>
        <w:tc>
          <w:tcPr>
            <w:tcW w:w="1300" w:type="dxa"/>
            <w:tcBorders>
              <w:top w:val="nil"/>
              <w:left w:val="nil"/>
              <w:bottom w:val="nil"/>
              <w:right w:val="nil"/>
            </w:tcBorders>
            <w:shd w:val="clear" w:color="auto" w:fill="auto"/>
            <w:vAlign w:val="bottom"/>
          </w:tcPr>
          <w:p w14:paraId="39596079"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181</w:t>
            </w:r>
          </w:p>
        </w:tc>
        <w:tc>
          <w:tcPr>
            <w:tcW w:w="1220" w:type="dxa"/>
            <w:tcBorders>
              <w:top w:val="nil"/>
              <w:left w:val="nil"/>
              <w:bottom w:val="nil"/>
              <w:right w:val="nil"/>
            </w:tcBorders>
            <w:shd w:val="clear" w:color="auto" w:fill="auto"/>
            <w:vAlign w:val="bottom"/>
          </w:tcPr>
          <w:p w14:paraId="34D6E52A"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40</w:t>
            </w:r>
          </w:p>
        </w:tc>
        <w:tc>
          <w:tcPr>
            <w:tcW w:w="1300" w:type="dxa"/>
            <w:tcBorders>
              <w:top w:val="nil"/>
              <w:left w:val="nil"/>
              <w:bottom w:val="nil"/>
              <w:right w:val="nil"/>
            </w:tcBorders>
            <w:shd w:val="clear" w:color="auto" w:fill="auto"/>
            <w:vAlign w:val="bottom"/>
          </w:tcPr>
          <w:p w14:paraId="3322429E"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1.03%</w:t>
            </w:r>
          </w:p>
        </w:tc>
      </w:tr>
      <w:tr w:rsidR="003A4178" w:rsidRPr="004B1DFF" w14:paraId="360E7866" w14:textId="77777777" w:rsidTr="750671CE">
        <w:trPr>
          <w:trHeight w:val="300"/>
        </w:trPr>
        <w:tc>
          <w:tcPr>
            <w:tcW w:w="2040" w:type="dxa"/>
            <w:tcBorders>
              <w:top w:val="nil"/>
              <w:left w:val="nil"/>
              <w:bottom w:val="nil"/>
              <w:right w:val="nil"/>
            </w:tcBorders>
            <w:shd w:val="clear" w:color="auto" w:fill="auto"/>
            <w:vAlign w:val="bottom"/>
          </w:tcPr>
          <w:p w14:paraId="0F7E0FEF"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1970</w:t>
            </w:r>
          </w:p>
        </w:tc>
        <w:tc>
          <w:tcPr>
            <w:tcW w:w="1300" w:type="dxa"/>
            <w:tcBorders>
              <w:top w:val="nil"/>
              <w:left w:val="nil"/>
              <w:bottom w:val="nil"/>
              <w:right w:val="nil"/>
            </w:tcBorders>
            <w:shd w:val="clear" w:color="auto" w:fill="auto"/>
            <w:vAlign w:val="bottom"/>
          </w:tcPr>
          <w:p w14:paraId="7235FD5E"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205</w:t>
            </w:r>
          </w:p>
        </w:tc>
        <w:tc>
          <w:tcPr>
            <w:tcW w:w="1220" w:type="dxa"/>
            <w:tcBorders>
              <w:top w:val="nil"/>
              <w:left w:val="nil"/>
              <w:bottom w:val="nil"/>
              <w:right w:val="nil"/>
            </w:tcBorders>
            <w:shd w:val="clear" w:color="auto" w:fill="auto"/>
            <w:vAlign w:val="bottom"/>
          </w:tcPr>
          <w:p w14:paraId="1C45EC2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78</w:t>
            </w:r>
          </w:p>
        </w:tc>
        <w:tc>
          <w:tcPr>
            <w:tcW w:w="1300" w:type="dxa"/>
            <w:tcBorders>
              <w:top w:val="nil"/>
              <w:left w:val="nil"/>
              <w:bottom w:val="nil"/>
              <w:right w:val="nil"/>
            </w:tcBorders>
            <w:shd w:val="clear" w:color="auto" w:fill="auto"/>
            <w:vAlign w:val="bottom"/>
          </w:tcPr>
          <w:p w14:paraId="4182128D"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1.34%</w:t>
            </w:r>
          </w:p>
        </w:tc>
      </w:tr>
      <w:tr w:rsidR="003A4178" w:rsidRPr="004B1DFF" w14:paraId="47E2B9C7" w14:textId="77777777" w:rsidTr="750671CE">
        <w:trPr>
          <w:trHeight w:val="300"/>
        </w:trPr>
        <w:tc>
          <w:tcPr>
            <w:tcW w:w="2040" w:type="dxa"/>
            <w:tcBorders>
              <w:top w:val="nil"/>
              <w:left w:val="nil"/>
              <w:bottom w:val="nil"/>
              <w:right w:val="nil"/>
            </w:tcBorders>
            <w:shd w:val="clear" w:color="auto" w:fill="auto"/>
            <w:vAlign w:val="bottom"/>
          </w:tcPr>
          <w:p w14:paraId="642DBE57"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1980</w:t>
            </w:r>
          </w:p>
        </w:tc>
        <w:tc>
          <w:tcPr>
            <w:tcW w:w="1300" w:type="dxa"/>
            <w:tcBorders>
              <w:top w:val="nil"/>
              <w:left w:val="nil"/>
              <w:bottom w:val="nil"/>
              <w:right w:val="nil"/>
            </w:tcBorders>
            <w:shd w:val="clear" w:color="auto" w:fill="auto"/>
            <w:vAlign w:val="bottom"/>
          </w:tcPr>
          <w:p w14:paraId="49EBEEEA"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228</w:t>
            </w:r>
          </w:p>
        </w:tc>
        <w:tc>
          <w:tcPr>
            <w:tcW w:w="1220" w:type="dxa"/>
            <w:tcBorders>
              <w:top w:val="nil"/>
              <w:left w:val="nil"/>
              <w:bottom w:val="nil"/>
              <w:right w:val="nil"/>
            </w:tcBorders>
            <w:shd w:val="clear" w:color="auto" w:fill="auto"/>
            <w:vAlign w:val="bottom"/>
          </w:tcPr>
          <w:p w14:paraId="7B3962A4"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113</w:t>
            </w:r>
          </w:p>
        </w:tc>
        <w:tc>
          <w:tcPr>
            <w:tcW w:w="1300" w:type="dxa"/>
            <w:tcBorders>
              <w:top w:val="nil"/>
              <w:left w:val="nil"/>
              <w:bottom w:val="nil"/>
              <w:right w:val="nil"/>
            </w:tcBorders>
            <w:shd w:val="clear" w:color="auto" w:fill="auto"/>
            <w:vAlign w:val="bottom"/>
          </w:tcPr>
          <w:p w14:paraId="638A3366"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1.53%</w:t>
            </w:r>
          </w:p>
        </w:tc>
      </w:tr>
      <w:tr w:rsidR="003A4178" w:rsidRPr="004B1DFF" w14:paraId="724CD22C" w14:textId="77777777" w:rsidTr="750671CE">
        <w:trPr>
          <w:trHeight w:val="300"/>
        </w:trPr>
        <w:tc>
          <w:tcPr>
            <w:tcW w:w="2040" w:type="dxa"/>
            <w:tcBorders>
              <w:top w:val="nil"/>
              <w:left w:val="nil"/>
              <w:bottom w:val="nil"/>
              <w:right w:val="nil"/>
            </w:tcBorders>
            <w:shd w:val="clear" w:color="auto" w:fill="auto"/>
            <w:vAlign w:val="bottom"/>
          </w:tcPr>
          <w:p w14:paraId="5FFDEC72"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1990</w:t>
            </w:r>
          </w:p>
        </w:tc>
        <w:tc>
          <w:tcPr>
            <w:tcW w:w="1300" w:type="dxa"/>
            <w:tcBorders>
              <w:top w:val="nil"/>
              <w:left w:val="nil"/>
              <w:bottom w:val="nil"/>
              <w:right w:val="nil"/>
            </w:tcBorders>
            <w:shd w:val="clear" w:color="auto" w:fill="auto"/>
            <w:vAlign w:val="bottom"/>
          </w:tcPr>
          <w:p w14:paraId="2B64B37F"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249</w:t>
            </w:r>
          </w:p>
        </w:tc>
        <w:tc>
          <w:tcPr>
            <w:tcW w:w="1220" w:type="dxa"/>
            <w:tcBorders>
              <w:top w:val="nil"/>
              <w:left w:val="nil"/>
              <w:bottom w:val="nil"/>
              <w:right w:val="nil"/>
            </w:tcBorders>
            <w:shd w:val="clear" w:color="auto" w:fill="auto"/>
            <w:vAlign w:val="bottom"/>
          </w:tcPr>
          <w:p w14:paraId="5146E00F"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217</w:t>
            </w:r>
          </w:p>
        </w:tc>
        <w:tc>
          <w:tcPr>
            <w:tcW w:w="1300" w:type="dxa"/>
            <w:tcBorders>
              <w:top w:val="nil"/>
              <w:left w:val="nil"/>
              <w:bottom w:val="nil"/>
              <w:right w:val="nil"/>
            </w:tcBorders>
            <w:shd w:val="clear" w:color="auto" w:fill="auto"/>
            <w:vAlign w:val="bottom"/>
          </w:tcPr>
          <w:p w14:paraId="270E7FE2"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2.24%</w:t>
            </w:r>
          </w:p>
        </w:tc>
      </w:tr>
      <w:tr w:rsidR="003A4178" w:rsidRPr="004B1DFF" w14:paraId="0CA95E45" w14:textId="77777777" w:rsidTr="750671CE">
        <w:trPr>
          <w:trHeight w:val="300"/>
        </w:trPr>
        <w:tc>
          <w:tcPr>
            <w:tcW w:w="2040" w:type="dxa"/>
            <w:tcBorders>
              <w:top w:val="nil"/>
              <w:left w:val="nil"/>
              <w:bottom w:val="nil"/>
              <w:right w:val="nil"/>
            </w:tcBorders>
            <w:shd w:val="clear" w:color="auto" w:fill="auto"/>
            <w:vAlign w:val="bottom"/>
          </w:tcPr>
          <w:p w14:paraId="0827D05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2000</w:t>
            </w:r>
          </w:p>
        </w:tc>
        <w:tc>
          <w:tcPr>
            <w:tcW w:w="1300" w:type="dxa"/>
            <w:tcBorders>
              <w:top w:val="nil"/>
              <w:left w:val="nil"/>
              <w:bottom w:val="nil"/>
              <w:right w:val="nil"/>
            </w:tcBorders>
            <w:shd w:val="clear" w:color="auto" w:fill="auto"/>
            <w:vAlign w:val="bottom"/>
          </w:tcPr>
          <w:p w14:paraId="7A70FBF6"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281</w:t>
            </w:r>
          </w:p>
        </w:tc>
        <w:tc>
          <w:tcPr>
            <w:tcW w:w="1220" w:type="dxa"/>
            <w:tcBorders>
              <w:top w:val="nil"/>
              <w:left w:val="nil"/>
              <w:bottom w:val="nil"/>
              <w:right w:val="nil"/>
            </w:tcBorders>
            <w:shd w:val="clear" w:color="auto" w:fill="auto"/>
            <w:vAlign w:val="bottom"/>
          </w:tcPr>
          <w:p w14:paraId="5B7F0274"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227</w:t>
            </w:r>
          </w:p>
        </w:tc>
        <w:tc>
          <w:tcPr>
            <w:tcW w:w="1300" w:type="dxa"/>
            <w:tcBorders>
              <w:top w:val="nil"/>
              <w:left w:val="nil"/>
              <w:bottom w:val="nil"/>
              <w:right w:val="nil"/>
            </w:tcBorders>
            <w:shd w:val="clear" w:color="auto" w:fill="auto"/>
            <w:vAlign w:val="bottom"/>
          </w:tcPr>
          <w:p w14:paraId="328E002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1.80%</w:t>
            </w:r>
          </w:p>
        </w:tc>
      </w:tr>
      <w:tr w:rsidR="003A4178" w:rsidRPr="004B1DFF" w14:paraId="25FBF2A3" w14:textId="77777777" w:rsidTr="750671CE">
        <w:trPr>
          <w:trHeight w:val="300"/>
        </w:trPr>
        <w:tc>
          <w:tcPr>
            <w:tcW w:w="2040" w:type="dxa"/>
            <w:tcBorders>
              <w:top w:val="nil"/>
              <w:left w:val="nil"/>
              <w:bottom w:val="nil"/>
              <w:right w:val="nil"/>
            </w:tcBorders>
            <w:shd w:val="clear" w:color="auto" w:fill="auto"/>
            <w:vAlign w:val="bottom"/>
          </w:tcPr>
          <w:p w14:paraId="58923F14"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2010</w:t>
            </w:r>
          </w:p>
        </w:tc>
        <w:tc>
          <w:tcPr>
            <w:tcW w:w="1300" w:type="dxa"/>
            <w:tcBorders>
              <w:top w:val="nil"/>
              <w:left w:val="nil"/>
              <w:bottom w:val="nil"/>
              <w:right w:val="nil"/>
            </w:tcBorders>
            <w:shd w:val="clear" w:color="auto" w:fill="auto"/>
            <w:vAlign w:val="bottom"/>
          </w:tcPr>
          <w:p w14:paraId="7D8ABD13"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309</w:t>
            </w:r>
          </w:p>
        </w:tc>
        <w:tc>
          <w:tcPr>
            <w:tcW w:w="1220" w:type="dxa"/>
            <w:tcBorders>
              <w:top w:val="nil"/>
              <w:left w:val="nil"/>
              <w:bottom w:val="nil"/>
              <w:right w:val="nil"/>
            </w:tcBorders>
            <w:shd w:val="clear" w:color="auto" w:fill="auto"/>
            <w:vAlign w:val="bottom"/>
          </w:tcPr>
          <w:p w14:paraId="4E8487CC"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265</w:t>
            </w:r>
          </w:p>
        </w:tc>
        <w:tc>
          <w:tcPr>
            <w:tcW w:w="1300" w:type="dxa"/>
            <w:tcBorders>
              <w:top w:val="nil"/>
              <w:left w:val="nil"/>
              <w:bottom w:val="nil"/>
              <w:right w:val="nil"/>
            </w:tcBorders>
            <w:shd w:val="clear" w:color="auto" w:fill="auto"/>
            <w:vAlign w:val="bottom"/>
          </w:tcPr>
          <w:p w14:paraId="4D5A8DBA" w14:textId="77777777" w:rsidR="003A4178" w:rsidRPr="00C3694F" w:rsidRDefault="750671CE" w:rsidP="750671CE">
            <w:pPr>
              <w:jc w:val="cente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1.82%</w:t>
            </w:r>
          </w:p>
        </w:tc>
      </w:tr>
    </w:tbl>
    <w:p w14:paraId="4D98176E" w14:textId="77777777" w:rsidR="00726447" w:rsidRPr="00C3694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Towers-Watson, </w:t>
      </w:r>
      <w:r w:rsidRPr="750671CE">
        <w:rPr>
          <w:rFonts w:ascii="Times New Roman" w:eastAsia="Times New Roman" w:hAnsi="Times New Roman" w:cs="Times New Roman"/>
          <w:i/>
          <w:iCs/>
          <w:sz w:val="20"/>
          <w:szCs w:val="20"/>
        </w:rPr>
        <w:t>2011 Update on U.S. Tort Cost Trends</w:t>
      </w:r>
      <w:r w:rsidRPr="750671CE">
        <w:rPr>
          <w:rFonts w:ascii="Times New Roman" w:eastAsia="Times New Roman" w:hAnsi="Times New Roman" w:cs="Times New Roman"/>
          <w:sz w:val="20"/>
          <w:szCs w:val="20"/>
        </w:rPr>
        <w:t>, http://www.casact</w:t>
      </w:r>
    </w:p>
    <w:p w14:paraId="5EC7A3FC" w14:textId="77777777" w:rsidR="003A4178" w:rsidRPr="00C3694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.org/library/studynotes/Towers-Watson-Tort-Cost-Trends.pdf. </w:t>
      </w:r>
    </w:p>
    <w:p w14:paraId="2BEAF043" w14:textId="77777777" w:rsidR="00312F6E" w:rsidRPr="004B1DFF" w:rsidRDefault="00312F6E" w:rsidP="00935D4A">
      <w:pPr>
        <w:rPr>
          <w:rFonts w:ascii="Times New Roman" w:hAnsi="Times New Roman" w:cs="Times New Roman"/>
        </w:rPr>
      </w:pPr>
    </w:p>
    <w:p w14:paraId="6F0FFB86" w14:textId="77777777" w:rsidR="003A4178" w:rsidRPr="00DA4F31" w:rsidRDefault="750671CE" w:rsidP="750671CE">
      <w:pPr>
        <w:rPr>
          <w:rFonts w:ascii="Times New Roman" w:eastAsia="Times New Roman" w:hAnsi="Times New Roman" w:cs="Times New Roman"/>
          <w:b/>
          <w:bCs/>
          <w:sz w:val="28"/>
          <w:szCs w:val="28"/>
        </w:rPr>
      </w:pPr>
      <w:r w:rsidRPr="750671CE">
        <w:rPr>
          <w:rFonts w:ascii="Times New Roman" w:eastAsia="Times New Roman" w:hAnsi="Times New Roman" w:cs="Times New Roman"/>
          <w:b/>
          <w:bCs/>
          <w:sz w:val="28"/>
          <w:szCs w:val="28"/>
        </w:rPr>
        <w:t>Tort Costs (billions) Adjusted for Inflation</w:t>
      </w:r>
    </w:p>
    <w:p w14:paraId="533144EE" w14:textId="77777777" w:rsidR="00DC2E72" w:rsidRPr="004B1DFF" w:rsidRDefault="00C8560F" w:rsidP="00935D4A">
      <w:pPr>
        <w:rPr>
          <w:rFonts w:ascii="Times New Roman" w:hAnsi="Times New Roman" w:cs="Times New Roman"/>
        </w:rPr>
      </w:pPr>
      <w:r w:rsidRPr="00C3694F">
        <w:rPr>
          <w:rFonts w:ascii="Times New Roman" w:hAnsi="Times New Roman"/>
          <w:noProof/>
          <w:lang w:eastAsia="en-US"/>
        </w:rPr>
        <w:drawing>
          <wp:inline distT="0" distB="0" distL="0" distR="0" wp14:anchorId="291A1861" wp14:editId="692603C6">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42E450A" w14:textId="77777777" w:rsidR="003A4178" w:rsidRPr="004B1DF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Source: Towers-Watson data, adjusted by the Consumer Price Index</w:t>
      </w:r>
    </w:p>
    <w:p w14:paraId="1E1B5DA9" w14:textId="77777777" w:rsidR="003A4178" w:rsidRPr="004B1DFF" w:rsidRDefault="003A4178" w:rsidP="00935D4A">
      <w:pPr>
        <w:rPr>
          <w:rFonts w:ascii="Times New Roman" w:hAnsi="Times New Roman" w:cs="Times New Roman"/>
        </w:rPr>
      </w:pPr>
    </w:p>
    <w:p w14:paraId="5B34BF93" w14:textId="35757A4F" w:rsidR="003A4178" w:rsidRPr="004B1DFF" w:rsidRDefault="00A802F6" w:rsidP="750671CE">
      <w:pPr>
        <w:rPr>
          <w:rFonts w:ascii="Times New Roman" w:eastAsia="Times New Roman" w:hAnsi="Times New Roman" w:cs="Times New Roman"/>
        </w:rPr>
      </w:pPr>
      <w:r w:rsidRPr="750671CE">
        <w:rPr>
          <w:rFonts w:ascii="Times New Roman" w:eastAsia="Times New Roman" w:hAnsi="Times New Roman" w:cs="Times New Roman"/>
          <w:b/>
          <w:bCs/>
          <w:sz w:val="28"/>
          <w:szCs w:val="28"/>
        </w:rPr>
        <w:t>Tort Costs as Percentage of GDP</w:t>
      </w:r>
      <w:r w:rsidR="00C8560F" w:rsidRPr="00C3694F">
        <w:rPr>
          <w:rFonts w:ascii="Times New Roman" w:hAnsi="Times New Roman" w:cs="Times New Roman"/>
          <w:noProof/>
          <w:sz w:val="20"/>
          <w:lang w:eastAsia="en-US"/>
        </w:rPr>
        <w:drawing>
          <wp:inline distT="0" distB="0" distL="0" distR="0" wp14:anchorId="726BA828" wp14:editId="271EEF95">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A6454B" w14:textId="77777777" w:rsidR="003A4178" w:rsidRPr="004B1DF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Source: Towers-Watson data</w:t>
      </w:r>
    </w:p>
    <w:p w14:paraId="19DDB207" w14:textId="77777777" w:rsidR="00FE76D8" w:rsidRPr="004B1DFF" w:rsidRDefault="00FE76D8" w:rsidP="00935D4A">
      <w:pPr>
        <w:rPr>
          <w:rFonts w:ascii="Times New Roman" w:hAnsi="Times New Roman" w:cs="Times New Roman"/>
        </w:rPr>
      </w:pPr>
    </w:p>
    <w:p w14:paraId="690363A6" w14:textId="77777777" w:rsidR="00B910BB"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Even with the slower growth of recent years, the figures for transfers and administrative costs in tort law are far higher in the United States than in any comparable legal system or economy.  </w:t>
      </w:r>
    </w:p>
    <w:p w14:paraId="4212BE7B" w14:textId="77777777" w:rsidR="00B910BB" w:rsidRPr="004B1DFF" w:rsidRDefault="00B910BB" w:rsidP="00935D4A">
      <w:pPr>
        <w:rPr>
          <w:rFonts w:ascii="Times New Roman" w:hAnsi="Times New Roman" w:cs="Times New Roman"/>
        </w:rPr>
      </w:pPr>
    </w:p>
    <w:p w14:paraId="64225317" w14:textId="77777777" w:rsidR="00312F6E" w:rsidRPr="00F53848" w:rsidRDefault="750671CE" w:rsidP="750671CE">
      <w:pPr>
        <w:rPr>
          <w:rFonts w:ascii="Times New Roman" w:eastAsia="Times New Roman" w:hAnsi="Times New Roman" w:cs="Times New Roman"/>
          <w:b/>
          <w:bCs/>
          <w:sz w:val="28"/>
          <w:szCs w:val="28"/>
        </w:rPr>
      </w:pPr>
      <w:r w:rsidRPr="750671CE">
        <w:rPr>
          <w:rFonts w:ascii="Times New Roman" w:eastAsia="Times New Roman" w:hAnsi="Times New Roman" w:cs="Times New Roman"/>
          <w:b/>
          <w:bCs/>
          <w:sz w:val="28"/>
          <w:szCs w:val="28"/>
        </w:rPr>
        <w:t>Comparative Tort Costs as a Percentage of GDP in 2000</w:t>
      </w:r>
    </w:p>
    <w:p w14:paraId="13DA9477" w14:textId="77777777" w:rsidR="00FE76D8" w:rsidRPr="004B1DFF" w:rsidRDefault="00C8560F" w:rsidP="00935D4A">
      <w:pPr>
        <w:rPr>
          <w:rFonts w:ascii="Times New Roman" w:hAnsi="Times New Roman" w:cs="Times New Roman"/>
        </w:rPr>
      </w:pPr>
      <w:r w:rsidRPr="00C3694F">
        <w:rPr>
          <w:rFonts w:ascii="Times New Roman" w:hAnsi="Times New Roman"/>
          <w:noProof/>
          <w:lang w:eastAsia="en-US"/>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37E5D6A" w14:textId="77777777" w:rsidR="00313E04" w:rsidRPr="004B1DFF" w:rsidRDefault="750671CE" w:rsidP="750671CE">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Tillinghast-Towers Perrin, </w:t>
      </w:r>
      <w:r w:rsidRPr="750671CE">
        <w:rPr>
          <w:rFonts w:ascii="Times New Roman" w:eastAsia="Times New Roman" w:hAnsi="Times New Roman" w:cs="Times New Roman"/>
          <w:i/>
          <w:iCs/>
          <w:sz w:val="20"/>
          <w:szCs w:val="20"/>
        </w:rPr>
        <w:t>U.S. Tort Costs and Cross-Border Perspectives: 2005 Update</w:t>
      </w:r>
      <w:r w:rsidRPr="750671CE">
        <w:rPr>
          <w:rFonts w:ascii="Times New Roman" w:eastAsia="Times New Roman" w:hAnsi="Times New Roman" w:cs="Times New Roman"/>
          <w:sz w:val="20"/>
          <w:szCs w:val="20"/>
        </w:rPr>
        <w:t>, http://</w:t>
      </w:r>
    </w:p>
    <w:p w14:paraId="61D29096" w14:textId="76E1E6E3" w:rsidR="00312F6E" w:rsidRPr="004B1DFF" w:rsidRDefault="750671CE" w:rsidP="750671CE">
      <w:pPr>
        <w:pStyle w:val="Default"/>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www.legalreforminthenews.com/Reports/Tort_Costs_2005_Update.pdf.</w:t>
      </w:r>
    </w:p>
    <w:p w14:paraId="6601A59A" w14:textId="77777777" w:rsidR="00312F6E" w:rsidRPr="004B1DFF" w:rsidRDefault="00312F6E" w:rsidP="00935D4A">
      <w:pPr>
        <w:rPr>
          <w:rStyle w:val="A21"/>
          <w:rFonts w:ascii="Helvetica 55 Roman" w:hAnsi="Helvetica 55 Roman"/>
        </w:rPr>
      </w:pPr>
    </w:p>
    <w:p w14:paraId="683B005A" w14:textId="77777777" w:rsidR="009B2208"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There is at least one country where tort costs as a percentage of GDP are near zero: New Zealand simply abolished tort law for virtually all injuries forty years ago, replacing it with a system of social insurance.  </w:t>
      </w:r>
    </w:p>
    <w:p w14:paraId="3A895CC1" w14:textId="77777777" w:rsidR="009B2208" w:rsidRPr="004B1DFF" w:rsidRDefault="009B2208" w:rsidP="00935D4A">
      <w:pPr>
        <w:rPr>
          <w:rFonts w:ascii="Times New Roman" w:hAnsi="Times New Roman" w:cs="Times New Roman"/>
        </w:rPr>
      </w:pPr>
    </w:p>
    <w:p w14:paraId="42B82CB5" w14:textId="0589E3F9" w:rsidR="00ED61BF"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bar whose fees are contingent percentages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ultimate recovery, and more.  </w:t>
      </w:r>
    </w:p>
    <w:p w14:paraId="2E97F85E" w14:textId="77777777" w:rsidR="00ED61BF" w:rsidRPr="004B1DFF" w:rsidRDefault="00ED61BF" w:rsidP="00935D4A">
      <w:pPr>
        <w:rPr>
          <w:rFonts w:ascii="Times New Roman" w:hAnsi="Times New Roman" w:cs="Times New Roman"/>
        </w:rPr>
      </w:pPr>
    </w:p>
    <w:p w14:paraId="171FF51C" w14:textId="68EA940D" w:rsidR="00FF16D7" w:rsidRPr="008A3C5C"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worth noting that the data cited above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w:t>
      </w:r>
      <w:r w:rsidRPr="008A3C5C">
        <w:rPr>
          <w:rFonts w:ascii="Times New Roman" w:eastAsia="Times New Roman" w:hAnsi="Times New Roman" w:cs="Times New Roman"/>
        </w:rPr>
        <w:t xml:space="preserve">costs and thus serve the interests of insurers and the tort defendants they insure.  </w:t>
      </w:r>
      <w:r w:rsidRPr="00C90321">
        <w:rPr>
          <w:rFonts w:ascii="Times New Roman" w:eastAsia="Times New Roman" w:hAnsi="Times New Roman" w:cs="Times New Roman"/>
          <w:i/>
          <w:iCs/>
        </w:rPr>
        <w:t>See, e.g.</w:t>
      </w:r>
      <w:r w:rsidRPr="00C90321">
        <w:rPr>
          <w:rFonts w:ascii="Times New Roman" w:eastAsia="Times New Roman" w:hAnsi="Times New Roman" w:cs="Times New Roman"/>
        </w:rPr>
        <w:t xml:space="preserve">, Lawrence Chimerine &amp; Ross Eisenbrey, </w:t>
      </w:r>
      <w:r w:rsidRPr="00C90321">
        <w:rPr>
          <w:rFonts w:ascii="Times New Roman" w:eastAsia="Times New Roman" w:hAnsi="Times New Roman" w:cs="Times New Roman"/>
          <w:i/>
          <w:iCs/>
        </w:rPr>
        <w:t>The Frivolous Case for Tort Law Change</w:t>
      </w:r>
      <w:r w:rsidRPr="00C90321">
        <w:rPr>
          <w:rFonts w:ascii="Times New Roman" w:eastAsia="Times New Roman" w:hAnsi="Times New Roman" w:cs="Times New Roman"/>
        </w:rPr>
        <w:t xml:space="preserve">, </w:t>
      </w:r>
      <w:r w:rsidRPr="00C90321">
        <w:rPr>
          <w:rFonts w:ascii="Times New Roman" w:eastAsia="Times New Roman" w:hAnsi="Times New Roman" w:cs="Times New Roman"/>
          <w:smallCaps/>
        </w:rPr>
        <w:t>Econ. Pol</w:t>
      </w:r>
      <w:r w:rsidR="00B05F31" w:rsidRPr="00C90321">
        <w:rPr>
          <w:rFonts w:ascii="Times New Roman" w:eastAsia="Times New Roman" w:hAnsi="Times New Roman" w:cs="Times New Roman"/>
          <w:smallCaps/>
        </w:rPr>
        <w:t>’</w:t>
      </w:r>
      <w:r w:rsidRPr="00C90321">
        <w:rPr>
          <w:rFonts w:ascii="Times New Roman" w:eastAsia="Times New Roman" w:hAnsi="Times New Roman" w:cs="Times New Roman"/>
          <w:smallCaps/>
        </w:rPr>
        <w:t>y Inst. (</w:t>
      </w:r>
      <w:r w:rsidRPr="00C90321">
        <w:rPr>
          <w:rFonts w:ascii="Times New Roman" w:eastAsia="Times New Roman" w:hAnsi="Times New Roman" w:cs="Times New Roman"/>
        </w:rPr>
        <w:t xml:space="preserve">May 16, 2005), </w:t>
      </w:r>
      <w:r w:rsidRPr="00591009">
        <w:rPr>
          <w:rFonts w:ascii="Times New Roman" w:hAnsi="Times New Roman" w:cs="Times New Roman"/>
        </w:rPr>
        <w:t>http://www.epi.org/publication</w:t>
      </w:r>
    </w:p>
    <w:p w14:paraId="400AE72C" w14:textId="288640D9" w:rsidR="00C8560F" w:rsidRDefault="750671CE" w:rsidP="750671CE">
      <w:pPr>
        <w:pStyle w:val="FootnoteText"/>
        <w:rPr>
          <w:rFonts w:ascii="Times New Roman" w:eastAsia="Times New Roman" w:hAnsi="Times New Roman" w:cs="Times New Roman"/>
        </w:rPr>
      </w:pPr>
      <w:r w:rsidRPr="00C90321">
        <w:rPr>
          <w:rFonts w:ascii="Times New Roman" w:eastAsia="Times New Roman" w:hAnsi="Times New Roman" w:cs="Times New Roman"/>
        </w:rPr>
        <w:t>/bp157/.  The critics complain both that certain elements of the cost calculation, such as insurance executive compensation, ought to be excluded, and that Towers-Watson and its predecessors misstate the</w:t>
      </w:r>
      <w:r w:rsidRPr="750671CE">
        <w:rPr>
          <w:rFonts w:ascii="Times New Roman" w:eastAsia="Times New Roman" w:hAnsi="Times New Roman" w:cs="Times New Roman"/>
        </w:rPr>
        <w:t xml:space="preserve"> concept of costs in the tort system.  Both critiques have some force.  The latter critique in particular has obvious merit.  Why, after all, call the monetary transfers in the tort system the </w:t>
      </w:r>
      <w:r w:rsidR="00B05F31">
        <w:rPr>
          <w:rFonts w:ascii="Times New Roman" w:eastAsia="Times New Roman" w:hAnsi="Times New Roman" w:cs="Times New Roman"/>
        </w:rPr>
        <w:t>“</w:t>
      </w:r>
      <w:r w:rsidRPr="750671CE">
        <w:rPr>
          <w:rFonts w:ascii="Times New Roman" w:eastAsia="Times New Roman" w:hAnsi="Times New Roman" w:cs="Times New Roman"/>
        </w:rPr>
        <w:t>costs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tort law?  The costs might much better be described as the underlying injuries plus avoidance costs plus the costs of administering claims when injuries happen.  Is it a </w:t>
      </w:r>
      <w:r w:rsidR="00B05F31">
        <w:rPr>
          <w:rFonts w:ascii="Times New Roman" w:eastAsia="Times New Roman" w:hAnsi="Times New Roman" w:cs="Times New Roman"/>
        </w:rPr>
        <w:t>“</w:t>
      </w:r>
      <w:r w:rsidRPr="750671CE">
        <w:rPr>
          <w:rFonts w:ascii="Times New Roman" w:eastAsia="Times New Roman" w:hAnsi="Times New Roman" w:cs="Times New Roman"/>
        </w:rPr>
        <w:t>cost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when tort law transfers money from wrongdoer to victim?  Or is it a </w:t>
      </w:r>
      <w:r w:rsidR="00B05F31">
        <w:rPr>
          <w:rFonts w:ascii="Times New Roman" w:eastAsia="Times New Roman" w:hAnsi="Times New Roman" w:cs="Times New Roman"/>
        </w:rPr>
        <w:t>“</w:t>
      </w:r>
      <w:r w:rsidRPr="750671CE">
        <w:rPr>
          <w:rFonts w:ascii="Times New Roman" w:eastAsia="Times New Roman" w:hAnsi="Times New Roman" w:cs="Times New Roman"/>
        </w:rPr>
        <w:t>cost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when a wrongdoer injured the victim in the first place?  For a general theory of the sum of accident costs, see </w:t>
      </w:r>
      <w:r w:rsidRPr="750671CE">
        <w:rPr>
          <w:rFonts w:ascii="Times New Roman" w:eastAsia="Times New Roman" w:hAnsi="Times New Roman" w:cs="Times New Roman"/>
          <w:smallCaps/>
        </w:rPr>
        <w:t>Guido Calabresi, The Costs of Accidents</w:t>
      </w:r>
      <w:r w:rsidRPr="750671CE">
        <w:rPr>
          <w:rFonts w:ascii="Times New Roman" w:eastAsia="Times New Roman" w:hAnsi="Times New Roman" w:cs="Times New Roman"/>
        </w:rPr>
        <w:t xml:space="preserve"> (1970).</w:t>
      </w:r>
    </w:p>
    <w:p w14:paraId="7D535F11" w14:textId="77777777" w:rsidR="006E6D0D" w:rsidRPr="004B1DFF" w:rsidRDefault="006E6D0D" w:rsidP="00935D4A">
      <w:pPr>
        <w:rPr>
          <w:rFonts w:ascii="Times New Roman" w:hAnsi="Times New Roman" w:cs="Times New Roman"/>
        </w:rPr>
      </w:pPr>
    </w:p>
    <w:p w14:paraId="02731873" w14:textId="216E8319" w:rsidR="006E6D0D" w:rsidRPr="004B1DFF" w:rsidRDefault="006E6D0D" w:rsidP="750671CE">
      <w:pPr>
        <w:rPr>
          <w:rFonts w:ascii="Times New Roman" w:eastAsia="Times New Roman" w:hAnsi="Times New Roman" w:cs="Times New Roman"/>
        </w:rPr>
      </w:pPr>
      <w:r w:rsidRPr="004B1DFF">
        <w:rPr>
          <w:rFonts w:ascii="Times New Roman" w:hAnsi="Times New Roman" w:cs="Times New Roman"/>
        </w:rPr>
        <w:tab/>
      </w:r>
      <w:r w:rsidR="00312F6E" w:rsidRPr="750671CE">
        <w:rPr>
          <w:rFonts w:ascii="Times New Roman" w:eastAsia="Times New Roman" w:hAnsi="Times New Roman" w:cs="Times New Roman"/>
        </w:rPr>
        <w:t>Despite the criticisms, however,</w:t>
      </w:r>
      <w:r w:rsidR="005D1720" w:rsidRPr="750671CE">
        <w:rPr>
          <w:rFonts w:ascii="Times New Roman" w:eastAsia="Times New Roman" w:hAnsi="Times New Roman" w:cs="Times New Roman"/>
        </w:rPr>
        <w:t xml:space="preserve"> </w:t>
      </w:r>
      <w:r w:rsidR="00D33EE5" w:rsidRPr="750671CE">
        <w:rPr>
          <w:rFonts w:ascii="Times New Roman" w:eastAsia="Times New Roman" w:hAnsi="Times New Roman" w:cs="Times New Roman"/>
        </w:rPr>
        <w:t xml:space="preserve">there is also </w:t>
      </w:r>
      <w:r w:rsidR="00FF16D7" w:rsidRPr="750671CE">
        <w:rPr>
          <w:rFonts w:ascii="Times New Roman" w:eastAsia="Times New Roman" w:hAnsi="Times New Roman" w:cs="Times New Roman"/>
        </w:rPr>
        <w:t xml:space="preserve">a </w:t>
      </w:r>
      <w:r w:rsidR="00D33EE5" w:rsidRPr="750671CE">
        <w:rPr>
          <w:rFonts w:ascii="Times New Roman" w:eastAsia="Times New Roman" w:hAnsi="Times New Roman" w:cs="Times New Roman"/>
        </w:rPr>
        <w:t>good reason to use</w:t>
      </w:r>
      <w:r w:rsidR="00CD3113" w:rsidRPr="750671CE">
        <w:rPr>
          <w:rFonts w:ascii="Times New Roman" w:eastAsia="Times New Roman" w:hAnsi="Times New Roman" w:cs="Times New Roman"/>
        </w:rPr>
        <w:t xml:space="preserve"> the insurers</w:t>
      </w:r>
      <w:r w:rsidR="00B05F31">
        <w:rPr>
          <w:rFonts w:ascii="Times New Roman" w:eastAsia="Times New Roman" w:hAnsi="Times New Roman" w:cs="Times New Roman"/>
        </w:rPr>
        <w:t>’</w:t>
      </w:r>
      <w:r w:rsidR="00CD3113" w:rsidRPr="750671CE">
        <w:rPr>
          <w:rFonts w:ascii="Times New Roman" w:eastAsia="Times New Roman" w:hAnsi="Times New Roman" w:cs="Times New Roman"/>
        </w:rPr>
        <w:t xml:space="preserve"> data as a basic measure of the tort system</w:t>
      </w:r>
      <w:r w:rsidR="00D33EE5" w:rsidRPr="750671CE">
        <w:rPr>
          <w:rFonts w:ascii="Times New Roman" w:eastAsia="Times New Roman" w:hAnsi="Times New Roman" w:cs="Times New Roman"/>
        </w:rPr>
        <w:t xml:space="preserve">.  </w:t>
      </w:r>
      <w:r w:rsidR="00FE76D8" w:rsidRPr="750671CE">
        <w:rPr>
          <w:rFonts w:ascii="Times New Roman" w:eastAsia="Times New Roman" w:hAnsi="Times New Roman" w:cs="Times New Roman"/>
        </w:rPr>
        <w:t>For t</w:t>
      </w:r>
      <w:r w:rsidRPr="750671CE">
        <w:rPr>
          <w:rFonts w:ascii="Times New Roman" w:eastAsia="Times New Roman" w:hAnsi="Times New Roman" w:cs="Times New Roman"/>
        </w:rPr>
        <w:t>he startling thing about tort law</w:t>
      </w:r>
      <w:r w:rsidR="00D33EE5" w:rsidRPr="750671CE">
        <w:rPr>
          <w:rFonts w:ascii="Times New Roman" w:eastAsia="Times New Roman" w:hAnsi="Times New Roman" w:cs="Times New Roman"/>
        </w:rPr>
        <w:t xml:space="preserve"> in the United States</w:t>
      </w:r>
      <w:r w:rsidRPr="750671CE">
        <w:rPr>
          <w:rFonts w:ascii="Times New Roman" w:eastAsia="Times New Roman" w:hAnsi="Times New Roman" w:cs="Times New Roman"/>
        </w:rPr>
        <w:t xml:space="preserve"> is that</w:t>
      </w:r>
      <w:r w:rsidR="005D1720" w:rsidRPr="750671CE">
        <w:rPr>
          <w:rFonts w:ascii="Times New Roman" w:eastAsia="Times New Roman" w:hAnsi="Times New Roman" w:cs="Times New Roman"/>
        </w:rPr>
        <w:t xml:space="preserve"> insurers</w:t>
      </w:r>
      <w:r w:rsidR="00B05F31">
        <w:rPr>
          <w:rFonts w:ascii="Times New Roman" w:eastAsia="Times New Roman" w:hAnsi="Times New Roman" w:cs="Times New Roman"/>
        </w:rPr>
        <w:t>’</w:t>
      </w:r>
      <w:r w:rsidR="005D1720" w:rsidRPr="750671CE">
        <w:rPr>
          <w:rFonts w:ascii="Times New Roman" w:eastAsia="Times New Roman" w:hAnsi="Times New Roman" w:cs="Times New Roman"/>
        </w:rPr>
        <w:t xml:space="preserve"> private information is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the only way</w:t>
      </w:r>
      <w:r w:rsidRPr="750671CE">
        <w:rPr>
          <w:rFonts w:ascii="Times New Roman" w:eastAsia="Times New Roman" w:hAnsi="Times New Roman" w:cs="Times New Roman"/>
        </w:rPr>
        <w:t xml:space="preserve"> we can even possibly begin to grasp the full size and scope of the tort system.  </w:t>
      </w:r>
      <w:r w:rsidR="005D1720" w:rsidRPr="750671CE">
        <w:rPr>
          <w:rFonts w:ascii="Times New Roman" w:eastAsia="Times New Roman" w:hAnsi="Times New Roman" w:cs="Times New Roman"/>
        </w:rPr>
        <w:t>This is worth emphasizing again: the biggest insurers and only the biggest insurers are in a position to see the macro trends in the field.  Th</w:t>
      </w:r>
      <w:r w:rsidR="00FE76D8" w:rsidRPr="750671CE">
        <w:rPr>
          <w:rFonts w:ascii="Times New Roman" w:eastAsia="Times New Roman" w:hAnsi="Times New Roman" w:cs="Times New Roman"/>
        </w:rPr>
        <w:t xml:space="preserve">e reason is that </w:t>
      </w:r>
      <w:r w:rsidR="005D1720" w:rsidRPr="750671CE">
        <w:rPr>
          <w:rFonts w:ascii="Times New Roman" w:eastAsia="Times New Roman" w:hAnsi="Times New Roman" w:cs="Times New Roman"/>
        </w:rPr>
        <w:t>t</w:t>
      </w:r>
      <w:r w:rsidR="002456B0" w:rsidRPr="750671CE">
        <w:rPr>
          <w:rFonts w:ascii="Times New Roman" w:eastAsia="Times New Roman" w:hAnsi="Times New Roman" w:cs="Times New Roman"/>
        </w:rPr>
        <w:t>he pervasiveness of private settlement</w:t>
      </w:r>
      <w:r w:rsidR="005D1720" w:rsidRPr="750671CE">
        <w:rPr>
          <w:rFonts w:ascii="Times New Roman" w:eastAsia="Times New Roman" w:hAnsi="Times New Roman" w:cs="Times New Roman"/>
        </w:rPr>
        <w:t xml:space="preserve"> </w:t>
      </w:r>
      <w:r w:rsidR="00FE76D8" w:rsidRPr="750671CE">
        <w:rPr>
          <w:rFonts w:ascii="Times New Roman" w:eastAsia="Times New Roman" w:hAnsi="Times New Roman" w:cs="Times New Roman"/>
        </w:rPr>
        <w:t>ensure</w:t>
      </w:r>
      <w:r w:rsidR="002456B0" w:rsidRPr="750671CE">
        <w:rPr>
          <w:rFonts w:ascii="Times New Roman" w:eastAsia="Times New Roman" w:hAnsi="Times New Roman" w:cs="Times New Roman"/>
        </w:rPr>
        <w:t>s</w:t>
      </w:r>
      <w:r w:rsidR="00A802F6" w:rsidRPr="750671CE">
        <w:rPr>
          <w:rFonts w:ascii="Times New Roman" w:eastAsia="Times New Roman" w:hAnsi="Times New Roman" w:cs="Times New Roman"/>
        </w:rPr>
        <w:t xml:space="preserve">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w:t>
      </w:r>
      <w:r w:rsidR="000B21AD" w:rsidRPr="750671CE">
        <w:rPr>
          <w:rFonts w:ascii="Times New Roman" w:eastAsia="Times New Roman" w:hAnsi="Times New Roman" w:cs="Times New Roman"/>
        </w:rPr>
        <w:t>—</w:t>
      </w:r>
      <w:r w:rsidR="005D1720" w:rsidRPr="750671CE">
        <w:rPr>
          <w:rFonts w:ascii="Times New Roman" w:eastAsia="Times New Roman" w:hAnsi="Times New Roman" w:cs="Times New Roman"/>
        </w:rPr>
        <w:t xml:space="preserve">promises that are enforceable under current law, despite the protests of many </w:t>
      </w:r>
      <w:r w:rsidR="00427F23" w:rsidRPr="750671CE">
        <w:rPr>
          <w:rFonts w:ascii="Times New Roman" w:eastAsia="Times New Roman" w:hAnsi="Times New Roman" w:cs="Times New Roman"/>
        </w:rPr>
        <w:t xml:space="preserve">well-positioned </w:t>
      </w:r>
      <w:r w:rsidR="005D1720" w:rsidRPr="750671CE">
        <w:rPr>
          <w:rFonts w:ascii="Times New Roman" w:eastAsia="Times New Roman" w:hAnsi="Times New Roman" w:cs="Times New Roman"/>
        </w:rPr>
        <w:t xml:space="preserve">observers.  </w:t>
      </w:r>
    </w:p>
    <w:p w14:paraId="147D9E44" w14:textId="77777777" w:rsidR="006E6D0D" w:rsidRPr="004B1DFF" w:rsidRDefault="006E6D0D" w:rsidP="00935D4A">
      <w:pPr>
        <w:rPr>
          <w:rFonts w:ascii="Times New Roman" w:hAnsi="Times New Roman" w:cs="Times New Roman"/>
        </w:rPr>
      </w:pPr>
    </w:p>
    <w:p w14:paraId="322D49CF" w14:textId="7E415D26" w:rsidR="00306C55" w:rsidRPr="004B1DFF" w:rsidRDefault="00375E62" w:rsidP="750671CE">
      <w:pPr>
        <w:rPr>
          <w:rFonts w:ascii="Times New Roman" w:eastAsia="Times New Roman" w:hAnsi="Times New Roman" w:cs="Times New Roman"/>
        </w:rPr>
      </w:pPr>
      <w:r w:rsidRPr="004B1DFF">
        <w:rPr>
          <w:rFonts w:ascii="Times New Roman" w:hAnsi="Times New Roman" w:cs="Times New Roman"/>
        </w:rPr>
        <w:tab/>
      </w:r>
      <w:r w:rsidRPr="750671CE">
        <w:rPr>
          <w:rFonts w:ascii="Times New Roman" w:eastAsia="Times New Roman" w:hAnsi="Times New Roman" w:cs="Times New Roman"/>
        </w:rPr>
        <w:t xml:space="preserve">In short, the only institutions that could possibly know the overall </w:t>
      </w:r>
      <w:r w:rsidR="003E5B32" w:rsidRPr="750671CE">
        <w:rPr>
          <w:rFonts w:ascii="Times New Roman" w:eastAsia="Times New Roman" w:hAnsi="Times New Roman" w:cs="Times New Roman"/>
        </w:rPr>
        <w:t>size</w:t>
      </w:r>
      <w:r w:rsidRPr="750671CE">
        <w:rPr>
          <w:rFonts w:ascii="Times New Roman" w:eastAsia="Times New Roman" w:hAnsi="Times New Roman" w:cs="Times New Roman"/>
        </w:rPr>
        <w:t xml:space="preserve"> of </w:t>
      </w:r>
      <w:r w:rsidR="003E5B32" w:rsidRPr="750671CE">
        <w:rPr>
          <w:rFonts w:ascii="Times New Roman" w:eastAsia="Times New Roman" w:hAnsi="Times New Roman" w:cs="Times New Roman"/>
        </w:rPr>
        <w:t xml:space="preserve">the </w:t>
      </w:r>
      <w:r w:rsidRPr="750671CE">
        <w:rPr>
          <w:rFonts w:ascii="Times New Roman" w:eastAsia="Times New Roman" w:hAnsi="Times New Roman" w:cs="Times New Roman"/>
        </w:rPr>
        <w:t xml:space="preserve">American tort </w:t>
      </w:r>
      <w:r w:rsidR="003E5B32" w:rsidRPr="750671CE">
        <w:rPr>
          <w:rFonts w:ascii="Times New Roman" w:eastAsia="Times New Roman" w:hAnsi="Times New Roman" w:cs="Times New Roman"/>
        </w:rPr>
        <w:t>system</w:t>
      </w:r>
      <w:r w:rsidRPr="750671CE">
        <w:rPr>
          <w:rFonts w:ascii="Times New Roman" w:eastAsia="Times New Roman" w:hAnsi="Times New Roman" w:cs="Times New Roman"/>
        </w:rPr>
        <w:t xml:space="preserve"> are the insurers</w:t>
      </w:r>
      <w:r w:rsidR="00D33EE5" w:rsidRPr="750671CE">
        <w:rPr>
          <w:rFonts w:ascii="Times New Roman" w:eastAsia="Times New Roman" w:hAnsi="Times New Roman" w:cs="Times New Roman"/>
        </w:rPr>
        <w:t>.  A</w:t>
      </w:r>
      <w:r w:rsidR="008A7534" w:rsidRPr="750671CE">
        <w:rPr>
          <w:rFonts w:ascii="Times New Roman" w:eastAsia="Times New Roman" w:hAnsi="Times New Roman" w:cs="Times New Roman"/>
        </w:rPr>
        <w:t xml:space="preserve">nd that tells us a lot about the system we are </w:t>
      </w:r>
      <w:r w:rsidR="008A7534" w:rsidRPr="750671CE">
        <w:rPr>
          <w:rFonts w:ascii="Times New Roman" w:eastAsia="Times New Roman" w:hAnsi="Times New Roman" w:cs="Times New Roman"/>
        </w:rPr>
        <w:lastRenderedPageBreak/>
        <w:t xml:space="preserve">studying.  It is </w:t>
      </w:r>
      <w:r w:rsidR="00D33EE5" w:rsidRPr="750671CE">
        <w:rPr>
          <w:rFonts w:ascii="Times New Roman" w:eastAsia="Times New Roman" w:hAnsi="Times New Roman" w:cs="Times New Roman"/>
        </w:rPr>
        <w:t xml:space="preserve">party-driven, </w:t>
      </w:r>
      <w:r w:rsidR="008A7534" w:rsidRPr="750671CE">
        <w:rPr>
          <w:rFonts w:ascii="Times New Roman" w:eastAsia="Times New Roman" w:hAnsi="Times New Roman" w:cs="Times New Roman"/>
        </w:rPr>
        <w:t>highly opaque</w:t>
      </w:r>
      <w:r w:rsidR="00D33EE5" w:rsidRPr="750671CE">
        <w:rPr>
          <w:rFonts w:ascii="Times New Roman" w:eastAsia="Times New Roman" w:hAnsi="Times New Roman" w:cs="Times New Roman"/>
        </w:rPr>
        <w:t>,</w:t>
      </w:r>
      <w:r w:rsidR="008A7534" w:rsidRPr="750671CE">
        <w:rPr>
          <w:rFonts w:ascii="Times New Roman" w:eastAsia="Times New Roman" w:hAnsi="Times New Roman" w:cs="Times New Roman"/>
        </w:rPr>
        <w:t xml:space="preserve"> radically decentralized</w:t>
      </w:r>
      <w:r w:rsidR="000038EE" w:rsidRPr="750671CE">
        <w:rPr>
          <w:rFonts w:ascii="Times New Roman" w:eastAsia="Times New Roman" w:hAnsi="Times New Roman" w:cs="Times New Roman"/>
        </w:rPr>
        <w:t>, and vast</w:t>
      </w:r>
      <w:r w:rsidR="00A802F6" w:rsidRPr="750671CE">
        <w:rPr>
          <w:rFonts w:ascii="Times New Roman" w:eastAsia="Times New Roman" w:hAnsi="Times New Roman" w:cs="Times New Roman"/>
        </w:rPr>
        <w:t>.  Taken together, these features present the tort lawye</w:t>
      </w:r>
      <w:r w:rsidR="008E56CF">
        <w:rPr>
          <w:rFonts w:ascii="Times New Roman" w:eastAsia="Times New Roman" w:hAnsi="Times New Roman" w:cs="Times New Roman"/>
        </w:rPr>
        <w:t>r with an important challenge: W</w:t>
      </w:r>
      <w:r w:rsidR="00A802F6" w:rsidRPr="750671CE">
        <w:rPr>
          <w:rFonts w:ascii="Times New Roman" w:eastAsia="Times New Roman" w:hAnsi="Times New Roman" w:cs="Times New Roman"/>
        </w:rPr>
        <w:t xml:space="preserve">hat goals or moral projects could possibly be so important as to make U.S. tort law worth its stunningly high costs?  </w:t>
      </w:r>
    </w:p>
    <w:p w14:paraId="458C27D6" w14:textId="77777777" w:rsidR="007B6FB9" w:rsidRDefault="007B6FB9" w:rsidP="00E421F2">
      <w:pPr>
        <w:rPr>
          <w:rFonts w:ascii="Times New Roman" w:hAnsi="Times New Roman" w:cs="Times New Roman"/>
        </w:rPr>
      </w:pPr>
    </w:p>
    <w:p w14:paraId="2FA1894F" w14:textId="77777777" w:rsidR="00644103" w:rsidRPr="004B1DFF" w:rsidRDefault="00644103" w:rsidP="00E421F2">
      <w:pPr>
        <w:rPr>
          <w:rFonts w:ascii="Times New Roman" w:hAnsi="Times New Roman" w:cs="Times New Roman"/>
        </w:rPr>
      </w:pPr>
    </w:p>
    <w:p w14:paraId="2CE109EB" w14:textId="32CB8064" w:rsidR="00E421F2" w:rsidRPr="004B1DFF" w:rsidRDefault="00DA4F31" w:rsidP="00322687">
      <w:pPr>
        <w:pStyle w:val="Heading3"/>
      </w:pPr>
      <w:bookmarkStart w:id="35" w:name="_Toc364636039"/>
      <w:bookmarkStart w:id="36" w:name="_Toc518323197"/>
      <w:r>
        <w:t xml:space="preserve">5. </w:t>
      </w:r>
      <w:r w:rsidR="00A802F6" w:rsidRPr="00C3694F">
        <w:t>Accident Rates and the Deterrence Goal</w:t>
      </w:r>
      <w:bookmarkEnd w:id="35"/>
      <w:bookmarkEnd w:id="36"/>
    </w:p>
    <w:p w14:paraId="504659A8" w14:textId="77777777" w:rsidR="00E421F2" w:rsidRPr="004B1DFF" w:rsidRDefault="00E421F2" w:rsidP="00E421F2">
      <w:pPr>
        <w:rPr>
          <w:rFonts w:ascii="Times New Roman" w:hAnsi="Times New Roman" w:cs="Times New Roman"/>
        </w:rPr>
      </w:pPr>
    </w:p>
    <w:p w14:paraId="35EA6157" w14:textId="77777777" w:rsidR="00582E75" w:rsidRPr="004B1DFF" w:rsidRDefault="00A802F6" w:rsidP="750671CE">
      <w:pPr>
        <w:rPr>
          <w:rFonts w:ascii="Times New Roman" w:eastAsia="Times New Roman" w:hAnsi="Times New Roman" w:cs="Times New Roman"/>
        </w:rPr>
      </w:pPr>
      <w:r w:rsidRPr="00C3694F">
        <w:rPr>
          <w:rFonts w:ascii="Times New Roman" w:hAnsi="Times New Roman" w:cs="Times New Roman"/>
        </w:rPr>
        <w:tab/>
      </w:r>
      <w:r w:rsidRPr="750671CE">
        <w:rPr>
          <w:rFonts w:ascii="Times New Roman" w:eastAsia="Times New Roman" w:hAnsi="Times New Roman" w:cs="Times New Roman"/>
        </w:rPr>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7BA5223D" w14:textId="77777777" w:rsidR="00582E75" w:rsidRPr="004B1DFF" w:rsidRDefault="00582E75" w:rsidP="00E421F2">
      <w:pPr>
        <w:rPr>
          <w:rFonts w:ascii="Times New Roman" w:hAnsi="Times New Roman" w:cs="Times New Roman"/>
        </w:rPr>
      </w:pPr>
    </w:p>
    <w:p w14:paraId="091F83FC" w14:textId="761032C5" w:rsidR="00E421F2"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19171DE9" w14:textId="77777777" w:rsidR="00200DB3" w:rsidRPr="004B1DFF" w:rsidRDefault="00200DB3" w:rsidP="00E421F2">
      <w:pPr>
        <w:rPr>
          <w:rFonts w:ascii="Times New Roman" w:hAnsi="Times New Roman" w:cs="Times New Roman"/>
        </w:rPr>
      </w:pPr>
    </w:p>
    <w:p w14:paraId="26E33270" w14:textId="5A824A6E" w:rsidR="0097235E" w:rsidRPr="004B1DFF" w:rsidRDefault="00A802F6" w:rsidP="750671CE">
      <w:pPr>
        <w:rPr>
          <w:rFonts w:ascii="Times New Roman" w:eastAsia="Times New Roman" w:hAnsi="Times New Roman" w:cs="Times New Roman"/>
        </w:rPr>
      </w:pPr>
      <w:r w:rsidRPr="00C3694F">
        <w:rPr>
          <w:rFonts w:ascii="Times New Roman" w:hAnsi="Times New Roman" w:cs="Times New Roman"/>
        </w:rPr>
        <w:tab/>
      </w:r>
      <w:r w:rsidRPr="750671CE">
        <w:rPr>
          <w:rFonts w:ascii="Times New Roman" w:eastAsia="Times New Roman" w:hAnsi="Times New Roman" w:cs="Times New Roman"/>
        </w:rPr>
        <w:t>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w:t>
      </w:r>
      <w:r w:rsidR="00352DA3">
        <w:rPr>
          <w:rFonts w:ascii="Times New Roman" w:eastAsia="Times New Roman" w:hAnsi="Times New Roman" w:cs="Times New Roman"/>
        </w:rPr>
        <w:t>—o</w:t>
      </w:r>
      <w:r w:rsidR="0097235E" w:rsidRPr="750671CE">
        <w:rPr>
          <w:rFonts w:ascii="Times New Roman" w:eastAsia="Times New Roman" w:hAnsi="Times New Roman" w:cs="Times New Roman"/>
        </w:rPr>
        <w:t>ften</w:t>
      </w:r>
      <w:r w:rsidR="00352DA3">
        <w:rPr>
          <w:rFonts w:ascii="Times New Roman" w:eastAsia="Times New Roman" w:hAnsi="Times New Roman" w:cs="Times New Roman"/>
        </w:rPr>
        <w:t xml:space="preserve"> </w:t>
      </w:r>
      <w:r w:rsidR="0097235E" w:rsidRPr="750671CE">
        <w:rPr>
          <w:rFonts w:ascii="Times New Roman" w:eastAsia="Times New Roman" w:hAnsi="Times New Roman" w:cs="Times New Roman"/>
        </w:rPr>
        <w:t>an unpopular one</w:t>
      </w:r>
      <w:r w:rsidR="000B21AD" w:rsidRPr="750671CE">
        <w:rPr>
          <w:rFonts w:ascii="Times New Roman" w:eastAsia="Times New Roman" w:hAnsi="Times New Roman" w:cs="Times New Roman"/>
        </w:rPr>
        <w:t>—</w:t>
      </w:r>
      <w:r w:rsidR="00200DB3" w:rsidRPr="750671CE">
        <w:rPr>
          <w:rFonts w:ascii="Times New Roman" w:eastAsia="Times New Roman" w:hAnsi="Times New Roman" w:cs="Times New Roman"/>
        </w:rPr>
        <w:t xml:space="preserve">on the basis of the risk of litigation. </w:t>
      </w:r>
      <w:r w:rsidR="0097235E" w:rsidRPr="750671CE">
        <w:rPr>
          <w:rFonts w:ascii="Times New Roman" w:eastAsia="Times New Roman" w:hAnsi="Times New Roman" w:cs="Times New Roman"/>
        </w:rPr>
        <w:t xml:space="preserve"> </w:t>
      </w:r>
    </w:p>
    <w:p w14:paraId="7512AE67" w14:textId="77777777" w:rsidR="0097235E" w:rsidRPr="004B1DFF" w:rsidRDefault="0097235E" w:rsidP="00E421F2">
      <w:pPr>
        <w:rPr>
          <w:rFonts w:ascii="Times New Roman" w:hAnsi="Times New Roman" w:cs="Times New Roman"/>
        </w:rPr>
      </w:pPr>
    </w:p>
    <w:p w14:paraId="68B99CB4" w14:textId="679C9856" w:rsidR="00B50F5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Consider the big picture trends in accidental and violent injuries over time.  For the past half-century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33BD85D3" w14:textId="77777777" w:rsidR="00B50F5D" w:rsidRPr="004B1DFF" w:rsidRDefault="00B50F5D" w:rsidP="00E421F2">
      <w:pPr>
        <w:rPr>
          <w:rFonts w:ascii="Times New Roman" w:hAnsi="Times New Roman" w:cs="Times New Roman"/>
        </w:rPr>
      </w:pPr>
    </w:p>
    <w:p w14:paraId="08C3C0BA" w14:textId="77777777" w:rsidR="00B50F5D" w:rsidRPr="004B1DFF" w:rsidRDefault="00B50F5D" w:rsidP="00E421F2">
      <w:pPr>
        <w:rPr>
          <w:rFonts w:ascii="Times New Roman" w:hAnsi="Times New Roman" w:cs="Times New Roman"/>
        </w:rPr>
      </w:pPr>
    </w:p>
    <w:p w14:paraId="58C56793" w14:textId="77777777" w:rsidR="004E54C1" w:rsidRPr="004B1DFF" w:rsidRDefault="00C8560F" w:rsidP="004E54C1">
      <w:pPr>
        <w:rPr>
          <w:rFonts w:ascii="Times New Roman" w:hAnsi="Times New Roman" w:cs="Times New Roman"/>
        </w:rPr>
      </w:pPr>
      <w:r w:rsidRPr="00C3694F">
        <w:rPr>
          <w:rFonts w:ascii="Times New Roman" w:hAnsi="Times New Roman" w:cs="Times New Roman"/>
          <w:noProof/>
          <w:lang w:eastAsia="en-US"/>
        </w:rPr>
        <w:lastRenderedPageBreak/>
        <w:drawing>
          <wp:inline distT="0" distB="0" distL="0" distR="0" wp14:anchorId="57A22DB3" wp14:editId="03C006B2">
            <wp:extent cx="5306060" cy="5955300"/>
            <wp:effectExtent l="0" t="0" r="2540" b="0"/>
            <wp:docPr id="5"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eAyers:Desktop:Screen Shot 2014-03-10 at 9.06.31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6839" cy="5956174"/>
                    </a:xfrm>
                    <a:prstGeom prst="rect">
                      <a:avLst/>
                    </a:prstGeom>
                    <a:noFill/>
                    <a:ln>
                      <a:noFill/>
                    </a:ln>
                  </pic:spPr>
                </pic:pic>
              </a:graphicData>
            </a:graphic>
          </wp:inline>
        </w:drawing>
      </w:r>
    </w:p>
    <w:p w14:paraId="28236199" w14:textId="77777777" w:rsidR="00B50F5D" w:rsidRPr="004B1DF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w:t>
      </w:r>
      <w:r w:rsidRPr="750671CE">
        <w:rPr>
          <w:rFonts w:ascii="Times New Roman" w:eastAsia="Times New Roman" w:hAnsi="Times New Roman" w:cs="Times New Roman"/>
          <w:i/>
          <w:iCs/>
          <w:sz w:val="20"/>
          <w:szCs w:val="20"/>
        </w:rPr>
        <w:t>Statistical Abstracts of the U.S.</w:t>
      </w:r>
      <w:r w:rsidRPr="750671CE">
        <w:rPr>
          <w:rFonts w:ascii="Times New Roman" w:eastAsia="Times New Roman" w:hAnsi="Times New Roman" w:cs="Times New Roman"/>
          <w:sz w:val="20"/>
          <w:szCs w:val="20"/>
        </w:rPr>
        <w:t xml:space="preserve"> (2014)</w:t>
      </w:r>
    </w:p>
    <w:p w14:paraId="457B1264" w14:textId="77777777" w:rsidR="00A01CF0" w:rsidRPr="004B1DFF" w:rsidRDefault="00A01CF0" w:rsidP="00E421F2">
      <w:pPr>
        <w:rPr>
          <w:rFonts w:ascii="Times New Roman" w:hAnsi="Times New Roman" w:cs="Times New Roman"/>
        </w:rPr>
      </w:pPr>
    </w:p>
    <w:p w14:paraId="1D7D72C0" w14:textId="09295DD5" w:rsidR="00A01CF0"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Much of this change continues a trend that began long before 1960.  Excluding motor vehicle accidents, accidental deaths fell from around a hundred per 100,000 people in the population annually to less than thirty by 1975.  </w:t>
      </w:r>
    </w:p>
    <w:p w14:paraId="70A80338" w14:textId="77777777" w:rsidR="004E54C1" w:rsidRPr="004B1DFF" w:rsidRDefault="004E54C1" w:rsidP="004E54C1">
      <w:pPr>
        <w:rPr>
          <w:rFonts w:ascii="Times New Roman" w:hAnsi="Times New Roman" w:cs="Times New Roman"/>
        </w:rPr>
      </w:pPr>
      <w:r w:rsidRPr="004B1DFF">
        <w:rPr>
          <w:rFonts w:ascii="Times New Roman" w:hAnsi="Times New Roman" w:cs="Times New Roman"/>
          <w:noProof/>
          <w:lang w:eastAsia="en-US"/>
        </w:rPr>
        <w:lastRenderedPageBreak/>
        <w:drawing>
          <wp:inline distT="0" distB="0" distL="0" distR="0" wp14:anchorId="78CD85E5" wp14:editId="7F969AF9">
            <wp:extent cx="5473700" cy="6159500"/>
            <wp:effectExtent l="0" t="0" r="12700" b="12700"/>
            <wp:docPr id="6"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eAyers:Desktop:Screen Shot 2014-03-10 at 9.12.08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3700" cy="6159500"/>
                    </a:xfrm>
                    <a:prstGeom prst="rect">
                      <a:avLst/>
                    </a:prstGeom>
                    <a:noFill/>
                    <a:ln>
                      <a:noFill/>
                    </a:ln>
                  </pic:spPr>
                </pic:pic>
              </a:graphicData>
            </a:graphic>
          </wp:inline>
        </w:drawing>
      </w:r>
    </w:p>
    <w:p w14:paraId="78906284" w14:textId="77777777" w:rsidR="004E54C1" w:rsidRPr="004B1DFF" w:rsidRDefault="004E54C1" w:rsidP="00E421F2">
      <w:pPr>
        <w:rPr>
          <w:rFonts w:ascii="Times New Roman" w:hAnsi="Times New Roman" w:cs="Times New Roman"/>
        </w:rPr>
      </w:pPr>
    </w:p>
    <w:p w14:paraId="562066CD" w14:textId="77777777" w:rsidR="004B16B6"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Even motor vehicle accidental death rates have dropped during the past sixty years.  </w:t>
      </w:r>
    </w:p>
    <w:p w14:paraId="16A1AB60" w14:textId="130173C5" w:rsidR="00155191" w:rsidRDefault="00B50F5D" w:rsidP="00E421F2">
      <w:pPr>
        <w:rPr>
          <w:rFonts w:ascii="Times New Roman" w:hAnsi="Times New Roman" w:cs="Times New Roman"/>
        </w:rPr>
      </w:pPr>
      <w:r w:rsidRPr="004B1DFF">
        <w:rPr>
          <w:rFonts w:ascii="Times New Roman" w:hAnsi="Times New Roman" w:cs="Times New Roman"/>
        </w:rPr>
        <w:t xml:space="preserve">  </w:t>
      </w:r>
    </w:p>
    <w:p w14:paraId="029386A9" w14:textId="77777777" w:rsidR="00811072" w:rsidRDefault="00811072">
      <w:pPr>
        <w:rPr>
          <w:rFonts w:ascii="Times New Roman" w:eastAsia="Times New Roman" w:hAnsi="Times New Roman" w:cs="Times New Roman"/>
          <w:b/>
          <w:sz w:val="28"/>
        </w:rPr>
      </w:pPr>
      <w:r>
        <w:rPr>
          <w:rFonts w:ascii="Times New Roman" w:eastAsia="Times New Roman" w:hAnsi="Times New Roman" w:cs="Times New Roman"/>
          <w:b/>
          <w:sz w:val="28"/>
        </w:rPr>
        <w:br w:type="page"/>
      </w:r>
    </w:p>
    <w:p w14:paraId="2AA174C4" w14:textId="3D73B1C4" w:rsidR="00BA686C" w:rsidRPr="00DA4F31" w:rsidRDefault="750671CE" w:rsidP="750671CE">
      <w:pPr>
        <w:rPr>
          <w:rFonts w:ascii="Times New Roman" w:eastAsia="Times New Roman" w:hAnsi="Times New Roman" w:cs="Times New Roman"/>
          <w:b/>
          <w:bCs/>
          <w:sz w:val="28"/>
          <w:szCs w:val="28"/>
        </w:rPr>
      </w:pPr>
      <w:r w:rsidRPr="750671CE">
        <w:rPr>
          <w:rFonts w:ascii="Times New Roman" w:eastAsia="Times New Roman" w:hAnsi="Times New Roman" w:cs="Times New Roman"/>
          <w:b/>
          <w:bCs/>
          <w:sz w:val="28"/>
          <w:szCs w:val="28"/>
        </w:rPr>
        <w:lastRenderedPageBreak/>
        <w:t xml:space="preserve">Age-adjusted </w:t>
      </w:r>
      <w:r w:rsidR="002A058A">
        <w:rPr>
          <w:rFonts w:ascii="Times New Roman" w:eastAsia="Times New Roman" w:hAnsi="Times New Roman" w:cs="Times New Roman"/>
          <w:b/>
          <w:bCs/>
          <w:sz w:val="28"/>
          <w:szCs w:val="28"/>
        </w:rPr>
        <w:t>D</w:t>
      </w:r>
      <w:r w:rsidRPr="750671CE">
        <w:rPr>
          <w:rFonts w:ascii="Times New Roman" w:eastAsia="Times New Roman" w:hAnsi="Times New Roman" w:cs="Times New Roman"/>
          <w:b/>
          <w:bCs/>
          <w:sz w:val="28"/>
          <w:szCs w:val="28"/>
        </w:rPr>
        <w:t xml:space="preserve">eath </w:t>
      </w:r>
      <w:r w:rsidR="002A058A">
        <w:rPr>
          <w:rFonts w:ascii="Times New Roman" w:eastAsia="Times New Roman" w:hAnsi="Times New Roman" w:cs="Times New Roman"/>
          <w:b/>
          <w:bCs/>
          <w:sz w:val="28"/>
          <w:szCs w:val="28"/>
        </w:rPr>
        <w:t>R</w:t>
      </w:r>
      <w:r w:rsidRPr="750671CE">
        <w:rPr>
          <w:rFonts w:ascii="Times New Roman" w:eastAsia="Times New Roman" w:hAnsi="Times New Roman" w:cs="Times New Roman"/>
          <w:b/>
          <w:bCs/>
          <w:sz w:val="28"/>
          <w:szCs w:val="28"/>
        </w:rPr>
        <w:t xml:space="preserve">ates for </w:t>
      </w:r>
      <w:r w:rsidR="002A058A">
        <w:rPr>
          <w:rFonts w:ascii="Times New Roman" w:eastAsia="Times New Roman" w:hAnsi="Times New Roman" w:cs="Times New Roman"/>
          <w:b/>
          <w:bCs/>
          <w:sz w:val="28"/>
          <w:szCs w:val="28"/>
        </w:rPr>
        <w:t>U</w:t>
      </w:r>
      <w:r w:rsidRPr="750671CE">
        <w:rPr>
          <w:rFonts w:ascii="Times New Roman" w:eastAsia="Times New Roman" w:hAnsi="Times New Roman" w:cs="Times New Roman"/>
          <w:b/>
          <w:bCs/>
          <w:sz w:val="28"/>
          <w:szCs w:val="28"/>
        </w:rPr>
        <w:t xml:space="preserve">nintentional </w:t>
      </w:r>
      <w:r w:rsidR="002A058A">
        <w:rPr>
          <w:rFonts w:ascii="Times New Roman" w:eastAsia="Times New Roman" w:hAnsi="Times New Roman" w:cs="Times New Roman"/>
          <w:b/>
          <w:bCs/>
          <w:sz w:val="28"/>
          <w:szCs w:val="28"/>
        </w:rPr>
        <w:t>I</w:t>
      </w:r>
      <w:r w:rsidRPr="750671CE">
        <w:rPr>
          <w:rFonts w:ascii="Times New Roman" w:eastAsia="Times New Roman" w:hAnsi="Times New Roman" w:cs="Times New Roman"/>
          <w:b/>
          <w:bCs/>
          <w:sz w:val="28"/>
          <w:szCs w:val="28"/>
        </w:rPr>
        <w:t xml:space="preserve">njuries and </w:t>
      </w:r>
      <w:r w:rsidR="002A058A">
        <w:rPr>
          <w:rFonts w:ascii="Times New Roman" w:eastAsia="Times New Roman" w:hAnsi="Times New Roman" w:cs="Times New Roman"/>
          <w:b/>
          <w:bCs/>
          <w:sz w:val="28"/>
          <w:szCs w:val="28"/>
        </w:rPr>
        <w:t>M</w:t>
      </w:r>
      <w:r w:rsidRPr="750671CE">
        <w:rPr>
          <w:rFonts w:ascii="Times New Roman" w:eastAsia="Times New Roman" w:hAnsi="Times New Roman" w:cs="Times New Roman"/>
          <w:b/>
          <w:bCs/>
          <w:sz w:val="28"/>
          <w:szCs w:val="28"/>
        </w:rPr>
        <w:t xml:space="preserve">otor-vehicle-related </w:t>
      </w:r>
      <w:r w:rsidR="002A058A">
        <w:rPr>
          <w:rFonts w:ascii="Times New Roman" w:eastAsia="Times New Roman" w:hAnsi="Times New Roman" w:cs="Times New Roman"/>
          <w:b/>
          <w:bCs/>
          <w:sz w:val="28"/>
          <w:szCs w:val="28"/>
        </w:rPr>
        <w:t>I</w:t>
      </w:r>
      <w:r w:rsidRPr="750671CE">
        <w:rPr>
          <w:rFonts w:ascii="Times New Roman" w:eastAsia="Times New Roman" w:hAnsi="Times New Roman" w:cs="Times New Roman"/>
          <w:b/>
          <w:bCs/>
          <w:sz w:val="28"/>
          <w:szCs w:val="28"/>
        </w:rPr>
        <w:t>njuries: United States, selected years 1950-2010 (per 100,000 population)</w:t>
      </w:r>
    </w:p>
    <w:p w14:paraId="0F095BB2" w14:textId="77777777" w:rsidR="00BA686C" w:rsidRPr="00C3694F" w:rsidRDefault="00C8560F" w:rsidP="00BA686C">
      <w:pPr>
        <w:rPr>
          <w:rFonts w:ascii="Times New Roman" w:hAnsi="Times New Roman"/>
        </w:rPr>
      </w:pPr>
      <w:r w:rsidRPr="00C3694F">
        <w:rPr>
          <w:rFonts w:ascii="Times New Roman" w:hAnsi="Times New Roman"/>
          <w:noProof/>
          <w:lang w:eastAsia="en-US"/>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0F82FE" w14:textId="77777777" w:rsidR="00290046" w:rsidRPr="004B1DF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Source: Center for Disease Control and Prevention, http://www.cdc.gov/nchs/hus/contents2012.htm#020</w:t>
      </w:r>
    </w:p>
    <w:p w14:paraId="6AC0013D" w14:textId="77777777" w:rsidR="004B16B6" w:rsidRPr="004B1DFF" w:rsidRDefault="004B16B6" w:rsidP="00290046">
      <w:pPr>
        <w:rPr>
          <w:rFonts w:ascii="Times New Roman" w:hAnsi="Times New Roman" w:cs="Times New Roman"/>
        </w:rPr>
      </w:pPr>
    </w:p>
    <w:p w14:paraId="62FC6CFB" w14:textId="77777777" w:rsidR="00BA686C"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If we adjust motor vehicle accidental death rates by miles traveled, the drop in motor vehicle traffic fatalities has been even more pronounced.</w:t>
      </w:r>
    </w:p>
    <w:p w14:paraId="242A45A3" w14:textId="77777777" w:rsidR="00BA686C" w:rsidRPr="004B1DFF" w:rsidRDefault="00BA686C" w:rsidP="00290046">
      <w:pPr>
        <w:rPr>
          <w:rFonts w:ascii="Times New Roman" w:hAnsi="Times New Roman" w:cs="Times New Roman"/>
        </w:rPr>
      </w:pPr>
    </w:p>
    <w:p w14:paraId="0FC18243" w14:textId="0CBC8B71" w:rsidR="00BA686C" w:rsidRPr="00760924" w:rsidRDefault="750671CE" w:rsidP="750671CE">
      <w:pPr>
        <w:rPr>
          <w:rFonts w:ascii="Times New Roman" w:eastAsia="Times New Roman" w:hAnsi="Times New Roman" w:cs="Times New Roman"/>
          <w:sz w:val="28"/>
          <w:szCs w:val="28"/>
        </w:rPr>
      </w:pPr>
      <w:r w:rsidRPr="750671CE">
        <w:rPr>
          <w:rFonts w:ascii="Times New Roman" w:eastAsia="Times New Roman" w:hAnsi="Times New Roman" w:cs="Times New Roman"/>
          <w:b/>
          <w:bCs/>
          <w:sz w:val="28"/>
          <w:szCs w:val="28"/>
        </w:rPr>
        <w:t>Motor Vehicle Crash Fatalities and Fatality Rates (per Hundred Million Vehicle Miles Traveled), 1899-2009</w:t>
      </w:r>
    </w:p>
    <w:p w14:paraId="0DAEED8E" w14:textId="77777777" w:rsidR="00BA686C" w:rsidRPr="00C3694F" w:rsidRDefault="00C8560F" w:rsidP="00BA686C">
      <w:pPr>
        <w:rPr>
          <w:rFonts w:ascii="Times New Roman" w:hAnsi="Times New Roman"/>
        </w:rPr>
      </w:pPr>
      <w:r w:rsidRPr="00C3694F">
        <w:rPr>
          <w:rFonts w:ascii="Times New Roman" w:hAnsi="Times New Roman"/>
          <w:noProof/>
          <w:lang w:eastAsia="en-US"/>
        </w:rPr>
        <w:drawing>
          <wp:inline distT="0" distB="0" distL="0" distR="0" wp14:anchorId="51BC2B5E" wp14:editId="3AD8A684">
            <wp:extent cx="5486400" cy="229482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2294821"/>
                    </a:xfrm>
                    <a:prstGeom prst="rect">
                      <a:avLst/>
                    </a:prstGeom>
                    <a:noFill/>
                    <a:ln>
                      <a:noFill/>
                    </a:ln>
                  </pic:spPr>
                </pic:pic>
              </a:graphicData>
            </a:graphic>
          </wp:inline>
        </w:drawing>
      </w:r>
    </w:p>
    <w:p w14:paraId="0ADC1052" w14:textId="3FED5F73" w:rsidR="00D74471" w:rsidRPr="00A809D0" w:rsidRDefault="750671CE" w:rsidP="750671CE">
      <w:pPr>
        <w:widowControl w:val="0"/>
        <w:autoSpaceDE w:val="0"/>
        <w:autoSpaceDN w:val="0"/>
        <w:adjustRightInd w:val="0"/>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w:t>
      </w:r>
      <w:r w:rsidRPr="750671CE">
        <w:rPr>
          <w:rFonts w:ascii="Times New Roman,¥Z8Óˇøù•'1" w:eastAsia="Times New Roman,¥Z8Óˇøù•'1" w:hAnsi="Times New Roman,¥Z8Óˇøù•'1" w:cs="Times New Roman,¥Z8Óˇøù•'1"/>
          <w:sz w:val="20"/>
          <w:szCs w:val="20"/>
        </w:rPr>
        <w:t xml:space="preserve">National Highway Traffic Safety Administration, </w:t>
      </w:r>
      <w:r w:rsidRPr="750671CE">
        <w:rPr>
          <w:rFonts w:ascii="Times New Roman,¥Z8Óˇøù•'1" w:eastAsia="Times New Roman,¥Z8Óˇøù•'1" w:hAnsi="Times New Roman,¥Z8Óˇøù•'1" w:cs="Times New Roman,¥Z8Óˇøù•'1"/>
          <w:i/>
          <w:iCs/>
          <w:sz w:val="20"/>
          <w:szCs w:val="20"/>
        </w:rPr>
        <w:t>An Analysis of the Significant Decline in Motor Vehicle Traffic Fatalities in 2008</w:t>
      </w:r>
      <w:r w:rsidRPr="750671CE">
        <w:rPr>
          <w:rFonts w:ascii="Times New Roman,¥Z8Óˇøù•'1" w:eastAsia="Times New Roman,¥Z8Óˇøù•'1" w:hAnsi="Times New Roman,¥Z8Óˇøù•'1" w:cs="Times New Roman,¥Z8Óˇøù•'1"/>
          <w:sz w:val="20"/>
          <w:szCs w:val="20"/>
        </w:rPr>
        <w:t xml:space="preserve">, </w:t>
      </w:r>
      <w:r w:rsidRPr="750671CE">
        <w:rPr>
          <w:rFonts w:ascii="Times New Roman,¥Z8Óˇøù•'1" w:eastAsia="Times New Roman,¥Z8Óˇøù•'1" w:hAnsi="Times New Roman,¥Z8Óˇøù•'1" w:cs="Times New Roman,¥Z8Óˇøù•'1"/>
          <w:smallCaps/>
          <w:sz w:val="20"/>
          <w:szCs w:val="20"/>
        </w:rPr>
        <w:t>U.S. Dep</w:t>
      </w:r>
      <w:r w:rsidR="00B05F31">
        <w:rPr>
          <w:rFonts w:ascii="Times New Roman,¥Z8Óˇøù•'1" w:eastAsia="Times New Roman,¥Z8Óˇøù•'1" w:hAnsi="Times New Roman,¥Z8Óˇøù•'1" w:cs="Times New Roman,¥Z8Óˇøù•'1"/>
          <w:smallCaps/>
          <w:sz w:val="20"/>
          <w:szCs w:val="20"/>
        </w:rPr>
        <w:t>’</w:t>
      </w:r>
      <w:r w:rsidRPr="750671CE">
        <w:rPr>
          <w:rFonts w:ascii="Times New Roman,¥Z8Óˇøù•'1" w:eastAsia="Times New Roman,¥Z8Óˇøù•'1" w:hAnsi="Times New Roman,¥Z8Óˇøù•'1" w:cs="Times New Roman,¥Z8Óˇøù•'1"/>
          <w:smallCaps/>
          <w:sz w:val="20"/>
          <w:szCs w:val="20"/>
        </w:rPr>
        <w:t>t Transp.</w:t>
      </w:r>
      <w:r w:rsidRPr="750671CE">
        <w:rPr>
          <w:rFonts w:ascii="Times New Roman,¥Z8Óˇøù•'1" w:eastAsia="Times New Roman,¥Z8Óˇøù•'1" w:hAnsi="Times New Roman,¥Z8Óˇøù•'1" w:cs="Times New Roman,¥Z8Óˇøù•'1"/>
          <w:sz w:val="20"/>
          <w:szCs w:val="20"/>
        </w:rPr>
        <w:t xml:space="preserve"> 12, </w:t>
      </w:r>
      <w:r w:rsidRPr="750671CE">
        <w:rPr>
          <w:rFonts w:ascii="Times New Roman" w:eastAsia="Times New Roman" w:hAnsi="Times New Roman" w:cs="Times New Roman"/>
          <w:sz w:val="20"/>
          <w:szCs w:val="20"/>
        </w:rPr>
        <w:t>(June 2010), http://www</w:t>
      </w:r>
    </w:p>
    <w:p w14:paraId="376AC1F4" w14:textId="0DBDCC62" w:rsidR="00BA686C" w:rsidRPr="00A809D0" w:rsidRDefault="750671CE" w:rsidP="750671CE">
      <w:pPr>
        <w:widowControl w:val="0"/>
        <w:autoSpaceDE w:val="0"/>
        <w:autoSpaceDN w:val="0"/>
        <w:adjustRightInd w:val="0"/>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-nrd.nhtsa.dot.gov/Pubs/811346.pdf .</w:t>
      </w:r>
    </w:p>
    <w:p w14:paraId="206E75C7" w14:textId="77777777" w:rsidR="00BA686C" w:rsidRPr="004B1DFF" w:rsidRDefault="00BA686C" w:rsidP="00290046">
      <w:pPr>
        <w:rPr>
          <w:rFonts w:ascii="Times New Roman" w:hAnsi="Times New Roman" w:cs="Times New Roman"/>
        </w:rPr>
      </w:pPr>
    </w:p>
    <w:p w14:paraId="48A90F4F" w14:textId="3E8A4D5F" w:rsidR="00AC209B"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Yet if our goal in tort law is to deter unreasonably dangerous actions, as many observers argue it is or at least ought to be, the connections between deterrence and a case like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xml:space="preserve"> are not at all clear.  Is it reasonable to think that the prospect of tort damages payments—or even the prospect of interminable tort litigation—will alter the behavior of children in a classroom?  In this domain, at least, using tort law to induce appropriately safe behavior by children seems a fool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errand, at least so long as we are trying to alter the behavior of children with monetary sanctions aimed at the children themselves.  (Monetary awards against the school or the teachers might be far more effective, even if controversial for other reasons.)  </w:t>
      </w:r>
    </w:p>
    <w:p w14:paraId="18BD367F" w14:textId="77777777" w:rsidR="00196BF7" w:rsidRPr="004B1DFF" w:rsidRDefault="00196BF7" w:rsidP="00196BF7">
      <w:pPr>
        <w:ind w:firstLine="720"/>
        <w:rPr>
          <w:rFonts w:ascii="Times New Roman" w:hAnsi="Times New Roman" w:cs="Times New Roman"/>
        </w:rPr>
      </w:pPr>
    </w:p>
    <w:p w14:paraId="2DE07616" w14:textId="77777777" w:rsidR="00C5183F"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Many scholars believe that the notion of tort damages shaping behavior is unlikely even in other domains where it might seem more plausible than in the middle-school classroom.  We will return to this problem repeatedly in this book.  For now, it is sufficient to observe that the critics point to a myriad of factors that they say get in the way of translating prospective tort damages into a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xml:space="preserve"> to conclude.  </w:t>
      </w:r>
    </w:p>
    <w:p w14:paraId="171EFC91" w14:textId="77777777" w:rsidR="00C5183F" w:rsidRPr="004B1DFF" w:rsidRDefault="00C5183F" w:rsidP="0039287F">
      <w:pPr>
        <w:ind w:firstLine="720"/>
        <w:rPr>
          <w:rFonts w:ascii="Times New Roman" w:hAnsi="Times New Roman" w:cs="Times New Roman"/>
        </w:rPr>
      </w:pPr>
    </w:p>
    <w:p w14:paraId="1F3FB0B8" w14:textId="4564DEFB" w:rsidR="00C8560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696B5317" w14:textId="77777777" w:rsidR="001F6EF2" w:rsidRDefault="001F6EF2" w:rsidP="00290046">
      <w:pPr>
        <w:rPr>
          <w:rFonts w:ascii="Times New Roman" w:hAnsi="Times New Roman" w:cs="Times New Roman"/>
        </w:rPr>
      </w:pPr>
    </w:p>
    <w:p w14:paraId="3507016F" w14:textId="77777777" w:rsidR="00644103" w:rsidRPr="004B1DFF" w:rsidRDefault="00644103" w:rsidP="00290046">
      <w:pPr>
        <w:rPr>
          <w:rFonts w:ascii="Times New Roman" w:hAnsi="Times New Roman" w:cs="Times New Roman"/>
        </w:rPr>
      </w:pPr>
    </w:p>
    <w:p w14:paraId="555F87CC" w14:textId="7951529A" w:rsidR="00290046" w:rsidRPr="00DA4ACA" w:rsidRDefault="00DA4F31" w:rsidP="00322687">
      <w:pPr>
        <w:pStyle w:val="Heading3"/>
      </w:pPr>
      <w:bookmarkStart w:id="37" w:name="_Toc364636040"/>
      <w:bookmarkStart w:id="38" w:name="_Toc518323198"/>
      <w:r w:rsidRPr="00DA4ACA">
        <w:t xml:space="preserve">6. </w:t>
      </w:r>
      <w:r w:rsidR="00A802F6" w:rsidRPr="00DA4ACA">
        <w:t>Intent and Corrective Justice in the Battery Cause of Action</w:t>
      </w:r>
      <w:bookmarkEnd w:id="37"/>
      <w:bookmarkEnd w:id="38"/>
    </w:p>
    <w:p w14:paraId="4CE99345" w14:textId="77777777" w:rsidR="00290046" w:rsidRPr="004B1DFF" w:rsidRDefault="00290046" w:rsidP="00290046">
      <w:pPr>
        <w:ind w:firstLine="720"/>
        <w:rPr>
          <w:rFonts w:ascii="Times New Roman" w:hAnsi="Times New Roman" w:cs="Times New Roman"/>
        </w:rPr>
      </w:pPr>
    </w:p>
    <w:p w14:paraId="37C3A911" w14:textId="214025E5" w:rsidR="00A4317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Another way we could defend tort law in light of its high costs would be to describe it as embodying our moral judgments about wrongful behavior.  If tort law is thought of as philosophers often think of it, a practice of corrective justice, in which we recognize wrongdoers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obligations to repair wrongful losses, the difficulty of identifying any behavioral effects disappears.  Some might think that some or much of the difficulty of the high cost of tort law disappears, too, since it might be worth a lot to pursue questions of right and wrong, and it might not be surprising that inquiries into such questions are considerably more complex (and costly) than the kinds of inquiries Social Security claims administrators or insurance claims adjusters need to make.  </w:t>
      </w:r>
    </w:p>
    <w:p w14:paraId="6839B356" w14:textId="77777777" w:rsidR="002D28BC" w:rsidRPr="004B1DFF" w:rsidRDefault="002D28BC" w:rsidP="00A6610C">
      <w:pPr>
        <w:ind w:firstLine="720"/>
        <w:rPr>
          <w:rFonts w:ascii="Times New Roman" w:hAnsi="Times New Roman" w:cs="Times New Roman"/>
        </w:rPr>
      </w:pPr>
    </w:p>
    <w:p w14:paraId="08A1D2FF" w14:textId="0BCDE144" w:rsidR="002D28BC"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As with the deterrence goal, we will continue to pursue the concept of corrective justice throughout this book.  For now it is important to observe that corrective justice may play an especially powerful role in accounting for the distinctive features of intentional torts.  These are often distinctively wrongful acts, arising out of conduct that has little or no social value.  Our law of intentional torts helps mark out such acts as wrongful.  Later in the book, we will often find ourselves wondering what, if anything, makes an 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wrongful.  Critics of the corrective justice concept often object </w:t>
      </w:r>
      <w:r w:rsidRPr="750671CE">
        <w:rPr>
          <w:rFonts w:ascii="Times New Roman" w:eastAsia="Times New Roman" w:hAnsi="Times New Roman" w:cs="Times New Roman"/>
        </w:rPr>
        <w:lastRenderedPageBreak/>
        <w:t>that the concept offers no internal metric for distinguishing wrongful conduct from conduct that is justified.  The concept can thus seem circular: it identifies tort law, which is the law of civil wrongs, as a body of law that provides remedies for wrongful losses.  But how does one know when a loss has been wrongful?</w:t>
      </w:r>
    </w:p>
    <w:p w14:paraId="43283191" w14:textId="77777777" w:rsidR="00A4317D" w:rsidRPr="004B1DFF" w:rsidRDefault="00A4317D" w:rsidP="00A6610C">
      <w:pPr>
        <w:ind w:firstLine="720"/>
        <w:rPr>
          <w:rFonts w:ascii="Times New Roman" w:hAnsi="Times New Roman" w:cs="Times New Roman"/>
        </w:rPr>
      </w:pPr>
    </w:p>
    <w:p w14:paraId="6E714158" w14:textId="682DDBD0" w:rsidR="00C8560F" w:rsidRDefault="750671CE" w:rsidP="0080795D">
      <w:pPr>
        <w:ind w:firstLine="720"/>
        <w:rPr>
          <w:rFonts w:ascii="Times New Roman" w:eastAsia="Times New Roman" w:hAnsi="Times New Roman" w:cs="Times New Roman"/>
        </w:rPr>
      </w:pPr>
      <w:r w:rsidRPr="750671CE">
        <w:rPr>
          <w:rFonts w:ascii="Times New Roman" w:eastAsia="Times New Roman" w:hAnsi="Times New Roman" w:cs="Times New Roman"/>
        </w:rPr>
        <w:t>In intentional torts such as battery, wrongfulness arises out of the relationship between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intentionality and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injury.  A plaintiff in an intentional tort suit is essentially saying, </w:t>
      </w:r>
      <w:r w:rsidR="00B05F31">
        <w:rPr>
          <w:rFonts w:ascii="Times New Roman" w:eastAsia="Times New Roman" w:hAnsi="Times New Roman" w:cs="Times New Roman"/>
        </w:rPr>
        <w:t>“</w:t>
      </w:r>
      <w:r w:rsidRPr="750671CE">
        <w:rPr>
          <w:rFonts w:ascii="Times New Roman" w:eastAsia="Times New Roman" w:hAnsi="Times New Roman" w:cs="Times New Roman"/>
        </w:rPr>
        <w:t>He meant to hurt me!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this sense, the corrective justice account poses a further question for intentional tort cases.  For if a plaintiff seeking to make out an intentional tort claim is required to show that the defendant had the relevant intent, we need to know what that intent consists of.  This is precisely the question taken up by the next case.</w:t>
      </w:r>
    </w:p>
    <w:p w14:paraId="09E4CAB4" w14:textId="77777777" w:rsidR="00290046" w:rsidRDefault="00290046" w:rsidP="00290046">
      <w:pPr>
        <w:rPr>
          <w:rFonts w:ascii="Times New Roman" w:hAnsi="Times New Roman" w:cs="Times New Roman"/>
        </w:rPr>
      </w:pPr>
    </w:p>
    <w:p w14:paraId="79F7918C" w14:textId="77777777" w:rsidR="00644103" w:rsidRPr="004B1DFF" w:rsidRDefault="00644103" w:rsidP="00290046">
      <w:pPr>
        <w:rPr>
          <w:rFonts w:ascii="Times New Roman" w:hAnsi="Times New Roman" w:cs="Times New Roman"/>
        </w:rPr>
      </w:pPr>
    </w:p>
    <w:p w14:paraId="29410713" w14:textId="44AEBA75" w:rsidR="00C94CFB" w:rsidRPr="0009224A" w:rsidRDefault="0031785D" w:rsidP="00C74195">
      <w:bookmarkStart w:id="39" w:name="_Toc518323199"/>
      <w:bookmarkStart w:id="40" w:name="_Toc364636041"/>
      <w:r w:rsidRPr="00C74195">
        <w:rPr>
          <w:rStyle w:val="Heading3Char"/>
        </w:rPr>
        <w:t xml:space="preserve">7. </w:t>
      </w:r>
      <w:r w:rsidR="00A802F6" w:rsidRPr="00C74195">
        <w:rPr>
          <w:rStyle w:val="Heading3Char"/>
          <w:i/>
        </w:rPr>
        <w:t>Garratt v. Dailey</w:t>
      </w:r>
      <w:bookmarkEnd w:id="39"/>
      <w:r w:rsidR="00A802F6" w:rsidRPr="00C74195">
        <w:rPr>
          <w:b/>
        </w:rPr>
        <w:t>, 279 P.2d 1091 (Wash. 1955)</w:t>
      </w:r>
      <w:bookmarkEnd w:id="40"/>
    </w:p>
    <w:p w14:paraId="3EB939C5" w14:textId="77777777" w:rsidR="0097543F" w:rsidRPr="004B1DFF" w:rsidRDefault="750671CE" w:rsidP="750671CE">
      <w:pPr>
        <w:widowControl w:val="0"/>
        <w:autoSpaceDE w:val="0"/>
        <w:autoSpaceDN w:val="0"/>
        <w:adjustRightInd w:val="0"/>
        <w:spacing w:before="200"/>
        <w:jc w:val="both"/>
        <w:rPr>
          <w:rFonts w:ascii="Times New Roman" w:eastAsia="Times New Roman" w:hAnsi="Times New Roman" w:cs="Times New Roman"/>
          <w:smallCaps/>
          <w:color w:val="000000" w:themeColor="text1"/>
        </w:rPr>
      </w:pPr>
      <w:r w:rsidRPr="750671CE">
        <w:rPr>
          <w:rFonts w:ascii="Times New Roman" w:eastAsia="Times New Roman" w:hAnsi="Times New Roman" w:cs="Times New Roman"/>
          <w:smallCaps/>
          <w:color w:val="000000" w:themeColor="text1"/>
        </w:rPr>
        <w:t>Hill, J.</w:t>
      </w:r>
    </w:p>
    <w:p w14:paraId="5DA5546D" w14:textId="1A778525" w:rsidR="00201D22" w:rsidRPr="004B1DFF" w:rsidRDefault="00A802F6" w:rsidP="00591009">
      <w:pPr>
        <w:widowControl w:val="0"/>
        <w:autoSpaceDE w:val="0"/>
        <w:autoSpaceDN w:val="0"/>
        <w:adjustRightInd w:val="0"/>
        <w:rPr>
          <w:rFonts w:ascii="Times New Roman" w:eastAsia="Times New Roman" w:hAnsi="Times New Roman" w:cs="Times New Roman"/>
          <w:color w:val="000000" w:themeColor="text1"/>
        </w:rPr>
      </w:pPr>
      <w:r w:rsidRPr="00C3694F">
        <w:rPr>
          <w:rFonts w:ascii="Times New Roman" w:hAnsi="Times New Roman" w:cs="Times New Roman"/>
          <w:color w:val="000000"/>
        </w:rPr>
        <w:tab/>
      </w:r>
      <w:r w:rsidRPr="750671CE">
        <w:rPr>
          <w:rFonts w:ascii="Times New Roman" w:eastAsia="Times New Roman" w:hAnsi="Times New Roman" w:cs="Times New Roman"/>
          <w:color w:val="000000"/>
        </w:rPr>
        <w:t>Brian Dailey (age five years, nine months) was visiting with Naomi Garratt, an adult and a sister of the plaintiff, Ruth Garratt, likewise an adult, in the back yard of the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home, on July 16, 1951. It is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contention that she came out into the back yard to talk with Naomi and that, as she started to sit down in a wood and canvas lawn chair, Brian deliberately pulled it out from under her. The only one of the three persons present so testifying was Naomi Garratt. (Ruth Garratt, the plaintiff, did not testify as to how or why she fell.) The trial court, unwilling to accept this testimony, adopted instead Brian Dailey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version of what happened, and made the following findings:</w:t>
      </w:r>
    </w:p>
    <w:p w14:paraId="4A0960D9" w14:textId="77777777" w:rsidR="00C94CFB" w:rsidRPr="004B1DFF" w:rsidRDefault="00C94CFB" w:rsidP="00591009">
      <w:pPr>
        <w:widowControl w:val="0"/>
        <w:autoSpaceDE w:val="0"/>
        <w:autoSpaceDN w:val="0"/>
        <w:adjustRightInd w:val="0"/>
        <w:rPr>
          <w:rFonts w:ascii="Times New Roman" w:hAnsi="Times New Roman" w:cs="Times New Roman"/>
          <w:color w:val="000000"/>
        </w:rPr>
      </w:pPr>
    </w:p>
    <w:p w14:paraId="64D54590" w14:textId="1E8D8336" w:rsidR="00C94CFB" w:rsidRPr="004B1DFF" w:rsidRDefault="00CD2985" w:rsidP="00201D22">
      <w:pPr>
        <w:widowControl w:val="0"/>
        <w:autoSpaceDE w:val="0"/>
        <w:autoSpaceDN w:val="0"/>
        <w:adjustRightInd w:val="0"/>
        <w:ind w:left="720" w:right="72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III. . . . [T]</w:t>
      </w:r>
      <w:r w:rsidR="750671CE" w:rsidRPr="750671CE">
        <w:rPr>
          <w:rFonts w:ascii="Times New Roman" w:eastAsia="Times New Roman" w:hAnsi="Times New Roman" w:cs="Times New Roman"/>
          <w:color w:val="000000" w:themeColor="text1"/>
        </w:rPr>
        <w: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4B1DFF" w:rsidRDefault="750671CE" w:rsidP="00CD2985">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029CBDD" w14:textId="280ED43D" w:rsidR="00C94CFB" w:rsidRPr="004B1DFF" w:rsidRDefault="750671CE">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IV. That the preponderance of the evidence in this case establishes that when the defendant, Brian Dailey, moved the chair in question </w:t>
      </w:r>
      <w:r w:rsidRPr="750671CE">
        <w:rPr>
          <w:rFonts w:ascii="Times New Roman" w:eastAsia="Times New Roman" w:hAnsi="Times New Roman" w:cs="Times New Roman"/>
          <w:i/>
          <w:iCs/>
          <w:color w:val="000000" w:themeColor="text1"/>
        </w:rPr>
        <w:t>he did not have any willful or unlawful purpose</w:t>
      </w:r>
      <w:r w:rsidRPr="750671CE">
        <w:rPr>
          <w:rFonts w:ascii="Times New Roman" w:eastAsia="Times New Roman" w:hAnsi="Times New Roman" w:cs="Times New Roman"/>
          <w:color w:val="000000" w:themeColor="text1"/>
        </w:rPr>
        <w:t xml:space="preserve"> in doing so; that </w:t>
      </w:r>
      <w:r w:rsidRPr="750671CE">
        <w:rPr>
          <w:rFonts w:ascii="Times New Roman" w:eastAsia="Times New Roman" w:hAnsi="Times New Roman" w:cs="Times New Roman"/>
          <w:i/>
          <w:iCs/>
          <w:color w:val="000000" w:themeColor="text1"/>
        </w:rPr>
        <w:t>he did not have any intent to injure the plaintiff, or any intent to bring about any unauthorized or offensive contact with her person</w:t>
      </w:r>
      <w:r w:rsidRPr="750671CE">
        <w:rPr>
          <w:rFonts w:ascii="Times New Roman" w:eastAsia="Times New Roman" w:hAnsi="Times New Roman" w:cs="Times New Roman"/>
          <w:color w:val="000000" w:themeColor="text1"/>
        </w:rPr>
        <w:t xml:space="preserve"> or any objects appurtenant thereto; that the circumstances which immediately preceded the fall of the plaintiff </w:t>
      </w:r>
      <w:r w:rsidRPr="750671CE">
        <w:rPr>
          <w:rFonts w:ascii="Times New Roman" w:eastAsia="Times New Roman" w:hAnsi="Times New Roman" w:cs="Times New Roman"/>
          <w:color w:val="000000" w:themeColor="text1"/>
        </w:rPr>
        <w:lastRenderedPageBreak/>
        <w:t xml:space="preserve">established that the defendant, </w:t>
      </w:r>
      <w:r w:rsidRPr="750671CE">
        <w:rPr>
          <w:rFonts w:ascii="Times New Roman" w:eastAsia="Times New Roman" w:hAnsi="Times New Roman" w:cs="Times New Roman"/>
          <w:i/>
          <w:iCs/>
          <w:color w:val="000000" w:themeColor="text1"/>
        </w:rPr>
        <w:t>Brian Dailey, did not have purpose, intent or design to perform a prank or to effect an assault and battery upon the person of the plaintiff</w:t>
      </w:r>
      <w:r w:rsidR="00CD2985">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(Italics ours, for a purpose hereinafter indicated.)</w:t>
      </w:r>
    </w:p>
    <w:p w14:paraId="4E7EA79D" w14:textId="77777777" w:rsidR="00C94CFB" w:rsidRPr="004B1DFF" w:rsidRDefault="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6BF11311" w14:textId="3D3C7140" w:rsidR="00C94CFB" w:rsidRPr="004B1DFF" w:rsidRDefault="00A802F6" w:rsidP="00591009">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It is conceded that Ruth Garratt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fall resulted in a fractured hip and other painful and serious injuries. To obviate </w:t>
      </w:r>
      <w:bookmarkStart w:id="41" w:name="co_pp_sp_804_200_1"/>
      <w:bookmarkEnd w:id="41"/>
      <w:r w:rsidRPr="750671CE">
        <w:rPr>
          <w:rFonts w:ascii="Times New Roman" w:eastAsia="Times New Roman" w:hAnsi="Times New Roman" w:cs="Times New Roman"/>
          <w:color w:val="000000"/>
        </w:rPr>
        <w:t xml:space="preserve">the necessity of a retrial in the event this court determines that she was entitled to a judgment against Brian Dailey, the amount of </w:t>
      </w:r>
      <w:bookmarkStart w:id="42" w:name="co_pp_sp_661_1093_1"/>
      <w:bookmarkEnd w:id="42"/>
      <w:r w:rsidRPr="750671CE">
        <w:rPr>
          <w:rFonts w:ascii="Times New Roman" w:eastAsia="Times New Roman" w:hAnsi="Times New Roman" w:cs="Times New Roman"/>
          <w:color w:val="000000"/>
        </w:rPr>
        <w:t>her damage was found to be $11,000. Plaintiff appeals from a judgment dismissing the action and asks for the entry of a judgment in that amount or a new trial.</w:t>
      </w:r>
    </w:p>
    <w:p w14:paraId="1A7555A2" w14:textId="77777777" w:rsidR="00C94CFB" w:rsidRPr="004B1DFF" w:rsidRDefault="00C94CFB">
      <w:pPr>
        <w:widowControl w:val="0"/>
        <w:autoSpaceDE w:val="0"/>
        <w:autoSpaceDN w:val="0"/>
        <w:adjustRightInd w:val="0"/>
        <w:rPr>
          <w:rFonts w:ascii="Times New Roman" w:hAnsi="Times New Roman" w:cs="Times New Roman"/>
          <w:color w:val="000000"/>
        </w:rPr>
      </w:pPr>
    </w:p>
    <w:p w14:paraId="2262F568" w14:textId="698AF3D2" w:rsidR="00C94CFB" w:rsidRPr="004B1DFF" w:rsidRDefault="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496D4A2F" w14:textId="77777777" w:rsidR="00C94CFB" w:rsidRPr="004B1DFF" w:rsidRDefault="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00C3B7C8" w14:textId="4A634414" w:rsidR="00C94CFB" w:rsidRPr="004B1DFF"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It is urged that Brian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action in moving the chair constituted a battery. A definition (not all-inclusive but sufficient for our purpose) of a battery is the intentional infliction of a harmful bodily contact upon another. The rule that determines liability for battery is given in 1 </w:t>
      </w:r>
      <w:r w:rsidRPr="750671CE">
        <w:rPr>
          <w:rFonts w:ascii="Times New Roman" w:eastAsia="Times New Roman" w:hAnsi="Times New Roman" w:cs="Times New Roman"/>
          <w:i/>
          <w:iCs/>
          <w:color w:val="000000" w:themeColor="text1"/>
        </w:rPr>
        <w:t>Restatement, Torts</w:t>
      </w:r>
      <w:r w:rsidRPr="750671CE">
        <w:rPr>
          <w:rFonts w:ascii="Times New Roman" w:eastAsia="Times New Roman" w:hAnsi="Times New Roman" w:cs="Times New Roman"/>
          <w:color w:val="000000" w:themeColor="text1"/>
        </w:rPr>
        <w:t>, 29, § 13 [1934], as:</w:t>
      </w:r>
    </w:p>
    <w:p w14:paraId="6F6E2ACD" w14:textId="77777777" w:rsidR="00C94CFB" w:rsidRPr="004B1DFF" w:rsidRDefault="00C94CFB" w:rsidP="00760924">
      <w:pPr>
        <w:widowControl w:val="0"/>
        <w:autoSpaceDE w:val="0"/>
        <w:autoSpaceDN w:val="0"/>
        <w:adjustRightInd w:val="0"/>
        <w:rPr>
          <w:rFonts w:ascii="Times New Roman" w:hAnsi="Times New Roman" w:cs="Times New Roman"/>
          <w:color w:val="000000"/>
        </w:rPr>
      </w:pPr>
    </w:p>
    <w:p w14:paraId="706CEEAF" w14:textId="37721361" w:rsidR="00C94CFB" w:rsidRPr="004B1DFF" w:rsidRDefault="750671CE" w:rsidP="750671CE">
      <w:pPr>
        <w:widowControl w:val="0"/>
        <w:autoSpaceDE w:val="0"/>
        <w:autoSpaceDN w:val="0"/>
        <w:adjustRightInd w:val="0"/>
        <w:ind w:left="720" w:right="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An act which, directly or indirectly, is the legal cause of a harmful contact with another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person makes the actor liable to the other, if </w:t>
      </w:r>
    </w:p>
    <w:p w14:paraId="1E0DB0D4" w14:textId="77777777" w:rsidR="00C94CFB" w:rsidRPr="004B1DFF" w:rsidRDefault="750671CE" w:rsidP="750671CE">
      <w:pPr>
        <w:widowControl w:val="0"/>
        <w:autoSpaceDE w:val="0"/>
        <w:autoSpaceDN w:val="0"/>
        <w:adjustRightInd w:val="0"/>
        <w:ind w:left="720" w:right="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(a) the act is done with the intention of bringing about a harmful or offensive contact or an apprehension thereof to the other or a third person, and</w:t>
      </w:r>
    </w:p>
    <w:p w14:paraId="0E45753C" w14:textId="6EE899FE" w:rsidR="00C94CFB" w:rsidRPr="004B1DFF" w:rsidRDefault="00A802F6" w:rsidP="750671CE">
      <w:pPr>
        <w:widowControl w:val="0"/>
        <w:autoSpaceDE w:val="0"/>
        <w:autoSpaceDN w:val="0"/>
        <w:adjustRightInd w:val="0"/>
        <w:ind w:left="720" w:right="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(b) the contact is not consented to by the other or the </w:t>
      </w:r>
      <w:bookmarkStart w:id="43" w:name="co_pp_sp_804_201_1"/>
      <w:bookmarkEnd w:id="43"/>
      <w:r w:rsidRPr="750671CE">
        <w:rPr>
          <w:rFonts w:ascii="Times New Roman" w:eastAsia="Times New Roman" w:hAnsi="Times New Roman" w:cs="Times New Roman"/>
          <w:color w:val="000000"/>
        </w:rPr>
        <w:t>other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consent thereto is procured by fraud or duress, and</w:t>
      </w:r>
    </w:p>
    <w:p w14:paraId="19AF2576" w14:textId="77777777" w:rsidR="00C94CFB" w:rsidRPr="004B1DFF" w:rsidRDefault="750671CE" w:rsidP="750671CE">
      <w:pPr>
        <w:widowControl w:val="0"/>
        <w:autoSpaceDE w:val="0"/>
        <w:autoSpaceDN w:val="0"/>
        <w:adjustRightInd w:val="0"/>
        <w:ind w:left="720" w:right="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(c) the contact is not otherwise privileged.</w:t>
      </w:r>
    </w:p>
    <w:p w14:paraId="6F3CEF37" w14:textId="77777777" w:rsidR="00C94CFB" w:rsidRPr="004B1DFF"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0FB1F889" w14:textId="77777777" w:rsidR="00C94CFB" w:rsidRPr="004B1DFF"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We have in this case no question of consent or privilege. We therefore proceed to an immediate consideration of intent and its place in the law of battery. In the comment on clause (a), the Restatement says:</w:t>
      </w:r>
    </w:p>
    <w:p w14:paraId="39985472" w14:textId="77777777" w:rsidR="00C94CFB" w:rsidRPr="004B1DFF" w:rsidRDefault="00C94CFB" w:rsidP="00760924">
      <w:pPr>
        <w:widowControl w:val="0"/>
        <w:autoSpaceDE w:val="0"/>
        <w:autoSpaceDN w:val="0"/>
        <w:adjustRightInd w:val="0"/>
        <w:spacing w:before="200"/>
        <w:rPr>
          <w:rFonts w:ascii="Times New Roman" w:hAnsi="Times New Roman" w:cs="Times New Roman"/>
          <w:color w:val="000000"/>
        </w:rPr>
      </w:pPr>
    </w:p>
    <w:p w14:paraId="23EC677E" w14:textId="0259B0D6" w:rsidR="00C94CFB" w:rsidRPr="004B1DFF" w:rsidRDefault="750671CE" w:rsidP="00CD2985">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i/>
          <w:iCs/>
          <w:color w:val="000000" w:themeColor="text1"/>
        </w:rPr>
        <w:t>Character of actor</w:t>
      </w:r>
      <w:r w:rsidR="00B05F31">
        <w:rPr>
          <w:rFonts w:ascii="Times New Roman" w:eastAsia="Times New Roman" w:hAnsi="Times New Roman" w:cs="Times New Roman"/>
          <w:i/>
          <w:iCs/>
          <w:color w:val="000000" w:themeColor="text1"/>
        </w:rPr>
        <w:t>’</w:t>
      </w:r>
      <w:r w:rsidRPr="750671CE">
        <w:rPr>
          <w:rFonts w:ascii="Times New Roman" w:eastAsia="Times New Roman" w:hAnsi="Times New Roman" w:cs="Times New Roman"/>
          <w:i/>
          <w:iCs/>
          <w:color w:val="000000" w:themeColor="text1"/>
        </w:rPr>
        <w:t>s intention</w:t>
      </w:r>
      <w:r w:rsidRPr="750671CE">
        <w:rPr>
          <w:rFonts w:ascii="Times New Roman" w:eastAsia="Times New Roman" w:hAnsi="Times New Roman" w:cs="Times New Roman"/>
          <w:color w:val="000000" w:themeColor="text1"/>
        </w:rPr>
        <w:t>.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color w:val="000000" w:themeColor="text1"/>
        </w:rPr>
        <w:t xml:space="preserve">. . . . </w:t>
      </w:r>
    </w:p>
    <w:p w14:paraId="3F4B0A97" w14:textId="77777777" w:rsidR="00C94CFB" w:rsidRPr="004B1DFF"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CE21713" w14:textId="7F6A0E22" w:rsidR="00C94CFB" w:rsidRPr="004B1DFF"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We have here the conceded volitional act of Brian,</w:t>
      </w:r>
      <w:r w:rsidRPr="00CD2985">
        <w:rPr>
          <w:rFonts w:ascii="Times New Roman" w:eastAsia="Times New Roman" w:hAnsi="Times New Roman" w:cs="Times New Roman"/>
          <w:color w:val="000000" w:themeColor="text1"/>
        </w:rPr>
        <w:t xml:space="preserve"> </w:t>
      </w:r>
      <w:r w:rsidRPr="00CD2985">
        <w:rPr>
          <w:rFonts w:ascii="Times New Roman" w:eastAsia="Times New Roman" w:hAnsi="Times New Roman" w:cs="Times New Roman"/>
          <w:iCs/>
          <w:color w:val="000000" w:themeColor="text1"/>
        </w:rPr>
        <w:t>i.e.</w:t>
      </w:r>
      <w:r w:rsidRPr="00CD2985">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color w:val="000000" w:themeColor="text1"/>
        </w:rPr>
        <w:t>the moving of a chair. Had the plaintiff proved to the satisfaction of the trial court that Brian moved the chair while she was in the act of sitting down, Brian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action would patently have been for the purpose or with the intent of causing the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bodily contact with the ground, and she would be entitled to a judgment against him for the resulting damages.  </w:t>
      </w:r>
      <w:r w:rsidRPr="750671CE">
        <w:rPr>
          <w:rFonts w:ascii="Times New Roman" w:eastAsia="Times New Roman" w:hAnsi="Times New Roman" w:cs="Times New Roman"/>
          <w:i/>
          <w:iCs/>
          <w:color w:val="000000" w:themeColor="text1"/>
        </w:rPr>
        <w:t>Vosburg v. Putney</w:t>
      </w:r>
      <w:r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i/>
          <w:iCs/>
          <w:color w:val="000000" w:themeColor="text1"/>
        </w:rPr>
        <w:t>supra.</w:t>
      </w:r>
    </w:p>
    <w:p w14:paraId="489C1409" w14:textId="6AB73A1F" w:rsidR="00C94CFB"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plaintiff based her case on that theory, and the trial court held that she failed in her proof and accepted Brian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version of the facts rather than that given by the </w:t>
      </w:r>
      <w:r w:rsidRPr="750671CE">
        <w:rPr>
          <w:rFonts w:ascii="Times New Roman" w:eastAsia="Times New Roman" w:hAnsi="Times New Roman" w:cs="Times New Roman"/>
          <w:color w:val="000000" w:themeColor="text1"/>
        </w:rPr>
        <w:lastRenderedPageBreak/>
        <w:t>eyewitness who testified for the plaintiff. After the trial court determined that the plaintiff had not established her theory of a battery (</w:t>
      </w:r>
      <w:r w:rsidRPr="750671CE">
        <w:rPr>
          <w:rFonts w:ascii="Times New Roman" w:eastAsia="Times New Roman" w:hAnsi="Times New Roman" w:cs="Times New Roman"/>
          <w:i/>
          <w:iCs/>
          <w:color w:val="000000" w:themeColor="text1"/>
        </w:rPr>
        <w:t>i.e.</w:t>
      </w:r>
      <w:r w:rsidRPr="750671CE">
        <w:rPr>
          <w:rFonts w:ascii="Times New Roman" w:eastAsia="Times New Roman" w:hAnsi="Times New Roman" w:cs="Times New Roman"/>
          <w:color w:val="000000" w:themeColor="text1"/>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4B1DFF" w:rsidRDefault="00021538" w:rsidP="00591009">
      <w:pPr>
        <w:widowControl w:val="0"/>
        <w:autoSpaceDE w:val="0"/>
        <w:autoSpaceDN w:val="0"/>
        <w:adjustRightInd w:val="0"/>
        <w:spacing w:before="200"/>
        <w:ind w:firstLine="720"/>
        <w:contextualSpacing/>
        <w:rPr>
          <w:rFonts w:ascii="Times New Roman" w:eastAsia="Times New Roman" w:hAnsi="Times New Roman" w:cs="Times New Roman"/>
          <w:color w:val="000000" w:themeColor="text1"/>
        </w:rPr>
      </w:pPr>
    </w:p>
    <w:p w14:paraId="26B978D5" w14:textId="39A25899" w:rsidR="00C94CFB" w:rsidRPr="004B1DFF" w:rsidRDefault="750671CE" w:rsidP="00591009">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In this connection, we quote another portion of the comment on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Character of actor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intention,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relating to clause (a) of the rule from the Restatement heretofore set forth:</w:t>
      </w:r>
    </w:p>
    <w:p w14:paraId="345D5BDF" w14:textId="77777777" w:rsidR="00C94CFB" w:rsidRPr="004B1DFF" w:rsidRDefault="00C94CFB" w:rsidP="00591009">
      <w:pPr>
        <w:widowControl w:val="0"/>
        <w:autoSpaceDE w:val="0"/>
        <w:autoSpaceDN w:val="0"/>
        <w:adjustRightInd w:val="0"/>
        <w:rPr>
          <w:rFonts w:ascii="Times New Roman" w:hAnsi="Times New Roman" w:cs="Times New Roman"/>
          <w:color w:val="000000"/>
        </w:rPr>
      </w:pPr>
    </w:p>
    <w:p w14:paraId="7C9A4157" w14:textId="0A1843C8" w:rsidR="00C94CFB" w:rsidRPr="004B1DFF" w:rsidRDefault="00C94CFB" w:rsidP="00201D22">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It is not enough that the act itself is intentionally done and this, even</w:t>
      </w:r>
      <w:r w:rsidRPr="750671CE">
        <w:rPr>
          <w:rFonts w:ascii="Times New Roman" w:eastAsia="Times New Roman" w:hAnsi="Times New Roman" w:cs="Times New Roman"/>
          <w:b/>
          <w:bCs/>
          <w:color w:val="000000"/>
        </w:rPr>
        <w:t xml:space="preserve"> </w:t>
      </w:r>
      <w:r w:rsidRPr="750671CE">
        <w:rPr>
          <w:rFonts w:ascii="Times New Roman" w:eastAsia="Times New Roman" w:hAnsi="Times New Roman" w:cs="Times New Roman"/>
          <w:color w:val="000000"/>
        </w:rPr>
        <w:t xml:space="preserve">though the actor realizes or should realize </w:t>
      </w:r>
      <w:bookmarkStart w:id="44" w:name="co_pp_sp_804_202_1"/>
      <w:bookmarkEnd w:id="44"/>
      <w:r w:rsidRPr="750671CE">
        <w:rPr>
          <w:rFonts w:ascii="Times New Roman" w:eastAsia="Times New Roman" w:hAnsi="Times New Roman" w:cs="Times New Roman"/>
          <w:color w:val="000000"/>
        </w:rPr>
        <w:t>that it contains a very grave risk of bringing about the contact or apprehension. Such realization may make the actor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4B1DFF" w:rsidRDefault="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069E2A1F" w14:textId="12B8AF76" w:rsidR="00C94CFB" w:rsidRPr="004B1DFF" w:rsidRDefault="750671CE" w:rsidP="00591009">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A battery would be established if, in addition to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w:t>
      </w:r>
      <w:r w:rsidR="0026352C">
        <w:rPr>
          <w:rFonts w:ascii="Times New Roman" w:eastAsia="Times New Roman" w:hAnsi="Times New Roman" w:cs="Times New Roman"/>
          <w:color w:val="000000" w:themeColor="text1"/>
        </w:rPr>
        <w:t>. . .</w:t>
      </w:r>
      <w:r w:rsidRPr="750671CE">
        <w:rPr>
          <w:rFonts w:ascii="Times New Roman" w:eastAsia="Times New Roman" w:hAnsi="Times New Roman" w:cs="Times New Roman"/>
          <w:color w:val="000000" w:themeColor="text1"/>
        </w:rPr>
        <w:t xml:space="preserve"> Without such knowledge, there would be nothing wrongful about Brian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 in moving the chair and, there being no wrongful act, there would be no liability.</w:t>
      </w:r>
    </w:p>
    <w:p w14:paraId="7CC2ACA4" w14:textId="77777777" w:rsidR="00C94CFB" w:rsidRPr="004B1DFF" w:rsidRDefault="00C94CFB" w:rsidP="00591009">
      <w:pPr>
        <w:widowControl w:val="0"/>
        <w:autoSpaceDE w:val="0"/>
        <w:autoSpaceDN w:val="0"/>
        <w:adjustRightInd w:val="0"/>
        <w:rPr>
          <w:rFonts w:ascii="Times New Roman" w:hAnsi="Times New Roman" w:cs="Times New Roman"/>
          <w:color w:val="000000"/>
        </w:rPr>
      </w:pPr>
    </w:p>
    <w:p w14:paraId="5366176C" w14:textId="7C9CB8E2" w:rsidR="00C94CFB" w:rsidRPr="004B1DFF"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While a finding that Brian had no such knowledge can be inferred from the findings made, we believe that before the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action in such a case should be dismissed there should be no question but that the trial court had passed upon that issue; hence, the case should be remanded for clarification of the findings to specifically cover the question of Brian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knowledge, because intent could be inferred therefrom. If the court finds that he had such knowledge the necessary intent will be established and the plaintiff will be entitled to recover, even though there was no purpose to injure or embarrass the plaintiff. </w:t>
      </w:r>
      <w:r w:rsidRPr="750671CE">
        <w:rPr>
          <w:rFonts w:ascii="Times New Roman" w:eastAsia="Times New Roman" w:hAnsi="Times New Roman" w:cs="Times New Roman"/>
          <w:i/>
          <w:iCs/>
          <w:color w:val="000000" w:themeColor="text1"/>
        </w:rPr>
        <w:t>Vosburg v. Putney, supra</w:t>
      </w:r>
      <w:r w:rsidRPr="750671CE">
        <w:rPr>
          <w:rFonts w:ascii="Times New Roman" w:eastAsia="Times New Roman" w:hAnsi="Times New Roman" w:cs="Times New Roman"/>
          <w:color w:val="000000" w:themeColor="text1"/>
        </w:rPr>
        <w:t>. If Brian did not have such knowledge, there was no wrongful act by him and the basic premise of liability on the theory of a battery was not established.</w:t>
      </w:r>
    </w:p>
    <w:p w14:paraId="0E9D7037" w14:textId="77777777" w:rsidR="00C94CFB" w:rsidRPr="004B1DFF" w:rsidRDefault="00C94CFB">
      <w:pPr>
        <w:widowControl w:val="0"/>
        <w:autoSpaceDE w:val="0"/>
        <w:autoSpaceDN w:val="0"/>
        <w:adjustRightInd w:val="0"/>
        <w:rPr>
          <w:rFonts w:ascii="Times New Roman" w:hAnsi="Times New Roman" w:cs="Times New Roman"/>
          <w:color w:val="000000"/>
        </w:rPr>
      </w:pPr>
    </w:p>
    <w:p w14:paraId="48E6A9A0" w14:textId="14686834" w:rsidR="00C94CFB" w:rsidRPr="004B1DFF" w:rsidRDefault="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54062914" w14:textId="77777777" w:rsidR="00C94CFB" w:rsidRPr="004B1DFF" w:rsidRDefault="00C94CFB">
      <w:pPr>
        <w:rPr>
          <w:rFonts w:ascii="Times New Roman" w:hAnsi="Times New Roman" w:cs="Times New Roman"/>
          <w:color w:val="000000"/>
        </w:rPr>
      </w:pPr>
    </w:p>
    <w:p w14:paraId="0B62C8D3" w14:textId="77777777" w:rsidR="00935D4A" w:rsidRPr="004B1DFF"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Default="00904F7E">
      <w:pPr>
        <w:rPr>
          <w:rFonts w:ascii="Times New Roman" w:hAnsi="Times New Roman" w:cs="Times New Roman"/>
          <w:b/>
        </w:rPr>
      </w:pPr>
    </w:p>
    <w:p w14:paraId="55D32B48" w14:textId="77777777" w:rsidR="00B07497" w:rsidRPr="004B1DFF" w:rsidRDefault="00B07497">
      <w:pPr>
        <w:rPr>
          <w:rFonts w:ascii="Times New Roman" w:hAnsi="Times New Roman" w:cs="Times New Roman"/>
          <w:b/>
        </w:rPr>
      </w:pPr>
    </w:p>
    <w:p w14:paraId="0473795C" w14:textId="77777777" w:rsidR="00B71846" w:rsidRPr="00CD0D03" w:rsidRDefault="00B71846" w:rsidP="002502CC">
      <w:pPr>
        <w:pStyle w:val="Heading4"/>
      </w:pPr>
      <w:bookmarkStart w:id="45" w:name="_Toc364636042"/>
      <w:bookmarkStart w:id="46" w:name="_Toc518323200"/>
      <w:r w:rsidRPr="00CD0D03">
        <w:t>Notes</w:t>
      </w:r>
      <w:bookmarkEnd w:id="45"/>
      <w:bookmarkEnd w:id="46"/>
    </w:p>
    <w:p w14:paraId="5160CFE3" w14:textId="77777777" w:rsidR="007C1411" w:rsidRDefault="007C1411" w:rsidP="00760924">
      <w:pPr>
        <w:rPr>
          <w:rFonts w:ascii="Times New Roman" w:hAnsi="Times New Roman" w:cs="Times New Roman"/>
          <w:b/>
        </w:rPr>
      </w:pPr>
    </w:p>
    <w:p w14:paraId="3AE67D25" w14:textId="77777777" w:rsidR="006F1186" w:rsidRPr="004B1DFF" w:rsidRDefault="006F1186" w:rsidP="00760924">
      <w:pPr>
        <w:rPr>
          <w:rFonts w:ascii="Times New Roman" w:hAnsi="Times New Roman" w:cs="Times New Roman"/>
          <w:b/>
        </w:rPr>
      </w:pPr>
    </w:p>
    <w:p w14:paraId="6C82868E" w14:textId="0CF649CE" w:rsidR="00926B61" w:rsidRPr="00591009" w:rsidRDefault="750671CE" w:rsidP="00591009">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Intentionality</w:t>
      </w:r>
      <w:r w:rsidRPr="00591009">
        <w:rPr>
          <w:rFonts w:ascii="Times New Roman" w:eastAsia="Times New Roman" w:hAnsi="Times New Roman" w:cs="Times New Roman"/>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6670D8A4" w14:textId="77777777" w:rsidR="00926B61" w:rsidRPr="004B1DFF" w:rsidRDefault="00926B61" w:rsidP="005273FD">
      <w:pPr>
        <w:rPr>
          <w:rFonts w:ascii="Times New Roman" w:hAnsi="Times New Roman" w:cs="Times New Roman"/>
        </w:rPr>
      </w:pPr>
    </w:p>
    <w:p w14:paraId="1233EA84" w14:textId="1DB6830E" w:rsidR="009F09CA"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Section 1 of the </w:t>
      </w:r>
      <w:r w:rsidRPr="00CD2985">
        <w:rPr>
          <w:rFonts w:ascii="Times New Roman" w:eastAsia="Times New Roman" w:hAnsi="Times New Roman" w:cs="Times New Roman"/>
          <w:i/>
        </w:rPr>
        <w:t>Restatement (Third) of Torts: Liability for Physical Harm</w:t>
      </w:r>
      <w:r w:rsidRPr="750671CE">
        <w:rPr>
          <w:rFonts w:ascii="Times New Roman" w:eastAsia="Times New Roman" w:hAnsi="Times New Roman" w:cs="Times New Roman"/>
        </w:rPr>
        <w:t xml:space="preserve">, published in 2010, offers an updated definition of the intent required for battery—one that is largely similar to the definition adopted in the First Restatement in 1934 and quoted in </w:t>
      </w:r>
      <w:r w:rsidRPr="750671CE">
        <w:rPr>
          <w:rFonts w:ascii="Times New Roman" w:eastAsia="Times New Roman" w:hAnsi="Times New Roman" w:cs="Times New Roman"/>
          <w:i/>
          <w:iCs/>
        </w:rPr>
        <w:t>Garratt v. Dailey</w:t>
      </w:r>
      <w:r w:rsidRPr="750671CE">
        <w:rPr>
          <w:rFonts w:ascii="Times New Roman" w:eastAsia="Times New Roman" w:hAnsi="Times New Roman" w:cs="Times New Roman"/>
        </w:rPr>
        <w:t xml:space="preserve">, 279 P.2d 1091 (Wash. 1955).  According to the Third Restatement, </w:t>
      </w:r>
      <w:r w:rsidR="00B05F31">
        <w:rPr>
          <w:rFonts w:ascii="Times New Roman" w:eastAsia="Times New Roman" w:hAnsi="Times New Roman" w:cs="Times New Roman"/>
        </w:rPr>
        <w:t>“</w:t>
      </w:r>
      <w:r w:rsidRPr="750671CE">
        <w:rPr>
          <w:rFonts w:ascii="Times New Roman" w:eastAsia="Times New Roman" w:hAnsi="Times New Roman" w:cs="Times New Roman"/>
        </w:rPr>
        <w:t>A person acts with the intent to produce a consequence if: (a) the person acts with the purpose of producing that consequence; or (b) the person acts knowing that the consequence is substantially certain to result.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Restatement (Third) of Torts: Liability for Physical Harm </w:t>
      </w:r>
      <w:r w:rsidRPr="750671CE">
        <w:rPr>
          <w:rFonts w:ascii="Times New Roman" w:eastAsia="Times New Roman" w:hAnsi="Times New Roman" w:cs="Times New Roman"/>
        </w:rPr>
        <w:t>§ 1 (2010).</w:t>
      </w:r>
    </w:p>
    <w:p w14:paraId="6CB882BF" w14:textId="77777777" w:rsidR="009F09CA" w:rsidRPr="004B1DFF" w:rsidRDefault="009F09CA" w:rsidP="009F09CA">
      <w:pPr>
        <w:rPr>
          <w:rFonts w:ascii="Times New Roman" w:hAnsi="Times New Roman" w:cs="Times New Roman"/>
        </w:rPr>
      </w:pPr>
    </w:p>
    <w:p w14:paraId="7D7CCD72" w14:textId="250F68EF" w:rsidR="00FF17AD"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Restatement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w:t>
      </w:r>
      <w:r w:rsidR="00563CE4">
        <w:rPr>
          <w:rFonts w:ascii="Times New Roman" w:eastAsia="Times New Roman" w:hAnsi="Times New Roman" w:cs="Times New Roman"/>
        </w:rPr>
        <w:t>It follows from the</w:t>
      </w:r>
      <w:r w:rsidR="00563CE4"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law of large numbers that </w:t>
      </w:r>
      <w:r w:rsidR="00563CE4">
        <w:rPr>
          <w:rFonts w:ascii="Times New Roman" w:eastAsia="Times New Roman" w:hAnsi="Times New Roman" w:cs="Times New Roman"/>
        </w:rPr>
        <w:t xml:space="preserve">a certain number of </w:t>
      </w:r>
      <w:r w:rsidRPr="750671CE">
        <w:rPr>
          <w:rFonts w:ascii="Times New Roman" w:eastAsia="Times New Roman" w:hAnsi="Times New Roman" w:cs="Times New Roman"/>
        </w:rPr>
        <w:t xml:space="preserve">injuries </w:t>
      </w:r>
      <w:r w:rsidR="00DE32B2">
        <w:rPr>
          <w:rFonts w:ascii="Times New Roman" w:eastAsia="Times New Roman" w:hAnsi="Times New Roman" w:cs="Times New Roman"/>
        </w:rPr>
        <w:t>will</w:t>
      </w:r>
      <w:r w:rsidRPr="750671CE">
        <w:rPr>
          <w:rFonts w:ascii="Times New Roman" w:eastAsia="Times New Roman" w:hAnsi="Times New Roman" w:cs="Times New Roman"/>
        </w:rPr>
        <w:t xml:space="preserve"> </w:t>
      </w:r>
      <w:r w:rsidR="00563CE4">
        <w:rPr>
          <w:rFonts w:ascii="Times New Roman" w:eastAsia="Times New Roman" w:hAnsi="Times New Roman" w:cs="Times New Roman"/>
        </w:rPr>
        <w:t xml:space="preserve">occur </w:t>
      </w:r>
      <w:r w:rsidRPr="750671CE">
        <w:rPr>
          <w:rFonts w:ascii="Times New Roman" w:eastAsia="Times New Roman" w:hAnsi="Times New Roman" w:cs="Times New Roman"/>
        </w:rPr>
        <w:t xml:space="preserve">such situations.  Some courts have held that being aware of the risk of harm is not the same as knowing that harm will occur with substantial certainty.  </w:t>
      </w:r>
      <w:r w:rsidRPr="750671CE">
        <w:rPr>
          <w:rFonts w:ascii="Times New Roman" w:eastAsia="Times New Roman" w:hAnsi="Times New Roman" w:cs="Times New Roman"/>
          <w:i/>
          <w:iCs/>
        </w:rPr>
        <w:t>See Tomeo v. Thomas Whitesell Constr. Co.</w:t>
      </w:r>
      <w:r w:rsidRPr="750671CE">
        <w:rPr>
          <w:rFonts w:ascii="Times New Roman" w:eastAsia="Times New Roman" w:hAnsi="Times New Roman" w:cs="Times New Roman"/>
        </w:rPr>
        <w:t>, 823 A.2d 769, 772 (N.J. 2003) (holding that plaintiff-employee, who was injured by a snow blower in the scope of employment, could not use defendant-employer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awareness of the inherent risks in operating a snow blower to establish substantial certainty).  The </w:t>
      </w:r>
      <w:r w:rsidRPr="750671CE">
        <w:rPr>
          <w:rFonts w:ascii="Times New Roman" w:eastAsia="Times New Roman" w:hAnsi="Times New Roman" w:cs="Times New Roman"/>
          <w:i/>
          <w:iCs/>
        </w:rPr>
        <w:t>Tomeo</w:t>
      </w:r>
      <w:r w:rsidRPr="750671CE">
        <w:rPr>
          <w:rFonts w:ascii="Times New Roman" w:eastAsia="Times New Roman" w:hAnsi="Times New Roman" w:cs="Times New Roman"/>
        </w:rPr>
        <w:t xml:space="preserve"> Court held that </w:t>
      </w:r>
      <w:r w:rsidR="00B05F31">
        <w:rPr>
          <w:rFonts w:ascii="Times New Roman" w:eastAsia="Times New Roman" w:hAnsi="Times New Roman" w:cs="Times New Roman"/>
        </w:rPr>
        <w:t>“</w:t>
      </w:r>
      <w:r w:rsidRPr="750671CE">
        <w:rPr>
          <w:rFonts w:ascii="Times New Roman" w:eastAsia="Times New Roman" w:hAnsi="Times New Roman" w:cs="Times New Roman"/>
        </w:rPr>
        <w:t>mere knowledge and appreciation of risk—something short of substantial certainty—is not intent.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(internal quotation marks omitted).  Courts in other jurisdictions have echoed </w:t>
      </w:r>
      <w:r w:rsidRPr="750671CE">
        <w:rPr>
          <w:rFonts w:ascii="Times New Roman" w:eastAsia="Times New Roman" w:hAnsi="Times New Roman" w:cs="Times New Roman"/>
          <w:i/>
          <w:iCs/>
        </w:rPr>
        <w:t>Tomeo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holding.  </w:t>
      </w:r>
      <w:r w:rsidRPr="750671CE">
        <w:rPr>
          <w:rFonts w:ascii="Times New Roman" w:eastAsia="Times New Roman" w:hAnsi="Times New Roman" w:cs="Times New Roman"/>
          <w:i/>
          <w:iCs/>
        </w:rPr>
        <w:t>See, e.g., Adams v. Time Saver Stores</w:t>
      </w:r>
      <w:r w:rsidRPr="750671CE">
        <w:rPr>
          <w:rFonts w:ascii="Times New Roman" w:eastAsia="Times New Roman" w:hAnsi="Times New Roman" w:cs="Times New Roman"/>
        </w:rPr>
        <w:t xml:space="preserve">, 615 So. 2d 460, 462 (La. Ct. App. 1993) (holding that the mere foreseeability of an injury does not establish substantial certainty).  </w:t>
      </w:r>
    </w:p>
    <w:p w14:paraId="37E29C8E" w14:textId="77777777" w:rsidR="009F09CA" w:rsidRPr="004B1DFF" w:rsidRDefault="009F09CA" w:rsidP="009F09CA">
      <w:pPr>
        <w:rPr>
          <w:rFonts w:ascii="Times New Roman" w:hAnsi="Times New Roman" w:cs="Times New Roman"/>
        </w:rPr>
      </w:pPr>
    </w:p>
    <w:p w14:paraId="0B9CBD18" w14:textId="09180A9F" w:rsidR="009F09CA" w:rsidRPr="004B1DFF" w:rsidRDefault="009F09CA" w:rsidP="750671CE">
      <w:pPr>
        <w:rPr>
          <w:rFonts w:ascii="Times New Roman" w:eastAsia="Times New Roman" w:hAnsi="Times New Roman" w:cs="Times New Roman"/>
        </w:rPr>
      </w:pPr>
      <w:r w:rsidRPr="004B1DFF">
        <w:rPr>
          <w:rFonts w:ascii="Times New Roman" w:hAnsi="Times New Roman" w:cs="Times New Roman"/>
        </w:rPr>
        <w:tab/>
      </w:r>
      <w:r w:rsidRPr="750671CE">
        <w:rPr>
          <w:rFonts w:ascii="Times New Roman" w:eastAsia="Times New Roman" w:hAnsi="Times New Roman" w:cs="Times New Roman"/>
        </w:rPr>
        <w:t xml:space="preserve">Other </w:t>
      </w:r>
      <w:r w:rsidR="00591009">
        <w:rPr>
          <w:rFonts w:ascii="Times New Roman" w:eastAsia="Times New Roman" w:hAnsi="Times New Roman" w:cs="Times New Roman"/>
        </w:rPr>
        <w:t>cases</w:t>
      </w:r>
      <w:r w:rsidRPr="750671CE">
        <w:rPr>
          <w:rFonts w:ascii="Times New Roman" w:eastAsia="Times New Roman" w:hAnsi="Times New Roman" w:cs="Times New Roman"/>
        </w:rPr>
        <w:t xml:space="preserve">, however, have approached the issue differently. </w:t>
      </w:r>
      <w:r w:rsidR="008C6136"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For example, in </w:t>
      </w:r>
      <w:r w:rsidRPr="750671CE">
        <w:rPr>
          <w:rFonts w:ascii="Times New Roman" w:eastAsia="Times New Roman" w:hAnsi="Times New Roman" w:cs="Times New Roman"/>
          <w:i/>
          <w:iCs/>
        </w:rPr>
        <w:t>Laidlow v. Hariton Machinery Co.,</w:t>
      </w:r>
      <w:r w:rsidRPr="750671CE">
        <w:rPr>
          <w:rFonts w:ascii="Times New Roman" w:eastAsia="Times New Roman" w:hAnsi="Times New Roman" w:cs="Times New Roman"/>
        </w:rPr>
        <w:t xml:space="preserve"> 790 A.2d 884 (N.J. 2002), the plaintiff-employee successfully established that the defendant-employer acted with substantial certainty</w:t>
      </w:r>
      <w:r w:rsidR="00FF17AD" w:rsidRPr="750671CE">
        <w:rPr>
          <w:rFonts w:ascii="Times New Roman" w:eastAsia="Times New Roman" w:hAnsi="Times New Roman" w:cs="Times New Roman"/>
        </w:rPr>
        <w:t xml:space="preserve"> of the consequences </w:t>
      </w:r>
      <w:r w:rsidR="0044775A" w:rsidRPr="750671CE">
        <w:rPr>
          <w:rFonts w:ascii="Times New Roman" w:eastAsia="Times New Roman" w:hAnsi="Times New Roman" w:cs="Times New Roman"/>
        </w:rPr>
        <w:t>of injury to the plaintiff where</w:t>
      </w:r>
      <w:r w:rsidRPr="750671CE">
        <w:rPr>
          <w:rFonts w:ascii="Times New Roman" w:eastAsia="Times New Roman" w:hAnsi="Times New Roman" w:cs="Times New Roman"/>
        </w:rPr>
        <w:t xml:space="preserve"> the defendant disabled a safety device and </w:t>
      </w:r>
      <w:r w:rsidR="0044775A" w:rsidRPr="750671CE">
        <w:rPr>
          <w:rFonts w:ascii="Times New Roman" w:eastAsia="Times New Roman" w:hAnsi="Times New Roman" w:cs="Times New Roman"/>
        </w:rPr>
        <w:t>enabled it only when</w:t>
      </w:r>
      <w:r w:rsidRPr="750671CE">
        <w:rPr>
          <w:rFonts w:ascii="Times New Roman" w:eastAsia="Times New Roman" w:hAnsi="Times New Roman" w:cs="Times New Roman"/>
        </w:rPr>
        <w:t xml:space="preserve"> OSHA inspectors </w:t>
      </w:r>
      <w:r w:rsidR="0044775A" w:rsidRPr="750671CE">
        <w:rPr>
          <w:rFonts w:ascii="Times New Roman" w:eastAsia="Times New Roman" w:hAnsi="Times New Roman" w:cs="Times New Roman"/>
        </w:rPr>
        <w:t>were present</w:t>
      </w:r>
      <w:r w:rsidRPr="750671CE">
        <w:rPr>
          <w:rFonts w:ascii="Times New Roman" w:eastAsia="Times New Roman" w:hAnsi="Times New Roman" w:cs="Times New Roman"/>
        </w:rPr>
        <w:t xml:space="preserve">. </w:t>
      </w:r>
    </w:p>
    <w:p w14:paraId="170EFC77" w14:textId="77777777" w:rsidR="00176E70" w:rsidRPr="004B1DFF" w:rsidRDefault="00176E70" w:rsidP="009F09CA">
      <w:pPr>
        <w:rPr>
          <w:rFonts w:ascii="Times New Roman" w:hAnsi="Times New Roman" w:cs="Times New Roman"/>
        </w:rPr>
      </w:pPr>
    </w:p>
    <w:p w14:paraId="34F8244B" w14:textId="1B41F720" w:rsidR="005F5211"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The more common position, consistent with cases like </w:t>
      </w:r>
      <w:r w:rsidRPr="750671CE">
        <w:rPr>
          <w:rFonts w:ascii="Times New Roman" w:eastAsia="Times New Roman" w:hAnsi="Times New Roman" w:cs="Times New Roman"/>
          <w:i/>
          <w:iCs/>
        </w:rPr>
        <w:t>Tomeo</w:t>
      </w:r>
      <w:r w:rsidRPr="750671CE">
        <w:rPr>
          <w:rFonts w:ascii="Times New Roman" w:eastAsia="Times New Roman" w:hAnsi="Times New Roman" w:cs="Times New Roman"/>
        </w:rPr>
        <w:t xml:space="preserve">, was adopted in </w:t>
      </w:r>
      <w:r w:rsidRPr="750671CE">
        <w:rPr>
          <w:rFonts w:ascii="Times New Roman" w:eastAsia="Times New Roman" w:hAnsi="Times New Roman" w:cs="Times New Roman"/>
          <w:i/>
          <w:iCs/>
        </w:rPr>
        <w:t>Shaw v. Brown &amp; Williamson Tobacco Corp</w:t>
      </w:r>
      <w:r w:rsidRPr="750671CE">
        <w:rPr>
          <w:rFonts w:ascii="Times New Roman" w:eastAsia="Times New Roman" w:hAnsi="Times New Roman" w:cs="Times New Roman"/>
        </w:rPr>
        <w:t>., 973 F. Supp. 539 (D. Md. 1997), in which plaintiff truck-driver, who shared a cab with a heavy smoker, sued his partner</w:t>
      </w:r>
      <w:r w:rsidR="00B05F31">
        <w:rPr>
          <w:rFonts w:ascii="Times New Roman" w:eastAsia="Times New Roman" w:hAnsi="Times New Roman" w:cs="Times New Roman"/>
        </w:rPr>
        <w:t>’</w:t>
      </w:r>
      <w:r w:rsidRPr="750671CE">
        <w:rPr>
          <w:rFonts w:ascii="Times New Roman" w:eastAsia="Times New Roman" w:hAnsi="Times New Roman" w:cs="Times New Roman"/>
        </w:rPr>
        <w:t>s cigarette manufacturer for battery by smoke.  It is well accepted that the law of battery will allow for transferred intent: when A intentionally strikes at B and hits B</w:t>
      </w:r>
      <w:r w:rsidR="00B05F31">
        <w:rPr>
          <w:rFonts w:ascii="Times New Roman" w:eastAsia="Times New Roman" w:hAnsi="Times New Roman" w:cs="Times New Roman"/>
        </w:rPr>
        <w:t>’</w:t>
      </w:r>
      <w:r w:rsidRPr="750671CE">
        <w:rPr>
          <w:rFonts w:ascii="Times New Roman" w:eastAsia="Times New Roman" w:hAnsi="Times New Roman" w:cs="Times New Roman"/>
        </w:rPr>
        <w:t>s companion C instead, the error does not undercut A</w:t>
      </w:r>
      <w:r w:rsidR="00B05F31">
        <w:rPr>
          <w:rFonts w:ascii="Times New Roman" w:eastAsia="Times New Roman" w:hAnsi="Times New Roman" w:cs="Times New Roman"/>
        </w:rPr>
        <w:t>’</w:t>
      </w:r>
      <w:r w:rsidRPr="750671CE">
        <w:rPr>
          <w:rFonts w:ascii="Times New Roman" w:eastAsia="Times New Roman" w:hAnsi="Times New Roman" w:cs="Times New Roman"/>
        </w:rPr>
        <w:t>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2E951A87" w14:textId="77777777" w:rsidR="005F5211" w:rsidRPr="004B1DFF" w:rsidRDefault="005F5211" w:rsidP="002548F8">
      <w:pPr>
        <w:ind w:firstLine="720"/>
        <w:rPr>
          <w:rFonts w:ascii="Times New Roman" w:hAnsi="Times New Roman" w:cs="Times New Roman"/>
        </w:rPr>
      </w:pPr>
    </w:p>
    <w:p w14:paraId="2927793F" w14:textId="77777777" w:rsidR="00176E70" w:rsidRPr="004B1DFF" w:rsidRDefault="750671CE" w:rsidP="00CD2985">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  </w:t>
      </w:r>
    </w:p>
    <w:p w14:paraId="6A63354F" w14:textId="77777777" w:rsidR="005F5211" w:rsidRPr="004B1DFF" w:rsidRDefault="005F5211" w:rsidP="005F5211">
      <w:pPr>
        <w:ind w:right="720"/>
        <w:rPr>
          <w:rFonts w:ascii="Times New Roman" w:hAnsi="Times New Roman" w:cs="Times New Roman"/>
        </w:rPr>
      </w:pPr>
    </w:p>
    <w:p w14:paraId="7B010637" w14:textId="0CD60567" w:rsidR="00176E70" w:rsidRPr="0066123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973 F. Supp. at 548.  The Restatement authors agree with Judge Black.  The substantial certainty doctrine, the Restatement asserts, should be limited to cases in which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defendant has knowledge to a substantial certainty that the conduct will bring about harm </w:t>
      </w:r>
      <w:r w:rsidRPr="750671CE">
        <w:rPr>
          <w:rFonts w:ascii="Times New Roman" w:eastAsia="Times New Roman" w:hAnsi="Times New Roman" w:cs="Times New Roman"/>
          <w:i/>
          <w:iCs/>
        </w:rPr>
        <w:t>to a particular victim or to someone within a small class of potential victims within a localized area</w:t>
      </w:r>
      <w:r w:rsidRPr="750671CE">
        <w:rPr>
          <w:rFonts w:ascii="Times New Roman" w:eastAsia="Times New Roman" w:hAnsi="Times New Roman" w:cs="Times New Roman"/>
        </w:rPr>
        <w: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Restatement (Third) of T</w:t>
      </w:r>
      <w:r w:rsidRPr="0066123B">
        <w:rPr>
          <w:rFonts w:ascii="Times New Roman" w:eastAsia="Times New Roman" w:hAnsi="Times New Roman" w:cs="Times New Roman"/>
          <w:smallCaps/>
        </w:rPr>
        <w:t>orts</w:t>
      </w:r>
      <w:r w:rsidRPr="0066123B">
        <w:rPr>
          <w:rFonts w:ascii="Times New Roman" w:eastAsia="Times New Roman" w:hAnsi="Times New Roman" w:cs="Times New Roman"/>
        </w:rPr>
        <w:t xml:space="preserve"> § 1 cmt. e (2010) (emphasis added).  Why limit the tort of battery in this way?  </w:t>
      </w:r>
    </w:p>
    <w:p w14:paraId="67C53E32" w14:textId="77777777" w:rsidR="00710AEF" w:rsidRPr="0066123B" w:rsidRDefault="00710AEF" w:rsidP="009F09CA">
      <w:pPr>
        <w:rPr>
          <w:rFonts w:ascii="Times New Roman" w:hAnsi="Times New Roman" w:cs="Times New Roman"/>
        </w:rPr>
      </w:pPr>
    </w:p>
    <w:p w14:paraId="1613E2D1" w14:textId="77777777" w:rsidR="00201D22" w:rsidRPr="0066123B" w:rsidRDefault="00201D22" w:rsidP="009F09CA">
      <w:pPr>
        <w:rPr>
          <w:rFonts w:ascii="Times New Roman" w:hAnsi="Times New Roman" w:cs="Times New Roman"/>
        </w:rPr>
      </w:pPr>
    </w:p>
    <w:p w14:paraId="02598C6F" w14:textId="39FED279" w:rsidR="006436B9" w:rsidRPr="00591009" w:rsidRDefault="006436B9" w:rsidP="00591009">
      <w:pPr>
        <w:pStyle w:val="ListParagraph"/>
        <w:numPr>
          <w:ilvl w:val="0"/>
          <w:numId w:val="61"/>
        </w:numPr>
        <w:ind w:left="0" w:firstLine="360"/>
        <w:rPr>
          <w:rFonts w:ascii="Times New Roman" w:hAnsi="Times New Roman" w:cs="Times New Roman"/>
        </w:rPr>
      </w:pPr>
      <w:r w:rsidRPr="00591009">
        <w:rPr>
          <w:rFonts w:ascii="Times New Roman" w:hAnsi="Times New Roman" w:cs="Times New Roman"/>
          <w:i/>
        </w:rPr>
        <w:t xml:space="preserve">Is intentionality intuitive?  </w:t>
      </w:r>
      <w:r w:rsidR="00563CE4" w:rsidRPr="0066123B">
        <w:rPr>
          <w:rFonts w:ascii="Times New Roman" w:hAnsi="Times New Roman" w:cs="Times New Roman"/>
        </w:rPr>
        <w:t>T</w:t>
      </w:r>
      <w:r w:rsidRPr="00591009">
        <w:rPr>
          <w:rFonts w:ascii="Times New Roman" w:hAnsi="Times New Roman" w:cs="Times New Roman"/>
        </w:rPr>
        <w:t>he</w:t>
      </w:r>
      <w:r w:rsidR="0066123B" w:rsidRPr="0066123B">
        <w:rPr>
          <w:rFonts w:ascii="Times New Roman" w:hAnsi="Times New Roman" w:cs="Times New Roman"/>
        </w:rPr>
        <w:t xml:space="preserve"> </w:t>
      </w:r>
      <w:r w:rsidR="0066123B" w:rsidRPr="00591009">
        <w:rPr>
          <w:rFonts w:ascii="Times New Roman" w:hAnsi="Times New Roman" w:cs="Times New Roman"/>
        </w:rPr>
        <w:t xml:space="preserve">famed Supreme Court </w:t>
      </w:r>
      <w:r w:rsidR="00DE32B2">
        <w:rPr>
          <w:rFonts w:ascii="Times New Roman" w:hAnsi="Times New Roman" w:cs="Times New Roman"/>
        </w:rPr>
        <w:t>j</w:t>
      </w:r>
      <w:r w:rsidR="0066123B" w:rsidRPr="00591009">
        <w:rPr>
          <w:rFonts w:ascii="Times New Roman" w:hAnsi="Times New Roman" w:cs="Times New Roman"/>
        </w:rPr>
        <w:t xml:space="preserve">ustice </w:t>
      </w:r>
      <w:r w:rsidRPr="00591009">
        <w:rPr>
          <w:rFonts w:ascii="Times New Roman" w:hAnsi="Times New Roman" w:cs="Times New Roman"/>
        </w:rPr>
        <w:t>Oliver Wendell Holmes</w:t>
      </w:r>
      <w:r w:rsidR="00563CE4" w:rsidRPr="00591009">
        <w:rPr>
          <w:rFonts w:ascii="Times New Roman" w:hAnsi="Times New Roman" w:cs="Times New Roman"/>
        </w:rPr>
        <w:t>, Jr.,</w:t>
      </w:r>
      <w:r w:rsidRPr="00591009">
        <w:rPr>
          <w:rFonts w:ascii="Times New Roman" w:hAnsi="Times New Roman" w:cs="Times New Roman"/>
        </w:rPr>
        <w:t xml:space="preserve"> once claimed that “even a dog knows the difference between being kicked and being stumbled over.”  </w:t>
      </w:r>
      <w:r w:rsidR="0066123B" w:rsidRPr="00591009">
        <w:rPr>
          <w:rFonts w:ascii="Times New Roman" w:hAnsi="Times New Roman" w:cs="Times New Roman"/>
          <w:smallCaps/>
        </w:rPr>
        <w:t>Oliver Wendell Holmes, Jr., The Common Law</w:t>
      </w:r>
      <w:r w:rsidR="0066123B" w:rsidRPr="00591009">
        <w:rPr>
          <w:rFonts w:ascii="Times New Roman" w:hAnsi="Times New Roman" w:cs="Times New Roman"/>
        </w:rPr>
        <w:t xml:space="preserve"> 3 (Boston: Little, Brown &amp; Co., 1881). </w:t>
      </w:r>
      <w:r w:rsidRPr="00591009">
        <w:rPr>
          <w:rFonts w:ascii="Times New Roman" w:hAnsi="Times New Roman" w:cs="Times New Roman"/>
        </w:rPr>
        <w:t>Yet research from developmental psychology paints a more complicated picture.</w:t>
      </w:r>
    </w:p>
    <w:p w14:paraId="406D2789" w14:textId="77777777" w:rsidR="006436B9" w:rsidRPr="0066123B" w:rsidRDefault="006436B9" w:rsidP="006436B9">
      <w:pPr>
        <w:rPr>
          <w:rFonts w:ascii="Times New Roman" w:hAnsi="Times New Roman" w:cs="Times New Roman"/>
        </w:rPr>
      </w:pPr>
    </w:p>
    <w:p w14:paraId="369288DE" w14:textId="1C033DBB" w:rsidR="006436B9" w:rsidRPr="00446EC2" w:rsidRDefault="006436B9" w:rsidP="006436B9">
      <w:pPr>
        <w:ind w:firstLine="720"/>
        <w:rPr>
          <w:rFonts w:ascii="Times New Roman" w:hAnsi="Times New Roman" w:cs="Times New Roman"/>
        </w:rPr>
      </w:pPr>
      <w:r w:rsidRPr="0066123B">
        <w:rPr>
          <w:rFonts w:ascii="Times New Roman" w:hAnsi="Times New Roman" w:cs="Times New Roman"/>
        </w:rPr>
        <w:t>It is true that the ability to distinguish intentional from unintentional action is a foundational skill that emerges early in devel</w:t>
      </w:r>
      <w:r w:rsidRPr="00446EC2">
        <w:rPr>
          <w:rFonts w:ascii="Times New Roman" w:hAnsi="Times New Roman" w:cs="Times New Roman"/>
        </w:rPr>
        <w:t>opment.</w:t>
      </w:r>
      <w:r>
        <w:rPr>
          <w:rFonts w:ascii="Times New Roman" w:hAnsi="Times New Roman" w:cs="Times New Roman"/>
        </w:rPr>
        <w:t xml:space="preserve"> </w:t>
      </w:r>
      <w:r w:rsidRPr="00446EC2">
        <w:rPr>
          <w:rFonts w:ascii="Times New Roman" w:hAnsi="Times New Roman" w:cs="Times New Roman"/>
        </w:rPr>
        <w:t xml:space="preserve"> Chimpanzees, orangutans, and eight-month-old human infants can reliably discriminate between purposeful and accidental action. </w:t>
      </w:r>
      <w:r>
        <w:rPr>
          <w:rFonts w:ascii="Times New Roman" w:hAnsi="Times New Roman" w:cs="Times New Roman"/>
        </w:rPr>
        <w:t xml:space="preserve"> </w:t>
      </w:r>
      <w:r w:rsidRPr="00446EC2">
        <w:rPr>
          <w:rFonts w:ascii="Times New Roman" w:hAnsi="Times New Roman" w:cs="Times New Roman"/>
        </w:rPr>
        <w:t xml:space="preserve">Josep Call &amp; Michael Tomasello, </w:t>
      </w:r>
      <w:r w:rsidRPr="00446EC2">
        <w:rPr>
          <w:rFonts w:ascii="Times New Roman" w:hAnsi="Times New Roman" w:cs="Times New Roman"/>
          <w:i/>
        </w:rPr>
        <w:t>Distinguishing Intentional from Accidental Actions in Orangutans (</w:t>
      </w:r>
      <w:r w:rsidRPr="00446EC2">
        <w:rPr>
          <w:rFonts w:ascii="Times New Roman" w:hAnsi="Times New Roman" w:cs="Times New Roman"/>
        </w:rPr>
        <w:t>Pongo Pygmaeus</w:t>
      </w:r>
      <w:r w:rsidRPr="00446EC2">
        <w:rPr>
          <w:rFonts w:ascii="Times New Roman" w:hAnsi="Times New Roman" w:cs="Times New Roman"/>
          <w:i/>
        </w:rPr>
        <w:t>) and Chimpanzees (</w:t>
      </w:r>
      <w:r w:rsidRPr="00446EC2">
        <w:rPr>
          <w:rFonts w:ascii="Times New Roman" w:hAnsi="Times New Roman" w:cs="Times New Roman"/>
        </w:rPr>
        <w:t>Pan Troglodytes</w:t>
      </w:r>
      <w:r w:rsidRPr="00446EC2">
        <w:rPr>
          <w:rFonts w:ascii="Times New Roman" w:hAnsi="Times New Roman" w:cs="Times New Roman"/>
          <w:i/>
        </w:rPr>
        <w:t>) and Human Children</w:t>
      </w:r>
      <w:r w:rsidRPr="00446EC2">
        <w:rPr>
          <w:rFonts w:ascii="Times New Roman" w:hAnsi="Times New Roman" w:cs="Times New Roman"/>
        </w:rPr>
        <w:t xml:space="preserve">, 122 J. </w:t>
      </w:r>
      <w:r w:rsidRPr="00446EC2">
        <w:rPr>
          <w:rFonts w:ascii="Times New Roman" w:hAnsi="Times New Roman" w:cs="Times New Roman"/>
          <w:smallCaps/>
        </w:rPr>
        <w:t>Comparative Psychol</w:t>
      </w:r>
      <w:r w:rsidRPr="00446EC2">
        <w:rPr>
          <w:rFonts w:ascii="Times New Roman" w:hAnsi="Times New Roman" w:cs="Times New Roman"/>
        </w:rPr>
        <w:t xml:space="preserve">. 192 (1998). </w:t>
      </w:r>
      <w:r>
        <w:rPr>
          <w:rFonts w:ascii="Times New Roman" w:hAnsi="Times New Roman" w:cs="Times New Roman"/>
        </w:rPr>
        <w:t xml:space="preserve"> </w:t>
      </w:r>
      <w:r w:rsidRPr="00446EC2">
        <w:rPr>
          <w:rFonts w:ascii="Times New Roman" w:hAnsi="Times New Roman" w:cs="Times New Roman"/>
        </w:rPr>
        <w:t>This faculty plays an essential role in helping children acquire language and develop interpersonal skills.</w:t>
      </w:r>
      <w:r>
        <w:rPr>
          <w:rFonts w:ascii="Times New Roman" w:hAnsi="Times New Roman" w:cs="Times New Roman"/>
        </w:rPr>
        <w:t xml:space="preserve"> </w:t>
      </w:r>
      <w:r w:rsidRPr="00446EC2">
        <w:rPr>
          <w:rFonts w:ascii="Times New Roman" w:hAnsi="Times New Roman" w:cs="Times New Roman"/>
        </w:rPr>
        <w:t xml:space="preserve"> In fact, preschoolers whose ability to infer others’ intentions is disrupted, often due to maltreatment or physical abuse, are at heightened risk for later social maladjustment and behavioral problems. </w:t>
      </w:r>
      <w:r w:rsidRPr="00446EC2">
        <w:rPr>
          <w:rFonts w:ascii="Times New Roman" w:hAnsi="Times New Roman" w:cs="Times New Roman"/>
          <w:i/>
        </w:rPr>
        <w:t>See</w:t>
      </w:r>
      <w:r w:rsidRPr="00446EC2">
        <w:rPr>
          <w:rFonts w:ascii="Times New Roman" w:hAnsi="Times New Roman" w:cs="Times New Roman"/>
        </w:rPr>
        <w:t xml:space="preserve"> Kenneth A. Dodge, John E. Bates &amp; </w:t>
      </w:r>
      <w:r w:rsidRPr="00446EC2">
        <w:rPr>
          <w:rFonts w:ascii="Times New Roman" w:hAnsi="Times New Roman" w:cs="Times New Roman"/>
        </w:rPr>
        <w:lastRenderedPageBreak/>
        <w:t xml:space="preserve">Gregory S. Petit, </w:t>
      </w:r>
      <w:r w:rsidRPr="00446EC2">
        <w:rPr>
          <w:rFonts w:ascii="Times New Roman" w:hAnsi="Times New Roman" w:cs="Times New Roman"/>
          <w:i/>
        </w:rPr>
        <w:t>Mechanisms in the Cycle of Violence</w:t>
      </w:r>
      <w:r w:rsidRPr="00446EC2">
        <w:rPr>
          <w:rFonts w:ascii="Times New Roman" w:hAnsi="Times New Roman" w:cs="Times New Roman"/>
        </w:rPr>
        <w:t xml:space="preserve">, 250 </w:t>
      </w:r>
      <w:r w:rsidRPr="00446EC2">
        <w:rPr>
          <w:rFonts w:ascii="Times New Roman" w:hAnsi="Times New Roman" w:cs="Times New Roman"/>
          <w:smallCaps/>
        </w:rPr>
        <w:t>Science</w:t>
      </w:r>
      <w:r w:rsidRPr="00446EC2">
        <w:rPr>
          <w:rFonts w:ascii="Times New Roman" w:hAnsi="Times New Roman" w:cs="Times New Roman"/>
        </w:rPr>
        <w:t xml:space="preserve"> 1678 (1990). </w:t>
      </w:r>
      <w:r>
        <w:rPr>
          <w:rFonts w:ascii="Times New Roman" w:hAnsi="Times New Roman" w:cs="Times New Roman"/>
        </w:rPr>
        <w:t xml:space="preserve"> </w:t>
      </w:r>
      <w:r w:rsidRPr="00446EC2">
        <w:rPr>
          <w:rFonts w:ascii="Times New Roman" w:hAnsi="Times New Roman" w:cs="Times New Roman"/>
        </w:rPr>
        <w:t>Indeed, some have argued that our ability to identify unintentional harms as accidents and to respond with forgiveness is what allows for the evolution of cooperative societies in which individuals coordinate their behavior to maximize collective welfare.</w:t>
      </w:r>
      <w:r>
        <w:rPr>
          <w:rFonts w:ascii="Times New Roman" w:hAnsi="Times New Roman" w:cs="Times New Roman"/>
        </w:rPr>
        <w:t xml:space="preserve"> </w:t>
      </w:r>
      <w:r w:rsidRPr="00446EC2">
        <w:rPr>
          <w:rFonts w:ascii="Times New Roman" w:hAnsi="Times New Roman" w:cs="Times New Roman"/>
        </w:rPr>
        <w:t xml:space="preserve"> </w:t>
      </w:r>
      <w:r w:rsidRPr="00446EC2">
        <w:rPr>
          <w:rFonts w:ascii="Times New Roman" w:hAnsi="Times New Roman" w:cs="Times New Roman"/>
          <w:i/>
        </w:rPr>
        <w:t>E.g.</w:t>
      </w:r>
      <w:r w:rsidRPr="00446EC2">
        <w:rPr>
          <w:rFonts w:ascii="Times New Roman" w:hAnsi="Times New Roman" w:cs="Times New Roman"/>
        </w:rPr>
        <w:t>, Drew Fudenberg, David G. Rand &amp; Anna Dreber,</w:t>
      </w:r>
      <w:r w:rsidRPr="00446EC2">
        <w:rPr>
          <w:rFonts w:ascii="Times New Roman" w:hAnsi="Times New Roman" w:cs="Times New Roman"/>
          <w:i/>
        </w:rPr>
        <w:t xml:space="preserve"> Slow to Anger and Fast to Forgive: Cooperation in an Uncertain World</w:t>
      </w:r>
      <w:r w:rsidRPr="00446EC2">
        <w:rPr>
          <w:rFonts w:ascii="Times New Roman" w:hAnsi="Times New Roman" w:cs="Times New Roman"/>
        </w:rPr>
        <w:t xml:space="preserve">, 102 </w:t>
      </w:r>
      <w:r w:rsidRPr="00446EC2">
        <w:rPr>
          <w:rFonts w:ascii="Times New Roman" w:hAnsi="Times New Roman" w:cs="Times New Roman"/>
          <w:smallCaps/>
        </w:rPr>
        <w:t>Am. Econ. Rev</w:t>
      </w:r>
      <w:r w:rsidRPr="00446EC2">
        <w:rPr>
          <w:rFonts w:ascii="Times New Roman" w:hAnsi="Times New Roman" w:cs="Times New Roman"/>
        </w:rPr>
        <w:t>. 720 (2012).</w:t>
      </w:r>
    </w:p>
    <w:p w14:paraId="2E996BD0" w14:textId="77777777" w:rsidR="006436B9" w:rsidRPr="00446EC2" w:rsidRDefault="006436B9" w:rsidP="006436B9">
      <w:pPr>
        <w:rPr>
          <w:rFonts w:ascii="Times New Roman" w:hAnsi="Times New Roman" w:cs="Times New Roman"/>
        </w:rPr>
      </w:pPr>
    </w:p>
    <w:p w14:paraId="4EC9E91F" w14:textId="4363E16F" w:rsidR="006436B9" w:rsidRPr="00446EC2" w:rsidRDefault="006436B9" w:rsidP="006436B9">
      <w:pPr>
        <w:ind w:firstLine="720"/>
        <w:rPr>
          <w:rFonts w:ascii="Times New Roman" w:hAnsi="Times New Roman" w:cs="Times New Roman"/>
        </w:rPr>
      </w:pPr>
      <w:r w:rsidRPr="00446EC2">
        <w:rPr>
          <w:rFonts w:ascii="Times New Roman" w:hAnsi="Times New Roman" w:cs="Times New Roman"/>
        </w:rPr>
        <w:t xml:space="preserve">Yet while the distinction between intentional and accidental behavior is intuitive for apes and babies alike, we do not always use this distinction when forming moral judgments. </w:t>
      </w:r>
      <w:r>
        <w:rPr>
          <w:rFonts w:ascii="Times New Roman" w:hAnsi="Times New Roman" w:cs="Times New Roman"/>
        </w:rPr>
        <w:t xml:space="preserve"> </w:t>
      </w:r>
      <w:r w:rsidRPr="00446EC2">
        <w:rPr>
          <w:rFonts w:ascii="Times New Roman" w:hAnsi="Times New Roman" w:cs="Times New Roman"/>
        </w:rPr>
        <w:t xml:space="preserve">For instance, the celebrated developmental psychologist Jean Piaget observed in 1932 that young children consider it morally worse (“naughtier”) for a child to make a large ink stain accidentally than to make a small stain intentionally. </w:t>
      </w:r>
      <w:r>
        <w:rPr>
          <w:rFonts w:ascii="Times New Roman" w:hAnsi="Times New Roman" w:cs="Times New Roman"/>
        </w:rPr>
        <w:t xml:space="preserve"> </w:t>
      </w:r>
      <w:r w:rsidRPr="00446EC2">
        <w:rPr>
          <w:rFonts w:ascii="Times New Roman" w:hAnsi="Times New Roman" w:cs="Times New Roman"/>
        </w:rPr>
        <w:t xml:space="preserve">Older children, he noticed, felt just the opposite. </w:t>
      </w:r>
      <w:r>
        <w:rPr>
          <w:rFonts w:ascii="Times New Roman" w:hAnsi="Times New Roman" w:cs="Times New Roman"/>
        </w:rPr>
        <w:t xml:space="preserve"> </w:t>
      </w:r>
      <w:r w:rsidRPr="00446EC2">
        <w:rPr>
          <w:rFonts w:ascii="Times New Roman" w:hAnsi="Times New Roman" w:cs="Times New Roman"/>
        </w:rPr>
        <w:t>Since Piaget’s discovery, this developmental trajectory has been extensively documented.</w:t>
      </w:r>
      <w:r>
        <w:rPr>
          <w:rFonts w:ascii="Times New Roman" w:hAnsi="Times New Roman" w:cs="Times New Roman"/>
        </w:rPr>
        <w:t xml:space="preserve"> </w:t>
      </w:r>
      <w:r w:rsidRPr="00446EC2">
        <w:rPr>
          <w:rFonts w:ascii="Times New Roman" w:hAnsi="Times New Roman" w:cs="Times New Roman"/>
        </w:rPr>
        <w:t xml:space="preserve"> Preschoolers tend to judge the moral valence of an act by focusing on its outcome and largely ignoring the agent’s beliefs and intentions. </w:t>
      </w:r>
      <w:r>
        <w:rPr>
          <w:rFonts w:ascii="Times New Roman" w:hAnsi="Times New Roman" w:cs="Times New Roman"/>
        </w:rPr>
        <w:t xml:space="preserve"> </w:t>
      </w:r>
      <w:r w:rsidRPr="00446EC2">
        <w:rPr>
          <w:rFonts w:ascii="Times New Roman" w:hAnsi="Times New Roman" w:cs="Times New Roman"/>
        </w:rPr>
        <w:t>By around age 6, children begin to condemn actions on the basis of the agent’s mental states such as intent to harm.</w:t>
      </w:r>
      <w:r>
        <w:rPr>
          <w:rFonts w:ascii="Times New Roman" w:hAnsi="Times New Roman" w:cs="Times New Roman"/>
        </w:rPr>
        <w:t xml:space="preserve"> </w:t>
      </w:r>
      <w:r w:rsidRPr="00446EC2">
        <w:rPr>
          <w:rFonts w:ascii="Times New Roman" w:hAnsi="Times New Roman" w:cs="Times New Roman"/>
        </w:rPr>
        <w:t xml:space="preserve"> In other words, children shift from outcome-based moral judgment to intent-based moral judgment as they age.  Fiery Cushman, Rachel Sheketoff, Sophie Wharton &amp; Susan Carey, </w:t>
      </w:r>
      <w:r w:rsidRPr="00446EC2">
        <w:rPr>
          <w:rFonts w:ascii="Times New Roman" w:hAnsi="Times New Roman" w:cs="Times New Roman"/>
          <w:i/>
        </w:rPr>
        <w:t>The Development of Intent-Based Moral Judgment</w:t>
      </w:r>
      <w:r w:rsidRPr="00446EC2">
        <w:rPr>
          <w:rFonts w:ascii="Times New Roman" w:hAnsi="Times New Roman" w:cs="Times New Roman"/>
        </w:rPr>
        <w:t xml:space="preserve">, 127 </w:t>
      </w:r>
      <w:r w:rsidRPr="00446EC2">
        <w:rPr>
          <w:rFonts w:ascii="Times New Roman" w:hAnsi="Times New Roman" w:cs="Times New Roman"/>
          <w:smallCaps/>
        </w:rPr>
        <w:t>Cognition</w:t>
      </w:r>
      <w:r w:rsidRPr="00446EC2">
        <w:rPr>
          <w:rFonts w:ascii="Times New Roman" w:hAnsi="Times New Roman" w:cs="Times New Roman"/>
        </w:rPr>
        <w:t xml:space="preserve"> 6 (2013).</w:t>
      </w:r>
    </w:p>
    <w:p w14:paraId="4F25FBDB" w14:textId="77777777" w:rsidR="006436B9" w:rsidRPr="00446EC2" w:rsidRDefault="006436B9" w:rsidP="006436B9">
      <w:pPr>
        <w:rPr>
          <w:rFonts w:ascii="Times New Roman" w:hAnsi="Times New Roman" w:cs="Times New Roman"/>
        </w:rPr>
      </w:pPr>
    </w:p>
    <w:p w14:paraId="7F3BE662" w14:textId="4F9B0316" w:rsidR="006436B9" w:rsidRPr="00446EC2" w:rsidRDefault="00A44F90" w:rsidP="006436B9">
      <w:pPr>
        <w:ind w:firstLine="720"/>
        <w:rPr>
          <w:rFonts w:ascii="Times New Roman" w:hAnsi="Times New Roman" w:cs="Times New Roman"/>
        </w:rPr>
      </w:pPr>
      <w:r>
        <w:rPr>
          <w:rFonts w:ascii="Times New Roman" w:hAnsi="Times New Roman" w:cs="Times New Roman"/>
        </w:rPr>
        <w:t>Under some circumstances, a</w:t>
      </w:r>
      <w:r w:rsidR="006436B9" w:rsidRPr="00446EC2">
        <w:rPr>
          <w:rFonts w:ascii="Times New Roman" w:hAnsi="Times New Roman" w:cs="Times New Roman"/>
        </w:rPr>
        <w:t xml:space="preserve">dults </w:t>
      </w:r>
      <w:r>
        <w:rPr>
          <w:rFonts w:ascii="Times New Roman" w:hAnsi="Times New Roman" w:cs="Times New Roman"/>
        </w:rPr>
        <w:t xml:space="preserve">will </w:t>
      </w:r>
      <w:r w:rsidR="0066123B">
        <w:rPr>
          <w:rFonts w:ascii="Times New Roman" w:hAnsi="Times New Roman" w:cs="Times New Roman"/>
        </w:rPr>
        <w:t xml:space="preserve">also </w:t>
      </w:r>
      <w:r w:rsidR="004F341C">
        <w:rPr>
          <w:rFonts w:ascii="Times New Roman" w:hAnsi="Times New Roman" w:cs="Times New Roman"/>
        </w:rPr>
        <w:t>exhibit</w:t>
      </w:r>
      <w:r w:rsidR="004F341C" w:rsidRPr="00446EC2">
        <w:rPr>
          <w:rFonts w:ascii="Times New Roman" w:hAnsi="Times New Roman" w:cs="Times New Roman"/>
        </w:rPr>
        <w:t xml:space="preserve"> </w:t>
      </w:r>
      <w:r w:rsidR="0066123B">
        <w:rPr>
          <w:rFonts w:ascii="Times New Roman" w:hAnsi="Times New Roman" w:cs="Times New Roman"/>
        </w:rPr>
        <w:t>a</w:t>
      </w:r>
      <w:r w:rsidR="006436B9" w:rsidRPr="00446EC2">
        <w:rPr>
          <w:rFonts w:ascii="Times New Roman" w:hAnsi="Times New Roman" w:cs="Times New Roman"/>
        </w:rPr>
        <w:t xml:space="preserve"> tendency to focus on outcomes rather than intentions when judging actions that result in harm.</w:t>
      </w:r>
      <w:r w:rsidR="006436B9">
        <w:rPr>
          <w:rFonts w:ascii="Times New Roman" w:hAnsi="Times New Roman" w:cs="Times New Roman"/>
        </w:rPr>
        <w:t xml:space="preserve"> </w:t>
      </w:r>
      <w:r w:rsidR="006436B9" w:rsidRPr="00446EC2">
        <w:rPr>
          <w:rFonts w:ascii="Times New Roman" w:hAnsi="Times New Roman" w:cs="Times New Roman"/>
        </w:rPr>
        <w:t xml:space="preserve"> Research from cognitive psychology demonstrates that adults who are placed under time pressure and asked to make hurried moral judgments show a systematic bias toward judging actions as intentional.</w:t>
      </w:r>
      <w:r w:rsidR="006436B9">
        <w:rPr>
          <w:rFonts w:ascii="Times New Roman" w:hAnsi="Times New Roman" w:cs="Times New Roman"/>
        </w:rPr>
        <w:t xml:space="preserve"> </w:t>
      </w:r>
      <w:r w:rsidR="006436B9" w:rsidRPr="00446EC2">
        <w:rPr>
          <w:rFonts w:ascii="Times New Roman" w:hAnsi="Times New Roman" w:cs="Times New Roman"/>
        </w:rPr>
        <w:t xml:space="preserve"> In their haste, these decision-makers will say that </w:t>
      </w:r>
      <w:r w:rsidR="0066123B">
        <w:rPr>
          <w:rFonts w:ascii="Times New Roman" w:hAnsi="Times New Roman" w:cs="Times New Roman"/>
        </w:rPr>
        <w:t>harms</w:t>
      </w:r>
      <w:r w:rsidR="006436B9" w:rsidRPr="00446EC2">
        <w:rPr>
          <w:rFonts w:ascii="Times New Roman" w:hAnsi="Times New Roman" w:cs="Times New Roman"/>
        </w:rPr>
        <w:t xml:space="preserve"> were intentional. </w:t>
      </w:r>
      <w:r w:rsidR="006436B9">
        <w:rPr>
          <w:rFonts w:ascii="Times New Roman" w:hAnsi="Times New Roman" w:cs="Times New Roman"/>
        </w:rPr>
        <w:t xml:space="preserve"> </w:t>
      </w:r>
      <w:r w:rsidR="006436B9" w:rsidRPr="00446EC2">
        <w:rPr>
          <w:rFonts w:ascii="Times New Roman" w:hAnsi="Times New Roman" w:cs="Times New Roman"/>
        </w:rPr>
        <w:t xml:space="preserve">Given more time to make their decisions, they revert to saying that harms </w:t>
      </w:r>
      <w:r w:rsidR="0066123B">
        <w:rPr>
          <w:rFonts w:ascii="Times New Roman" w:hAnsi="Times New Roman" w:cs="Times New Roman"/>
        </w:rPr>
        <w:t>were</w:t>
      </w:r>
      <w:r w:rsidR="006436B9" w:rsidRPr="00446EC2">
        <w:rPr>
          <w:rFonts w:ascii="Times New Roman" w:hAnsi="Times New Roman" w:cs="Times New Roman"/>
        </w:rPr>
        <w:t xml:space="preserve"> unintentional. </w:t>
      </w:r>
      <w:r w:rsidR="006436B9">
        <w:rPr>
          <w:rFonts w:ascii="Times New Roman" w:hAnsi="Times New Roman" w:cs="Times New Roman"/>
        </w:rPr>
        <w:t xml:space="preserve"> </w:t>
      </w:r>
      <w:r w:rsidR="006436B9" w:rsidRPr="00446EC2">
        <w:rPr>
          <w:rFonts w:ascii="Times New Roman" w:hAnsi="Times New Roman" w:cs="Times New Roman"/>
        </w:rPr>
        <w:t xml:space="preserve">Evelyn Rosset, </w:t>
      </w:r>
      <w:r w:rsidR="006436B9" w:rsidRPr="00446EC2">
        <w:rPr>
          <w:rFonts w:ascii="Times New Roman" w:hAnsi="Times New Roman" w:cs="Times New Roman"/>
          <w:i/>
        </w:rPr>
        <w:t>It’s No Accident: Our Bias for Intentional Explanations</w:t>
      </w:r>
      <w:r w:rsidR="006436B9" w:rsidRPr="00446EC2">
        <w:rPr>
          <w:rFonts w:ascii="Times New Roman" w:hAnsi="Times New Roman" w:cs="Times New Roman"/>
        </w:rPr>
        <w:t xml:space="preserve">, 108 </w:t>
      </w:r>
      <w:r w:rsidR="006436B9" w:rsidRPr="00446EC2">
        <w:rPr>
          <w:rFonts w:ascii="Times New Roman" w:hAnsi="Times New Roman" w:cs="Times New Roman"/>
          <w:smallCaps/>
        </w:rPr>
        <w:t>Cognition</w:t>
      </w:r>
      <w:r w:rsidR="006436B9" w:rsidRPr="00446EC2">
        <w:rPr>
          <w:rFonts w:ascii="Times New Roman" w:hAnsi="Times New Roman" w:cs="Times New Roman"/>
        </w:rPr>
        <w:t xml:space="preserve"> 771 (2008).</w:t>
      </w:r>
      <w:r w:rsidR="006436B9">
        <w:rPr>
          <w:rFonts w:ascii="Times New Roman" w:hAnsi="Times New Roman" w:cs="Times New Roman"/>
        </w:rPr>
        <w:t xml:space="preserve">  </w:t>
      </w:r>
      <w:r w:rsidR="006436B9" w:rsidRPr="00446EC2">
        <w:rPr>
          <w:rFonts w:ascii="Times New Roman" w:hAnsi="Times New Roman" w:cs="Times New Roman"/>
        </w:rPr>
        <w:t xml:space="preserve">This work suggests that we tend to adopt a default assumption that actions are undertaken intentionally and </w:t>
      </w:r>
      <w:r w:rsidR="00453C7D">
        <w:rPr>
          <w:rFonts w:ascii="Times New Roman" w:hAnsi="Times New Roman" w:cs="Times New Roman"/>
        </w:rPr>
        <w:t xml:space="preserve">that </w:t>
      </w:r>
      <w:r w:rsidR="006436B9" w:rsidRPr="00446EC2">
        <w:rPr>
          <w:rFonts w:ascii="Times New Roman" w:hAnsi="Times New Roman" w:cs="Times New Roman"/>
        </w:rPr>
        <w:t xml:space="preserve">it takes mental effort to persuade ourselves to abandon our initial stance. </w:t>
      </w:r>
      <w:r w:rsidR="006436B9">
        <w:rPr>
          <w:rFonts w:ascii="Times New Roman" w:hAnsi="Times New Roman" w:cs="Times New Roman"/>
        </w:rPr>
        <w:t xml:space="preserve"> </w:t>
      </w:r>
      <w:r w:rsidR="006436B9" w:rsidRPr="00446EC2">
        <w:rPr>
          <w:rFonts w:ascii="Times New Roman" w:hAnsi="Times New Roman" w:cs="Times New Roman"/>
        </w:rPr>
        <w:t>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37D24B68" w14:textId="77777777" w:rsidR="006436B9" w:rsidRDefault="006436B9" w:rsidP="009F09CA">
      <w:pPr>
        <w:rPr>
          <w:rFonts w:ascii="Times New Roman" w:hAnsi="Times New Roman" w:cs="Times New Roman"/>
        </w:rPr>
      </w:pPr>
    </w:p>
    <w:p w14:paraId="13F130CA" w14:textId="77777777" w:rsidR="00201D22" w:rsidRPr="004B1DFF" w:rsidRDefault="00201D22" w:rsidP="009F09CA">
      <w:pPr>
        <w:rPr>
          <w:rFonts w:ascii="Times New Roman" w:hAnsi="Times New Roman" w:cs="Times New Roman"/>
        </w:rPr>
      </w:pPr>
    </w:p>
    <w:p w14:paraId="2788163D" w14:textId="55959568" w:rsidR="009F09CA" w:rsidRPr="00591009" w:rsidRDefault="750671CE" w:rsidP="00591009">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rPr>
        <w:t xml:space="preserve">The </w:t>
      </w:r>
      <w:r w:rsidR="00201D22">
        <w:rPr>
          <w:rFonts w:ascii="Times New Roman" w:eastAsia="Times New Roman" w:hAnsi="Times New Roman" w:cs="Times New Roman"/>
          <w:i/>
        </w:rPr>
        <w:t>b</w:t>
      </w:r>
      <w:r w:rsidRPr="00591009">
        <w:rPr>
          <w:rFonts w:ascii="Times New Roman" w:eastAsia="Times New Roman" w:hAnsi="Times New Roman" w:cs="Times New Roman"/>
          <w:i/>
        </w:rPr>
        <w:t>oundaries of</w:t>
      </w:r>
      <w:r w:rsidR="00201D22">
        <w:rPr>
          <w:rFonts w:ascii="Times New Roman" w:eastAsia="Times New Roman" w:hAnsi="Times New Roman" w:cs="Times New Roman"/>
          <w:i/>
        </w:rPr>
        <w:t xml:space="preserve"> i</w:t>
      </w:r>
      <w:r w:rsidRPr="00591009">
        <w:rPr>
          <w:rFonts w:ascii="Times New Roman" w:eastAsia="Times New Roman" w:hAnsi="Times New Roman" w:cs="Times New Roman"/>
          <w:i/>
        </w:rPr>
        <w:t>ntentionality.</w:t>
      </w:r>
      <w:r w:rsidRPr="00591009">
        <w:rPr>
          <w:rFonts w:ascii="Times New Roman" w:eastAsia="Times New Roman" w:hAnsi="Times New Roman" w:cs="Times New Roman"/>
        </w:rPr>
        <w:t xml:space="preserve">  One puzzle is to identify what is at stake in guarding the boundaries of the intentional torts cause of action.  As we will see in later chapters in this book, plaintiffs such as Tomeo and Laidlow would ordinarily have claims for unintentional torts available to them.  Why then did their lawyers seek to advance an intentional tort theory instead?  Most likely, the plaintiffs</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 xml:space="preserve"> attorneys in </w:t>
      </w:r>
      <w:r w:rsidRPr="00591009">
        <w:rPr>
          <w:rFonts w:ascii="Times New Roman" w:eastAsia="Times New Roman" w:hAnsi="Times New Roman" w:cs="Times New Roman"/>
          <w:i/>
          <w:iCs/>
        </w:rPr>
        <w:t xml:space="preserve">Tomeo </w:t>
      </w:r>
      <w:r w:rsidRPr="00591009">
        <w:rPr>
          <w:rFonts w:ascii="Times New Roman" w:eastAsia="Times New Roman" w:hAnsi="Times New Roman" w:cs="Times New Roman"/>
        </w:rPr>
        <w:t xml:space="preserve">and </w:t>
      </w:r>
      <w:r w:rsidRPr="00591009">
        <w:rPr>
          <w:rFonts w:ascii="Times New Roman" w:eastAsia="Times New Roman" w:hAnsi="Times New Roman" w:cs="Times New Roman"/>
          <w:i/>
          <w:iCs/>
        </w:rPr>
        <w:t xml:space="preserve">Laidlow </w:t>
      </w:r>
      <w:r w:rsidRPr="00591009">
        <w:rPr>
          <w:rFonts w:ascii="Times New Roman" w:eastAsia="Times New Roman" w:hAnsi="Times New Roman" w:cs="Times New Roman"/>
        </w:rPr>
        <w:t>were trying to circumvent the workers</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 xml:space="preserve"> compensation statutes that provide modest compensation for workplace injuries but also prohibit employees from suing their employers in tort for most unintentional injuries arising in the course of their work.  </w:t>
      </w:r>
      <w:r w:rsidRPr="00591009">
        <w:rPr>
          <w:rFonts w:ascii="Times New Roman" w:eastAsia="Times New Roman" w:hAnsi="Times New Roman" w:cs="Times New Roman"/>
          <w:i/>
          <w:iCs/>
        </w:rPr>
        <w:t>See, e.g.</w:t>
      </w:r>
      <w:r w:rsidRPr="00591009">
        <w:rPr>
          <w:rFonts w:ascii="Times New Roman" w:eastAsia="Times New Roman" w:hAnsi="Times New Roman" w:cs="Times New Roman"/>
        </w:rPr>
        <w:t xml:space="preserve">, </w:t>
      </w:r>
      <w:r w:rsidRPr="00591009">
        <w:rPr>
          <w:rFonts w:ascii="Times New Roman" w:eastAsia="Times New Roman" w:hAnsi="Times New Roman" w:cs="Times New Roman"/>
          <w:smallCaps/>
        </w:rPr>
        <w:t>N.J. Stat. Ann.</w:t>
      </w:r>
      <w:r w:rsidRPr="00591009">
        <w:rPr>
          <w:rFonts w:ascii="Times New Roman" w:eastAsia="Times New Roman" w:hAnsi="Times New Roman" w:cs="Times New Roman"/>
        </w:rPr>
        <w:t xml:space="preserve"> § 34:15-8 (West 2013).  The lawyers for Ruth Garratt were probably also trying to get around a legal obstacle when they characterized Brian </w:t>
      </w:r>
      <w:r w:rsidRPr="00591009">
        <w:rPr>
          <w:rFonts w:ascii="Times New Roman" w:eastAsia="Times New Roman" w:hAnsi="Times New Roman" w:cs="Times New Roman"/>
        </w:rPr>
        <w:lastRenderedPageBreak/>
        <w:t>Dailey</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 xml:space="preserve">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2AC9E84B" w14:textId="77777777" w:rsidR="009F09CA" w:rsidRPr="004B1DFF" w:rsidRDefault="009F09CA" w:rsidP="009F09CA">
      <w:pPr>
        <w:rPr>
          <w:rFonts w:ascii="Times New Roman" w:hAnsi="Times New Roman" w:cs="Times New Roman"/>
        </w:rPr>
      </w:pPr>
    </w:p>
    <w:p w14:paraId="1EE15FB0" w14:textId="3757B64C" w:rsidR="009F09CA" w:rsidRPr="004B1DFF" w:rsidRDefault="00261F75" w:rsidP="750671CE">
      <w:pPr>
        <w:rPr>
          <w:rFonts w:ascii="Times New Roman" w:eastAsia="Times New Roman" w:hAnsi="Times New Roman" w:cs="Times New Roman"/>
        </w:rPr>
      </w:pPr>
      <w:r w:rsidRPr="004B1DFF">
        <w:rPr>
          <w:rFonts w:ascii="Times New Roman" w:hAnsi="Times New Roman" w:cs="Times New Roman"/>
        </w:rPr>
        <w:tab/>
      </w:r>
      <w:r w:rsidRPr="750671CE">
        <w:rPr>
          <w:rFonts w:ascii="Times New Roman" w:eastAsia="Times New Roman" w:hAnsi="Times New Roman" w:cs="Times New Roman"/>
        </w:rPr>
        <w:t xml:space="preserve">In </w:t>
      </w:r>
      <w:r w:rsidR="00896235" w:rsidRPr="750671CE">
        <w:rPr>
          <w:rFonts w:ascii="Times New Roman" w:eastAsia="Times New Roman" w:hAnsi="Times New Roman" w:cs="Times New Roman"/>
        </w:rPr>
        <w:t>many</w:t>
      </w:r>
      <w:r w:rsidRPr="750671CE">
        <w:rPr>
          <w:rFonts w:ascii="Times New Roman" w:eastAsia="Times New Roman" w:hAnsi="Times New Roman" w:cs="Times New Roman"/>
        </w:rPr>
        <w:t xml:space="preserve"> domains</w:t>
      </w:r>
      <w:r w:rsidR="009F09CA" w:rsidRPr="750671CE">
        <w:rPr>
          <w:rFonts w:ascii="Times New Roman" w:eastAsia="Times New Roman" w:hAnsi="Times New Roman" w:cs="Times New Roman"/>
        </w:rPr>
        <w:t xml:space="preserve">, </w:t>
      </w:r>
      <w:r w:rsidR="00896235" w:rsidRPr="750671CE">
        <w:rPr>
          <w:rFonts w:ascii="Times New Roman" w:eastAsia="Times New Roman" w:hAnsi="Times New Roman" w:cs="Times New Roman"/>
        </w:rPr>
        <w:t xml:space="preserve">by contrast, </w:t>
      </w:r>
      <w:r w:rsidR="009F09CA" w:rsidRPr="750671CE">
        <w:rPr>
          <w:rFonts w:ascii="Times New Roman" w:eastAsia="Times New Roman" w:hAnsi="Times New Roman" w:cs="Times New Roman"/>
        </w:rPr>
        <w:t xml:space="preserve">pressure on the substantial certainty rule is reduced because plaintiffs have </w:t>
      </w:r>
      <w:r w:rsidR="003024A6" w:rsidRPr="750671CE">
        <w:rPr>
          <w:rFonts w:ascii="Times New Roman" w:eastAsia="Times New Roman" w:hAnsi="Times New Roman" w:cs="Times New Roman"/>
        </w:rPr>
        <w:t xml:space="preserve">powerful </w:t>
      </w:r>
      <w:r w:rsidR="009F09CA" w:rsidRPr="750671CE">
        <w:rPr>
          <w:rFonts w:ascii="Times New Roman" w:eastAsia="Times New Roman" w:hAnsi="Times New Roman" w:cs="Times New Roman"/>
        </w:rPr>
        <w:t xml:space="preserve">incentives </w:t>
      </w:r>
      <w:r w:rsidR="009F09CA" w:rsidRPr="750671CE">
        <w:rPr>
          <w:rFonts w:ascii="Times New Roman" w:eastAsia="Times New Roman" w:hAnsi="Times New Roman" w:cs="Times New Roman"/>
          <w:i/>
          <w:iCs/>
        </w:rPr>
        <w:t>not</w:t>
      </w:r>
      <w:r w:rsidR="009F09CA" w:rsidRPr="750671CE">
        <w:rPr>
          <w:rFonts w:ascii="Times New Roman" w:eastAsia="Times New Roman" w:hAnsi="Times New Roman" w:cs="Times New Roman"/>
        </w:rPr>
        <w:t xml:space="preserve"> to characterize their injuries as intentional torts. </w:t>
      </w:r>
      <w:r w:rsidR="008C6136" w:rsidRPr="750671CE">
        <w:rPr>
          <w:rFonts w:ascii="Times New Roman" w:eastAsia="Times New Roman" w:hAnsi="Times New Roman" w:cs="Times New Roman"/>
        </w:rPr>
        <w:t xml:space="preserve"> </w:t>
      </w:r>
      <w:r w:rsidR="009F09CA" w:rsidRPr="750671CE">
        <w:rPr>
          <w:rFonts w:ascii="Times New Roman" w:eastAsia="Times New Roman" w:hAnsi="Times New Roman" w:cs="Times New Roman"/>
        </w:rPr>
        <w:t xml:space="preserve">For one thing, liability insurance usually does not cover intentional torts; as a result, a plaintiff </w:t>
      </w:r>
      <w:r w:rsidR="003014E4" w:rsidRPr="750671CE">
        <w:rPr>
          <w:rFonts w:ascii="Times New Roman" w:eastAsia="Times New Roman" w:hAnsi="Times New Roman" w:cs="Times New Roman"/>
        </w:rPr>
        <w:t xml:space="preserve">who alleges intentional tort rather than a tortious accident </w:t>
      </w:r>
      <w:r w:rsidR="003024A6" w:rsidRPr="750671CE">
        <w:rPr>
          <w:rFonts w:ascii="Times New Roman" w:eastAsia="Times New Roman" w:hAnsi="Times New Roman" w:cs="Times New Roman"/>
        </w:rPr>
        <w:t>may put</w:t>
      </w:r>
      <w:r w:rsidR="009F09CA" w:rsidRPr="750671CE">
        <w:rPr>
          <w:rFonts w:ascii="Times New Roman" w:eastAsia="Times New Roman" w:hAnsi="Times New Roman" w:cs="Times New Roman"/>
        </w:rPr>
        <w:t xml:space="preserve"> in jeopardy her capacity to collect on </w:t>
      </w:r>
      <w:r w:rsidR="003014E4" w:rsidRPr="750671CE">
        <w:rPr>
          <w:rFonts w:ascii="Times New Roman" w:eastAsia="Times New Roman" w:hAnsi="Times New Roman" w:cs="Times New Roman"/>
        </w:rPr>
        <w:t>the</w:t>
      </w:r>
      <w:r w:rsidR="009F09CA" w:rsidRPr="750671CE">
        <w:rPr>
          <w:rFonts w:ascii="Times New Roman" w:eastAsia="Times New Roman" w:hAnsi="Times New Roman" w:cs="Times New Roman"/>
        </w:rPr>
        <w:t xml:space="preserve"> judgment. </w:t>
      </w:r>
      <w:r w:rsidR="008C6136" w:rsidRPr="750671CE">
        <w:rPr>
          <w:rFonts w:ascii="Times New Roman" w:eastAsia="Times New Roman" w:hAnsi="Times New Roman" w:cs="Times New Roman"/>
        </w:rPr>
        <w:t xml:space="preserve"> </w:t>
      </w:r>
      <w:r w:rsidR="009F09CA" w:rsidRPr="750671CE">
        <w:rPr>
          <w:rFonts w:ascii="Times New Roman" w:eastAsia="Times New Roman" w:hAnsi="Times New Roman" w:cs="Times New Roman"/>
          <w:i/>
          <w:iCs/>
        </w:rPr>
        <w:t>See</w:t>
      </w:r>
      <w:r w:rsidR="009F09CA" w:rsidRPr="750671CE">
        <w:rPr>
          <w:rFonts w:ascii="Times New Roman" w:eastAsia="Times New Roman" w:hAnsi="Times New Roman" w:cs="Times New Roman"/>
        </w:rPr>
        <w:t xml:space="preserve"> </w:t>
      </w:r>
      <w:r w:rsidR="003B24B6" w:rsidRPr="750671CE">
        <w:rPr>
          <w:rFonts w:ascii="Times New Roman" w:eastAsia="Times New Roman" w:hAnsi="Times New Roman" w:cs="Times New Roman"/>
        </w:rPr>
        <w:t xml:space="preserve">Catherine M. Sharkey, </w:t>
      </w:r>
      <w:r w:rsidR="003B24B6" w:rsidRPr="750671CE">
        <w:rPr>
          <w:rFonts w:ascii="Times New Roman" w:eastAsia="Times New Roman" w:hAnsi="Times New Roman" w:cs="Times New Roman"/>
          <w:i/>
          <w:iCs/>
        </w:rPr>
        <w:t>Revisiting the Noninsurable Costs of Accidents</w:t>
      </w:r>
      <w:r w:rsidR="003B24B6" w:rsidRPr="750671CE">
        <w:rPr>
          <w:rFonts w:ascii="Times New Roman" w:eastAsia="Times New Roman" w:hAnsi="Times New Roman" w:cs="Times New Roman"/>
        </w:rPr>
        <w:t xml:space="preserve">, 64 </w:t>
      </w:r>
      <w:r w:rsidR="003B24B6" w:rsidRPr="750671CE">
        <w:rPr>
          <w:rFonts w:ascii="Times New Roman" w:eastAsia="Times New Roman" w:hAnsi="Times New Roman" w:cs="Times New Roman"/>
          <w:smallCaps/>
        </w:rPr>
        <w:t>Md. L. Rev.</w:t>
      </w:r>
      <w:r w:rsidR="003B24B6" w:rsidRPr="750671CE">
        <w:rPr>
          <w:rFonts w:ascii="Times New Roman" w:eastAsia="Times New Roman" w:hAnsi="Times New Roman" w:cs="Times New Roman"/>
        </w:rPr>
        <w:t xml:space="preserve"> 409 (2005)</w:t>
      </w:r>
      <w:r w:rsidR="00A802F6" w:rsidRPr="750671CE">
        <w:rPr>
          <w:rFonts w:ascii="Times New Roman" w:eastAsia="Times New Roman" w:hAnsi="Times New Roman" w:cs="Times New Roman"/>
        </w:rPr>
        <w:t>.  In suits against employers for the torts of their employees, plaintiffs face similar incentives to avoid intentional torts claims, since the intentionally caused injuries are often less likely to be ruled within the scope of an employer</w:t>
      </w:r>
      <w:r w:rsidR="00B05F31">
        <w:rPr>
          <w:rFonts w:ascii="Times New Roman" w:eastAsia="Times New Roman" w:hAnsi="Times New Roman" w:cs="Times New Roman"/>
        </w:rPr>
        <w:t>’</w:t>
      </w:r>
      <w:r w:rsidR="00A802F6" w:rsidRPr="750671CE">
        <w:rPr>
          <w:rFonts w:ascii="Times New Roman" w:eastAsia="Times New Roman" w:hAnsi="Times New Roman" w:cs="Times New Roman"/>
        </w:rPr>
        <w:t xml:space="preserve">s responsibility than unintentional but negligently caused harms.  In addition, intentional torts are often subject to a shorter statute of limitations period, which may bar some plaintiffs from bringing intentional tort claims. </w:t>
      </w:r>
      <w:r w:rsidR="008C6136" w:rsidRPr="750671CE">
        <w:rPr>
          <w:rFonts w:ascii="Times New Roman" w:eastAsia="Times New Roman" w:hAnsi="Times New Roman" w:cs="Times New Roman"/>
        </w:rPr>
        <w:t xml:space="preserve"> </w:t>
      </w:r>
      <w:r w:rsidR="00A802F6" w:rsidRPr="750671CE">
        <w:rPr>
          <w:rFonts w:ascii="Times New Roman" w:eastAsia="Times New Roman" w:hAnsi="Times New Roman" w:cs="Times New Roman"/>
          <w:i/>
          <w:iCs/>
        </w:rPr>
        <w:t>Compare</w:t>
      </w:r>
      <w:r w:rsidR="00A802F6" w:rsidRPr="750671CE">
        <w:rPr>
          <w:rFonts w:ascii="Times New Roman" w:eastAsia="Times New Roman" w:hAnsi="Times New Roman" w:cs="Times New Roman"/>
        </w:rPr>
        <w:t xml:space="preserve"> N.Y.</w:t>
      </w:r>
      <w:r w:rsidR="00445E16" w:rsidRPr="750671CE">
        <w:rPr>
          <w:rFonts w:ascii="Times New Roman" w:eastAsia="Times New Roman" w:hAnsi="Times New Roman" w:cs="Times New Roman"/>
        </w:rPr>
        <w:t xml:space="preserve"> </w:t>
      </w:r>
      <w:r w:rsidR="009F09CA" w:rsidRPr="750671CE">
        <w:rPr>
          <w:rFonts w:ascii="Times New Roman" w:eastAsia="Times New Roman" w:hAnsi="Times New Roman" w:cs="Times New Roman"/>
        </w:rPr>
        <w:t>C.P.L.R. § 215 (</w:t>
      </w:r>
      <w:r w:rsidR="00445E16" w:rsidRPr="750671CE">
        <w:rPr>
          <w:rFonts w:ascii="Times New Roman" w:eastAsia="Times New Roman" w:hAnsi="Times New Roman" w:cs="Times New Roman"/>
        </w:rPr>
        <w:t xml:space="preserve">McKinney </w:t>
      </w:r>
      <w:r w:rsidR="009F09CA" w:rsidRPr="750671CE">
        <w:rPr>
          <w:rFonts w:ascii="Times New Roman" w:eastAsia="Times New Roman" w:hAnsi="Times New Roman" w:cs="Times New Roman"/>
        </w:rPr>
        <w:t>2006) (providing a one-year statute of limitations for assault, battery, false imprisonment, libel, and</w:t>
      </w:r>
      <w:r w:rsidR="00BF2FED" w:rsidRPr="750671CE">
        <w:rPr>
          <w:rFonts w:ascii="Times New Roman" w:eastAsia="Times New Roman" w:hAnsi="Times New Roman" w:cs="Times New Roman"/>
        </w:rPr>
        <w:t xml:space="preserve"> slander), </w:t>
      </w:r>
      <w:r w:rsidR="00BF2FED" w:rsidRPr="750671CE">
        <w:rPr>
          <w:rFonts w:ascii="Times New Roman" w:eastAsia="Times New Roman" w:hAnsi="Times New Roman" w:cs="Times New Roman"/>
          <w:i/>
          <w:iCs/>
        </w:rPr>
        <w:t>with</w:t>
      </w:r>
      <w:r w:rsidR="00BF2FED" w:rsidRPr="750671CE">
        <w:rPr>
          <w:rFonts w:ascii="Times New Roman" w:eastAsia="Times New Roman" w:hAnsi="Times New Roman" w:cs="Times New Roman"/>
        </w:rPr>
        <w:t xml:space="preserve"> </w:t>
      </w:r>
      <w:r w:rsidR="009F09CA" w:rsidRPr="750671CE">
        <w:rPr>
          <w:rFonts w:ascii="Times New Roman" w:eastAsia="Times New Roman" w:hAnsi="Times New Roman" w:cs="Times New Roman"/>
        </w:rPr>
        <w:t>N.Y.</w:t>
      </w:r>
      <w:r w:rsidR="00445E16" w:rsidRPr="750671CE">
        <w:rPr>
          <w:rFonts w:ascii="Times New Roman" w:eastAsia="Times New Roman" w:hAnsi="Times New Roman" w:cs="Times New Roman"/>
        </w:rPr>
        <w:t xml:space="preserve"> </w:t>
      </w:r>
      <w:r w:rsidR="009F09CA" w:rsidRPr="750671CE">
        <w:rPr>
          <w:rFonts w:ascii="Times New Roman" w:eastAsia="Times New Roman" w:hAnsi="Times New Roman" w:cs="Times New Roman"/>
        </w:rPr>
        <w:t>C.P.L.R. § 214 (</w:t>
      </w:r>
      <w:r w:rsidR="00445E16" w:rsidRPr="750671CE">
        <w:rPr>
          <w:rFonts w:ascii="Times New Roman" w:eastAsia="Times New Roman" w:hAnsi="Times New Roman" w:cs="Times New Roman"/>
        </w:rPr>
        <w:t xml:space="preserve">McKinney </w:t>
      </w:r>
      <w:r w:rsidR="009F09CA" w:rsidRPr="750671CE">
        <w:rPr>
          <w:rFonts w:ascii="Times New Roman" w:eastAsia="Times New Roman" w:hAnsi="Times New Roman" w:cs="Times New Roman"/>
        </w:rPr>
        <w:t xml:space="preserve">1986) (providing a three-year statute of limitations for unintentional personal injury and property damage cases). </w:t>
      </w:r>
    </w:p>
    <w:p w14:paraId="47209FA1" w14:textId="77777777" w:rsidR="00261F75" w:rsidRPr="004B1DFF" w:rsidRDefault="00261F75" w:rsidP="009F09CA">
      <w:pPr>
        <w:rPr>
          <w:rFonts w:ascii="Times New Roman" w:hAnsi="Times New Roman" w:cs="Times New Roman"/>
        </w:rPr>
      </w:pPr>
    </w:p>
    <w:p w14:paraId="4998C246" w14:textId="614F096F" w:rsidR="00261F75" w:rsidRPr="004B1DFF" w:rsidRDefault="00261F75" w:rsidP="750671CE">
      <w:pPr>
        <w:rPr>
          <w:rFonts w:ascii="Times New Roman" w:eastAsia="Times New Roman" w:hAnsi="Times New Roman" w:cs="Times New Roman"/>
        </w:rPr>
      </w:pPr>
      <w:r w:rsidRPr="004B1DFF">
        <w:rPr>
          <w:rFonts w:ascii="Times New Roman" w:hAnsi="Times New Roman" w:cs="Times New Roman"/>
        </w:rPr>
        <w:tab/>
      </w:r>
      <w:r w:rsidRPr="750671CE">
        <w:rPr>
          <w:rFonts w:ascii="Times New Roman" w:eastAsia="Times New Roman" w:hAnsi="Times New Roman" w:cs="Times New Roman"/>
        </w:rPr>
        <w:t>The boundary between intentional and unintentional torts is important for the la</w:t>
      </w:r>
      <w:r w:rsidR="003105CB" w:rsidRPr="750671CE">
        <w:rPr>
          <w:rFonts w:ascii="Times New Roman" w:eastAsia="Times New Roman" w:hAnsi="Times New Roman" w:cs="Times New Roman"/>
        </w:rPr>
        <w:t>w to police for another, more theoretical</w:t>
      </w:r>
      <w:r w:rsidRPr="750671CE">
        <w:rPr>
          <w:rFonts w:ascii="Times New Roman" w:eastAsia="Times New Roman" w:hAnsi="Times New Roman" w:cs="Times New Roman"/>
        </w:rPr>
        <w:t xml:space="preserve">, reason as well.  Some unintentional torts admit of justifications based </w:t>
      </w:r>
      <w:r w:rsidR="00445E16" w:rsidRPr="750671CE">
        <w:rPr>
          <w:rFonts w:ascii="Times New Roman" w:eastAsia="Times New Roman" w:hAnsi="Times New Roman" w:cs="Times New Roman"/>
        </w:rPr>
        <w:t>on</w:t>
      </w:r>
      <w:r w:rsidRPr="750671CE">
        <w:rPr>
          <w:rFonts w:ascii="Times New Roman" w:eastAsia="Times New Roman" w:hAnsi="Times New Roman" w:cs="Times New Roman"/>
        </w:rPr>
        <w:t xml:space="preserve"> the utility of the defendant</w:t>
      </w:r>
      <w:r w:rsidR="00B05F31">
        <w:rPr>
          <w:rFonts w:ascii="Times New Roman" w:eastAsia="Times New Roman" w:hAnsi="Times New Roman" w:cs="Times New Roman"/>
        </w:rPr>
        <w:t>’</w:t>
      </w:r>
      <w:r w:rsidR="00FD37C7" w:rsidRPr="750671CE">
        <w:rPr>
          <w:rFonts w:ascii="Times New Roman" w:eastAsia="Times New Roman" w:hAnsi="Times New Roman" w:cs="Times New Roman"/>
        </w:rPr>
        <w:t>s course of conduct.  We deem c</w:t>
      </w:r>
      <w:r w:rsidRPr="750671CE">
        <w:rPr>
          <w:rFonts w:ascii="Times New Roman" w:eastAsia="Times New Roman" w:hAnsi="Times New Roman" w:cs="Times New Roman"/>
        </w:rPr>
        <w:t xml:space="preserve">ertain unintentional </w:t>
      </w:r>
      <w:r w:rsidR="00FD37C7" w:rsidRPr="750671CE">
        <w:rPr>
          <w:rFonts w:ascii="Times New Roman" w:eastAsia="Times New Roman" w:hAnsi="Times New Roman" w:cs="Times New Roman"/>
        </w:rPr>
        <w:t xml:space="preserve">risks permissible, for example, if the benefits of the conduct </w:t>
      </w:r>
      <w:r w:rsidR="0076277E" w:rsidRPr="750671CE">
        <w:rPr>
          <w:rFonts w:ascii="Times New Roman" w:eastAsia="Times New Roman" w:hAnsi="Times New Roman" w:cs="Times New Roman"/>
        </w:rPr>
        <w:t>out of which</w:t>
      </w:r>
      <w:r w:rsidR="00FD37C7" w:rsidRPr="750671CE">
        <w:rPr>
          <w:rFonts w:ascii="Times New Roman" w:eastAsia="Times New Roman" w:hAnsi="Times New Roman" w:cs="Times New Roman"/>
        </w:rPr>
        <w:t xml:space="preserve"> those risks </w:t>
      </w:r>
      <w:r w:rsidR="0076277E" w:rsidRPr="750671CE">
        <w:rPr>
          <w:rFonts w:ascii="Times New Roman" w:eastAsia="Times New Roman" w:hAnsi="Times New Roman" w:cs="Times New Roman"/>
        </w:rPr>
        <w:t>arise are</w:t>
      </w:r>
      <w:r w:rsidR="00FD37C7" w:rsidRPr="750671CE">
        <w:rPr>
          <w:rFonts w:ascii="Times New Roman" w:eastAsia="Times New Roman" w:hAnsi="Times New Roman" w:cs="Times New Roman"/>
        </w:rPr>
        <w:t xml:space="preserve"> sufficiently </w:t>
      </w:r>
      <w:r w:rsidR="0076277E" w:rsidRPr="750671CE">
        <w:rPr>
          <w:rFonts w:ascii="Times New Roman" w:eastAsia="Times New Roman" w:hAnsi="Times New Roman" w:cs="Times New Roman"/>
        </w:rPr>
        <w:t>great</w:t>
      </w:r>
      <w:r w:rsidRPr="750671CE">
        <w:rPr>
          <w:rFonts w:ascii="Times New Roman" w:eastAsia="Times New Roman" w:hAnsi="Times New Roman" w:cs="Times New Roman"/>
        </w:rPr>
        <w:t xml:space="preserve">.  </w:t>
      </w:r>
      <w:r w:rsidR="0076277E" w:rsidRPr="750671CE">
        <w:rPr>
          <w:rFonts w:ascii="Times New Roman" w:eastAsia="Times New Roman" w:hAnsi="Times New Roman" w:cs="Times New Roman"/>
        </w:rPr>
        <w:t>In some circumstances, as we shall see, this will be a reason to deny damages to unintentional injury plaintiffs injured by a defendant</w:t>
      </w:r>
      <w:r w:rsidR="00B05F31">
        <w:rPr>
          <w:rFonts w:ascii="Times New Roman" w:eastAsia="Times New Roman" w:hAnsi="Times New Roman" w:cs="Times New Roman"/>
        </w:rPr>
        <w:t>’</w:t>
      </w:r>
      <w:r w:rsidR="0076277E" w:rsidRPr="750671CE">
        <w:rPr>
          <w:rFonts w:ascii="Times New Roman" w:eastAsia="Times New Roman" w:hAnsi="Times New Roman" w:cs="Times New Roman"/>
        </w:rPr>
        <w:t>s conduct.  But in</w:t>
      </w:r>
      <w:r w:rsidR="00FB6960" w:rsidRPr="750671CE">
        <w:rPr>
          <w:rFonts w:ascii="Times New Roman" w:eastAsia="Times New Roman" w:hAnsi="Times New Roman" w:cs="Times New Roman"/>
        </w:rPr>
        <w:t xml:space="preserve"> the law of intentional torts,</w:t>
      </w:r>
      <w:r w:rsidR="0076277E" w:rsidRPr="750671CE">
        <w:rPr>
          <w:rFonts w:ascii="Times New Roman" w:eastAsia="Times New Roman" w:hAnsi="Times New Roman" w:cs="Times New Roman"/>
        </w:rPr>
        <w:t xml:space="preserve"> utilitarian </w:t>
      </w:r>
      <w:r w:rsidR="00FB6960" w:rsidRPr="750671CE">
        <w:rPr>
          <w:rFonts w:ascii="Times New Roman" w:eastAsia="Times New Roman" w:hAnsi="Times New Roman" w:cs="Times New Roman"/>
        </w:rPr>
        <w:t xml:space="preserve">defenses to unconsented-to intentional acts are very narrowly cabined, and more often barred outright.  </w:t>
      </w:r>
      <w:r w:rsidR="002D58AB" w:rsidRPr="750671CE">
        <w:rPr>
          <w:rFonts w:ascii="Times New Roman" w:eastAsia="Times New Roman" w:hAnsi="Times New Roman" w:cs="Times New Roman"/>
        </w:rPr>
        <w:t xml:space="preserve">If the law aims to preserve the </w:t>
      </w:r>
      <w:r w:rsidR="00EC47EE" w:rsidRPr="750671CE">
        <w:rPr>
          <w:rFonts w:ascii="Times New Roman" w:eastAsia="Times New Roman" w:hAnsi="Times New Roman" w:cs="Times New Roman"/>
        </w:rPr>
        <w:t xml:space="preserve">distinctiveness of these two </w:t>
      </w:r>
      <w:r w:rsidR="002D58AB" w:rsidRPr="750671CE">
        <w:rPr>
          <w:rFonts w:ascii="Times New Roman" w:eastAsia="Times New Roman" w:hAnsi="Times New Roman" w:cs="Times New Roman"/>
        </w:rPr>
        <w:t>domain</w:t>
      </w:r>
      <w:r w:rsidR="00EC47EE" w:rsidRPr="750671CE">
        <w:rPr>
          <w:rFonts w:ascii="Times New Roman" w:eastAsia="Times New Roman" w:hAnsi="Times New Roman" w:cs="Times New Roman"/>
        </w:rPr>
        <w:t>s</w:t>
      </w:r>
      <w:r w:rsidR="002D58AB" w:rsidRPr="750671CE">
        <w:rPr>
          <w:rFonts w:ascii="Times New Roman" w:eastAsia="Times New Roman" w:hAnsi="Times New Roman" w:cs="Times New Roman"/>
        </w:rPr>
        <w:t xml:space="preserve"> </w:t>
      </w:r>
      <w:r w:rsidR="00EC47EE" w:rsidRPr="750671CE">
        <w:rPr>
          <w:rFonts w:ascii="Times New Roman" w:eastAsia="Times New Roman" w:hAnsi="Times New Roman" w:cs="Times New Roman"/>
        </w:rPr>
        <w:t>at the case-by-case level</w:t>
      </w:r>
      <w:r w:rsidR="00445E16" w:rsidRPr="750671CE">
        <w:rPr>
          <w:rFonts w:ascii="Times New Roman" w:eastAsia="Times New Roman" w:hAnsi="Times New Roman" w:cs="Times New Roman"/>
        </w:rPr>
        <w:t>—</w:t>
      </w:r>
      <w:r w:rsidR="002D58AB" w:rsidRPr="750671CE">
        <w:rPr>
          <w:rFonts w:ascii="Times New Roman" w:eastAsia="Times New Roman" w:hAnsi="Times New Roman" w:cs="Times New Roman"/>
        </w:rPr>
        <w:t>utilitarian balancing</w:t>
      </w:r>
      <w:r w:rsidR="00EC47EE" w:rsidRPr="750671CE">
        <w:rPr>
          <w:rFonts w:ascii="Times New Roman" w:eastAsia="Times New Roman" w:hAnsi="Times New Roman" w:cs="Times New Roman"/>
        </w:rPr>
        <w:t xml:space="preserve"> for unintentional torts, on one hand,</w:t>
      </w:r>
      <w:r w:rsidR="002D58AB" w:rsidRPr="750671CE">
        <w:rPr>
          <w:rFonts w:ascii="Times New Roman" w:eastAsia="Times New Roman" w:hAnsi="Times New Roman" w:cs="Times New Roman"/>
        </w:rPr>
        <w:t xml:space="preserve"> </w:t>
      </w:r>
      <w:r w:rsidR="00EC47EE" w:rsidRPr="750671CE">
        <w:rPr>
          <w:rFonts w:ascii="Times New Roman" w:eastAsia="Times New Roman" w:hAnsi="Times New Roman" w:cs="Times New Roman"/>
        </w:rPr>
        <w:t>and its absence for intentional torts, on the other</w:t>
      </w:r>
      <w:r w:rsidR="00445E16" w:rsidRPr="750671CE">
        <w:rPr>
          <w:rFonts w:ascii="Times New Roman" w:eastAsia="Times New Roman" w:hAnsi="Times New Roman" w:cs="Times New Roman"/>
        </w:rPr>
        <w:t>—</w:t>
      </w:r>
      <w:r w:rsidR="00EC47EE" w:rsidRPr="750671CE">
        <w:rPr>
          <w:rFonts w:ascii="Times New Roman" w:eastAsia="Times New Roman" w:hAnsi="Times New Roman" w:cs="Times New Roman"/>
        </w:rPr>
        <w:t>then the</w:t>
      </w:r>
      <w:r w:rsidR="002D58AB" w:rsidRPr="750671CE">
        <w:rPr>
          <w:rFonts w:ascii="Times New Roman" w:eastAsia="Times New Roman" w:hAnsi="Times New Roman" w:cs="Times New Roman"/>
        </w:rPr>
        <w:t xml:space="preserve"> </w:t>
      </w:r>
      <w:r w:rsidR="00EC47EE" w:rsidRPr="750671CE">
        <w:rPr>
          <w:rFonts w:ascii="Times New Roman" w:eastAsia="Times New Roman" w:hAnsi="Times New Roman" w:cs="Times New Roman"/>
        </w:rPr>
        <w:t xml:space="preserve">law </w:t>
      </w:r>
      <w:r w:rsidR="002D58AB" w:rsidRPr="750671CE">
        <w:rPr>
          <w:rFonts w:ascii="Times New Roman" w:eastAsia="Times New Roman" w:hAnsi="Times New Roman" w:cs="Times New Roman"/>
        </w:rPr>
        <w:t xml:space="preserve">has to </w:t>
      </w:r>
      <w:r w:rsidR="00EC47EE" w:rsidRPr="750671CE">
        <w:rPr>
          <w:rFonts w:ascii="Times New Roman" w:eastAsia="Times New Roman" w:hAnsi="Times New Roman" w:cs="Times New Roman"/>
        </w:rPr>
        <w:t>maintain the boundary between</w:t>
      </w:r>
      <w:r w:rsidR="002D58AB" w:rsidRPr="750671CE">
        <w:rPr>
          <w:rFonts w:ascii="Times New Roman" w:eastAsia="Times New Roman" w:hAnsi="Times New Roman" w:cs="Times New Roman"/>
        </w:rPr>
        <w:t xml:space="preserve"> intentional</w:t>
      </w:r>
      <w:r w:rsidR="00EC47EE" w:rsidRPr="750671CE">
        <w:rPr>
          <w:rFonts w:ascii="Times New Roman" w:eastAsia="Times New Roman" w:hAnsi="Times New Roman" w:cs="Times New Roman"/>
        </w:rPr>
        <w:t xml:space="preserve"> and unin</w:t>
      </w:r>
      <w:r w:rsidR="00445E16" w:rsidRPr="750671CE">
        <w:rPr>
          <w:rFonts w:ascii="Times New Roman" w:eastAsia="Times New Roman" w:hAnsi="Times New Roman" w:cs="Times New Roman"/>
        </w:rPr>
        <w:t>t</w:t>
      </w:r>
      <w:r w:rsidR="00EC47EE" w:rsidRPr="750671CE">
        <w:rPr>
          <w:rFonts w:ascii="Times New Roman" w:eastAsia="Times New Roman" w:hAnsi="Times New Roman" w:cs="Times New Roman"/>
        </w:rPr>
        <w:t>entional</w:t>
      </w:r>
      <w:r w:rsidR="002D58AB" w:rsidRPr="750671CE">
        <w:rPr>
          <w:rFonts w:ascii="Times New Roman" w:eastAsia="Times New Roman" w:hAnsi="Times New Roman" w:cs="Times New Roman"/>
        </w:rPr>
        <w:t xml:space="preserve"> torts.  </w:t>
      </w:r>
    </w:p>
    <w:p w14:paraId="6FFB3B9F" w14:textId="77777777" w:rsidR="008015CC" w:rsidRDefault="008015CC" w:rsidP="008015CC">
      <w:pPr>
        <w:rPr>
          <w:rFonts w:ascii="Times New Roman" w:hAnsi="Times New Roman" w:cs="Times New Roman"/>
        </w:rPr>
      </w:pPr>
    </w:p>
    <w:p w14:paraId="7733ED23" w14:textId="77777777" w:rsidR="00201D22" w:rsidRPr="004B1DFF" w:rsidRDefault="00201D22" w:rsidP="008015CC">
      <w:pPr>
        <w:rPr>
          <w:rFonts w:ascii="Times New Roman" w:hAnsi="Times New Roman" w:cs="Times New Roman"/>
        </w:rPr>
      </w:pPr>
    </w:p>
    <w:p w14:paraId="7D922F83" w14:textId="3D2B5CCD" w:rsidR="00A6610C" w:rsidRPr="00591009" w:rsidRDefault="750671CE" w:rsidP="00591009">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rPr>
        <w:t xml:space="preserve">Intent to </w:t>
      </w:r>
      <w:r w:rsidR="00201D22">
        <w:rPr>
          <w:rFonts w:ascii="Times New Roman" w:eastAsia="Times New Roman" w:hAnsi="Times New Roman" w:cs="Times New Roman"/>
          <w:i/>
        </w:rPr>
        <w:t>b</w:t>
      </w:r>
      <w:r w:rsidRPr="00591009">
        <w:rPr>
          <w:rFonts w:ascii="Times New Roman" w:eastAsia="Times New Roman" w:hAnsi="Times New Roman" w:cs="Times New Roman"/>
          <w:i/>
        </w:rPr>
        <w:t xml:space="preserve">e </w:t>
      </w:r>
      <w:r w:rsidR="00201D22">
        <w:rPr>
          <w:rFonts w:ascii="Times New Roman" w:eastAsia="Times New Roman" w:hAnsi="Times New Roman" w:cs="Times New Roman"/>
          <w:i/>
        </w:rPr>
        <w:t>h</w:t>
      </w:r>
      <w:r w:rsidRPr="00591009">
        <w:rPr>
          <w:rFonts w:ascii="Times New Roman" w:eastAsia="Times New Roman" w:hAnsi="Times New Roman" w:cs="Times New Roman"/>
          <w:i/>
        </w:rPr>
        <w:t xml:space="preserve">armful or </w:t>
      </w:r>
      <w:r w:rsidR="00201D22">
        <w:rPr>
          <w:rFonts w:ascii="Times New Roman" w:eastAsia="Times New Roman" w:hAnsi="Times New Roman" w:cs="Times New Roman"/>
          <w:i/>
        </w:rPr>
        <w:t>o</w:t>
      </w:r>
      <w:r w:rsidRPr="00591009">
        <w:rPr>
          <w:rFonts w:ascii="Times New Roman" w:eastAsia="Times New Roman" w:hAnsi="Times New Roman" w:cs="Times New Roman"/>
          <w:i/>
        </w:rPr>
        <w:t xml:space="preserve">ffend? </w:t>
      </w:r>
      <w:r w:rsidRPr="00591009">
        <w:rPr>
          <w:rFonts w:ascii="Times New Roman" w:eastAsia="Times New Roman" w:hAnsi="Times New Roman" w:cs="Times New Roman"/>
        </w:rPr>
        <w:t xml:space="preserve"> One final note on the doctrine of battery: in cases where a defendant has the requisite mental state with respect to the consequences of his act, there is still a question of whether his mental state must extend not only to the fact of the contact but also to its harmfulness or offensiveness.  Need the plaintiff show that the defendant intended a harmful or offensive contact where the intent is to do harm or cause offense?  Or is it sufficient to establish that the defendant intended a contact, which contact we as a community deem harmful or offensive.  By whose standards must a contact have been harmful or offensive?  The defendant</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s?  The court</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 xml:space="preserve">s?  </w:t>
      </w:r>
      <w:r w:rsidRPr="00591009">
        <w:rPr>
          <w:rFonts w:ascii="Times New Roman" w:eastAsia="Times New Roman" w:hAnsi="Times New Roman" w:cs="Times New Roman"/>
          <w:i/>
          <w:iCs/>
        </w:rPr>
        <w:t>Vosburg</w:t>
      </w:r>
      <w:r w:rsidRPr="00591009">
        <w:rPr>
          <w:rFonts w:ascii="Times New Roman" w:eastAsia="Times New Roman" w:hAnsi="Times New Roman" w:cs="Times New Roman"/>
        </w:rPr>
        <w:t xml:space="preserve"> sheds a little light on this question, but not much.  Judge Lyon held that the plaintiff need not establish that a defendant intended to harm him, but merely that the defendant intended to </w:t>
      </w:r>
      <w:r w:rsidRPr="00591009">
        <w:rPr>
          <w:rFonts w:ascii="Times New Roman" w:eastAsia="Times New Roman" w:hAnsi="Times New Roman" w:cs="Times New Roman"/>
        </w:rPr>
        <w:lastRenderedPageBreak/>
        <w:t xml:space="preserve">make an </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unlawful</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 xml:space="preserve"> contact.  But Judge Lyon</w:t>
      </w:r>
      <w:r w:rsidR="00B05F31" w:rsidRPr="00591009">
        <w:rPr>
          <w:rFonts w:ascii="Times New Roman" w:eastAsia="Times New Roman" w:hAnsi="Times New Roman" w:cs="Times New Roman"/>
        </w:rPr>
        <w:t>’</w:t>
      </w:r>
      <w:r w:rsidRPr="00591009">
        <w:rPr>
          <w:rFonts w:ascii="Times New Roman" w:eastAsia="Times New Roman" w:hAnsi="Times New Roman" w:cs="Times New Roman"/>
        </w:rPr>
        <w:t>s formulation is decidedly unhelpful, since</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after all</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what we want to know is what kinds of contact the law rules out.  Telling us that the law will sanction unlawful contacts gets us nowhere!  </w:t>
      </w:r>
    </w:p>
    <w:p w14:paraId="6C35A01C" w14:textId="77777777" w:rsidR="00A6610C" w:rsidRPr="004B1DFF" w:rsidRDefault="00A6610C" w:rsidP="00A6610C">
      <w:pPr>
        <w:ind w:firstLine="720"/>
        <w:rPr>
          <w:rFonts w:ascii="Times New Roman" w:hAnsi="Times New Roman" w:cs="Times New Roman"/>
        </w:rPr>
      </w:pPr>
    </w:p>
    <w:p w14:paraId="604C452F" w14:textId="62AA8857" w:rsidR="00A6610C"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more useful guide to who decides what counts as harmful or offensive comes from Judge Lyon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attention to the context in which the contact took place.  Note that in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it was not just Andrew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actions that made him liable, but it was that his conduct took place in a classroom after the teacher had called the class to order.  In the playground context where Andrew and other students would have </w:t>
      </w:r>
      <w:r w:rsidR="00B05F31">
        <w:rPr>
          <w:rFonts w:ascii="Times New Roman" w:eastAsia="Times New Roman" w:hAnsi="Times New Roman" w:cs="Times New Roman"/>
        </w:rPr>
        <w:t>“</w:t>
      </w:r>
      <w:r w:rsidRPr="750671CE">
        <w:rPr>
          <w:rFonts w:ascii="Times New Roman" w:eastAsia="Times New Roman" w:hAnsi="Times New Roman" w:cs="Times New Roman"/>
        </w:rPr>
        <w:t>engaged in the usual boyish sports,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Judge Lyon might have hesitated to declare his kick the kind of contact for which a battery action may successfully be brought.  In the classroom, however, the court held that </w:t>
      </w:r>
      <w:r w:rsidR="00B05F31">
        <w:rPr>
          <w:rFonts w:ascii="Times New Roman" w:eastAsia="Times New Roman" w:hAnsi="Times New Roman" w:cs="Times New Roman"/>
        </w:rPr>
        <w:t>“</w:t>
      </w:r>
      <w:r w:rsidRPr="750671CE">
        <w:rPr>
          <w:rFonts w:ascii="Times New Roman" w:eastAsia="Times New Roman" w:hAnsi="Times New Roman" w:cs="Times New Roman"/>
        </w:rPr>
        <w:t>no implied license to do the act complained of existed.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Why should the circumstance—in this case, </w:t>
      </w:r>
      <w:r w:rsidR="00B05F31">
        <w:rPr>
          <w:rFonts w:ascii="Times New Roman" w:eastAsia="Times New Roman" w:hAnsi="Times New Roman" w:cs="Times New Roman"/>
        </w:rPr>
        <w:t>“</w:t>
      </w:r>
      <w:r w:rsidRPr="750671CE">
        <w:rPr>
          <w:rFonts w:ascii="Times New Roman" w:eastAsia="Times New Roman" w:hAnsi="Times New Roman" w:cs="Times New Roman"/>
        </w:rPr>
        <w:t>the order and decorum of the school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—matter?  </w:t>
      </w:r>
    </w:p>
    <w:p w14:paraId="69071562" w14:textId="77777777" w:rsidR="00896235" w:rsidRPr="004B1DFF" w:rsidRDefault="00896235" w:rsidP="00A6610C">
      <w:pPr>
        <w:rPr>
          <w:rFonts w:ascii="Times New Roman" w:hAnsi="Times New Roman" w:cs="Times New Roman"/>
        </w:rPr>
      </w:pPr>
    </w:p>
    <w:p w14:paraId="5C4FCA41" w14:textId="3252F593" w:rsidR="0080795D" w:rsidRPr="0080795D" w:rsidRDefault="750671CE" w:rsidP="0080795D">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As the distinction between the classroom and the playground suggests, the intent standard for battery typically requires that a defendant have intended a harmful or an offensive contact.  The Restatement provides that an actor may be liable for battery to another when (1) the actor acts intending to cause a </w:t>
      </w:r>
      <w:r w:rsidR="00B05F31">
        <w:rPr>
          <w:rFonts w:ascii="Times New Roman" w:eastAsia="Times New Roman" w:hAnsi="Times New Roman" w:cs="Times New Roman"/>
        </w:rPr>
        <w:t>“</w:t>
      </w:r>
      <w:r w:rsidRPr="750671CE">
        <w:rPr>
          <w:rFonts w:ascii="Times New Roman" w:eastAsia="Times New Roman" w:hAnsi="Times New Roman" w:cs="Times New Roman"/>
        </w:rPr>
        <w:t>harmful or offensive contact,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either to the other person or to </w:t>
      </w:r>
      <w:r w:rsidRPr="0080795D">
        <w:rPr>
          <w:rFonts w:ascii="Times New Roman" w:eastAsia="Times New Roman" w:hAnsi="Times New Roman" w:cs="Times New Roman"/>
        </w:rPr>
        <w:t xml:space="preserve">a third party, and (2) a </w:t>
      </w:r>
      <w:r w:rsidR="00B05F31" w:rsidRPr="0080795D">
        <w:rPr>
          <w:rFonts w:ascii="Times New Roman" w:eastAsia="Times New Roman" w:hAnsi="Times New Roman" w:cs="Times New Roman"/>
        </w:rPr>
        <w:t>“</w:t>
      </w:r>
      <w:r w:rsidRPr="0080795D">
        <w:rPr>
          <w:rFonts w:ascii="Times New Roman" w:eastAsia="Times New Roman" w:hAnsi="Times New Roman" w:cs="Times New Roman"/>
        </w:rPr>
        <w:t>harmful contact</w:t>
      </w:r>
      <w:r w:rsidR="00B05F31" w:rsidRPr="0080795D">
        <w:rPr>
          <w:rFonts w:ascii="Times New Roman" w:eastAsia="Times New Roman" w:hAnsi="Times New Roman" w:cs="Times New Roman"/>
        </w:rPr>
        <w:t>”</w:t>
      </w:r>
      <w:r w:rsidRPr="0080795D">
        <w:rPr>
          <w:rFonts w:ascii="Times New Roman" w:eastAsia="Times New Roman" w:hAnsi="Times New Roman" w:cs="Times New Roman"/>
        </w:rPr>
        <w:t xml:space="preserve"> with the other person results.  </w:t>
      </w:r>
      <w:r w:rsidRPr="0080795D">
        <w:rPr>
          <w:rFonts w:ascii="Times New Roman" w:eastAsia="Times New Roman" w:hAnsi="Times New Roman" w:cs="Times New Roman"/>
          <w:smallCaps/>
        </w:rPr>
        <w:t>Restatement (Second) of Torts</w:t>
      </w:r>
      <w:r w:rsidRPr="0080795D">
        <w:rPr>
          <w:rFonts w:ascii="Times New Roman" w:eastAsia="Times New Roman" w:hAnsi="Times New Roman" w:cs="Times New Roman"/>
          <w:smallCaps/>
          <w:color w:val="000000" w:themeColor="text1"/>
        </w:rPr>
        <w:t xml:space="preserve"> § 13 </w:t>
      </w:r>
      <w:r w:rsidRPr="0080795D">
        <w:rPr>
          <w:rFonts w:ascii="Times New Roman" w:eastAsia="Times New Roman" w:hAnsi="Times New Roman" w:cs="Times New Roman"/>
          <w:color w:val="000000" w:themeColor="text1"/>
        </w:rPr>
        <w:t xml:space="preserve">(1965).  </w:t>
      </w:r>
      <w:r w:rsidRPr="0080795D">
        <w:rPr>
          <w:rFonts w:ascii="Times New Roman" w:eastAsia="Times New Roman" w:hAnsi="Times New Roman" w:cs="Times New Roman"/>
        </w:rPr>
        <w:t>The offensiveness of a contact—as Judge Lyon observed in his discussion of playgrounds and classrooms—turns on the particular conventions relevant to t</w:t>
      </w:r>
      <w:r w:rsidR="0080795D" w:rsidRPr="0080795D">
        <w:rPr>
          <w:rFonts w:ascii="Times New Roman" w:eastAsia="Times New Roman" w:hAnsi="Times New Roman" w:cs="Times New Roman"/>
        </w:rPr>
        <w:t xml:space="preserve">he social context in question. </w:t>
      </w:r>
    </w:p>
    <w:p w14:paraId="64806E55" w14:textId="6550EB23" w:rsidR="00B00B80" w:rsidRPr="00864ECF" w:rsidRDefault="0080795D" w:rsidP="00935D4A">
      <w:pPr>
        <w:rPr>
          <w:rFonts w:ascii="Times New Roman" w:hAnsi="Times New Roman" w:cs="Times New Roman"/>
          <w:b/>
        </w:rPr>
      </w:pPr>
      <w:r w:rsidRPr="0080795D">
        <w:rPr>
          <w:rFonts w:ascii="Times New Roman" w:hAnsi="Times New Roman" w:cs="Times New Roman"/>
          <w:b/>
        </w:rPr>
        <w:t xml:space="preserve"> </w:t>
      </w:r>
    </w:p>
    <w:p w14:paraId="64C000D4" w14:textId="77777777" w:rsidR="00201D22" w:rsidRPr="00864ECF" w:rsidRDefault="00201D22" w:rsidP="00935D4A">
      <w:pPr>
        <w:rPr>
          <w:rFonts w:ascii="Times New Roman" w:hAnsi="Times New Roman" w:cs="Times New Roman"/>
          <w:b/>
        </w:rPr>
      </w:pPr>
    </w:p>
    <w:p w14:paraId="34B32A01" w14:textId="54A9BCAC" w:rsidR="00864ECF" w:rsidRPr="00864ECF" w:rsidRDefault="0080795D" w:rsidP="00864ECF">
      <w:pPr>
        <w:pStyle w:val="ListParagraph"/>
        <w:numPr>
          <w:ilvl w:val="0"/>
          <w:numId w:val="61"/>
        </w:numPr>
        <w:ind w:left="0" w:firstLine="360"/>
        <w:rPr>
          <w:rStyle w:val="FootnoteReference"/>
          <w:rFonts w:ascii="Times New Roman" w:eastAsia="Times New Roman" w:hAnsi="Times New Roman" w:cs="Times New Roman"/>
          <w:vertAlign w:val="baseline"/>
        </w:rPr>
      </w:pPr>
      <w:r w:rsidRPr="00864ECF">
        <w:rPr>
          <w:rFonts w:ascii="Times New Roman" w:eastAsia="Times New Roman" w:hAnsi="Times New Roman" w:cs="Times New Roman"/>
          <w:i/>
        </w:rPr>
        <w:t>Battery for the Era of #MeToo</w:t>
      </w:r>
      <w:r w:rsidRPr="00864ECF">
        <w:rPr>
          <w:rFonts w:ascii="Times New Roman" w:eastAsia="Times New Roman" w:hAnsi="Times New Roman" w:cs="Times New Roman"/>
        </w:rPr>
        <w:t xml:space="preserve">.  </w:t>
      </w:r>
      <w:r w:rsidRPr="00864ECF">
        <w:rPr>
          <w:rFonts w:ascii="Times New Roman" w:hAnsi="Times New Roman" w:cs="Times New Roman"/>
          <w:color w:val="000000" w:themeColor="text1"/>
        </w:rPr>
        <w:t xml:space="preserve">In light of the #MeToo movement, are battery causes of action an alternate path in sexual assault cases? </w:t>
      </w:r>
      <w:r w:rsidR="00864ECF">
        <w:rPr>
          <w:rFonts w:ascii="Times New Roman" w:hAnsi="Times New Roman" w:cs="Times New Roman"/>
          <w:color w:val="000000" w:themeColor="text1"/>
        </w:rPr>
        <w:t xml:space="preserve"> I</w:t>
      </w:r>
      <w:r w:rsidR="00864ECF" w:rsidRPr="00864ECF">
        <w:rPr>
          <w:rFonts w:ascii="Times New Roman" w:hAnsi="Times New Roman" w:cs="Times New Roman"/>
          <w:color w:val="000000" w:themeColor="text1"/>
        </w:rPr>
        <w:t xml:space="preserve">f so, why are tort actions in sexual assault cases not as </w:t>
      </w:r>
      <w:r w:rsidR="00864ECF">
        <w:rPr>
          <w:rFonts w:ascii="Times New Roman" w:hAnsi="Times New Roman" w:cs="Times New Roman"/>
          <w:color w:val="000000" w:themeColor="text1"/>
        </w:rPr>
        <w:t>salient a part of the public debate over sex assault, and especially campus sex assault,</w:t>
      </w:r>
      <w:r w:rsidR="00864ECF" w:rsidRPr="00864ECF">
        <w:rPr>
          <w:rFonts w:ascii="Times New Roman" w:hAnsi="Times New Roman" w:cs="Times New Roman"/>
          <w:color w:val="000000" w:themeColor="text1"/>
        </w:rPr>
        <w:t xml:space="preserve"> as one might expect? There are a number of possible reasons.</w:t>
      </w:r>
      <w:r w:rsidR="00864ECF" w:rsidRPr="00864ECF">
        <w:rPr>
          <w:rStyle w:val="FootnoteReference"/>
          <w:rFonts w:ascii="Times New Roman" w:hAnsi="Times New Roman" w:cs="Times New Roman"/>
          <w:color w:val="000000" w:themeColor="text1"/>
        </w:rPr>
        <w:footnoteReference w:id="1"/>
      </w:r>
      <w:r w:rsidR="00864ECF" w:rsidRPr="00864ECF">
        <w:rPr>
          <w:rFonts w:ascii="Times New Roman" w:hAnsi="Times New Roman" w:cs="Times New Roman"/>
          <w:color w:val="000000" w:themeColor="text1"/>
        </w:rPr>
        <w:t xml:space="preserve"> First, the time it takes to litigate is a powerful disincentive. Even if a survivor files right away, tort action can take years to complete, extending the emotional trauma as it makes survivors continue to relive the assault. The broad discovery available in civil actions means that private and personal sexual information about the plaintiff’s life can become public.  (Cross examination during a trial that is often crafted to discredit the plaintiff.)  In addition, pursuing a tort action before a criminal case could hurt the chances of success in the criminal case because the defense may use the fact of a civil suit to characterize the plaintiff as seeking financial gain to undermine their credibility. Finally, unless the actor in question has financial resources, it may not be worthwhile to bring a cause of action for money damages; lawyers may be unwilling to take a case where the defendant would not be able to pay damages sufficient to provide a worthwhile contingent fee. Expensive criminal cases can exhaust a putative assailant’s financial resources before a plaintiff has the chance to collect.  And in campus sex assault cases, putative defendants will typically be young and therefore less likely to have substantial </w:t>
      </w:r>
      <w:r w:rsidR="00864ECF" w:rsidRPr="00864ECF">
        <w:rPr>
          <w:rFonts w:ascii="Times New Roman" w:hAnsi="Times New Roman" w:cs="Times New Roman"/>
          <w:color w:val="000000" w:themeColor="text1"/>
        </w:rPr>
        <w:lastRenderedPageBreak/>
        <w:t xml:space="preserve">assets.  In theory, a damages judgment could be used to collect against future assets.  In practice, judgment debtors will likely discharge personal injury debt in bankruptcy.    </w:t>
      </w:r>
    </w:p>
    <w:p w14:paraId="585F35C3" w14:textId="77777777" w:rsidR="00864ECF" w:rsidRPr="00864ECF" w:rsidRDefault="00864ECF" w:rsidP="00864ECF">
      <w:pPr>
        <w:pStyle w:val="NormalWeb"/>
        <w:contextualSpacing/>
        <w:rPr>
          <w:rFonts w:ascii="Times New Roman" w:hAnsi="Times New Roman"/>
          <w:sz w:val="24"/>
          <w:szCs w:val="24"/>
        </w:rPr>
      </w:pPr>
      <w:r w:rsidRPr="00864ECF">
        <w:rPr>
          <w:rFonts w:ascii="Times New Roman" w:hAnsi="Times New Roman"/>
          <w:sz w:val="24"/>
          <w:szCs w:val="24"/>
        </w:rPr>
        <w:tab/>
        <w:t xml:space="preserve">Nevertheless, tort claims sometimes provide an important alternative to a criminal case. In a civil tort case, as we shall see later in this book, a plaintiff need only prove her case by a preponderance of the evidence; proof in a criminal trial requires that the jury be convinced under the higher standard of “beyond a reasonable doubt,” a standard that is often impossible to meet in sex assault cases.  Moreover, in a civil case the plaintiff controls the course of the litigation and pursues private satisfaction, unlike a criminal case, in which a public prosecutor controls the litigation in pursuit of a public punishment.  </w:t>
      </w:r>
    </w:p>
    <w:p w14:paraId="579E6C08" w14:textId="77777777" w:rsidR="00864ECF" w:rsidRPr="00864ECF" w:rsidRDefault="00864ECF" w:rsidP="00864ECF">
      <w:pPr>
        <w:pStyle w:val="NormalWeb"/>
        <w:contextualSpacing/>
        <w:rPr>
          <w:rFonts w:ascii="Times New Roman" w:hAnsi="Times New Roman"/>
          <w:sz w:val="24"/>
          <w:szCs w:val="24"/>
        </w:rPr>
      </w:pPr>
    </w:p>
    <w:p w14:paraId="20D35528" w14:textId="0EB7F099" w:rsidR="0080795D" w:rsidRPr="00864ECF" w:rsidRDefault="00864ECF" w:rsidP="0080795D">
      <w:pPr>
        <w:pStyle w:val="NormalWeb"/>
        <w:contextualSpacing/>
        <w:rPr>
          <w:rFonts w:ascii="Times New Roman" w:hAnsi="Times New Roman"/>
          <w:color w:val="000000" w:themeColor="text1"/>
          <w:sz w:val="24"/>
          <w:szCs w:val="24"/>
          <w:vertAlign w:val="superscript"/>
        </w:rPr>
      </w:pPr>
      <w:r w:rsidRPr="00864ECF">
        <w:rPr>
          <w:rFonts w:ascii="Times New Roman" w:hAnsi="Times New Roman"/>
          <w:sz w:val="24"/>
          <w:szCs w:val="24"/>
        </w:rPr>
        <w:tab/>
        <w:t xml:space="preserve">Recent plaintiffs have been successful in pursuing tort damages from third parties for sexual assault and battery.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Pr="00864ECF">
        <w:rPr>
          <w:rFonts w:ascii="Times New Roman" w:eastAsia="Times New Roman" w:hAnsi="Times New Roman"/>
          <w:color w:val="000000"/>
          <w:sz w:val="24"/>
          <w:szCs w:val="24"/>
          <w:shd w:val="clear" w:color="auto" w:fill="FFFFFF"/>
        </w:rPr>
        <w:t>Nassar</w:t>
      </w:r>
      <w:r w:rsidRPr="00864ECF">
        <w:rPr>
          <w:rFonts w:ascii="Times New Roman" w:eastAsia="Times New Roman" w:hAnsi="Times New Roman"/>
          <w:color w:val="000000"/>
          <w:sz w:val="24"/>
          <w:szCs w:val="24"/>
        </w:rPr>
        <w:t xml:space="preserve"> “intended to cause harmful or offensive contact with Plaintiff’s person, or intended to put Plaintiff in imminent apprehension of such contact.”  </w:t>
      </w:r>
      <w:r w:rsidRPr="00864ECF">
        <w:rPr>
          <w:rFonts w:ascii="Times New Roman" w:hAnsi="Times New Roman"/>
          <w:color w:val="000000" w:themeColor="text1"/>
          <w:sz w:val="24"/>
          <w:szCs w:val="24"/>
        </w:rPr>
        <w:t xml:space="preserve">Complaint at </w:t>
      </w:r>
      <w:r w:rsidRPr="00864ECF">
        <w:rPr>
          <w:rFonts w:ascii="Times New Roman" w:eastAsia="Times New Roman" w:hAnsi="Times New Roman"/>
          <w:color w:val="000000" w:themeColor="text1"/>
          <w:sz w:val="24"/>
          <w:szCs w:val="24"/>
        </w:rPr>
        <w:t xml:space="preserve">20, Jane JD Doe v. Doe 1 (Cal. Super. Ct. Sacramento 2016) (No. 34-2016-00200075), </w:t>
      </w:r>
      <w:hyperlink r:id="rId29" w:history="1">
        <w:r w:rsidRPr="00864ECF">
          <w:rPr>
            <w:rStyle w:val="Hyperlink"/>
            <w:rFonts w:ascii="Times New Roman" w:eastAsia="Times New Roman" w:hAnsi="Times New Roman"/>
            <w:sz w:val="24"/>
            <w:szCs w:val="24"/>
          </w:rPr>
          <w:t>https://assets.documentcloud.org/documents/3106054/JANE-JD-COMPLAINT-Signed.pdf</w:t>
        </w:r>
      </w:hyperlink>
      <w:r w:rsidRPr="00864ECF">
        <w:rPr>
          <w:rFonts w:ascii="Times New Roman" w:eastAsia="Times New Roman" w:hAnsi="Times New Roman"/>
          <w:color w:val="000000" w:themeColor="text1"/>
          <w:sz w:val="24"/>
          <w:szCs w:val="24"/>
        </w:rPr>
        <w:t xml:space="preserve">.  </w:t>
      </w:r>
      <w:r w:rsidRPr="00864ECF">
        <w:rPr>
          <w:rFonts w:ascii="Times New Roman" w:hAnsi="Times New Roman"/>
          <w:sz w:val="24"/>
          <w:szCs w:val="24"/>
        </w:rPr>
        <w:t>In the spring of 2018, Michigan State agreed to a $500 million dollar settlement with 332 plaintiffs.</w:t>
      </w:r>
      <w:r w:rsidRPr="00864ECF">
        <w:rPr>
          <w:rFonts w:ascii="Times New Roman" w:eastAsia="Times New Roman" w:hAnsi="Times New Roman"/>
          <w:color w:val="000000"/>
          <w:sz w:val="24"/>
          <w:szCs w:val="24"/>
        </w:rPr>
        <w:t xml:space="preserve"> Later the same spring, </w:t>
      </w:r>
      <w:r w:rsidRPr="00864ECF">
        <w:rPr>
          <w:rFonts w:ascii="Times New Roman" w:hAnsi="Times New Roman"/>
          <w:color w:val="000000" w:themeColor="text1"/>
          <w:sz w:val="24"/>
          <w:szCs w:val="24"/>
        </w:rPr>
        <w:t xml:space="preserve">a civil jury in Georgia awarded a rape victim an astounding $1 billion in damages against the security firm that employed a guard who assaulted the plaintiff in her friend’s apartment complex.  </w:t>
      </w:r>
      <w:r w:rsidRPr="00864ECF">
        <w:rPr>
          <w:rFonts w:ascii="Times New Roman" w:hAnsi="Times New Roman"/>
          <w:sz w:val="24"/>
          <w:szCs w:val="24"/>
        </w:rPr>
        <w:t xml:space="preserve">Despite, or perhaps because of such large awards, it is worth asking whether money damages are the right way to address the harms of sexual assault.  We will return to such questions in a subsequent chapter of this book.  One might also ask what it means to award a billion dollars in such a case.  For starters, note that the answer turns in substantial part on the law of bankruptcy and insurance.  </w:t>
      </w:r>
    </w:p>
    <w:p w14:paraId="6676928E" w14:textId="77777777" w:rsidR="0080795D" w:rsidRPr="00864ECF" w:rsidRDefault="0080795D" w:rsidP="0080795D">
      <w:pPr>
        <w:rPr>
          <w:rFonts w:ascii="Times New Roman" w:eastAsia="Times New Roman" w:hAnsi="Times New Roman" w:cs="Times New Roman"/>
        </w:rPr>
      </w:pPr>
    </w:p>
    <w:p w14:paraId="3DEC6CF8" w14:textId="4A1E73F3" w:rsidR="00B00B80" w:rsidRPr="00591009" w:rsidRDefault="750671CE" w:rsidP="00591009">
      <w:pPr>
        <w:pStyle w:val="ListParagraph"/>
        <w:numPr>
          <w:ilvl w:val="0"/>
          <w:numId w:val="61"/>
        </w:numPr>
        <w:ind w:left="0" w:firstLine="360"/>
        <w:rPr>
          <w:rFonts w:ascii="Times New Roman" w:eastAsia="Times New Roman" w:hAnsi="Times New Roman" w:cs="Times New Roman"/>
        </w:rPr>
      </w:pPr>
      <w:r w:rsidRPr="00864ECF">
        <w:rPr>
          <w:rFonts w:ascii="Times New Roman" w:eastAsia="Times New Roman" w:hAnsi="Times New Roman" w:cs="Times New Roman"/>
          <w:i/>
          <w:iCs/>
        </w:rPr>
        <w:t>The Knobe Effect.</w:t>
      </w:r>
      <w:r w:rsidRPr="00864ECF">
        <w:rPr>
          <w:rFonts w:ascii="Times New Roman" w:eastAsia="Times New Roman" w:hAnsi="Times New Roman" w:cs="Times New Roman"/>
        </w:rPr>
        <w:t xml:space="preserve">  The philosopher</w:t>
      </w:r>
      <w:r w:rsidRPr="0080795D">
        <w:rPr>
          <w:rFonts w:ascii="Times New Roman" w:eastAsia="Times New Roman" w:hAnsi="Times New Roman" w:cs="Times New Roman"/>
        </w:rPr>
        <w:t xml:space="preserve"> Joshua Knobe has studied people</w:t>
      </w:r>
      <w:r w:rsidR="00B05F31" w:rsidRPr="0080795D">
        <w:rPr>
          <w:rFonts w:ascii="Times New Roman" w:eastAsia="Times New Roman" w:hAnsi="Times New Roman" w:cs="Times New Roman"/>
        </w:rPr>
        <w:t>’</w:t>
      </w:r>
      <w:r w:rsidRPr="0080795D">
        <w:rPr>
          <w:rFonts w:ascii="Times New Roman" w:eastAsia="Times New Roman" w:hAnsi="Times New Roman" w:cs="Times New Roman"/>
        </w:rPr>
        <w:t>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w:t>
      </w:r>
      <w:r w:rsidRPr="00591009">
        <w:rPr>
          <w:rFonts w:ascii="Times New Roman" w:eastAsia="Times New Roman" w:hAnsi="Times New Roman" w:cs="Times New Roman"/>
        </w:rPr>
        <w:t xml:space="preserve">o foresaw (but did not care about) bad outcomes than to those who foresaw (but did not care about) good ones.  So, for example, people attribute intentionality to the harms caused by a </w:t>
      </w:r>
      <w:r w:rsidR="00984411">
        <w:rPr>
          <w:rFonts w:ascii="Times New Roman" w:eastAsia="Times New Roman" w:hAnsi="Times New Roman" w:cs="Times New Roman"/>
        </w:rPr>
        <w:t>c</w:t>
      </w:r>
      <w:r w:rsidRPr="00591009">
        <w:rPr>
          <w:rFonts w:ascii="Times New Roman" w:eastAsia="Times New Roman" w:hAnsi="Times New Roman" w:cs="Times New Roman"/>
        </w:rPr>
        <w:t xml:space="preserve">hief </w:t>
      </w:r>
      <w:r w:rsidR="00984411">
        <w:rPr>
          <w:rFonts w:ascii="Times New Roman" w:eastAsia="Times New Roman" w:hAnsi="Times New Roman" w:cs="Times New Roman"/>
        </w:rPr>
        <w:t>e</w:t>
      </w:r>
      <w:r w:rsidRPr="00591009">
        <w:rPr>
          <w:rFonts w:ascii="Times New Roman" w:eastAsia="Times New Roman" w:hAnsi="Times New Roman" w:cs="Times New Roman"/>
        </w:rPr>
        <w:t xml:space="preserve">xecutive </w:t>
      </w:r>
      <w:r w:rsidR="00984411">
        <w:rPr>
          <w:rFonts w:ascii="Times New Roman" w:eastAsia="Times New Roman" w:hAnsi="Times New Roman" w:cs="Times New Roman"/>
        </w:rPr>
        <w:t>o</w:t>
      </w:r>
      <w:r w:rsidRPr="00591009">
        <w:rPr>
          <w:rFonts w:ascii="Times New Roman" w:eastAsia="Times New Roman" w:hAnsi="Times New Roman" w:cs="Times New Roman"/>
        </w:rPr>
        <w:t xml:space="preserve">fficer (CEO) who approves a moneymaking plan that he knows will </w:t>
      </w:r>
      <w:r w:rsidRPr="00591009">
        <w:rPr>
          <w:rFonts w:ascii="Times New Roman" w:eastAsia="Times New Roman" w:hAnsi="Times New Roman" w:cs="Times New Roman"/>
          <w:i/>
          <w:iCs/>
        </w:rPr>
        <w:t>harm</w:t>
      </w:r>
      <w:r w:rsidRPr="00591009">
        <w:rPr>
          <w:rFonts w:ascii="Times New Roman" w:eastAsia="Times New Roman" w:hAnsi="Times New Roman" w:cs="Times New Roman"/>
        </w:rPr>
        <w:t xml:space="preserve"> the environment, but do not attribute intentionality to the benefits caused by a CEO who approves a moneymaking plan that he knows will </w:t>
      </w:r>
      <w:r w:rsidRPr="00591009">
        <w:rPr>
          <w:rFonts w:ascii="Times New Roman" w:eastAsia="Times New Roman" w:hAnsi="Times New Roman" w:cs="Times New Roman"/>
          <w:i/>
          <w:iCs/>
        </w:rPr>
        <w:t>help</w:t>
      </w:r>
      <w:r w:rsidRPr="00591009">
        <w:rPr>
          <w:rFonts w:ascii="Times New Roman" w:eastAsia="Times New Roman" w:hAnsi="Times New Roman" w:cs="Times New Roman"/>
        </w:rPr>
        <w:t xml:space="preserve"> the environment.  </w:t>
      </w:r>
      <w:r w:rsidRPr="00591009">
        <w:rPr>
          <w:rFonts w:ascii="Times New Roman" w:eastAsia="Times New Roman" w:hAnsi="Times New Roman" w:cs="Times New Roman"/>
          <w:i/>
          <w:iCs/>
        </w:rPr>
        <w:t>See</w:t>
      </w:r>
      <w:r w:rsidRPr="00591009">
        <w:rPr>
          <w:rFonts w:ascii="Times New Roman" w:eastAsia="Times New Roman" w:hAnsi="Times New Roman" w:cs="Times New Roman"/>
        </w:rPr>
        <w:t xml:space="preserve"> Joshua Knobe, </w:t>
      </w:r>
      <w:r w:rsidRPr="00591009">
        <w:rPr>
          <w:rFonts w:ascii="Times New Roman" w:eastAsia="Times New Roman" w:hAnsi="Times New Roman" w:cs="Times New Roman"/>
          <w:i/>
          <w:iCs/>
        </w:rPr>
        <w:t>Intentional Action and Side Effects in Ordinary Language</w:t>
      </w:r>
      <w:r w:rsidRPr="00591009">
        <w:rPr>
          <w:rFonts w:ascii="Times New Roman" w:eastAsia="Times New Roman" w:hAnsi="Times New Roman" w:cs="Times New Roman"/>
        </w:rPr>
        <w:t>, 63</w:t>
      </w:r>
      <w:r w:rsidRPr="00591009">
        <w:rPr>
          <w:rFonts w:ascii="Times New Roman" w:eastAsia="Times New Roman" w:hAnsi="Times New Roman" w:cs="Times New Roman"/>
          <w:smallCaps/>
        </w:rPr>
        <w:t xml:space="preserve"> Analysis</w:t>
      </w:r>
      <w:r w:rsidRPr="00591009">
        <w:rPr>
          <w:rFonts w:ascii="Times New Roman" w:eastAsia="Times New Roman" w:hAnsi="Times New Roman" w:cs="Times New Roman"/>
        </w:rPr>
        <w:t xml:space="preserve"> 190-93 (2003).</w:t>
      </w:r>
    </w:p>
    <w:p w14:paraId="321D434E" w14:textId="77777777" w:rsidR="00B00B80" w:rsidRPr="004B1DFF" w:rsidRDefault="00B00B80" w:rsidP="00B00B80">
      <w:pPr>
        <w:ind w:firstLine="720"/>
        <w:rPr>
          <w:rFonts w:ascii="Times New Roman" w:hAnsi="Times New Roman" w:cs="Times New Roman"/>
        </w:rPr>
      </w:pPr>
    </w:p>
    <w:p w14:paraId="27ABDFAE" w14:textId="0BE8691E" w:rsidR="00B00B80"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The Knobe Effect is interesting in its own right.  But it also suggests that our ostensibly factual descriptions of the world are often, if not always, shot through with value-laden intuitions and influences.  We speak of intent as if </w:t>
      </w:r>
      <w:r w:rsidR="007C715C">
        <w:rPr>
          <w:rFonts w:ascii="Times New Roman" w:eastAsia="Times New Roman" w:hAnsi="Times New Roman" w:cs="Times New Roman"/>
        </w:rPr>
        <w:t>doing so</w:t>
      </w:r>
      <w:r w:rsidR="007C715C"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will help us reach a reasoned outcome in analyzing a case before us.  But it turns out that the very tool with which we reason </w:t>
      </w:r>
      <w:r w:rsidR="007C715C">
        <w:rPr>
          <w:rFonts w:ascii="Times New Roman" w:eastAsia="Times New Roman" w:hAnsi="Times New Roman" w:cs="Times New Roman"/>
        </w:rPr>
        <w:t>(“intent”) is</w:t>
      </w:r>
      <w:r w:rsidR="007C715C"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already saturated by the value judgments we hope </w:t>
      </w:r>
      <w:r w:rsidR="00FF515E">
        <w:rPr>
          <w:rFonts w:ascii="Times New Roman" w:eastAsia="Times New Roman" w:hAnsi="Times New Roman" w:cs="Times New Roman"/>
        </w:rPr>
        <w:t>such tools will help us</w:t>
      </w:r>
      <w:r w:rsidRPr="750671CE">
        <w:rPr>
          <w:rFonts w:ascii="Times New Roman" w:eastAsia="Times New Roman" w:hAnsi="Times New Roman" w:cs="Times New Roman"/>
        </w:rPr>
        <w:t xml:space="preserve"> make!  We have already seen how awkwardly circular it was in </w:t>
      </w:r>
      <w:r w:rsidRPr="750671CE">
        <w:rPr>
          <w:rFonts w:ascii="Times New Roman" w:eastAsia="Times New Roman" w:hAnsi="Times New Roman" w:cs="Times New Roman"/>
          <w:i/>
          <w:iCs/>
        </w:rPr>
        <w:t>Vosburg</w:t>
      </w:r>
      <w:r w:rsidRPr="750671CE">
        <w:rPr>
          <w:rFonts w:ascii="Times New Roman" w:eastAsia="Times New Roman" w:hAnsi="Times New Roman" w:cs="Times New Roman"/>
        </w:rPr>
        <w:t xml:space="preserve"> to try to use the idea of </w:t>
      </w:r>
      <w:r w:rsidR="00B05F31">
        <w:rPr>
          <w:rFonts w:ascii="Times New Roman" w:eastAsia="Times New Roman" w:hAnsi="Times New Roman" w:cs="Times New Roman"/>
        </w:rPr>
        <w:t>“</w:t>
      </w:r>
      <w:r w:rsidRPr="750671CE">
        <w:rPr>
          <w:rFonts w:ascii="Times New Roman" w:eastAsia="Times New Roman" w:hAnsi="Times New Roman" w:cs="Times New Roman"/>
        </w:rPr>
        <w:t>unlawful contact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a doctrinal tool.  The Knobe Effect suggests that the circularity problem may be much deeper: </w:t>
      </w:r>
      <w:r w:rsidR="00FF515E">
        <w:rPr>
          <w:rFonts w:ascii="Times New Roman" w:eastAsia="Times New Roman" w:hAnsi="Times New Roman" w:cs="Times New Roman"/>
        </w:rPr>
        <w:t>the</w:t>
      </w:r>
      <w:r w:rsidR="00FF515E" w:rsidRPr="750671CE">
        <w:rPr>
          <w:rFonts w:ascii="Times New Roman" w:eastAsia="Times New Roman" w:hAnsi="Times New Roman" w:cs="Times New Roman"/>
        </w:rPr>
        <w:t xml:space="preserve"> </w:t>
      </w:r>
      <w:r w:rsidRPr="750671CE">
        <w:rPr>
          <w:rFonts w:ascii="Times New Roman" w:eastAsia="Times New Roman" w:hAnsi="Times New Roman" w:cs="Times New Roman"/>
        </w:rPr>
        <w:t>descriptions of the world on which our prescriptive analyses purport to be based may already be shaped by normative intuitions.</w:t>
      </w:r>
    </w:p>
    <w:p w14:paraId="25194C65" w14:textId="77777777" w:rsidR="00620012" w:rsidRDefault="00620012" w:rsidP="00935D4A">
      <w:pPr>
        <w:rPr>
          <w:rFonts w:ascii="Times New Roman" w:hAnsi="Times New Roman" w:cs="Times New Roman"/>
          <w:b/>
        </w:rPr>
      </w:pPr>
    </w:p>
    <w:p w14:paraId="34ECC25F" w14:textId="77777777" w:rsidR="00201D22" w:rsidRPr="004B1DFF" w:rsidRDefault="00201D22" w:rsidP="00935D4A">
      <w:pPr>
        <w:rPr>
          <w:rFonts w:ascii="Times New Roman" w:hAnsi="Times New Roman" w:cs="Times New Roman"/>
          <w:b/>
        </w:rPr>
      </w:pPr>
    </w:p>
    <w:p w14:paraId="22713D8A" w14:textId="533A4545" w:rsidR="00620012" w:rsidRPr="00591009" w:rsidRDefault="750671CE" w:rsidP="00591009">
      <w:pPr>
        <w:pStyle w:val="ListParagraph"/>
        <w:numPr>
          <w:ilvl w:val="0"/>
          <w:numId w:val="61"/>
        </w:numPr>
        <w:ind w:left="0" w:firstLine="360"/>
        <w:rPr>
          <w:rFonts w:ascii="Times New Roman" w:eastAsia="Times New Roman" w:hAnsi="Times New Roman" w:cs="Times New Roman"/>
        </w:rPr>
      </w:pPr>
      <w:r w:rsidRPr="00591009">
        <w:rPr>
          <w:rFonts w:ascii="Times New Roman" w:eastAsia="Times New Roman" w:hAnsi="Times New Roman" w:cs="Times New Roman"/>
          <w:i/>
          <w:iCs/>
        </w:rPr>
        <w:t xml:space="preserve">The </w:t>
      </w:r>
      <w:r w:rsidR="00201D22">
        <w:rPr>
          <w:rFonts w:ascii="Times New Roman" w:eastAsia="Times New Roman" w:hAnsi="Times New Roman" w:cs="Times New Roman"/>
          <w:i/>
          <w:iCs/>
        </w:rPr>
        <w:t>d</w:t>
      </w:r>
      <w:r w:rsidRPr="00591009">
        <w:rPr>
          <w:rFonts w:ascii="Times New Roman" w:eastAsia="Times New Roman" w:hAnsi="Times New Roman" w:cs="Times New Roman"/>
          <w:i/>
          <w:iCs/>
        </w:rPr>
        <w:t xml:space="preserve">ispute </w:t>
      </w:r>
      <w:r w:rsidR="00201D22">
        <w:rPr>
          <w:rFonts w:ascii="Times New Roman" w:eastAsia="Times New Roman" w:hAnsi="Times New Roman" w:cs="Times New Roman"/>
          <w:i/>
          <w:iCs/>
        </w:rPr>
        <w:t>p</w:t>
      </w:r>
      <w:r w:rsidRPr="00591009">
        <w:rPr>
          <w:rFonts w:ascii="Times New Roman" w:eastAsia="Times New Roman" w:hAnsi="Times New Roman" w:cs="Times New Roman"/>
          <w:i/>
          <w:iCs/>
        </w:rPr>
        <w:t>yramid</w:t>
      </w:r>
      <w:r w:rsidRPr="00591009">
        <w:rPr>
          <w:rFonts w:ascii="Times New Roman" w:eastAsia="Times New Roman" w:hAnsi="Times New Roman" w:cs="Times New Roman"/>
        </w:rPr>
        <w:t>.  Before we move on, it is worth noting an important feature of the cases we have read so far, and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indeed</w:t>
      </w:r>
      <w:r w:rsidR="00453C7D">
        <w:rPr>
          <w:rFonts w:ascii="Times New Roman" w:eastAsia="Times New Roman" w:hAnsi="Times New Roman" w:cs="Times New Roman"/>
        </w:rPr>
        <w:t>,</w:t>
      </w:r>
      <w:r w:rsidRPr="00591009">
        <w:rPr>
          <w:rFonts w:ascii="Times New Roman" w:eastAsia="Times New Roman" w:hAnsi="Times New Roman" w:cs="Times New Roman"/>
        </w:rPr>
        <w:t xml:space="preserve"> of every case we will read in this book.  Not every schoolroom injury becomes a dispute.  Not every dispute produces a claim.  Not every claim is filed.  And, as Note 3 above observes, virtually every claim that is filed settles before trial.  Galanter posits the </w:t>
      </w:r>
      <w:r w:rsidRPr="00591009">
        <w:rPr>
          <w:rFonts w:ascii="Times New Roman" w:eastAsia="Times New Roman" w:hAnsi="Times New Roman" w:cs="Times New Roman"/>
          <w:i/>
          <w:iCs/>
        </w:rPr>
        <w:t>dispute pyramid</w:t>
      </w:r>
      <w:r w:rsidRPr="00591009">
        <w:rPr>
          <w:rFonts w:ascii="Times New Roman" w:eastAsia="Times New Roman" w:hAnsi="Times New Roman" w:cs="Times New Roman"/>
        </w:rPr>
        <w:t xml:space="preserve"> as an effective way to conceptualize our system:</w:t>
      </w:r>
    </w:p>
    <w:p w14:paraId="6D52928C" w14:textId="77777777" w:rsidR="003727C3" w:rsidRPr="004B1DFF" w:rsidRDefault="003727C3" w:rsidP="00620012">
      <w:pPr>
        <w:ind w:left="720"/>
        <w:rPr>
          <w:rFonts w:ascii="Times New Roman" w:hAnsi="Times New Roman" w:cs="Times New Roman"/>
        </w:rPr>
      </w:pPr>
    </w:p>
    <w:p w14:paraId="13CD06A3" w14:textId="4AF16516" w:rsidR="00C8560F" w:rsidRDefault="750671CE" w:rsidP="00EB19B7">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We can imagine a bottom layer consisting of all the </w:t>
      </w:r>
      <w:r w:rsidRPr="750671CE">
        <w:rPr>
          <w:rFonts w:ascii="Times New Roman" w:eastAsia="Times New Roman" w:hAnsi="Times New Roman" w:cs="Times New Roman"/>
          <w:i/>
          <w:iCs/>
        </w:rPr>
        <w:t>events</w:t>
      </w:r>
      <w:r w:rsidRPr="750671CE">
        <w:rPr>
          <w:rFonts w:ascii="Times New Roman" w:eastAsia="Times New Roman" w:hAnsi="Times New Roman" w:cs="Times New Roman"/>
        </w:rPr>
        <w:t xml:space="preserve"> in which . . .</w:t>
      </w:r>
      <w:r w:rsidR="007B41DA">
        <w:rPr>
          <w:rFonts w:ascii="Times New Roman" w:eastAsia="Times New Roman" w:hAnsi="Times New Roman" w:cs="Times New Roman"/>
        </w:rPr>
        <w:t xml:space="preserve"> </w:t>
      </w:r>
      <w:r w:rsidRPr="750671CE">
        <w:rPr>
          <w:rFonts w:ascii="Times New Roman" w:eastAsia="Times New Roman" w:hAnsi="Times New Roman" w:cs="Times New Roman"/>
        </w:rPr>
        <w:t xml:space="preserve">[i]n a small fraction . . . someone gets hurt. Let us call this layer </w:t>
      </w:r>
      <w:r w:rsidRPr="750671CE">
        <w:rPr>
          <w:rFonts w:ascii="Times New Roman" w:eastAsia="Times New Roman" w:hAnsi="Times New Roman" w:cs="Times New Roman"/>
          <w:i/>
          <w:iCs/>
        </w:rPr>
        <w:t>injuries</w:t>
      </w:r>
      <w:r w:rsidRPr="750671CE">
        <w:rPr>
          <w:rFonts w:ascii="Times New Roman" w:eastAsia="Times New Roman" w:hAnsi="Times New Roman" w:cs="Times New Roman"/>
        </w:rPr>
        <w:t xml:space="preserve">. Some of these injuries go unperceived; in other instances someone thinks he is injured, even though he is not. Thus we have a layer of </w:t>
      </w:r>
      <w:r w:rsidRPr="750671CE">
        <w:rPr>
          <w:rFonts w:ascii="Times New Roman" w:eastAsia="Times New Roman" w:hAnsi="Times New Roman" w:cs="Times New Roman"/>
          <w:i/>
          <w:iCs/>
        </w:rPr>
        <w:t>perceived injuries</w:t>
      </w:r>
      <w:r w:rsidRPr="750671CE">
        <w:rPr>
          <w:rFonts w:ascii="Times New Roman" w:eastAsia="Times New Roman" w:hAnsi="Times New Roman" w:cs="Times New Roman"/>
        </w:rPr>
        <w:t xml:space="preserve"> . . . . In many cases, those who perceive injuries blame themselves or ascribe the injury to fate or chance. But some blame some human agency, a person, a corporation, or the government. To dispute analysts, these are</w:t>
      </w:r>
      <w:r w:rsidRPr="750671CE">
        <w:rPr>
          <w:rFonts w:ascii="Times New Roman" w:eastAsia="Times New Roman" w:hAnsi="Times New Roman" w:cs="Times New Roman"/>
          <w:i/>
          <w:iCs/>
        </w:rPr>
        <w:t xml:space="preserve"> grievances</w:t>
      </w:r>
      <w:r w:rsidRPr="750671CE">
        <w:rPr>
          <w:rFonts w:ascii="Times New Roman" w:eastAsia="Times New Roman" w:hAnsi="Times New Roman" w:cs="Times New Roman"/>
        </w:rPr>
        <w:t xml:space="preserve">. Among those with grievances, many do nothing further. . . . But some go on to complain, typically to the person or agency thought to be responsible. This is the level of </w:t>
      </w:r>
      <w:r w:rsidRPr="750671CE">
        <w:rPr>
          <w:rFonts w:ascii="Times New Roman" w:eastAsia="Times New Roman" w:hAnsi="Times New Roman" w:cs="Times New Roman"/>
          <w:i/>
          <w:iCs/>
        </w:rPr>
        <w:t>claims</w:t>
      </w:r>
      <w:r w:rsidRPr="750671CE">
        <w:rPr>
          <w:rFonts w:ascii="Times New Roman" w:eastAsia="Times New Roman" w:hAnsi="Times New Roman" w:cs="Times New Roman"/>
        </w:rPr>
        <w:t xml:space="preserve">. Some of these claims are granted in whole or in part . . . . When claims are denied, they are denominated </w:t>
      </w:r>
      <w:r w:rsidRPr="750671CE">
        <w:rPr>
          <w:rFonts w:ascii="Times New Roman" w:eastAsia="Times New Roman" w:hAnsi="Times New Roman" w:cs="Times New Roman"/>
          <w:i/>
          <w:iCs/>
        </w:rPr>
        <w:t xml:space="preserve">disputes. </w:t>
      </w:r>
      <w:r w:rsidRPr="750671CE">
        <w:rPr>
          <w:rFonts w:ascii="Times New Roman" w:eastAsia="Times New Roman" w:hAnsi="Times New Roman" w:cs="Times New Roman"/>
        </w:rPr>
        <w:t xml:space="preserve">Some of these are abandoned without further action, but some disputes are pursued further. . . . [T]ypically this would be accomplished by taking the dispute to a lawyer. In analyzing such disputes, therefore, we call the next layer </w:t>
      </w:r>
      <w:r w:rsidRPr="750671CE">
        <w:rPr>
          <w:rFonts w:ascii="Times New Roman" w:eastAsia="Times New Roman" w:hAnsi="Times New Roman" w:cs="Times New Roman"/>
          <w:i/>
          <w:iCs/>
        </w:rPr>
        <w:t>lawyers</w:t>
      </w:r>
      <w:r w:rsidRPr="750671CE">
        <w:rPr>
          <w:rFonts w:ascii="Times New Roman" w:eastAsia="Times New Roman" w:hAnsi="Times New Roman" w:cs="Times New Roman"/>
        </w:rPr>
        <w:t xml:space="preserve">. Of the disputes that get to lawyers, some are abandoned, some are resolved, and some end up as filings in court. Let us call this the </w:t>
      </w:r>
      <w:r w:rsidRPr="750671CE">
        <w:rPr>
          <w:rFonts w:ascii="Times New Roman" w:eastAsia="Times New Roman" w:hAnsi="Times New Roman" w:cs="Times New Roman"/>
          <w:i/>
          <w:iCs/>
        </w:rPr>
        <w:t>filings</w:t>
      </w:r>
      <w:r w:rsidRPr="750671CE">
        <w:rPr>
          <w:rFonts w:ascii="Times New Roman" w:eastAsia="Times New Roman" w:hAnsi="Times New Roman" w:cs="Times New Roman"/>
        </w:rPr>
        <w:t xml:space="preserve"> layer. Most cases that are filed eventually result in settlement. Typically only a small fraction reach the next layer of </w:t>
      </w:r>
      <w:r w:rsidRPr="750671CE">
        <w:rPr>
          <w:rFonts w:ascii="Times New Roman" w:eastAsia="Times New Roman" w:hAnsi="Times New Roman" w:cs="Times New Roman"/>
          <w:i/>
          <w:iCs/>
        </w:rPr>
        <w:t>trials</w:t>
      </w:r>
      <w:r w:rsidRPr="750671CE">
        <w:rPr>
          <w:rFonts w:ascii="Times New Roman" w:eastAsia="Times New Roman" w:hAnsi="Times New Roman" w:cs="Times New Roman"/>
        </w:rPr>
        <w:t xml:space="preserve">, and a small portion of these go on to become </w:t>
      </w:r>
      <w:r w:rsidRPr="750671CE">
        <w:rPr>
          <w:rFonts w:ascii="Times New Roman" w:eastAsia="Times New Roman" w:hAnsi="Times New Roman" w:cs="Times New Roman"/>
          <w:i/>
          <w:iCs/>
        </w:rPr>
        <w:t>appeals</w:t>
      </w:r>
      <w:r w:rsidRPr="750671CE">
        <w:rPr>
          <w:rFonts w:ascii="Times New Roman" w:eastAsia="Times New Roman" w:hAnsi="Times New Roman" w:cs="Times New Roman"/>
        </w:rPr>
        <w:t xml:space="preserve">. </w:t>
      </w:r>
    </w:p>
    <w:p w14:paraId="3B8465C5" w14:textId="77777777" w:rsidR="00FE0300" w:rsidRPr="004B1DFF" w:rsidRDefault="00FE0300" w:rsidP="003727C3">
      <w:pPr>
        <w:ind w:left="720"/>
        <w:rPr>
          <w:rFonts w:ascii="Times New Roman" w:hAnsi="Times New Roman" w:cs="Times New Roman"/>
        </w:rPr>
      </w:pPr>
    </w:p>
    <w:p w14:paraId="61410623" w14:textId="77777777" w:rsidR="003727C3"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Marc Galanter, </w:t>
      </w:r>
      <w:r w:rsidRPr="750671CE">
        <w:rPr>
          <w:rFonts w:ascii="Times New Roman" w:eastAsia="Times New Roman" w:hAnsi="Times New Roman" w:cs="Times New Roman"/>
          <w:i/>
          <w:iCs/>
        </w:rPr>
        <w:t>Real World Torts: An Antidote to Anecdote</w:t>
      </w:r>
      <w:r w:rsidRPr="750671CE">
        <w:rPr>
          <w:rFonts w:ascii="Times New Roman" w:eastAsia="Times New Roman" w:hAnsi="Times New Roman" w:cs="Times New Roman"/>
        </w:rPr>
        <w:t xml:space="preserve">, 55 </w:t>
      </w:r>
      <w:r w:rsidRPr="750671CE">
        <w:rPr>
          <w:rFonts w:ascii="Times New Roman" w:eastAsia="Times New Roman" w:hAnsi="Times New Roman" w:cs="Times New Roman"/>
          <w:smallCaps/>
        </w:rPr>
        <w:t>Md. L. Rev.</w:t>
      </w:r>
      <w:r w:rsidRPr="750671CE">
        <w:rPr>
          <w:rFonts w:ascii="Times New Roman" w:eastAsia="Times New Roman" w:hAnsi="Times New Roman" w:cs="Times New Roman"/>
        </w:rPr>
        <w:t xml:space="preserve"> 1093, 1099-1101 (1996). </w:t>
      </w:r>
    </w:p>
    <w:p w14:paraId="1695692C" w14:textId="77777777" w:rsidR="003727C3" w:rsidRPr="004B1DFF" w:rsidRDefault="003727C3" w:rsidP="00FE0300">
      <w:pPr>
        <w:rPr>
          <w:rFonts w:ascii="Times New Roman" w:hAnsi="Times New Roman" w:cs="Times New Roman"/>
        </w:rPr>
      </w:pPr>
    </w:p>
    <w:p w14:paraId="7CF08B81" w14:textId="77777777" w:rsidR="00620012" w:rsidRPr="004B1DF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dispute pyramid conveys the fact that very few events and perceived injuries are resolved inside a courtroom.  Galanter presents some real-world dispute pyramids:</w:t>
      </w:r>
    </w:p>
    <w:p w14:paraId="3324E1DA" w14:textId="77777777" w:rsidR="00620012" w:rsidRPr="00852911" w:rsidRDefault="00620012" w:rsidP="009A7056">
      <w:pPr>
        <w:rPr>
          <w:rFonts w:ascii="Times New Roman" w:hAnsi="Times New Roman" w:cs="Times New Roman"/>
          <w:b/>
          <w:smallCaps/>
        </w:rPr>
      </w:pPr>
    </w:p>
    <w:p w14:paraId="7E9D96F8" w14:textId="49B53871" w:rsidR="006D5D0F" w:rsidRPr="004B1DFF" w:rsidRDefault="00A802F6" w:rsidP="750671CE">
      <w:pPr>
        <w:rPr>
          <w:rFonts w:ascii="Times New Roman" w:eastAsia="Times New Roman" w:hAnsi="Times New Roman" w:cs="Times New Roman"/>
        </w:rPr>
      </w:pPr>
      <w:r w:rsidRPr="750671CE">
        <w:rPr>
          <w:rFonts w:ascii="Times New Roman" w:eastAsia="Times New Roman" w:hAnsi="Times New Roman" w:cs="Times New Roman"/>
          <w:b/>
          <w:bCs/>
          <w:smallCaps/>
          <w:sz w:val="20"/>
          <w:szCs w:val="20"/>
        </w:rPr>
        <w:lastRenderedPageBreak/>
        <w:t>Figure 1: Common Dispute Pyramids</w:t>
      </w:r>
      <w:r w:rsidR="0001546D" w:rsidRPr="750671CE">
        <w:rPr>
          <w:rFonts w:ascii="Times New Roman" w:eastAsia="Times New Roman" w:hAnsi="Times New Roman" w:cs="Times New Roman"/>
          <w:b/>
          <w:bCs/>
          <w:smallCaps/>
          <w:sz w:val="20"/>
          <w:szCs w:val="20"/>
        </w:rPr>
        <w:t xml:space="preserve"> </w:t>
      </w:r>
      <w:r w:rsidR="00C8560F" w:rsidRPr="00852911">
        <w:rPr>
          <w:rFonts w:ascii="Times New Roman" w:hAnsi="Times New Roman" w:cs="Times New Roman"/>
          <w:b/>
          <w:smallCaps/>
          <w:noProof/>
          <w:sz w:val="20"/>
          <w:lang w:eastAsia="en-US"/>
        </w:rPr>
        <w:drawing>
          <wp:inline distT="0" distB="0" distL="0" distR="0" wp14:anchorId="2478E8FA" wp14:editId="4D8E7C30">
            <wp:extent cx="5486400" cy="5662654"/>
            <wp:effectExtent l="2540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5486400" cy="5662654"/>
                    </a:xfrm>
                    <a:prstGeom prst="rect">
                      <a:avLst/>
                    </a:prstGeom>
                    <a:noFill/>
                    <a:ln w="9525">
                      <a:noFill/>
                      <a:miter lim="800000"/>
                      <a:headEnd/>
                      <a:tailEnd/>
                    </a:ln>
                  </pic:spPr>
                </pic:pic>
              </a:graphicData>
            </a:graphic>
          </wp:inline>
        </w:drawing>
      </w:r>
    </w:p>
    <w:p w14:paraId="7EB5B721" w14:textId="5B74133F" w:rsidR="00FE0300" w:rsidRPr="004B1DFF" w:rsidRDefault="750671CE" w:rsidP="750671CE">
      <w:pPr>
        <w:rPr>
          <w:rFonts w:ascii="Times New Roman" w:eastAsia="Times New Roman" w:hAnsi="Times New Roman" w:cs="Times New Roman"/>
          <w:sz w:val="20"/>
          <w:szCs w:val="20"/>
        </w:rPr>
      </w:pPr>
      <w:r w:rsidRPr="750671CE">
        <w:rPr>
          <w:rFonts w:ascii="Times New Roman" w:eastAsia="Times New Roman" w:hAnsi="Times New Roman" w:cs="Times New Roman"/>
          <w:sz w:val="20"/>
          <w:szCs w:val="20"/>
        </w:rPr>
        <w:t xml:space="preserve">Source: Galanter, </w:t>
      </w:r>
      <w:r w:rsidRPr="750671CE">
        <w:rPr>
          <w:rFonts w:ascii="Times New Roman" w:eastAsia="Times New Roman" w:hAnsi="Times New Roman" w:cs="Times New Roman"/>
          <w:i/>
          <w:iCs/>
          <w:sz w:val="20"/>
          <w:szCs w:val="20"/>
        </w:rPr>
        <w:t>supra</w:t>
      </w:r>
      <w:r w:rsidRPr="750671CE">
        <w:rPr>
          <w:rFonts w:ascii="Times New Roman" w:eastAsia="Times New Roman" w:hAnsi="Times New Roman" w:cs="Times New Roman"/>
          <w:sz w:val="20"/>
          <w:szCs w:val="20"/>
        </w:rPr>
        <w:t>, at 1101</w:t>
      </w:r>
      <w:r w:rsidR="00453C7D">
        <w:rPr>
          <w:rFonts w:ascii="Times New Roman" w:eastAsia="Times New Roman" w:hAnsi="Times New Roman" w:cs="Times New Roman"/>
          <w:sz w:val="20"/>
          <w:szCs w:val="20"/>
        </w:rPr>
        <w:t>.</w:t>
      </w:r>
    </w:p>
    <w:p w14:paraId="46E292D8" w14:textId="77777777" w:rsidR="00620012" w:rsidRPr="004B1DFF" w:rsidRDefault="00620012" w:rsidP="00620012">
      <w:pPr>
        <w:rPr>
          <w:rFonts w:ascii="Times New Roman" w:hAnsi="Times New Roman" w:cs="Times New Roman"/>
        </w:rPr>
      </w:pPr>
    </w:p>
    <w:p w14:paraId="7D2836FD" w14:textId="568BA81C" w:rsidR="00F66C08" w:rsidRPr="004B1DFF" w:rsidRDefault="00E533A8" w:rsidP="750671CE">
      <w:pPr>
        <w:rPr>
          <w:rFonts w:ascii="Times New Roman" w:eastAsia="Times New Roman" w:hAnsi="Times New Roman" w:cs="Times New Roman"/>
        </w:rPr>
      </w:pPr>
      <w:r w:rsidRPr="004B1DFF">
        <w:rPr>
          <w:rFonts w:ascii="Times New Roman" w:hAnsi="Times New Roman" w:cs="Times New Roman"/>
        </w:rPr>
        <w:tab/>
      </w:r>
      <w:r w:rsidRPr="750671CE">
        <w:rPr>
          <w:rFonts w:ascii="Times New Roman" w:eastAsia="Times New Roman" w:hAnsi="Times New Roman" w:cs="Times New Roman"/>
        </w:rPr>
        <w:t>What this means is that t</w:t>
      </w:r>
      <w:r w:rsidR="007B633F" w:rsidRPr="750671CE">
        <w:rPr>
          <w:rFonts w:ascii="Times New Roman" w:eastAsia="Times New Roman" w:hAnsi="Times New Roman" w:cs="Times New Roman"/>
        </w:rPr>
        <w:t xml:space="preserve">he cases </w:t>
      </w:r>
      <w:r w:rsidR="00F672EA" w:rsidRPr="750671CE">
        <w:rPr>
          <w:rFonts w:ascii="Times New Roman" w:eastAsia="Times New Roman" w:hAnsi="Times New Roman" w:cs="Times New Roman"/>
        </w:rPr>
        <w:t>in this casebook</w:t>
      </w:r>
      <w:r w:rsidR="00B944DE" w:rsidRPr="750671CE">
        <w:rPr>
          <w:rFonts w:ascii="Times New Roman" w:eastAsia="Times New Roman" w:hAnsi="Times New Roman" w:cs="Times New Roman"/>
        </w:rPr>
        <w:t>—</w:t>
      </w:r>
      <w:r w:rsidR="00896235" w:rsidRPr="750671CE">
        <w:rPr>
          <w:rFonts w:ascii="Times New Roman" w:eastAsia="Times New Roman" w:hAnsi="Times New Roman" w:cs="Times New Roman"/>
        </w:rPr>
        <w:t>cases that have reached an appellate court at the very top of the torts dispute pyramid</w:t>
      </w:r>
      <w:r w:rsidR="00B944DE" w:rsidRPr="750671CE">
        <w:rPr>
          <w:rFonts w:ascii="Times New Roman" w:eastAsia="Times New Roman" w:hAnsi="Times New Roman" w:cs="Times New Roman"/>
        </w:rPr>
        <w:t>—</w:t>
      </w:r>
      <w:r w:rsidRPr="750671CE">
        <w:rPr>
          <w:rFonts w:ascii="Times New Roman" w:eastAsia="Times New Roman" w:hAnsi="Times New Roman" w:cs="Times New Roman"/>
        </w:rPr>
        <w:t>are virtua</w:t>
      </w:r>
      <w:r w:rsidR="00896235" w:rsidRPr="750671CE">
        <w:rPr>
          <w:rFonts w:ascii="Times New Roman" w:eastAsia="Times New Roman" w:hAnsi="Times New Roman" w:cs="Times New Roman"/>
        </w:rPr>
        <w:t>lly all atypical, and  even bizarre.</w:t>
      </w:r>
      <w:r w:rsidRPr="750671CE">
        <w:rPr>
          <w:rFonts w:ascii="Times New Roman" w:eastAsia="Times New Roman" w:hAnsi="Times New Roman" w:cs="Times New Roman"/>
        </w:rPr>
        <w:t xml:space="preserve"> </w:t>
      </w:r>
      <w:r w:rsidR="00896235"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Indeed, as </w:t>
      </w:r>
      <w:r w:rsidR="00A61AC5" w:rsidRPr="750671CE">
        <w:rPr>
          <w:rFonts w:ascii="Times New Roman" w:eastAsia="Times New Roman" w:hAnsi="Times New Roman" w:cs="Times New Roman"/>
        </w:rPr>
        <w:t xml:space="preserve">in </w:t>
      </w:r>
      <w:r w:rsidR="00A61AC5" w:rsidRPr="750671CE">
        <w:rPr>
          <w:rFonts w:ascii="Times New Roman" w:eastAsia="Times New Roman" w:hAnsi="Times New Roman" w:cs="Times New Roman"/>
          <w:i/>
          <w:iCs/>
        </w:rPr>
        <w:t>Vosburg</w:t>
      </w:r>
      <w:r w:rsidR="00A61AC5" w:rsidRPr="750671CE">
        <w:rPr>
          <w:rFonts w:ascii="Times New Roman" w:eastAsia="Times New Roman" w:hAnsi="Times New Roman" w:cs="Times New Roman"/>
        </w:rPr>
        <w:t xml:space="preserve">, </w:t>
      </w:r>
      <w:r w:rsidR="00D45DA8" w:rsidRPr="750671CE">
        <w:rPr>
          <w:rFonts w:ascii="Times New Roman" w:eastAsia="Times New Roman" w:hAnsi="Times New Roman" w:cs="Times New Roman"/>
        </w:rPr>
        <w:t xml:space="preserve">these are cases in which the </w:t>
      </w:r>
      <w:r w:rsidR="00F66C08" w:rsidRPr="750671CE">
        <w:rPr>
          <w:rFonts w:ascii="Times New Roman" w:eastAsia="Times New Roman" w:hAnsi="Times New Roman" w:cs="Times New Roman"/>
        </w:rPr>
        <w:t xml:space="preserve">disputants are </w:t>
      </w:r>
      <w:r w:rsidRPr="750671CE">
        <w:rPr>
          <w:rFonts w:ascii="Times New Roman" w:eastAsia="Times New Roman" w:hAnsi="Times New Roman" w:cs="Times New Roman"/>
        </w:rPr>
        <w:t xml:space="preserve">jointly almost </w:t>
      </w:r>
      <w:r w:rsidR="00F66C08" w:rsidRPr="750671CE">
        <w:rPr>
          <w:rFonts w:ascii="Times New Roman" w:eastAsia="Times New Roman" w:hAnsi="Times New Roman" w:cs="Times New Roman"/>
        </w:rPr>
        <w:t>alwa</w:t>
      </w:r>
      <w:r w:rsidR="003727C3" w:rsidRPr="750671CE">
        <w:rPr>
          <w:rFonts w:ascii="Times New Roman" w:eastAsia="Times New Roman" w:hAnsi="Times New Roman" w:cs="Times New Roman"/>
        </w:rPr>
        <w:t xml:space="preserve">ys economically worse off </w:t>
      </w:r>
      <w:r w:rsidR="00D45DA8" w:rsidRPr="750671CE">
        <w:rPr>
          <w:rFonts w:ascii="Times New Roman" w:eastAsia="Times New Roman" w:hAnsi="Times New Roman" w:cs="Times New Roman"/>
        </w:rPr>
        <w:t>than they</w:t>
      </w:r>
      <w:r w:rsidR="00F66C08" w:rsidRPr="750671CE">
        <w:rPr>
          <w:rFonts w:ascii="Times New Roman" w:eastAsia="Times New Roman" w:hAnsi="Times New Roman" w:cs="Times New Roman"/>
        </w:rPr>
        <w:t xml:space="preserve"> would have been had they </w:t>
      </w:r>
      <w:r w:rsidR="00D45DA8" w:rsidRPr="750671CE">
        <w:rPr>
          <w:rFonts w:ascii="Times New Roman" w:eastAsia="Times New Roman" w:hAnsi="Times New Roman" w:cs="Times New Roman"/>
        </w:rPr>
        <w:t>found some other way to resolve their dispute</w:t>
      </w:r>
      <w:r w:rsidR="00A61AC5" w:rsidRPr="750671CE">
        <w:rPr>
          <w:rFonts w:ascii="Times New Roman" w:eastAsia="Times New Roman" w:hAnsi="Times New Roman" w:cs="Times New Roman"/>
        </w:rPr>
        <w:t xml:space="preserve">.  Professor Samuel Issachoroff elaborates: </w:t>
      </w:r>
      <w:r w:rsidR="00F66C08" w:rsidRPr="750671CE">
        <w:rPr>
          <w:rFonts w:ascii="Times New Roman" w:eastAsia="Times New Roman" w:hAnsi="Times New Roman" w:cs="Times New Roman"/>
        </w:rPr>
        <w:t xml:space="preserve"> </w:t>
      </w:r>
    </w:p>
    <w:p w14:paraId="0AD295E7" w14:textId="77777777" w:rsidR="00F66C08" w:rsidRPr="004B1DFF" w:rsidRDefault="00F66C08" w:rsidP="00F66C08">
      <w:pPr>
        <w:ind w:left="720"/>
        <w:rPr>
          <w:rFonts w:ascii="Times New Roman" w:hAnsi="Times New Roman" w:cs="Times New Roman"/>
        </w:rPr>
      </w:pPr>
    </w:p>
    <w:p w14:paraId="4BCD7A7C" w14:textId="6F67D3F0" w:rsidR="00C8560F" w:rsidRDefault="750671CE" w:rsidP="00EB19B7">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t>
      </w:r>
      <w:r w:rsidRPr="750671CE">
        <w:rPr>
          <w:rFonts w:ascii="Times New Roman" w:eastAsia="Times New Roman" w:hAnsi="Times New Roman" w:cs="Times New Roman"/>
        </w:rPr>
        <w:lastRenderedPageBreak/>
        <w:t>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w:t>
      </w:r>
      <w:r w:rsidR="00591009">
        <w:rPr>
          <w:rFonts w:ascii="Times New Roman" w:eastAsia="Times New Roman" w:hAnsi="Times New Roman" w:cs="Times New Roman"/>
        </w:rPr>
        <w:t xml:space="preserve"> </w:t>
      </w:r>
      <w:r w:rsidRPr="750671CE">
        <w:rPr>
          <w:rFonts w:ascii="Times New Roman" w:eastAsia="Times New Roman" w:hAnsi="Times New Roman" w:cs="Times New Roman"/>
        </w:rPr>
        <w:t>go, the penchant of our casebook warriors to litigate requires some explanation.</w:t>
      </w:r>
    </w:p>
    <w:p w14:paraId="24E0D066" w14:textId="77777777" w:rsidR="008F30CF" w:rsidRPr="004B1DFF" w:rsidRDefault="008F30CF" w:rsidP="00C12451">
      <w:pPr>
        <w:ind w:left="720"/>
        <w:rPr>
          <w:rFonts w:ascii="Times New Roman" w:hAnsi="Times New Roman" w:cs="Times New Roman"/>
        </w:rPr>
      </w:pPr>
    </w:p>
    <w:p w14:paraId="5FA79B5D" w14:textId="6D8ACC0A" w:rsidR="00C12451" w:rsidRPr="004B1DFF"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Samuel Issacharoff, </w:t>
      </w:r>
      <w:r w:rsidR="00EB19B7">
        <w:rPr>
          <w:rFonts w:ascii="Times New Roman" w:eastAsia="Times New Roman" w:hAnsi="Times New Roman" w:cs="Times New Roman"/>
          <w:i/>
          <w:iCs/>
        </w:rPr>
        <w:t>The Content of O</w:t>
      </w:r>
      <w:r w:rsidRPr="750671CE">
        <w:rPr>
          <w:rFonts w:ascii="Times New Roman" w:eastAsia="Times New Roman" w:hAnsi="Times New Roman" w:cs="Times New Roman"/>
          <w:i/>
          <w:iCs/>
        </w:rPr>
        <w:t>ur Casebooks: Why</w:t>
      </w:r>
      <w:r w:rsidR="00EB19B7">
        <w:rPr>
          <w:rFonts w:ascii="Times New Roman" w:eastAsia="Times New Roman" w:hAnsi="Times New Roman" w:cs="Times New Roman"/>
          <w:i/>
          <w:iCs/>
        </w:rPr>
        <w:t xml:space="preserve"> do Cases G</w:t>
      </w:r>
      <w:r w:rsidRPr="750671CE">
        <w:rPr>
          <w:rFonts w:ascii="Times New Roman" w:eastAsia="Times New Roman" w:hAnsi="Times New Roman" w:cs="Times New Roman"/>
          <w:i/>
          <w:iCs/>
        </w:rPr>
        <w:t>et Litigated?</w:t>
      </w:r>
      <w:r w:rsidRPr="750671CE">
        <w:rPr>
          <w:rFonts w:ascii="Times New Roman" w:eastAsia="Times New Roman" w:hAnsi="Times New Roman" w:cs="Times New Roman"/>
        </w:rPr>
        <w:t xml:space="preserve">, 29 </w:t>
      </w:r>
      <w:r w:rsidRPr="750671CE">
        <w:rPr>
          <w:rFonts w:ascii="Times New Roman" w:eastAsia="Times New Roman" w:hAnsi="Times New Roman" w:cs="Times New Roman"/>
          <w:smallCaps/>
        </w:rPr>
        <w:t>Fla. St. U. L. Rev.</w:t>
      </w:r>
      <w:r w:rsidRPr="750671CE">
        <w:rPr>
          <w:rFonts w:ascii="Times New Roman" w:eastAsia="Times New Roman" w:hAnsi="Times New Roman" w:cs="Times New Roman"/>
        </w:rPr>
        <w:t xml:space="preserve"> 1265, 1265-66 (2001).</w:t>
      </w:r>
    </w:p>
    <w:p w14:paraId="3C003579" w14:textId="77777777" w:rsidR="007B633F" w:rsidRPr="004B1DFF" w:rsidRDefault="007B633F" w:rsidP="00C12451">
      <w:pPr>
        <w:ind w:left="720"/>
        <w:rPr>
          <w:rFonts w:ascii="Times New Roman" w:hAnsi="Times New Roman" w:cs="Times New Roman"/>
        </w:rPr>
      </w:pPr>
    </w:p>
    <w:p w14:paraId="5B5B4267" w14:textId="7D3A8CB4" w:rsidR="005D4D42" w:rsidRDefault="750671CE" w:rsidP="00591009">
      <w:pPr>
        <w:ind w:firstLine="720"/>
        <w:rPr>
          <w:rFonts w:ascii="Times New Roman" w:hAnsi="Times New Roman" w:cs="Times New Roman"/>
        </w:rPr>
      </w:pPr>
      <w:r w:rsidRPr="750671CE">
        <w:rPr>
          <w:rFonts w:ascii="Times New Roman" w:eastAsia="Times New Roman" w:hAnsi="Times New Roman" w:cs="Times New Roman"/>
        </w:rPr>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3E869EC0" w14:textId="77777777" w:rsidR="00155C65" w:rsidRDefault="00155C65">
      <w:pPr>
        <w:rPr>
          <w:rFonts w:ascii="Times New Roman" w:hAnsi="Times New Roman" w:cs="Times New Roman"/>
        </w:rPr>
      </w:pPr>
    </w:p>
    <w:p w14:paraId="08B4EE11" w14:textId="77777777" w:rsidR="00201D22" w:rsidRDefault="00201D22">
      <w:pPr>
        <w:rPr>
          <w:rFonts w:ascii="Times New Roman" w:hAnsi="Times New Roman" w:cs="Times New Roman"/>
        </w:rPr>
      </w:pPr>
    </w:p>
    <w:p w14:paraId="6BB45EF1" w14:textId="671E1543" w:rsidR="00155C65" w:rsidRPr="00591009" w:rsidRDefault="003F181D" w:rsidP="00591009">
      <w:pPr>
        <w:pStyle w:val="ListParagraph"/>
        <w:numPr>
          <w:ilvl w:val="0"/>
          <w:numId w:val="61"/>
        </w:numPr>
        <w:ind w:left="0" w:firstLine="360"/>
        <w:rPr>
          <w:rFonts w:ascii="Times New Roman" w:hAnsi="Times New Roman" w:cs="Times New Roman"/>
        </w:rPr>
      </w:pPr>
      <w:r>
        <w:rPr>
          <w:rFonts w:ascii="Times New Roman" w:hAnsi="Times New Roman" w:cs="Times New Roman"/>
          <w:i/>
        </w:rPr>
        <w:t>Empathy and t</w:t>
      </w:r>
      <w:r w:rsidR="00155C65" w:rsidRPr="00591009">
        <w:rPr>
          <w:rFonts w:ascii="Times New Roman" w:hAnsi="Times New Roman" w:cs="Times New Roman"/>
          <w:i/>
        </w:rPr>
        <w:t xml:space="preserve">he case method.  </w:t>
      </w:r>
      <w:r w:rsidR="00155C65" w:rsidRPr="00591009">
        <w:rPr>
          <w:rFonts w:ascii="Times" w:hAnsi="Times" w:cs="Times New Roman"/>
        </w:rPr>
        <w:t xml:space="preserve">What is the effect of learning tort law through the case method?  How does approaching torts through the lens of individual stories alter our thinking about overarching principles? </w:t>
      </w:r>
    </w:p>
    <w:p w14:paraId="01AB30E0" w14:textId="77777777" w:rsidR="00155C65" w:rsidRPr="005E22E4" w:rsidRDefault="00155C65" w:rsidP="00155C65">
      <w:pPr>
        <w:ind w:firstLine="720"/>
        <w:rPr>
          <w:rFonts w:ascii="Times" w:hAnsi="Times" w:cs="Times New Roman"/>
        </w:rPr>
      </w:pPr>
    </w:p>
    <w:p w14:paraId="1F7EB574" w14:textId="77777777" w:rsidR="00155C65" w:rsidRPr="005E22E4" w:rsidRDefault="00155C65" w:rsidP="00155C65">
      <w:pPr>
        <w:ind w:firstLine="720"/>
        <w:rPr>
          <w:rFonts w:ascii="Times" w:hAnsi="Times" w:cs="Times New Roman"/>
        </w:rPr>
      </w:pPr>
      <w:r w:rsidRPr="005E22E4">
        <w:rPr>
          <w:rFonts w:ascii="Times" w:hAnsi="Times" w:cs="Times New Roman"/>
        </w:rPr>
        <w:t>Many students</w:t>
      </w:r>
      <w:r>
        <w:rPr>
          <w:rFonts w:ascii="Times" w:hAnsi="Times" w:cs="Times New Roman"/>
        </w:rPr>
        <w:t xml:space="preserve">—and presumably many jurors—cannot </w:t>
      </w:r>
      <w:r w:rsidRPr="005E22E4">
        <w:rPr>
          <w:rFonts w:ascii="Times" w:hAnsi="Times" w:cs="Times New Roman"/>
        </w:rPr>
        <w:t>help but feel moved when they read cases about heinous injuries and destroyed livelihoods.</w:t>
      </w:r>
      <w:r>
        <w:rPr>
          <w:rFonts w:ascii="Times" w:hAnsi="Times" w:cs="Times New Roman"/>
        </w:rPr>
        <w:t xml:space="preserve"> </w:t>
      </w:r>
      <w:r w:rsidRPr="005E22E4">
        <w:rPr>
          <w:rFonts w:ascii="Times" w:hAnsi="Times" w:cs="Times New Roman"/>
        </w:rPr>
        <w:t xml:space="preserve"> Yet the psychologist Paul Bloom argues that empathy is a poor guide for making law or setting policy.</w:t>
      </w:r>
      <w:r>
        <w:rPr>
          <w:rFonts w:ascii="Times" w:hAnsi="Times" w:cs="Times New Roman"/>
        </w:rPr>
        <w:t xml:space="preserve"> </w:t>
      </w:r>
      <w:r w:rsidRPr="005E22E4">
        <w:rPr>
          <w:rFonts w:ascii="Times" w:hAnsi="Times" w:cs="Times New Roman"/>
        </w:rPr>
        <w:t xml:space="preserve"> Empathy can lead us to neglect the systemic perspective in favor of attending to a particular suffering person. </w:t>
      </w:r>
      <w:r w:rsidRPr="005E22E4">
        <w:rPr>
          <w:rFonts w:ascii="Times" w:hAnsi="Times"/>
          <w:smallCaps/>
        </w:rPr>
        <w:t>Paul Bloom, Against Empathy</w:t>
      </w:r>
      <w:r w:rsidRPr="005E22E4">
        <w:rPr>
          <w:rFonts w:ascii="Times" w:hAnsi="Times"/>
        </w:rPr>
        <w:t xml:space="preserve"> 9 (2016).  </w:t>
      </w:r>
      <w:r>
        <w:rPr>
          <w:rFonts w:ascii="Times" w:hAnsi="Times" w:cs="Times New Roman"/>
        </w:rPr>
        <w:t>Approaching</w:t>
      </w:r>
      <w:r w:rsidRPr="005E22E4">
        <w:rPr>
          <w:rFonts w:ascii="Times" w:hAnsi="Times" w:cs="Times New Roman"/>
        </w:rPr>
        <w:t xml:space="preserve"> tort law through individual cases</w:t>
      </w:r>
      <w:r>
        <w:rPr>
          <w:rFonts w:ascii="Times" w:hAnsi="Times" w:cs="Times New Roman"/>
        </w:rPr>
        <w:t xml:space="preserve"> may</w:t>
      </w:r>
      <w:r w:rsidRPr="005E22E4">
        <w:rPr>
          <w:rFonts w:ascii="Times" w:hAnsi="Times" w:cs="Times New Roman"/>
        </w:rPr>
        <w:t xml:space="preserve"> marginalize the </w:t>
      </w:r>
      <w:r>
        <w:rPr>
          <w:rFonts w:ascii="Times" w:hAnsi="Times" w:cs="Times New Roman"/>
        </w:rPr>
        <w:t xml:space="preserve">interests of diffuse, non-present stakeholders </w:t>
      </w:r>
      <w:r w:rsidRPr="005E22E4">
        <w:rPr>
          <w:rFonts w:ascii="Times" w:hAnsi="Times" w:cs="Times New Roman"/>
        </w:rPr>
        <w:t>who</w:t>
      </w:r>
      <w:r>
        <w:rPr>
          <w:rFonts w:ascii="Times" w:hAnsi="Times" w:cs="Times New Roman"/>
        </w:rPr>
        <w:t xml:space="preserve"> are unrepresented—the unnamed masses who</w:t>
      </w:r>
      <w:r w:rsidRPr="005E22E4">
        <w:rPr>
          <w:rFonts w:ascii="Times" w:hAnsi="Times" w:cs="Times New Roman"/>
        </w:rPr>
        <w:t xml:space="preserve"> will be affected by the liability rule going forward</w:t>
      </w:r>
      <w:r>
        <w:rPr>
          <w:rFonts w:ascii="Times" w:hAnsi="Times" w:cs="Times New Roman"/>
        </w:rPr>
        <w:t>.</w:t>
      </w:r>
    </w:p>
    <w:p w14:paraId="5B03DFD5" w14:textId="77777777" w:rsidR="00155C65" w:rsidRPr="005E22E4" w:rsidRDefault="00155C65" w:rsidP="00155C65">
      <w:pPr>
        <w:ind w:firstLine="720"/>
        <w:rPr>
          <w:rFonts w:ascii="Times" w:hAnsi="Times" w:cs="Times New Roman"/>
        </w:rPr>
      </w:pPr>
    </w:p>
    <w:p w14:paraId="3EAEE42B" w14:textId="77777777" w:rsidR="00155C65" w:rsidRDefault="00155C65" w:rsidP="00155C65">
      <w:pPr>
        <w:ind w:firstLine="720"/>
        <w:rPr>
          <w:rFonts w:ascii="Times" w:hAnsi="Times" w:cs="Times New Roman"/>
        </w:rPr>
      </w:pPr>
      <w:r w:rsidRPr="005E22E4">
        <w:rPr>
          <w:rFonts w:ascii="Times" w:hAnsi="Times" w:cs="Times New Roman"/>
        </w:rPr>
        <w:t xml:space="preserve">Psychologists have identified several features of empathy that make it vulnerable to manipulation. </w:t>
      </w:r>
      <w:r>
        <w:rPr>
          <w:rFonts w:ascii="Times" w:hAnsi="Times" w:cs="Times New Roman"/>
        </w:rPr>
        <w:t xml:space="preserve"> </w:t>
      </w:r>
      <w:r w:rsidRPr="005E22E4">
        <w:rPr>
          <w:rFonts w:ascii="Times" w:hAnsi="Times" w:cs="Times New Roman"/>
        </w:rPr>
        <w:t xml:space="preserve">First, our affective reactions are roused by vivid, concrete examples, not by abstract, hypothetical, or distant concepts. </w:t>
      </w:r>
      <w:r>
        <w:rPr>
          <w:rFonts w:ascii="Times" w:hAnsi="Times" w:cs="Times New Roman"/>
        </w:rPr>
        <w:t xml:space="preserve"> </w:t>
      </w:r>
      <w:r w:rsidRPr="005E22E4">
        <w:rPr>
          <w:rFonts w:ascii="Times" w:hAnsi="Times" w:cs="Times New Roman"/>
        </w:rPr>
        <w:t xml:space="preserve">As the Nobel laureate Thomas Schelling observed in 1968: “Let a six-year-old girl with brown hair need thousands of dollars for an operation that will prolong her life until Christmas, and the post office will be swamped with nickels and dimes to save her. </w:t>
      </w:r>
      <w:r>
        <w:rPr>
          <w:rFonts w:ascii="Times" w:hAnsi="Times" w:cs="Times New Roman"/>
        </w:rPr>
        <w:t xml:space="preserve"> </w:t>
      </w:r>
      <w:r w:rsidRPr="005E22E4">
        <w:rPr>
          <w:rFonts w:ascii="Times" w:hAnsi="Times" w:cs="Times New Roman"/>
        </w:rPr>
        <w:t xml:space="preserve">But let it be reported that without a sales tax the hospital facilities of Massachusetts will deteriorate and cause a barely perceptible increase in preventable deaths—not many will drop a tear or reach for their checkbook.” </w:t>
      </w:r>
      <w:r>
        <w:rPr>
          <w:rFonts w:ascii="Times" w:hAnsi="Times" w:cs="Times New Roman"/>
        </w:rPr>
        <w:t xml:space="preserve"> </w:t>
      </w:r>
      <w:r w:rsidRPr="005E22E4">
        <w:rPr>
          <w:rFonts w:ascii="Times" w:hAnsi="Times"/>
        </w:rPr>
        <w:t xml:space="preserve">Thomas C. Schelling, </w:t>
      </w:r>
      <w:r w:rsidRPr="005E22E4">
        <w:rPr>
          <w:rFonts w:ascii="Times" w:hAnsi="Times"/>
          <w:i/>
        </w:rPr>
        <w:t>The Life You Save May Be Your Own</w:t>
      </w:r>
      <w:r w:rsidRPr="005E22E4">
        <w:rPr>
          <w:rFonts w:ascii="Times" w:hAnsi="Times"/>
        </w:rPr>
        <w:t xml:space="preserve">, </w:t>
      </w:r>
      <w:r w:rsidRPr="005E22E4">
        <w:rPr>
          <w:rFonts w:ascii="Times" w:hAnsi="Times"/>
          <w:i/>
        </w:rPr>
        <w:t>in</w:t>
      </w:r>
      <w:r w:rsidRPr="005E22E4">
        <w:rPr>
          <w:rFonts w:ascii="Times" w:hAnsi="Times"/>
        </w:rPr>
        <w:t xml:space="preserve"> </w:t>
      </w:r>
      <w:r w:rsidRPr="005E22E4">
        <w:rPr>
          <w:rFonts w:ascii="Times" w:hAnsi="Times"/>
          <w:smallCaps/>
        </w:rPr>
        <w:t>Problems in Public Expenditure Analysis: Studies of Government Finance</w:t>
      </w:r>
      <w:r>
        <w:rPr>
          <w:rFonts w:ascii="Times" w:hAnsi="Times"/>
        </w:rPr>
        <w:t xml:space="preserve"> (Samuel B. Chase</w:t>
      </w:r>
      <w:r w:rsidRPr="005E22E4">
        <w:rPr>
          <w:rFonts w:ascii="Times" w:hAnsi="Times"/>
        </w:rPr>
        <w:t xml:space="preserve"> ed., 1968).</w:t>
      </w:r>
      <w:r>
        <w:rPr>
          <w:rFonts w:ascii="Times" w:hAnsi="Times"/>
        </w:rPr>
        <w:t xml:space="preserve">  </w:t>
      </w:r>
      <w:r>
        <w:rPr>
          <w:rFonts w:ascii="Times" w:hAnsi="Times" w:cs="Times New Roman"/>
        </w:rPr>
        <w:t xml:space="preserve">The same dynamic may arise when there is a six-year-old brown-haired girl who has been injured and to whom the tort system can give resources, on the one hand, and a systemic social policy question about the optimal liability rule, on the other hand. </w:t>
      </w:r>
    </w:p>
    <w:p w14:paraId="56740DC7" w14:textId="77777777" w:rsidR="00155C65" w:rsidRPr="005E22E4" w:rsidRDefault="00155C65" w:rsidP="00155C65">
      <w:pPr>
        <w:ind w:firstLine="720"/>
        <w:rPr>
          <w:rFonts w:ascii="Times" w:hAnsi="Times" w:cs="Times New Roman"/>
        </w:rPr>
      </w:pPr>
    </w:p>
    <w:p w14:paraId="3D41620F" w14:textId="37D23F1C" w:rsidR="00155C65" w:rsidRDefault="00155C65" w:rsidP="00155C65">
      <w:pPr>
        <w:ind w:firstLine="720"/>
        <w:rPr>
          <w:rFonts w:ascii="Times" w:hAnsi="Times"/>
        </w:rPr>
      </w:pPr>
      <w:r w:rsidRPr="005E22E4">
        <w:rPr>
          <w:rFonts w:ascii="Times" w:hAnsi="Times" w:cs="Times New Roman"/>
        </w:rPr>
        <w:lastRenderedPageBreak/>
        <w:t xml:space="preserve">A second feature of empathy is that it does not scale. </w:t>
      </w:r>
      <w:r>
        <w:rPr>
          <w:rFonts w:ascii="Times" w:hAnsi="Times" w:cs="Times New Roman"/>
        </w:rPr>
        <w:t xml:space="preserve"> </w:t>
      </w:r>
      <w:r w:rsidRPr="005E22E4">
        <w:rPr>
          <w:rFonts w:ascii="Times" w:hAnsi="Times" w:cs="Times New Roman"/>
        </w:rPr>
        <w:t>We feel impelled to come to the aid of a single needy person, but we experience diminished motivation in response to large numbers of victims, a phenomenon known as “psychic numbing.”</w:t>
      </w:r>
      <w:r>
        <w:rPr>
          <w:rFonts w:ascii="Times" w:hAnsi="Times" w:cs="Times New Roman"/>
        </w:rPr>
        <w:t xml:space="preserve"> </w:t>
      </w:r>
      <w:r w:rsidRPr="005E22E4">
        <w:rPr>
          <w:rFonts w:ascii="Times" w:hAnsi="Times" w:cs="Times New Roman"/>
        </w:rPr>
        <w:t xml:space="preserve"> </w:t>
      </w:r>
      <w:r w:rsidRPr="005E22E4">
        <w:rPr>
          <w:rFonts w:ascii="Times" w:hAnsi="Times"/>
        </w:rPr>
        <w:t xml:space="preserve">Paul Slovic, </w:t>
      </w:r>
      <w:r w:rsidR="00FD6B18">
        <w:rPr>
          <w:rFonts w:ascii="Times" w:hAnsi="Times"/>
          <w:i/>
        </w:rPr>
        <w:t>“If I L</w:t>
      </w:r>
      <w:r w:rsidRPr="005E22E4">
        <w:rPr>
          <w:rFonts w:ascii="Times" w:hAnsi="Times"/>
          <w:i/>
        </w:rPr>
        <w:t>ook at the Mass I Will Never Act”: Psychic Numbing and Genocide</w:t>
      </w:r>
      <w:r w:rsidRPr="005E22E4">
        <w:rPr>
          <w:rFonts w:ascii="Times" w:hAnsi="Times"/>
        </w:rPr>
        <w:t xml:space="preserve">, 2 </w:t>
      </w:r>
      <w:r w:rsidRPr="005E22E4">
        <w:rPr>
          <w:rFonts w:ascii="Times" w:hAnsi="Times"/>
          <w:smallCaps/>
        </w:rPr>
        <w:t>Judgment &amp; Decision-Making</w:t>
      </w:r>
      <w:r w:rsidRPr="005E22E4">
        <w:rPr>
          <w:rFonts w:ascii="Times" w:hAnsi="Times"/>
        </w:rPr>
        <w:t xml:space="preserve"> 79 (2007).</w:t>
      </w:r>
    </w:p>
    <w:p w14:paraId="105BC054" w14:textId="77777777" w:rsidR="00155C65" w:rsidRDefault="00155C65" w:rsidP="00155C65">
      <w:pPr>
        <w:ind w:firstLine="720"/>
        <w:rPr>
          <w:rFonts w:ascii="Times" w:hAnsi="Times"/>
        </w:rPr>
      </w:pPr>
    </w:p>
    <w:p w14:paraId="2AEE190E" w14:textId="677FFF23" w:rsidR="00155C65" w:rsidRPr="005E22E4" w:rsidRDefault="006352AE" w:rsidP="00155C65">
      <w:pPr>
        <w:ind w:firstLine="720"/>
        <w:rPr>
          <w:rFonts w:ascii="Times" w:hAnsi="Times" w:cs="Times New Roman"/>
        </w:rPr>
      </w:pPr>
      <w:r>
        <w:rPr>
          <w:rFonts w:ascii="Times" w:hAnsi="Times" w:cs="Times New Roman"/>
        </w:rPr>
        <w:t>Sometimes t</w:t>
      </w:r>
      <w:r w:rsidR="00155C65">
        <w:rPr>
          <w:rFonts w:ascii="Times" w:hAnsi="Times" w:cs="Times New Roman"/>
        </w:rPr>
        <w:t>ort law doesn’t scale either.  This is often because (as we shall see) courts cut off liability when damages seem uncontrolled.  Even if judges do not cut off liability, the resources of defendants to pay is limited.</w:t>
      </w:r>
    </w:p>
    <w:p w14:paraId="0B43ECF4" w14:textId="77777777" w:rsidR="00155C65" w:rsidRPr="005E22E4" w:rsidRDefault="00155C65" w:rsidP="00155C65">
      <w:pPr>
        <w:ind w:firstLine="720"/>
        <w:jc w:val="center"/>
        <w:rPr>
          <w:rFonts w:ascii="Times" w:hAnsi="Times" w:cs="Times New Roman"/>
        </w:rPr>
      </w:pPr>
    </w:p>
    <w:p w14:paraId="47E60F54" w14:textId="77777777" w:rsidR="00155C65" w:rsidRDefault="00155C65" w:rsidP="00155C65">
      <w:pPr>
        <w:ind w:firstLine="720"/>
        <w:rPr>
          <w:rFonts w:ascii="Times" w:hAnsi="Times" w:cs="Times New Roman"/>
        </w:rPr>
      </w:pPr>
      <w:r w:rsidRPr="005E22E4">
        <w:rPr>
          <w:rFonts w:ascii="Times" w:hAnsi="Times" w:cs="Times New Roman"/>
        </w:rPr>
        <w:t xml:space="preserve">Rationalists like Bloom would like to see laws and policy set based on system-level logic rather than case-level logic. </w:t>
      </w:r>
      <w:r>
        <w:rPr>
          <w:rFonts w:ascii="Times" w:hAnsi="Times" w:cs="Times New Roman"/>
        </w:rPr>
        <w:t xml:space="preserve"> Does the case method disable Bloom’s system-level view?</w:t>
      </w:r>
    </w:p>
    <w:p w14:paraId="032BA3EB" w14:textId="77777777" w:rsidR="00155C65" w:rsidRPr="004B1DFF" w:rsidRDefault="00155C65">
      <w:pPr>
        <w:rPr>
          <w:rFonts w:ascii="Times New Roman" w:hAnsi="Times New Roman" w:cs="Times New Roman"/>
        </w:rPr>
      </w:pPr>
    </w:p>
    <w:p w14:paraId="570F54F0" w14:textId="77777777" w:rsidR="002E68BC" w:rsidRPr="004B1DFF" w:rsidRDefault="002E68BC">
      <w:pPr>
        <w:rPr>
          <w:rFonts w:ascii="Times New Roman" w:hAnsi="Times New Roman" w:cs="Times New Roman"/>
        </w:rPr>
      </w:pPr>
    </w:p>
    <w:p w14:paraId="023A6E22" w14:textId="77777777" w:rsidR="002E68BC" w:rsidRPr="004B1DFF" w:rsidRDefault="002E68BC">
      <w:pPr>
        <w:rPr>
          <w:rFonts w:ascii="Times New Roman" w:hAnsi="Times New Roman" w:cs="Times New Roman"/>
        </w:rPr>
      </w:pPr>
    </w:p>
    <w:p w14:paraId="169FB3E5" w14:textId="77777777" w:rsidR="002E68BC" w:rsidRPr="004B1DFF" w:rsidRDefault="002E68BC">
      <w:pPr>
        <w:rPr>
          <w:rFonts w:ascii="Times New Roman" w:hAnsi="Times New Roman" w:cs="Times New Roman"/>
        </w:rPr>
      </w:pPr>
    </w:p>
    <w:p w14:paraId="07C50BC0" w14:textId="77777777" w:rsidR="002E68BC" w:rsidRPr="004B1DFF" w:rsidRDefault="002E68BC">
      <w:pPr>
        <w:rPr>
          <w:rFonts w:ascii="Times New Roman" w:hAnsi="Times New Roman" w:cs="Times New Roman"/>
        </w:rPr>
      </w:pPr>
    </w:p>
    <w:p w14:paraId="2D6067AB" w14:textId="77777777" w:rsidR="002E68BC" w:rsidRPr="004B1DFF" w:rsidRDefault="002E68BC">
      <w:pPr>
        <w:rPr>
          <w:rFonts w:ascii="Times New Roman" w:hAnsi="Times New Roman" w:cs="Times New Roman"/>
        </w:rPr>
      </w:pPr>
    </w:p>
    <w:p w14:paraId="6675D752" w14:textId="77777777" w:rsidR="002E68BC" w:rsidRPr="004B1DFF" w:rsidRDefault="002E68BC">
      <w:pPr>
        <w:rPr>
          <w:rFonts w:ascii="Times New Roman" w:hAnsi="Times New Roman" w:cs="Times New Roman"/>
        </w:rPr>
      </w:pPr>
    </w:p>
    <w:p w14:paraId="51D25A93" w14:textId="3D136181" w:rsidR="001F4A22" w:rsidRDefault="001F4A22">
      <w:pPr>
        <w:rPr>
          <w:rFonts w:ascii="Times New Roman" w:hAnsi="Times New Roman" w:cs="Times New Roman"/>
        </w:rPr>
      </w:pPr>
      <w:r>
        <w:rPr>
          <w:rFonts w:ascii="Times New Roman" w:hAnsi="Times New Roman" w:cs="Times New Roman"/>
        </w:rPr>
        <w:br w:type="page"/>
      </w:r>
    </w:p>
    <w:p w14:paraId="54E3DC24" w14:textId="77777777" w:rsidR="00FF20BE" w:rsidRDefault="00FF20BE" w:rsidP="00296689">
      <w:pPr>
        <w:pStyle w:val="Heading1"/>
        <w:sectPr w:rsidR="00FF20BE" w:rsidSect="007E19CF">
          <w:headerReference w:type="default" r:id="rId31"/>
          <w:footerReference w:type="default" r:id="rId32"/>
          <w:pgSz w:w="12240" w:h="15840"/>
          <w:pgMar w:top="1440" w:right="1800" w:bottom="1440" w:left="1800" w:header="720" w:footer="720" w:gutter="0"/>
          <w:pgNumType w:start="1"/>
          <w:cols w:space="720"/>
          <w:noEndnote/>
        </w:sectPr>
      </w:pPr>
    </w:p>
    <w:p w14:paraId="363CDBF4" w14:textId="79C35013" w:rsidR="001F4A22" w:rsidRPr="0082336D" w:rsidRDefault="750671CE" w:rsidP="00296689">
      <w:pPr>
        <w:pStyle w:val="Heading1"/>
      </w:pPr>
      <w:bookmarkStart w:id="47" w:name="_Toc364636043"/>
      <w:bookmarkStart w:id="48" w:name="_Toc518323201"/>
      <w:r>
        <w:lastRenderedPageBreak/>
        <w:t>CHAPTER 2. INTENTIONALLY INFLICTED PHYSICAL HARMS</w:t>
      </w:r>
      <w:bookmarkEnd w:id="47"/>
      <w:bookmarkEnd w:id="48"/>
    </w:p>
    <w:p w14:paraId="57CEFFD9" w14:textId="77777777" w:rsidR="001F4A22" w:rsidRPr="00536EF5" w:rsidRDefault="001F4A22" w:rsidP="001F4A22">
      <w:pPr>
        <w:rPr>
          <w:rFonts w:ascii="Times New Roman" w:hAnsi="Times New Roman" w:cs="Times New Roman"/>
          <w:b/>
        </w:rPr>
      </w:pPr>
    </w:p>
    <w:p w14:paraId="3B3A0A5D" w14:textId="5B35A2DA"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first chapter offered an introduction to tort law through the law of battery, the paradigmatic intentional tort with respect to people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bodies.  Now we pursue the law of intentional torts against property, including real property (which is to say, land and any fixtures thereupon) and personal property (which is to say, everything else).  The chapter then takes up defenses to liability for intentional torts, both as to bodies and as to property.  Finally, we end the chapter with a brief look at the tort of assault, which introduces the special problems arising out of very real but nonetheless intangible emotional or psychological harms.  </w:t>
      </w:r>
    </w:p>
    <w:p w14:paraId="3CAC6628" w14:textId="77777777" w:rsidR="001F4A22" w:rsidRPr="00536EF5" w:rsidRDefault="001F4A22" w:rsidP="001F4A22">
      <w:pPr>
        <w:rPr>
          <w:rFonts w:ascii="Times New Roman" w:hAnsi="Times New Roman" w:cs="Times New Roman"/>
        </w:rPr>
      </w:pPr>
      <w:r w:rsidRPr="00536EF5">
        <w:rPr>
          <w:rFonts w:ascii="Times New Roman" w:hAnsi="Times New Roman" w:cs="Times New Roman"/>
        </w:rPr>
        <w:t xml:space="preserve"> </w:t>
      </w:r>
    </w:p>
    <w:p w14:paraId="3CD7D43D" w14:textId="77777777" w:rsidR="001F4A22" w:rsidRPr="00536EF5" w:rsidRDefault="001F4A22" w:rsidP="001F4A22">
      <w:pPr>
        <w:rPr>
          <w:rFonts w:ascii="Times New Roman" w:hAnsi="Times New Roman" w:cs="Times New Roman"/>
          <w:b/>
        </w:rPr>
      </w:pPr>
    </w:p>
    <w:p w14:paraId="3EF5FB7B" w14:textId="77777777" w:rsidR="001F4A22" w:rsidRPr="0082336D" w:rsidRDefault="001F4A22" w:rsidP="750671CE">
      <w:pPr>
        <w:pStyle w:val="Heading2"/>
        <w:rPr>
          <w:smallCaps/>
        </w:rPr>
      </w:pPr>
      <w:bookmarkStart w:id="49" w:name="_Toc364636044"/>
      <w:bookmarkStart w:id="50" w:name="_Toc518323202"/>
      <w:r w:rsidRPr="0082336D">
        <w:rPr>
          <w:smallCaps/>
        </w:rPr>
        <w:t>A.</w:t>
      </w:r>
      <w:r w:rsidRPr="0082336D">
        <w:t xml:space="preserve"> Trespass</w:t>
      </w:r>
      <w:bookmarkEnd w:id="49"/>
      <w:bookmarkEnd w:id="50"/>
      <w:r w:rsidRPr="0082336D">
        <w:rPr>
          <w:smallCaps/>
        </w:rPr>
        <w:t xml:space="preserve"> </w:t>
      </w:r>
    </w:p>
    <w:p w14:paraId="7DBD76EB" w14:textId="77777777" w:rsidR="001F4A22" w:rsidRDefault="001F4A22" w:rsidP="001F4A22">
      <w:pPr>
        <w:rPr>
          <w:rFonts w:ascii="Times New Roman" w:hAnsi="Times New Roman" w:cs="Times New Roman"/>
          <w:b/>
          <w:smallCaps/>
        </w:rPr>
      </w:pPr>
    </w:p>
    <w:p w14:paraId="1AE72E08" w14:textId="77777777" w:rsidR="006F1186" w:rsidRPr="00536EF5" w:rsidRDefault="006F1186">
      <w:pPr>
        <w:rPr>
          <w:rFonts w:ascii="Times New Roman" w:hAnsi="Times New Roman" w:cs="Times New Roman"/>
          <w:b/>
          <w:smallCaps/>
        </w:rPr>
      </w:pPr>
    </w:p>
    <w:p w14:paraId="68882262" w14:textId="77777777" w:rsidR="001F4A22" w:rsidRDefault="001F4A22" w:rsidP="00322687">
      <w:pPr>
        <w:pStyle w:val="Heading3"/>
      </w:pPr>
      <w:bookmarkStart w:id="51" w:name="_Toc364636045"/>
      <w:bookmarkStart w:id="52" w:name="_Toc518323203"/>
      <w:r w:rsidRPr="0082336D">
        <w:rPr>
          <w:smallCaps/>
        </w:rPr>
        <w:t xml:space="preserve">1.  </w:t>
      </w:r>
      <w:r w:rsidRPr="0082336D">
        <w:t>Trespass to Land</w:t>
      </w:r>
      <w:bookmarkEnd w:id="51"/>
      <w:bookmarkEnd w:id="52"/>
    </w:p>
    <w:p w14:paraId="499C041C" w14:textId="77777777" w:rsidR="001F4A22" w:rsidRPr="0082336D" w:rsidRDefault="001F4A22">
      <w:pPr>
        <w:rPr>
          <w:rFonts w:ascii="Times New Roman" w:hAnsi="Times New Roman" w:cs="Times New Roman"/>
          <w:b/>
          <w:smallCaps/>
        </w:rPr>
      </w:pPr>
      <w:r>
        <w:rPr>
          <w:rFonts w:ascii="Times New Roman" w:hAnsi="Times New Roman" w:cs="Times New Roman"/>
          <w:b/>
        </w:rPr>
        <w:t xml:space="preserve"> </w:t>
      </w:r>
    </w:p>
    <w:p w14:paraId="01567F57" w14:textId="77777777" w:rsidR="001F4A22" w:rsidRPr="0081477C" w:rsidRDefault="001F4A22" w:rsidP="00C74195">
      <w:pPr>
        <w:rPr>
          <w:b/>
          <w:bCs/>
        </w:rPr>
      </w:pPr>
      <w:bookmarkStart w:id="53" w:name="_Toc518323204"/>
      <w:bookmarkStart w:id="54" w:name="_Toc364636046"/>
      <w:r w:rsidRPr="00C74195">
        <w:rPr>
          <w:rStyle w:val="Heading4Char"/>
        </w:rPr>
        <w:t>Dougherty v. Stepp</w:t>
      </w:r>
      <w:bookmarkEnd w:id="53"/>
      <w:r w:rsidRPr="00C74195">
        <w:rPr>
          <w:rFonts w:ascii="Times New Roman" w:hAnsi="Times New Roman" w:cs="Times New Roman"/>
          <w:b/>
        </w:rPr>
        <w:t>, 18 N.C. 371 (1835)</w:t>
      </w:r>
      <w:bookmarkEnd w:id="54"/>
    </w:p>
    <w:p w14:paraId="6E5FE5EC" w14:textId="77777777" w:rsidR="001F4A22" w:rsidRPr="00536EF5" w:rsidRDefault="001F4A22">
      <w:pPr>
        <w:widowControl w:val="0"/>
        <w:autoSpaceDE w:val="0"/>
        <w:autoSpaceDN w:val="0"/>
        <w:adjustRightInd w:val="0"/>
        <w:rPr>
          <w:rFonts w:ascii="Times New Roman" w:hAnsi="Times New Roman" w:cs="Times New Roman"/>
        </w:rPr>
      </w:pPr>
    </w:p>
    <w:p w14:paraId="70048D36" w14:textId="77777777" w:rsidR="001F4A22" w:rsidRPr="00536EF5" w:rsidRDefault="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79AA4D5F" w14:textId="77777777" w:rsidR="001F4A22" w:rsidRPr="00536EF5"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15671FFD" w14:textId="77777777" w:rsidR="001F4A22" w:rsidRPr="0082336D" w:rsidRDefault="750671CE" w:rsidP="750671CE">
      <w:pPr>
        <w:widowControl w:val="0"/>
        <w:autoSpaceDE w:val="0"/>
        <w:autoSpaceDN w:val="0"/>
        <w:adjustRightInd w:val="0"/>
        <w:rPr>
          <w:rFonts w:ascii="Times New Roman" w:eastAsia="Times New Roman" w:hAnsi="Times New Roman" w:cs="Times New Roman"/>
          <w:smallCaps/>
        </w:rPr>
      </w:pPr>
      <w:r w:rsidRPr="750671CE">
        <w:rPr>
          <w:rFonts w:ascii="Times New Roman" w:eastAsia="Times New Roman" w:hAnsi="Times New Roman" w:cs="Times New Roman"/>
          <w:smallCaps/>
        </w:rPr>
        <w:t>Ruffin, C.J.</w:t>
      </w:r>
    </w:p>
    <w:p w14:paraId="3042E4BC" w14:textId="77777777" w:rsidR="001F4A22" w:rsidRPr="00536EF5" w:rsidRDefault="001F4A22" w:rsidP="001F4A22">
      <w:pPr>
        <w:widowControl w:val="0"/>
        <w:autoSpaceDE w:val="0"/>
        <w:autoSpaceDN w:val="0"/>
        <w:adjustRightInd w:val="0"/>
        <w:rPr>
          <w:rFonts w:ascii="Times New Roman" w:hAnsi="Times New Roman" w:cs="Times New Roman"/>
        </w:rPr>
      </w:pPr>
    </w:p>
    <w:p w14:paraId="114DC024" w14:textId="5F0B2F17" w:rsidR="001F4A2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750671CE">
        <w:rPr>
          <w:rFonts w:ascii="Times New Roman" w:eastAsia="Times New Roman" w:hAnsi="Times New Roman" w:cs="Times New Roman"/>
          <w:i/>
          <w:iCs/>
        </w:rPr>
        <w:t>locus in quo</w:t>
      </w:r>
      <w:r w:rsidRPr="750671CE">
        <w:rPr>
          <w:rFonts w:ascii="Times New Roman" w:eastAsia="Times New Roman" w:hAnsi="Times New Roman" w:cs="Times New Roman"/>
        </w:rPr>
        <w:t xml:space="preserve"> been under cultivation or enclosed, there would have been no doubt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right to recover. Now our Courts have for a long time past held that if there be no adverse possession, the title makes the land the owner</w:t>
      </w:r>
      <w:r w:rsidR="00B05F31">
        <w:rPr>
          <w:rFonts w:ascii="Times New Roman" w:eastAsia="Times New Roman" w:hAnsi="Times New Roman" w:cs="Times New Roman"/>
        </w:rPr>
        <w:t>’</w:t>
      </w:r>
      <w:r w:rsidRPr="750671CE">
        <w:rPr>
          <w:rFonts w:ascii="Times New Roman" w:eastAsia="Times New Roman" w:hAnsi="Times New Roman" w:cs="Times New Roman"/>
        </w:rPr>
        <w:t>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ED0CF43" w14:textId="77777777" w:rsidR="001F4A22" w:rsidRDefault="001F4A22" w:rsidP="001F4A22">
      <w:pPr>
        <w:widowControl w:val="0"/>
        <w:autoSpaceDE w:val="0"/>
        <w:autoSpaceDN w:val="0"/>
        <w:adjustRightInd w:val="0"/>
        <w:ind w:firstLine="720"/>
        <w:rPr>
          <w:rFonts w:ascii="Times New Roman" w:hAnsi="Times New Roman" w:cs="Times New Roman"/>
        </w:rPr>
      </w:pPr>
    </w:p>
    <w:p w14:paraId="5BAC214B" w14:textId="77777777" w:rsidR="001F4A22" w:rsidRPr="00536EF5"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Judgment Reversed.</w:t>
      </w:r>
    </w:p>
    <w:p w14:paraId="75862012" w14:textId="77777777" w:rsidR="001F4A22" w:rsidRDefault="001F4A22" w:rsidP="001F4A22">
      <w:pPr>
        <w:widowControl w:val="0"/>
        <w:autoSpaceDE w:val="0"/>
        <w:autoSpaceDN w:val="0"/>
        <w:adjustRightInd w:val="0"/>
        <w:rPr>
          <w:rFonts w:ascii="Times New Roman" w:hAnsi="Times New Roman" w:cs="Times New Roman"/>
        </w:rPr>
      </w:pPr>
    </w:p>
    <w:p w14:paraId="35894CF9" w14:textId="77777777" w:rsidR="001F4A22" w:rsidRPr="00536EF5" w:rsidRDefault="001F4A22" w:rsidP="001F4A22">
      <w:pPr>
        <w:widowControl w:val="0"/>
        <w:autoSpaceDE w:val="0"/>
        <w:autoSpaceDN w:val="0"/>
        <w:adjustRightInd w:val="0"/>
        <w:rPr>
          <w:rFonts w:ascii="Times New Roman" w:hAnsi="Times New Roman" w:cs="Times New Roman"/>
        </w:rPr>
      </w:pPr>
    </w:p>
    <w:p w14:paraId="1566D23A" w14:textId="77777777" w:rsidR="00B71846" w:rsidRPr="00CD0D03" w:rsidRDefault="00B71846" w:rsidP="002502CC">
      <w:pPr>
        <w:pStyle w:val="Heading4"/>
      </w:pPr>
      <w:bookmarkStart w:id="55" w:name="_Toc364636047"/>
      <w:bookmarkStart w:id="56" w:name="_Toc518323205"/>
      <w:r w:rsidRPr="00CD0D03">
        <w:lastRenderedPageBreak/>
        <w:t>Notes</w:t>
      </w:r>
      <w:bookmarkEnd w:id="55"/>
      <w:bookmarkEnd w:id="56"/>
    </w:p>
    <w:p w14:paraId="0A14077E" w14:textId="77777777" w:rsidR="007C1411" w:rsidRDefault="007C1411" w:rsidP="001F4A22">
      <w:pPr>
        <w:rPr>
          <w:rFonts w:ascii="Times New Roman" w:hAnsi="Times New Roman" w:cs="Times New Roman"/>
        </w:rPr>
      </w:pPr>
    </w:p>
    <w:p w14:paraId="375BCDD5" w14:textId="77777777" w:rsidR="006F1186" w:rsidRPr="00536EF5" w:rsidRDefault="006F1186" w:rsidP="001F4A22">
      <w:pPr>
        <w:rPr>
          <w:rFonts w:ascii="Times New Roman" w:hAnsi="Times New Roman" w:cs="Times New Roman"/>
        </w:rPr>
      </w:pPr>
    </w:p>
    <w:p w14:paraId="23B2FDA2" w14:textId="7C2EC881" w:rsidR="001F4A22" w:rsidRPr="00E3500C" w:rsidRDefault="750671CE" w:rsidP="00E3500C">
      <w:pPr>
        <w:pStyle w:val="ListParagraph"/>
        <w:numPr>
          <w:ilvl w:val="0"/>
          <w:numId w:val="62"/>
        </w:numPr>
        <w:ind w:left="0" w:firstLine="360"/>
        <w:rPr>
          <w:rFonts w:ascii="Times New Roman" w:eastAsia="Times New Roman" w:hAnsi="Times New Roman" w:cs="Times New Roman"/>
        </w:rPr>
      </w:pPr>
      <w:r w:rsidRPr="00E3500C">
        <w:rPr>
          <w:rFonts w:ascii="Times New Roman" w:eastAsia="Times New Roman" w:hAnsi="Times New Roman" w:cs="Times New Roman"/>
          <w:i/>
          <w:iCs/>
        </w:rPr>
        <w:t xml:space="preserve">Special rules for real property?  </w:t>
      </w:r>
      <w:r w:rsidRPr="00E3500C">
        <w:rPr>
          <w:rFonts w:ascii="Times New Roman" w:eastAsia="Times New Roman" w:hAnsi="Times New Roman" w:cs="Times New Roman"/>
        </w:rPr>
        <w:t xml:space="preserve">Why is there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no statute, nor rule of reason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that will excuse trespass to real property under the common law?  Recall that if Putney had kicked Vosburg on a playground as opposed to in the classroom, he might not have been held liable for the damages to the smaller boy</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leg.  The circumstances mattered.  Judge Ruffin, by contrast, seems to say that in trespass to real property, circumstances are irrelevant.  Why would that be?  Moreover, why does the law of trespass to real property dispense with the requirement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act cause damages? To make out a cause of action in battery, as we saw in </w:t>
      </w:r>
      <w:r w:rsidR="00C21D6E">
        <w:rPr>
          <w:rFonts w:ascii="Times New Roman" w:eastAsia="Times New Roman" w:hAnsi="Times New Roman" w:cs="Times New Roman"/>
        </w:rPr>
        <w:t>C</w:t>
      </w:r>
      <w:r w:rsidRPr="00E3500C">
        <w:rPr>
          <w:rFonts w:ascii="Times New Roman" w:eastAsia="Times New Roman" w:hAnsi="Times New Roman" w:cs="Times New Roman"/>
        </w:rPr>
        <w:t>hapter 1, the plaintiff must show that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act was harmful or offensive.  Not so in trespass to real property.</w:t>
      </w:r>
    </w:p>
    <w:p w14:paraId="24B8E68D" w14:textId="77777777" w:rsidR="001F4A22" w:rsidRDefault="001F4A22" w:rsidP="001F4A22">
      <w:pPr>
        <w:tabs>
          <w:tab w:val="left" w:pos="7200"/>
        </w:tabs>
        <w:rPr>
          <w:rFonts w:ascii="Times New Roman" w:hAnsi="Times New Roman" w:cs="Times New Roman"/>
          <w:iCs/>
        </w:rPr>
      </w:pPr>
    </w:p>
    <w:p w14:paraId="647179A0" w14:textId="2915976D" w:rsidR="001F4A22" w:rsidRPr="005E5CDB" w:rsidRDefault="750671CE" w:rsidP="00644103">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 P</w:t>
      </w:r>
      <w:r w:rsidRPr="750671CE">
        <w:rPr>
          <w:rFonts w:ascii="Times New Roman" w:eastAsia="Times New Roman" w:hAnsi="Times New Roman" w:cs="Times New Roman"/>
          <w:smallCaps/>
        </w:rPr>
        <w:t>age</w:t>
      </w:r>
      <w:r w:rsidRPr="750671CE">
        <w:rPr>
          <w:rFonts w:ascii="Times New Roman" w:eastAsia="Times New Roman" w:hAnsi="Times New Roman" w:cs="Times New Roman"/>
        </w:rPr>
        <w:t xml:space="preserve"> K</w:t>
      </w:r>
      <w:r w:rsidRPr="750671CE">
        <w:rPr>
          <w:rFonts w:ascii="Times New Roman" w:eastAsia="Times New Roman" w:hAnsi="Times New Roman" w:cs="Times New Roman"/>
          <w:smallCaps/>
        </w:rPr>
        <w:t>eeton</w:t>
      </w:r>
      <w:r w:rsidR="00021538" w:rsidRPr="00E3500C">
        <w:rPr>
          <w:rFonts w:ascii="Times New Roman" w:eastAsia="Times New Roman" w:hAnsi="Times New Roman" w:cs="Times New Roman"/>
          <w:smallCaps/>
        </w:rPr>
        <w:t>, Dan B. Dobbs, Robert E. Keeton &amp; David G. Owen</w:t>
      </w:r>
      <w:r w:rsidRPr="750671CE">
        <w:rPr>
          <w:rFonts w:ascii="Times New Roman" w:eastAsia="Times New Roman" w:hAnsi="Times New Roman" w:cs="Times New Roman"/>
        </w:rPr>
        <w:t>, P</w:t>
      </w:r>
      <w:r w:rsidRPr="750671CE">
        <w:rPr>
          <w:rFonts w:ascii="Times New Roman" w:eastAsia="Times New Roman" w:hAnsi="Times New Roman" w:cs="Times New Roman"/>
          <w:smallCaps/>
        </w:rPr>
        <w:t xml:space="preserve">rosser and </w:t>
      </w:r>
      <w:r w:rsidRPr="750671CE">
        <w:rPr>
          <w:rFonts w:ascii="Times New Roman" w:eastAsia="Times New Roman" w:hAnsi="Times New Roman" w:cs="Times New Roman"/>
        </w:rPr>
        <w:t>K</w:t>
      </w:r>
      <w:r w:rsidRPr="750671CE">
        <w:rPr>
          <w:rFonts w:ascii="Times New Roman" w:eastAsia="Times New Roman" w:hAnsi="Times New Roman" w:cs="Times New Roman"/>
          <w:smallCaps/>
        </w:rPr>
        <w:t xml:space="preserve">eeton on the </w:t>
      </w:r>
      <w:r w:rsidRPr="750671CE">
        <w:rPr>
          <w:rFonts w:ascii="Times New Roman" w:eastAsia="Times New Roman" w:hAnsi="Times New Roman" w:cs="Times New Roman"/>
        </w:rPr>
        <w:t>L</w:t>
      </w:r>
      <w:r w:rsidRPr="750671CE">
        <w:rPr>
          <w:rFonts w:ascii="Times New Roman" w:eastAsia="Times New Roman" w:hAnsi="Times New Roman" w:cs="Times New Roman"/>
          <w:smallCaps/>
        </w:rPr>
        <w:t xml:space="preserve">aw of </w:t>
      </w:r>
      <w:r w:rsidRPr="750671CE">
        <w:rPr>
          <w:rFonts w:ascii="Times New Roman" w:eastAsia="Times New Roman" w:hAnsi="Times New Roman" w:cs="Times New Roman"/>
        </w:rPr>
        <w:t>T</w:t>
      </w:r>
      <w:r w:rsidRPr="750671CE">
        <w:rPr>
          <w:rFonts w:ascii="Times New Roman" w:eastAsia="Times New Roman" w:hAnsi="Times New Roman" w:cs="Times New Roman"/>
          <w:smallCaps/>
        </w:rPr>
        <w:t>orts</w:t>
      </w:r>
      <w:r w:rsidRPr="750671CE">
        <w:rPr>
          <w:rFonts w:ascii="Times New Roman" w:eastAsia="Times New Roman" w:hAnsi="Times New Roman" w:cs="Times New Roman"/>
        </w:rPr>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S</w:t>
      </w:r>
      <w:r w:rsidRPr="750671CE">
        <w:rPr>
          <w:rFonts w:ascii="Times New Roman" w:eastAsia="Times New Roman" w:hAnsi="Times New Roman" w:cs="Times New Roman"/>
          <w:smallCaps/>
        </w:rPr>
        <w:t>tuart</w:t>
      </w:r>
      <w:r w:rsidRPr="750671CE">
        <w:rPr>
          <w:rFonts w:ascii="Times New Roman" w:eastAsia="Times New Roman" w:hAnsi="Times New Roman" w:cs="Times New Roman"/>
        </w:rPr>
        <w:t xml:space="preserve"> M. S</w:t>
      </w:r>
      <w:r w:rsidRPr="750671CE">
        <w:rPr>
          <w:rFonts w:ascii="Times New Roman" w:eastAsia="Times New Roman" w:hAnsi="Times New Roman" w:cs="Times New Roman"/>
          <w:smallCaps/>
        </w:rPr>
        <w:t>peiser</w:t>
      </w:r>
      <w:r w:rsidR="00021538">
        <w:rPr>
          <w:rFonts w:ascii="Times New Roman" w:eastAsia="Times New Roman" w:hAnsi="Times New Roman" w:cs="Times New Roman"/>
        </w:rPr>
        <w:t xml:space="preserve">, </w:t>
      </w:r>
      <w:r w:rsidR="00021538" w:rsidRPr="00E3500C">
        <w:rPr>
          <w:rFonts w:ascii="Times New Roman" w:eastAsia="Times New Roman" w:hAnsi="Times New Roman" w:cs="Times New Roman"/>
          <w:smallCaps/>
        </w:rPr>
        <w:t>Charles F. Krause &amp; Alfred W. Gans</w:t>
      </w:r>
      <w:r w:rsidRPr="750671CE">
        <w:rPr>
          <w:rFonts w:ascii="Times New Roman" w:eastAsia="Times New Roman" w:hAnsi="Times New Roman" w:cs="Times New Roman"/>
        </w:rPr>
        <w:t>, T</w:t>
      </w:r>
      <w:r w:rsidRPr="750671CE">
        <w:rPr>
          <w:rFonts w:ascii="Times New Roman" w:eastAsia="Times New Roman" w:hAnsi="Times New Roman" w:cs="Times New Roman"/>
          <w:smallCaps/>
        </w:rPr>
        <w:t>he</w:t>
      </w:r>
      <w:r w:rsidRPr="750671CE">
        <w:rPr>
          <w:rFonts w:ascii="Times New Roman" w:eastAsia="Times New Roman" w:hAnsi="Times New Roman" w:cs="Times New Roman"/>
        </w:rPr>
        <w:t xml:space="preserve"> A</w:t>
      </w:r>
      <w:r w:rsidRPr="750671CE">
        <w:rPr>
          <w:rFonts w:ascii="Times New Roman" w:eastAsia="Times New Roman" w:hAnsi="Times New Roman" w:cs="Times New Roman"/>
          <w:smallCaps/>
        </w:rPr>
        <w:t>merican</w:t>
      </w:r>
      <w:r w:rsidRPr="750671CE">
        <w:rPr>
          <w:rFonts w:ascii="Times New Roman" w:eastAsia="Times New Roman" w:hAnsi="Times New Roman" w:cs="Times New Roman"/>
        </w:rPr>
        <w:t xml:space="preserve"> L</w:t>
      </w:r>
      <w:r w:rsidRPr="750671CE">
        <w:rPr>
          <w:rFonts w:ascii="Times New Roman" w:eastAsia="Times New Roman" w:hAnsi="Times New Roman" w:cs="Times New Roman"/>
          <w:smallCaps/>
        </w:rPr>
        <w:t>aw</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of</w:t>
      </w:r>
      <w:r w:rsidRPr="750671CE">
        <w:rPr>
          <w:rFonts w:ascii="Times New Roman" w:eastAsia="Times New Roman" w:hAnsi="Times New Roman" w:cs="Times New Roman"/>
        </w:rPr>
        <w:t xml:space="preserve"> T</w:t>
      </w:r>
      <w:r w:rsidRPr="750671CE">
        <w:rPr>
          <w:rFonts w:ascii="Times New Roman" w:eastAsia="Times New Roman" w:hAnsi="Times New Roman" w:cs="Times New Roman"/>
          <w:smallCaps/>
        </w:rPr>
        <w:t xml:space="preserve">orts § 23:1, </w:t>
      </w:r>
      <w:r w:rsidRPr="750671CE">
        <w:rPr>
          <w:rFonts w:ascii="Times New Roman" w:eastAsia="Times New Roman" w:hAnsi="Times New Roman" w:cs="Times New Roman"/>
        </w:rPr>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7053D71F" w14:textId="77777777" w:rsidR="001F4A22" w:rsidRDefault="001F4A22" w:rsidP="00E3500C">
      <w:pPr>
        <w:widowControl w:val="0"/>
        <w:tabs>
          <w:tab w:val="left" w:pos="0"/>
        </w:tabs>
        <w:rPr>
          <w:rFonts w:ascii="Times New Roman" w:hAnsi="Times New Roman" w:cs="Times New Roman"/>
        </w:rPr>
      </w:pPr>
    </w:p>
    <w:p w14:paraId="0D067842" w14:textId="77777777" w:rsidR="00644103" w:rsidRPr="00536EF5" w:rsidRDefault="00644103" w:rsidP="00E3500C">
      <w:pPr>
        <w:widowControl w:val="0"/>
        <w:tabs>
          <w:tab w:val="left" w:pos="0"/>
        </w:tabs>
        <w:rPr>
          <w:rFonts w:ascii="Times New Roman" w:hAnsi="Times New Roman" w:cs="Times New Roman"/>
        </w:rPr>
      </w:pPr>
    </w:p>
    <w:p w14:paraId="5B70C4F5" w14:textId="2331D29B" w:rsidR="001F4A22" w:rsidRDefault="750671CE" w:rsidP="00E3500C">
      <w:pPr>
        <w:pStyle w:val="ListParagraph"/>
        <w:widowControl w:val="0"/>
        <w:numPr>
          <w:ilvl w:val="0"/>
          <w:numId w:val="6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Thomas Ruffin.</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Judge Thomas Ruffin (author of the opinion in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served as the Chief Justice of the North Carolina Supreme Court from 1833 to 1852, and on that court generally from 1829 to 1852, and again from 1858 to 1859. He is best remembered not for </w:t>
      </w:r>
      <w:r w:rsidRPr="00E3500C">
        <w:rPr>
          <w:rFonts w:ascii="Times New Roman" w:eastAsia="Times New Roman" w:hAnsi="Times New Roman" w:cs="Times New Roman"/>
          <w:i/>
          <w:iCs/>
        </w:rPr>
        <w:t>Dougherty</w:t>
      </w:r>
      <w:r w:rsidRPr="00E3500C">
        <w:rPr>
          <w:rFonts w:ascii="Times New Roman" w:eastAsia="Times New Roman" w:hAnsi="Times New Roman" w:cs="Times New Roman"/>
        </w:rPr>
        <w:t xml:space="preserve">, but for the terrible case of </w:t>
      </w:r>
      <w:r w:rsidRPr="00E3500C">
        <w:rPr>
          <w:rFonts w:ascii="Times New Roman" w:eastAsia="Times New Roman" w:hAnsi="Times New Roman" w:cs="Times New Roman"/>
          <w:i/>
          <w:iCs/>
        </w:rPr>
        <w:t>State v. Mann</w:t>
      </w:r>
      <w:r w:rsidRPr="00E3500C">
        <w:rPr>
          <w:rFonts w:ascii="Times New Roman" w:eastAsia="Times New Roman" w:hAnsi="Times New Roman" w:cs="Times New Roman"/>
        </w:rPr>
        <w:t xml:space="preserve">, in which he held that it was not a crime for a master to kill one of his slaves. His opinion asserted no rule of reason in the master-slave relationship, just as he rejected any such rule for trespass to real property: </w:t>
      </w:r>
    </w:p>
    <w:p w14:paraId="4C403239" w14:textId="77777777" w:rsidR="00644103" w:rsidRPr="00E3500C" w:rsidRDefault="00644103" w:rsidP="00E3500C">
      <w:pPr>
        <w:pStyle w:val="ListParagraph"/>
        <w:widowControl w:val="0"/>
        <w:tabs>
          <w:tab w:val="left" w:pos="0"/>
        </w:tabs>
        <w:ind w:left="360"/>
        <w:rPr>
          <w:rFonts w:ascii="Times New Roman" w:eastAsia="Times New Roman" w:hAnsi="Times New Roman" w:cs="Times New Roman"/>
        </w:rPr>
      </w:pPr>
    </w:p>
    <w:p w14:paraId="1040DF39" w14:textId="77777777" w:rsidR="001F4A22" w:rsidRPr="00536EF5" w:rsidRDefault="750671CE" w:rsidP="00E3500C">
      <w:pPr>
        <w:pStyle w:val="blockquote"/>
      </w:pPr>
      <w:r w:rsidRPr="750671CE">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cannot be disunited, without abrogating at once the rights of the master, and absolving the slave from his subjection. It constitutes the curse of slavery to both the bond and free </w:t>
      </w:r>
      <w:r w:rsidRPr="750671CE">
        <w:lastRenderedPageBreak/>
        <w:t xml:space="preserve">portions of our population. But it is inherent in the relation of master and slave. </w:t>
      </w:r>
    </w:p>
    <w:p w14:paraId="33ABACBD" w14:textId="77777777" w:rsidR="005832AD" w:rsidRDefault="005832AD" w:rsidP="750671CE">
      <w:pPr>
        <w:widowControl w:val="0"/>
        <w:tabs>
          <w:tab w:val="left" w:pos="0"/>
        </w:tabs>
        <w:rPr>
          <w:rFonts w:ascii="Times New Roman" w:eastAsia="Times New Roman" w:hAnsi="Times New Roman" w:cs="Times New Roman"/>
          <w:i/>
          <w:iCs/>
        </w:rPr>
      </w:pPr>
    </w:p>
    <w:p w14:paraId="23C0369F" w14:textId="0723DBFA" w:rsidR="001F4A22" w:rsidRPr="00536EF5" w:rsidRDefault="750671CE" w:rsidP="750671CE">
      <w:pPr>
        <w:widowControl w:val="0"/>
        <w:tabs>
          <w:tab w:val="left" w:pos="0"/>
        </w:tabs>
        <w:rPr>
          <w:rFonts w:ascii="Times New Roman" w:eastAsia="Times New Roman" w:hAnsi="Times New Roman" w:cs="Times New Roman"/>
        </w:rPr>
      </w:pPr>
      <w:r w:rsidRPr="750671CE">
        <w:rPr>
          <w:rFonts w:ascii="Times New Roman" w:eastAsia="Times New Roman" w:hAnsi="Times New Roman" w:cs="Times New Roman"/>
          <w:i/>
          <w:iCs/>
        </w:rPr>
        <w:t>State v. Mann</w:t>
      </w:r>
      <w:r w:rsidRPr="750671CE">
        <w:rPr>
          <w:rFonts w:ascii="Times New Roman" w:eastAsia="Times New Roman" w:hAnsi="Times New Roman" w:cs="Times New Roman"/>
        </w:rPr>
        <w:t xml:space="preserve">, 13 N.C. 263, 266-67 (1829). Suffice it to say, American law did not allow tort actions by a slave against the master. Injuries to slaves who had been hired out by their owners produced a substantial body of tort law in the American South as a subcategory of the law of slavery. The plaintiffs in such cases, of course, were the owners, not the injured slaves.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Thomas Morris, Southern Slavery and the Law, 1619-1860 </w:t>
      </w:r>
      <w:r w:rsidRPr="750671CE">
        <w:rPr>
          <w:rFonts w:ascii="Times New Roman" w:eastAsia="Times New Roman" w:hAnsi="Times New Roman" w:cs="Times New Roman"/>
        </w:rPr>
        <w:t>(1996).</w:t>
      </w:r>
    </w:p>
    <w:p w14:paraId="1FFC2BFC" w14:textId="77777777" w:rsidR="001F4A22" w:rsidRDefault="001F4A22" w:rsidP="001F4A22">
      <w:pPr>
        <w:widowControl w:val="0"/>
        <w:tabs>
          <w:tab w:val="left" w:pos="0"/>
        </w:tabs>
        <w:rPr>
          <w:rFonts w:ascii="Times New Roman" w:hAnsi="Times New Roman" w:cs="Times New Roman"/>
        </w:rPr>
      </w:pPr>
    </w:p>
    <w:p w14:paraId="28301B32" w14:textId="77777777" w:rsidR="001F4A22" w:rsidRPr="00536EF5" w:rsidRDefault="001F4A22" w:rsidP="001F4A22">
      <w:pPr>
        <w:widowControl w:val="0"/>
        <w:tabs>
          <w:tab w:val="left" w:pos="0"/>
        </w:tabs>
        <w:rPr>
          <w:rFonts w:ascii="Times New Roman" w:hAnsi="Times New Roman" w:cs="Times New Roman"/>
        </w:rPr>
      </w:pPr>
    </w:p>
    <w:p w14:paraId="58900CED" w14:textId="390E30AB" w:rsidR="001F4A22" w:rsidRPr="00E3500C" w:rsidRDefault="750671CE" w:rsidP="00E3500C">
      <w:pPr>
        <w:pStyle w:val="ListParagraph"/>
        <w:widowControl w:val="0"/>
        <w:numPr>
          <w:ilvl w:val="0"/>
          <w:numId w:val="62"/>
        </w:numPr>
        <w:tabs>
          <w:tab w:val="left" w:pos="0"/>
        </w:tabs>
        <w:ind w:left="0" w:firstLine="360"/>
        <w:rPr>
          <w:rFonts w:ascii="Times New Roman" w:eastAsia="Times New Roman" w:hAnsi="Times New Roman" w:cs="Times New Roman"/>
        </w:rPr>
      </w:pPr>
      <w:r w:rsidRPr="00E3500C">
        <w:rPr>
          <w:rFonts w:ascii="Times New Roman" w:eastAsia="Times New Roman" w:hAnsi="Times New Roman" w:cs="Times New Roman"/>
          <w:i/>
          <w:iCs/>
        </w:rPr>
        <w:t>Intangible trespass</w:t>
      </w:r>
      <w:r w:rsidRPr="00E3500C">
        <w:rPr>
          <w:rFonts w:ascii="Times New Roman" w:eastAsia="Times New Roman" w:hAnsi="Times New Roman" w:cs="Times New Roman"/>
        </w:rPr>
        <w:t>.  Traditionally, trespass actions were limited to physical intrusions.  In Michigan, for example, dust, noise, and vibrations crossing from the defendant</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s mining activities onto a plaintiff</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property do not constitute a trespass. </w:t>
      </w:r>
      <w:r w:rsidRPr="00E3500C">
        <w:rPr>
          <w:rFonts w:ascii="Times New Roman" w:eastAsia="Times New Roman" w:hAnsi="Times New Roman" w:cs="Times New Roman"/>
          <w:i/>
          <w:iCs/>
        </w:rPr>
        <w:t>See Adams v. Cleveland-Cliffs Iron Co.</w:t>
      </w:r>
      <w:r w:rsidRPr="00E3500C">
        <w:rPr>
          <w:rFonts w:ascii="Times New Roman" w:eastAsia="Times New Roman" w:hAnsi="Times New Roman" w:cs="Times New Roman"/>
        </w:rPr>
        <w:t>, 602 N.W.2d 215 (Mich. App. 1999). 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To put it in Judge Ruffin</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terms, there is a rule of reason for intangible trespasses, and that rule of reason provides that trespasses without injury are not actionable as trespasses. (Many such cases raise questions in the doctrine of nuisance, which we will turn to in </w:t>
      </w:r>
      <w:r w:rsidR="00C21D6E">
        <w:rPr>
          <w:rFonts w:ascii="Times New Roman" w:eastAsia="Times New Roman" w:hAnsi="Times New Roman" w:cs="Times New Roman"/>
        </w:rPr>
        <w:t>C</w:t>
      </w:r>
      <w:r w:rsidRPr="00E3500C">
        <w:rPr>
          <w:rFonts w:ascii="Times New Roman" w:eastAsia="Times New Roman" w:hAnsi="Times New Roman" w:cs="Times New Roman"/>
        </w:rPr>
        <w:t>hapter 9.)</w:t>
      </w:r>
    </w:p>
    <w:p w14:paraId="294CD00B" w14:textId="77777777" w:rsidR="001F4A22" w:rsidRPr="00FF19AA" w:rsidRDefault="001F4A22" w:rsidP="001F4A22">
      <w:pPr>
        <w:widowControl w:val="0"/>
        <w:tabs>
          <w:tab w:val="left" w:pos="0"/>
        </w:tabs>
        <w:rPr>
          <w:rFonts w:ascii="Times New Roman" w:hAnsi="Times New Roman" w:cs="Times New Roman"/>
        </w:rPr>
      </w:pPr>
    </w:p>
    <w:p w14:paraId="02D5F7B6" w14:textId="589EEFF5" w:rsidR="001F4A22" w:rsidRPr="00FF19AA" w:rsidRDefault="001F4A22" w:rsidP="750671CE">
      <w:pPr>
        <w:widowControl w:val="0"/>
        <w:tabs>
          <w:tab w:val="left" w:pos="0"/>
        </w:tabs>
        <w:spacing w:after="240"/>
        <w:rPr>
          <w:rFonts w:ascii="Times New Roman" w:eastAsia="Times New Roman" w:hAnsi="Times New Roman" w:cs="Times New Roman"/>
        </w:rPr>
      </w:pPr>
      <w:r w:rsidRPr="00FF19AA">
        <w:rPr>
          <w:rFonts w:ascii="Times New Roman" w:hAnsi="Times New Roman" w:cs="Times New Roman"/>
        </w:rPr>
        <w:tab/>
      </w:r>
      <w:r w:rsidRPr="750671CE">
        <w:rPr>
          <w:rFonts w:ascii="Times New Roman" w:eastAsia="Times New Roman" w:hAnsi="Times New Roman" w:cs="Times New Roman"/>
        </w:rPr>
        <w:t>Why place this additional requirement on actions for intangi</w:t>
      </w:r>
      <w:r w:rsidR="005809FC" w:rsidRPr="750671CE">
        <w:rPr>
          <w:rFonts w:ascii="Times New Roman" w:eastAsia="Times New Roman" w:hAnsi="Times New Roman" w:cs="Times New Roman"/>
        </w:rPr>
        <w:t xml:space="preserve">ble trespass to real property? </w:t>
      </w:r>
      <w:r w:rsidRPr="750671CE">
        <w:rPr>
          <w:rFonts w:ascii="Times New Roman" w:eastAsia="Times New Roman" w:hAnsi="Times New Roman" w:cs="Times New Roman"/>
        </w:rPr>
        <w:t>In Colorado, in a trespass action brought for sound waves, radiation, and electromagnetic fields from a public utility, the state Supreme Court held that intangible trespass actions may succeed</w:t>
      </w:r>
      <w:r w:rsidRPr="750671CE">
        <w:rPr>
          <w:rFonts w:ascii="Times New Roman" w:eastAsia="Times New Roman" w:hAnsi="Times New Roman" w:cs="Times New Roman"/>
          <w:b/>
          <w:bCs/>
        </w:rPr>
        <w:t xml:space="preserve"> </w:t>
      </w:r>
      <w:r w:rsidR="00B05F31">
        <w:rPr>
          <w:rFonts w:ascii="Times New Roman" w:eastAsia="Times New Roman" w:hAnsi="Times New Roman" w:cs="Times New Roman"/>
          <w:b/>
          <w:bCs/>
        </w:rPr>
        <w:t>“</w:t>
      </w:r>
      <w:r w:rsidRPr="00FF19AA">
        <w:rPr>
          <w:rFonts w:ascii="Times New Roman" w:eastAsia="Times New Roman" w:hAnsi="Times New Roman" w:cs="Times New Roman"/>
        </w:rPr>
        <w:t>only if an aggrieved party is able to prove physical damage to the property.</w:t>
      </w:r>
      <w:r w:rsidR="00B05F31">
        <w:rPr>
          <w:rFonts w:ascii="Times New Roman" w:eastAsia="Times New Roman" w:hAnsi="Times New Roman" w:cs="Times New Roman"/>
        </w:rPr>
        <w:t>”</w:t>
      </w:r>
      <w:r w:rsidRPr="00FF19AA">
        <w:rPr>
          <w:rFonts w:ascii="Times New Roman" w:eastAsia="Times New Roman" w:hAnsi="Times New Roman" w:cs="Times New Roman"/>
        </w:rPr>
        <w:t xml:space="preserve">  The Court explained</w:t>
      </w:r>
      <w:r>
        <w:rPr>
          <w:rFonts w:ascii="Times New Roman" w:eastAsia="Times New Roman" w:hAnsi="Times New Roman" w:cs="Times New Roman"/>
        </w:rPr>
        <w:t>:</w:t>
      </w:r>
    </w:p>
    <w:p w14:paraId="658CC00E" w14:textId="706DEAC8" w:rsidR="001F4A22" w:rsidRDefault="750671CE" w:rsidP="00E3500C">
      <w:pPr>
        <w:pStyle w:val="blockquote"/>
      </w:pPr>
      <w:r w:rsidRPr="750671CE">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Pr>
          <w:rStyle w:val="Emphasis"/>
        </w:rPr>
        <w:t>. . .</w:t>
      </w:r>
      <w:r w:rsidRPr="750671CE">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5C0EAF51" w14:textId="77777777" w:rsidR="005832AD" w:rsidRPr="00FF19AA" w:rsidRDefault="005832AD" w:rsidP="00E3500C">
      <w:pPr>
        <w:pStyle w:val="blockquote"/>
      </w:pPr>
    </w:p>
    <w:p w14:paraId="63B0C91B" w14:textId="77777777" w:rsidR="001F4A22" w:rsidRPr="00536EF5" w:rsidRDefault="750671CE" w:rsidP="00E3500C">
      <w:pPr>
        <w:widowControl w:val="0"/>
        <w:tabs>
          <w:tab w:val="left" w:pos="0"/>
        </w:tabs>
        <w:rPr>
          <w:rFonts w:ascii="Times New Roman" w:eastAsia="Times New Roman" w:hAnsi="Times New Roman" w:cs="Times New Roman"/>
        </w:rPr>
      </w:pPr>
      <w:r w:rsidRPr="750671CE">
        <w:rPr>
          <w:rFonts w:ascii="Times New Roman" w:eastAsia="Times New Roman" w:hAnsi="Times New Roman" w:cs="Times New Roman"/>
          <w:i/>
          <w:iCs/>
        </w:rPr>
        <w:t>Public Service Co. of Colorado v. Van Wyck</w:t>
      </w:r>
      <w:r w:rsidRPr="750671CE">
        <w:rPr>
          <w:rFonts w:ascii="Times New Roman" w:eastAsia="Times New Roman" w:hAnsi="Times New Roman" w:cs="Times New Roman"/>
        </w:rPr>
        <w:t xml:space="preserve">, 27 P.3d 377, 390 (Colo. 2001).  What about flashes of light communicated through buried fiber-optic cables?  Should these be treated as trespassing on the property in which the cables are buried?  See </w:t>
      </w:r>
      <w:r w:rsidRPr="750671CE">
        <w:rPr>
          <w:rFonts w:ascii="Times New Roman" w:eastAsia="Times New Roman" w:hAnsi="Times New Roman" w:cs="Times New Roman"/>
          <w:i/>
          <w:iCs/>
        </w:rPr>
        <w:t>In re WorldCom, Inc.</w:t>
      </w:r>
      <w:r w:rsidRPr="750671CE">
        <w:rPr>
          <w:rFonts w:ascii="Times New Roman" w:eastAsia="Times New Roman" w:hAnsi="Times New Roman" w:cs="Times New Roman"/>
        </w:rPr>
        <w:t xml:space="preserve">, 546 F.3d 211, 217-18 (2d Cir. 2008) (Sotomayor, J.). </w:t>
      </w:r>
    </w:p>
    <w:p w14:paraId="101FF07F" w14:textId="77777777" w:rsidR="001F4A22" w:rsidRDefault="001F4A22" w:rsidP="00E3500C">
      <w:pPr>
        <w:widowControl w:val="0"/>
        <w:tabs>
          <w:tab w:val="left" w:pos="0"/>
        </w:tabs>
        <w:rPr>
          <w:rFonts w:ascii="Times New Roman" w:hAnsi="Times New Roman" w:cs="Times New Roman"/>
        </w:rPr>
      </w:pPr>
    </w:p>
    <w:p w14:paraId="6D7E432E" w14:textId="77777777" w:rsidR="007C1411" w:rsidRDefault="007C1411" w:rsidP="00E3500C">
      <w:pPr>
        <w:widowControl w:val="0"/>
        <w:tabs>
          <w:tab w:val="left" w:pos="0"/>
        </w:tabs>
        <w:rPr>
          <w:rFonts w:ascii="Times New Roman" w:hAnsi="Times New Roman" w:cs="Times New Roman"/>
        </w:rPr>
      </w:pPr>
    </w:p>
    <w:p w14:paraId="3459E9E4" w14:textId="6139F9A5" w:rsidR="001F4A22" w:rsidRPr="00E3500C" w:rsidRDefault="750671CE" w:rsidP="00E3500C">
      <w:pPr>
        <w:pStyle w:val="ListParagraph"/>
        <w:numPr>
          <w:ilvl w:val="0"/>
          <w:numId w:val="62"/>
        </w:numPr>
        <w:ind w:left="0" w:firstLine="360"/>
        <w:rPr>
          <w:rFonts w:ascii="Times New Roman" w:eastAsia="Times New Roman" w:hAnsi="Times New Roman" w:cs="Times New Roman"/>
          <w:smallCaps/>
        </w:rPr>
      </w:pPr>
      <w:r w:rsidRPr="00E3500C">
        <w:rPr>
          <w:rFonts w:ascii="Times New Roman" w:eastAsia="Times New Roman" w:hAnsi="Times New Roman" w:cs="Times New Roman"/>
          <w:i/>
          <w:iCs/>
        </w:rPr>
        <w:t xml:space="preserve">Aerial </w:t>
      </w:r>
      <w:r w:rsidR="007C1411">
        <w:rPr>
          <w:rFonts w:ascii="Times New Roman" w:eastAsia="Times New Roman" w:hAnsi="Times New Roman" w:cs="Times New Roman"/>
          <w:i/>
          <w:iCs/>
        </w:rPr>
        <w:t>t</w:t>
      </w:r>
      <w:r w:rsidRPr="00E3500C">
        <w:rPr>
          <w:rFonts w:ascii="Times New Roman" w:eastAsia="Times New Roman" w:hAnsi="Times New Roman" w:cs="Times New Roman"/>
          <w:i/>
          <w:iCs/>
        </w:rPr>
        <w:t>respass</w:t>
      </w:r>
      <w:r w:rsidRPr="00E3500C">
        <w:rPr>
          <w:rFonts w:ascii="Times New Roman" w:eastAsia="Times New Roman" w:hAnsi="Times New Roman" w:cs="Times New Roman"/>
          <w:b/>
          <w:bCs/>
          <w:i/>
          <w:iCs/>
        </w:rPr>
        <w:t xml:space="preserve">. </w:t>
      </w:r>
      <w:r w:rsidRPr="00E3500C">
        <w:rPr>
          <w:rFonts w:ascii="Times New Roman" w:eastAsia="Times New Roman" w:hAnsi="Times New Roman" w:cs="Times New Roman"/>
        </w:rPr>
        <w:t xml:space="preserve"> English common law traditionally held that property rights extended upward to the heavens.  In William Blackstone</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words,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Land hath also, in its legal signification, an indefinite extent, upwards as well as downwards</w:t>
      </w:r>
      <w:r w:rsidRPr="00E3500C">
        <w:rPr>
          <w:rFonts w:ascii="Times New Roman" w:eastAsia="Times New Roman" w:hAnsi="Times New Roman" w:cs="Times New Roman"/>
          <w:i/>
          <w:iCs/>
        </w:rPr>
        <w:t xml:space="preserve">.  Cujus est solum, </w:t>
      </w:r>
      <w:r w:rsidRPr="00E3500C">
        <w:rPr>
          <w:rFonts w:ascii="Times New Roman" w:eastAsia="Times New Roman" w:hAnsi="Times New Roman" w:cs="Times New Roman"/>
          <w:i/>
          <w:iCs/>
        </w:rPr>
        <w:lastRenderedPageBreak/>
        <w:t>ejus est usque ad coelom</w:t>
      </w:r>
      <w:r w:rsidRPr="00E3500C">
        <w:rPr>
          <w:rFonts w:ascii="Times New Roman" w:eastAsia="Times New Roman" w:hAnsi="Times New Roman" w:cs="Times New Roman"/>
        </w:rPr>
        <w:t>, is the maxim of the law, upwards.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 xml:space="preserve"> </w:t>
      </w:r>
      <w:r w:rsidRPr="00E3500C">
        <w:rPr>
          <w:rFonts w:ascii="Times New Roman" w:eastAsia="Times New Roman" w:hAnsi="Times New Roman" w:cs="Times New Roman"/>
        </w:rPr>
        <w:t xml:space="preserve">2 </w:t>
      </w:r>
      <w:r w:rsidRPr="00E3500C">
        <w:rPr>
          <w:rFonts w:ascii="Times New Roman" w:eastAsia="Times New Roman" w:hAnsi="Times New Roman" w:cs="Times New Roman"/>
          <w:smallCaps/>
        </w:rPr>
        <w:t xml:space="preserve">William Blackstone, Commentaries *18.  </w:t>
      </w:r>
      <w:r w:rsidRPr="00E3500C">
        <w:rPr>
          <w:rFonts w:ascii="Times New Roman" w:eastAsia="Times New Roman" w:hAnsi="Times New Roman" w:cs="Times New Roman"/>
        </w:rPr>
        <w:t xml:space="preserve">The development of the airplane, however, began a decades long struggle to determine the relationship between airspace rights and trespass to land, a struggle that culminated in the 1946 Supreme Court </w:t>
      </w:r>
      <w:r w:rsidR="00021538" w:rsidRPr="00E3500C">
        <w:rPr>
          <w:rFonts w:ascii="Times New Roman" w:eastAsia="Times New Roman" w:hAnsi="Times New Roman" w:cs="Times New Roman"/>
        </w:rPr>
        <w:t>decision</w:t>
      </w:r>
      <w:r w:rsidR="00021538">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United States v. Causby.  </w:t>
      </w:r>
      <w:r w:rsidRPr="00E3500C">
        <w:rPr>
          <w:rFonts w:ascii="Times New Roman" w:eastAsia="Times New Roman" w:hAnsi="Times New Roman" w:cs="Times New Roman"/>
        </w:rPr>
        <w:t>Justice William O. Douglas</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s opinion for the Court held that the </w:t>
      </w:r>
      <w:r w:rsidRPr="00E3500C">
        <w:rPr>
          <w:rFonts w:ascii="Times New Roman" w:eastAsia="Times New Roman" w:hAnsi="Times New Roman" w:cs="Times New Roman"/>
          <w:i/>
          <w:iCs/>
        </w:rPr>
        <w:t>ad coelom</w:t>
      </w:r>
      <w:r w:rsidRPr="00E3500C">
        <w:rPr>
          <w:rFonts w:ascii="Times New Roman" w:eastAsia="Times New Roman" w:hAnsi="Times New Roman" w:cs="Times New Roman"/>
        </w:rPr>
        <w:t xml:space="preserve"> doctrine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has no place in the modern world.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United States v. Causby</w:t>
      </w:r>
      <w:r w:rsidRPr="00E3500C">
        <w:rPr>
          <w:rFonts w:ascii="Times New Roman" w:eastAsia="Times New Roman" w:hAnsi="Times New Roman" w:cs="Times New Roman"/>
        </w:rPr>
        <w:t xml:space="preserve">, 328 U.S. 256, 260-61 (1946).  The court held a landowner </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owns at least as much of the space above the ground as he can occupy or use in connection with the land.</w:t>
      </w:r>
      <w:r w:rsidR="00B05F31" w:rsidRPr="00E3500C">
        <w:rPr>
          <w:rFonts w:ascii="Times New Roman" w:eastAsia="Times New Roman" w:hAnsi="Times New Roman" w:cs="Times New Roman"/>
        </w:rPr>
        <w:t>”</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i/>
          <w:iCs/>
        </w:rPr>
        <w:t xml:space="preserve">Id. </w:t>
      </w:r>
      <w:r w:rsidRPr="00E3500C">
        <w:rPr>
          <w:rFonts w:ascii="Times New Roman" w:eastAsia="Times New Roman" w:hAnsi="Times New Roman" w:cs="Times New Roman"/>
        </w:rPr>
        <w:t xml:space="preserve">at 264. </w:t>
      </w:r>
      <w:r w:rsidRPr="00E3500C">
        <w:rPr>
          <w:rFonts w:ascii="Times New Roman" w:eastAsia="Times New Roman" w:hAnsi="Times New Roman" w:cs="Times New Roman"/>
          <w:i/>
          <w:iCs/>
        </w:rPr>
        <w:t xml:space="preserve"> See generally</w:t>
      </w:r>
      <w:r w:rsidRPr="00E3500C">
        <w:rPr>
          <w:rFonts w:ascii="Times New Roman" w:eastAsia="Times New Roman" w:hAnsi="Times New Roman" w:cs="Times New Roman"/>
        </w:rPr>
        <w:t xml:space="preserve"> </w:t>
      </w:r>
      <w:r w:rsidRPr="00E3500C">
        <w:rPr>
          <w:rFonts w:ascii="Times New Roman" w:eastAsia="Times New Roman" w:hAnsi="Times New Roman" w:cs="Times New Roman"/>
          <w:smallCaps/>
        </w:rPr>
        <w:t>Stuart Banner, Who Owns The Sky?: The Struggle To Control Airspace From The Wright Brothers On (2008).</w:t>
      </w:r>
    </w:p>
    <w:p w14:paraId="786E9AAE" w14:textId="77777777" w:rsidR="001F4A22" w:rsidRDefault="001F4A22" w:rsidP="001F4A22">
      <w:pPr>
        <w:rPr>
          <w:rFonts w:ascii="Times New Roman" w:hAnsi="Times New Roman" w:cs="Times New Roman"/>
        </w:rPr>
      </w:pPr>
    </w:p>
    <w:p w14:paraId="4630F0A8" w14:textId="539CDBC0"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Judicial approaches to airspace property determinations ran alongside legislative and regulatory attempts to establish boundaries between private and public airspace.  The 1938 Civil Aeronautics Act provided </w:t>
      </w:r>
      <w:r w:rsidR="00B05F31">
        <w:rPr>
          <w:rFonts w:ascii="Times New Roman" w:eastAsia="Times New Roman" w:hAnsi="Times New Roman" w:cs="Times New Roman"/>
        </w:rPr>
        <w:t>“</w:t>
      </w:r>
      <w:r w:rsidRPr="750671CE">
        <w:rPr>
          <w:rFonts w:ascii="Times New Roman" w:eastAsia="Times New Roman" w:hAnsi="Times New Roman" w:cs="Times New Roman"/>
        </w:rPr>
        <w:t>a public right of freedom of transit in air commerce through the navigable air space of the United States.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Civil Aeronautics Act of 1938, Pub. L. No. 75-706 § 3, 52 Stat. 973, 980.  The Federal Aviation Agency (FAA), in turn, defines navigable airspace by reference to the minimum safe operating altitudes of various aircraft.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14 C.F.R. § 91.119 (2002).  </w:t>
      </w:r>
    </w:p>
    <w:p w14:paraId="5E8D4927" w14:textId="77777777" w:rsidR="001F4A22" w:rsidRDefault="001F4A22" w:rsidP="001F4A22">
      <w:pPr>
        <w:ind w:firstLine="720"/>
        <w:rPr>
          <w:rFonts w:ascii="Times New Roman" w:hAnsi="Times New Roman" w:cs="Times New Roman"/>
        </w:rPr>
      </w:pPr>
    </w:p>
    <w:p w14:paraId="6D3C3B20" w14:textId="79957AFA" w:rsidR="001F4A22" w:rsidRDefault="00562279" w:rsidP="750671CE">
      <w:pPr>
        <w:ind w:firstLine="720"/>
        <w:rPr>
          <w:rFonts w:ascii="Times New Roman" w:eastAsia="Times New Roman" w:hAnsi="Times New Roman" w:cs="Times New Roman"/>
        </w:rPr>
      </w:pPr>
      <w:r>
        <w:rPr>
          <w:rFonts w:ascii="Times New Roman" w:eastAsia="Times New Roman" w:hAnsi="Times New Roman" w:cs="Times New Roman"/>
        </w:rPr>
        <w:t>W</w:t>
      </w:r>
      <w:r w:rsidR="750671CE" w:rsidRPr="750671CE">
        <w:rPr>
          <w:rFonts w:ascii="Times New Roman" w:eastAsia="Times New Roman" w:hAnsi="Times New Roman" w:cs="Times New Roman"/>
        </w:rPr>
        <w:t xml:space="preserve">hat about unmanned aircraft systems, commonly called drones? </w:t>
      </w:r>
      <w:r w:rsidR="00EC7173">
        <w:rPr>
          <w:rFonts w:ascii="Times New Roman" w:eastAsia="Times New Roman" w:hAnsi="Times New Roman" w:cs="Times New Roman"/>
        </w:rPr>
        <w:t xml:space="preserve"> </w:t>
      </w:r>
      <w:r w:rsidR="750671CE" w:rsidRPr="750671CE">
        <w:rPr>
          <w:rFonts w:ascii="Times New Roman" w:eastAsia="Times New Roman" w:hAnsi="Times New Roman" w:cs="Times New Roman"/>
        </w:rPr>
        <w:t xml:space="preserve">In 2012 Congress instructed the FAA to </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develop a comprehensive plan to safely accelerate the integration of civil unmanned aircraft systems into the national airspace system.</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750671CE" w:rsidRPr="750671CE">
        <w:rPr>
          <w:rFonts w:ascii="Times New Roman" w:eastAsia="Times New Roman" w:hAnsi="Times New Roman" w:cs="Times New Roman"/>
          <w:i/>
          <w:iCs/>
        </w:rPr>
        <w:t>See</w:t>
      </w:r>
      <w:r w:rsidR="750671CE" w:rsidRPr="750671CE">
        <w:rPr>
          <w:rFonts w:ascii="Times New Roman" w:eastAsia="Times New Roman" w:hAnsi="Times New Roman" w:cs="Times New Roman"/>
        </w:rPr>
        <w:t xml:space="preserve"> FAA Modernization and Reform Act of 2012, Pub. L. No. 112-95, § 332(a)(1), 126 Stat. 11, 73. The law included a requirement to </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define the acceptable standards for operation.</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750671CE" w:rsidRPr="750671CE">
        <w:rPr>
          <w:rFonts w:ascii="Times New Roman" w:eastAsia="Times New Roman" w:hAnsi="Times New Roman" w:cs="Times New Roman"/>
          <w:i/>
          <w:iCs/>
        </w:rPr>
        <w:t>Id</w:t>
      </w:r>
      <w:r w:rsidR="750671CE" w:rsidRPr="750671CE">
        <w:rPr>
          <w:rFonts w:ascii="Times New Roman" w:eastAsia="Times New Roman" w:hAnsi="Times New Roman" w:cs="Times New Roman"/>
        </w:rPr>
        <w:t xml:space="preserve">. at § 332(a)(2)(A)(i).  The integration is mandated </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as soon as practicable, but not later than September 30, 2015.</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750671CE" w:rsidRPr="750671CE">
        <w:rPr>
          <w:rFonts w:ascii="Times New Roman" w:eastAsia="Times New Roman" w:hAnsi="Times New Roman" w:cs="Times New Roman"/>
          <w:i/>
          <w:iCs/>
        </w:rPr>
        <w:t>Id</w:t>
      </w:r>
      <w:r w:rsidR="750671CE" w:rsidRPr="750671CE">
        <w:rPr>
          <w:rFonts w:ascii="Times New Roman" w:eastAsia="Times New Roman" w:hAnsi="Times New Roman" w:cs="Times New Roman"/>
        </w:rPr>
        <w:t xml:space="preserve">. at § 332(a)(3).  </w:t>
      </w:r>
      <w:r>
        <w:rPr>
          <w:rFonts w:ascii="Times New Roman" w:eastAsia="Times New Roman" w:hAnsi="Times New Roman" w:cs="Times New Roman"/>
        </w:rPr>
        <w:t xml:space="preserve">At least some pieces of the </w:t>
      </w:r>
      <w:r w:rsidR="00EC7173">
        <w:rPr>
          <w:rFonts w:ascii="Times New Roman" w:eastAsia="Times New Roman" w:hAnsi="Times New Roman" w:cs="Times New Roman"/>
        </w:rPr>
        <w:t>FAA</w:t>
      </w:r>
      <w:r>
        <w:rPr>
          <w:rFonts w:ascii="Times New Roman" w:eastAsia="Times New Roman" w:hAnsi="Times New Roman" w:cs="Times New Roman"/>
        </w:rPr>
        <w:t>’s</w:t>
      </w:r>
      <w:r w:rsidR="00EC7173">
        <w:rPr>
          <w:rFonts w:ascii="Times New Roman" w:eastAsia="Times New Roman" w:hAnsi="Times New Roman" w:cs="Times New Roman"/>
        </w:rPr>
        <w:t xml:space="preserve"> efforts, however, have been wrapped up in litigation.  </w:t>
      </w:r>
      <w:r w:rsidR="00EC7173" w:rsidRPr="00562279">
        <w:rPr>
          <w:rFonts w:ascii="Times New Roman" w:eastAsia="Times New Roman" w:hAnsi="Times New Roman" w:cs="Times New Roman"/>
          <w:i/>
        </w:rPr>
        <w:t>See</w:t>
      </w:r>
      <w:r w:rsidR="00EC7173">
        <w:rPr>
          <w:rFonts w:ascii="Times New Roman" w:eastAsia="Times New Roman" w:hAnsi="Times New Roman" w:cs="Times New Roman"/>
        </w:rPr>
        <w:t xml:space="preserve"> </w:t>
      </w:r>
      <w:r w:rsidR="00EC7173" w:rsidRPr="00FD6B18">
        <w:rPr>
          <w:rFonts w:ascii="Times New Roman" w:eastAsia="Times New Roman" w:hAnsi="Times New Roman" w:cs="Times New Roman"/>
          <w:i/>
        </w:rPr>
        <w:t>Taylor v. Huerta</w:t>
      </w:r>
      <w:r w:rsidR="00EC7173">
        <w:rPr>
          <w:rFonts w:ascii="Times New Roman" w:eastAsia="Times New Roman" w:hAnsi="Times New Roman" w:cs="Times New Roman"/>
        </w:rPr>
        <w:t xml:space="preserve">, No. 15-1495 (D. C. Cir., May 19, 2017). </w:t>
      </w:r>
      <w:r w:rsidR="750671CE" w:rsidRPr="750671CE">
        <w:rPr>
          <w:rFonts w:ascii="Times New Roman" w:eastAsia="Times New Roman" w:hAnsi="Times New Roman" w:cs="Times New Roman"/>
        </w:rPr>
        <w:t xml:space="preserve"> </w:t>
      </w:r>
    </w:p>
    <w:p w14:paraId="3AB53249" w14:textId="77777777" w:rsidR="001F4A22" w:rsidRDefault="001F4A22" w:rsidP="001F4A22">
      <w:pPr>
        <w:ind w:firstLine="720"/>
        <w:rPr>
          <w:rFonts w:ascii="Times New Roman" w:hAnsi="Times New Roman" w:cs="Times New Roman"/>
        </w:rPr>
      </w:pPr>
    </w:p>
    <w:p w14:paraId="5456F781" w14:textId="77777777" w:rsidR="001F4A22"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If the FAA were to allow drones substantial freedom to navigate the air close to ground level, could such a determination amount to a Fifth Amendment taking of private property?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Troy A. Rule,</w:t>
      </w:r>
      <w:r w:rsidRPr="750671CE">
        <w:rPr>
          <w:rFonts w:ascii="Times New Roman" w:eastAsia="Times New Roman" w:hAnsi="Times New Roman" w:cs="Times New Roman"/>
          <w:i/>
          <w:iCs/>
        </w:rPr>
        <w:t xml:space="preserve"> Airspace and the Takings Clause</w:t>
      </w:r>
      <w:r w:rsidRPr="750671CE">
        <w:rPr>
          <w:rFonts w:ascii="Times New Roman" w:eastAsia="Times New Roman" w:hAnsi="Times New Roman" w:cs="Times New Roman"/>
        </w:rPr>
        <w:t xml:space="preserve">, 90 </w:t>
      </w:r>
      <w:r w:rsidRPr="750671CE">
        <w:rPr>
          <w:rFonts w:ascii="Times New Roman" w:eastAsia="Times New Roman" w:hAnsi="Times New Roman" w:cs="Times New Roman"/>
          <w:smallCaps/>
        </w:rPr>
        <w:t>Wash. U. L. Rev</w:t>
      </w:r>
      <w:r w:rsidRPr="750671CE">
        <w:rPr>
          <w:rFonts w:ascii="Times New Roman" w:eastAsia="Times New Roman" w:hAnsi="Times New Roman" w:cs="Times New Roman"/>
        </w:rPr>
        <w:t xml:space="preserve">. 421 (2013).  </w:t>
      </w:r>
    </w:p>
    <w:p w14:paraId="2761F9AA" w14:textId="77777777" w:rsidR="001F4A22" w:rsidRDefault="001F4A22" w:rsidP="00562279">
      <w:pPr>
        <w:widowControl w:val="0"/>
        <w:tabs>
          <w:tab w:val="left" w:pos="0"/>
        </w:tabs>
        <w:rPr>
          <w:rFonts w:ascii="Times New Roman" w:hAnsi="Times New Roman" w:cs="Times New Roman"/>
        </w:rPr>
      </w:pPr>
    </w:p>
    <w:p w14:paraId="7D7F1702" w14:textId="77777777" w:rsidR="007C1411" w:rsidRDefault="007C1411" w:rsidP="00562279">
      <w:pPr>
        <w:widowControl w:val="0"/>
        <w:tabs>
          <w:tab w:val="left" w:pos="0"/>
        </w:tabs>
        <w:rPr>
          <w:rFonts w:ascii="Times New Roman" w:hAnsi="Times New Roman" w:cs="Times New Roman"/>
        </w:rPr>
      </w:pPr>
    </w:p>
    <w:p w14:paraId="67862774" w14:textId="77777777" w:rsidR="001F4A22" w:rsidRDefault="001F4A22" w:rsidP="00322687">
      <w:pPr>
        <w:pStyle w:val="Heading3"/>
        <w:rPr>
          <w:smallCaps/>
        </w:rPr>
      </w:pPr>
      <w:bookmarkStart w:id="57" w:name="_Toc364636048"/>
      <w:bookmarkStart w:id="58" w:name="_Toc518323206"/>
      <w:r w:rsidRPr="0082336D">
        <w:rPr>
          <w:smallCaps/>
        </w:rPr>
        <w:t xml:space="preserve">2. </w:t>
      </w:r>
      <w:r w:rsidRPr="0082336D">
        <w:t>Trespass to Chattels</w:t>
      </w:r>
      <w:bookmarkEnd w:id="57"/>
      <w:bookmarkEnd w:id="58"/>
      <w:r w:rsidRPr="0082336D">
        <w:rPr>
          <w:smallCaps/>
        </w:rPr>
        <w:t xml:space="preserve"> </w:t>
      </w:r>
    </w:p>
    <w:p w14:paraId="3BC3A3BD" w14:textId="77777777" w:rsidR="00B13147" w:rsidRPr="00C22F1D" w:rsidRDefault="00B13147" w:rsidP="00562279"/>
    <w:p w14:paraId="20A477FE" w14:textId="5E61D5FE"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Traditionally, reported cases of trespass to chattels have been few and far between and of relatively little legal significance, at least in the grand scheme of things. Typical cases of trespass to chattels in the traditional sense include</w:t>
      </w:r>
      <w:r w:rsidRPr="750671CE">
        <w:rPr>
          <w:rFonts w:ascii="Times New Roman" w:eastAsia="Times New Roman" w:hAnsi="Times New Roman" w:cs="Times New Roman"/>
          <w:i/>
          <w:iCs/>
        </w:rPr>
        <w:t xml:space="preserve"> Jones v. Boswell</w:t>
      </w:r>
      <w:r w:rsidRPr="750671CE">
        <w:rPr>
          <w:rFonts w:ascii="Times New Roman" w:eastAsia="Times New Roman" w:hAnsi="Times New Roman" w:cs="Times New Roman"/>
        </w:rPr>
        <w:t>, 250 S.W.3d 140 (Tex. App. 2008), in which the court found that an action of trespass to chattels would lie where the defendant who repaired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bulldozer refused to return the bulldozer before he received payment for his services, or </w:t>
      </w:r>
      <w:r w:rsidRPr="750671CE">
        <w:rPr>
          <w:rFonts w:ascii="Times New Roman" w:eastAsia="Times New Roman" w:hAnsi="Times New Roman" w:cs="Times New Roman"/>
          <w:i/>
          <w:iCs/>
        </w:rPr>
        <w:t>Kirschbaum v. McLaurin Parking Co.</w:t>
      </w:r>
      <w:r w:rsidRPr="750671CE">
        <w:rPr>
          <w:rFonts w:ascii="Times New Roman" w:eastAsia="Times New Roman" w:hAnsi="Times New Roman" w:cs="Times New Roman"/>
        </w:rPr>
        <w:t xml:space="preserve">, 188 N.C. App. 782, 656 S.E.2d 683 (2008), in which a court held that the defendant was not liable for trespass to chattels when it placed a </w:t>
      </w:r>
      <w:r w:rsidR="00B05F31">
        <w:rPr>
          <w:rFonts w:ascii="Times New Roman" w:eastAsia="Times New Roman" w:hAnsi="Times New Roman" w:cs="Times New Roman"/>
        </w:rPr>
        <w:t>“</w:t>
      </w:r>
      <w:r w:rsidRPr="750671CE">
        <w:rPr>
          <w:rFonts w:ascii="Times New Roman" w:eastAsia="Times New Roman" w:hAnsi="Times New Roman" w:cs="Times New Roman"/>
        </w:rPr>
        <w:t>boot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 </w:t>
      </w:r>
      <w:r w:rsidRPr="750671CE">
        <w:rPr>
          <w:rFonts w:ascii="Times New Roman" w:eastAsia="Times New Roman" w:hAnsi="Times New Roman" w:cs="Times New Roman"/>
        </w:rPr>
        <w:lastRenderedPageBreak/>
        <w:t>immobilization device that attaches to, and restricts the movement of, the wheel of a vehicle) on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car while the defendant was illegally parked in a private lot. </w:t>
      </w:r>
    </w:p>
    <w:p w14:paraId="609BFF7F" w14:textId="77777777" w:rsidR="001F4A22" w:rsidRPr="00536EF5" w:rsidRDefault="001F4A22" w:rsidP="001F4A22">
      <w:pPr>
        <w:ind w:firstLine="720"/>
        <w:rPr>
          <w:rFonts w:ascii="Times New Roman" w:hAnsi="Times New Roman" w:cs="Times New Roman"/>
          <w:b/>
          <w:i/>
        </w:rPr>
      </w:pPr>
    </w:p>
    <w:p w14:paraId="5BA59C21" w14:textId="6E229E19" w:rsidR="001F4A22" w:rsidRPr="00562279" w:rsidRDefault="750671CE" w:rsidP="00D96803">
      <w:pPr>
        <w:ind w:firstLine="720"/>
        <w:rPr>
          <w:rFonts w:ascii="Times New Roman" w:hAnsi="Times New Roman" w:cs="Times New Roman"/>
        </w:rPr>
      </w:pPr>
      <w:r w:rsidRPr="750671CE">
        <w:rPr>
          <w:rFonts w:ascii="Times New Roman" w:eastAsia="Times New Roman" w:hAnsi="Times New Roman" w:cs="Times New Roman"/>
        </w:rPr>
        <w:t xml:space="preserve">Common law jurisdictions typically hold that a person is liable for trespass to chattels only if her interference with the chattel either causes dispossession or causes injury to the possessor. </w:t>
      </w:r>
      <w:r w:rsidRPr="750671CE">
        <w:rPr>
          <w:rFonts w:ascii="Times New Roman" w:eastAsia="Times New Roman" w:hAnsi="Times New Roman" w:cs="Times New Roman"/>
          <w:i/>
          <w:iCs/>
        </w:rPr>
        <w:t>See, e.g</w:t>
      </w:r>
      <w:r w:rsidR="00D050A5">
        <w:rPr>
          <w:rFonts w:ascii="Times New Roman" w:eastAsia="Times New Roman" w:hAnsi="Times New Roman" w:cs="Times New Roman"/>
          <w:i/>
          <w:iCs/>
        </w:rPr>
        <w:t>.</w:t>
      </w:r>
      <w:r w:rsidRPr="750671CE">
        <w:rPr>
          <w:rFonts w:ascii="Times New Roman" w:eastAsia="Times New Roman" w:hAnsi="Times New Roman" w:cs="Times New Roman"/>
        </w:rPr>
        <w:t>,</w:t>
      </w:r>
      <w:r w:rsidRPr="750671CE">
        <w:rPr>
          <w:rFonts w:ascii="Times New Roman" w:eastAsia="Times New Roman" w:hAnsi="Times New Roman" w:cs="Times New Roman"/>
          <w:smallCaps/>
        </w:rPr>
        <w:t xml:space="preserve"> </w:t>
      </w:r>
      <w:r w:rsidR="00D050A5" w:rsidRPr="750671CE">
        <w:rPr>
          <w:rFonts w:ascii="Times New Roman" w:eastAsia="Times New Roman" w:hAnsi="Times New Roman" w:cs="Times New Roman"/>
          <w:smallCaps/>
        </w:rPr>
        <w:t>R</w:t>
      </w:r>
      <w:r w:rsidR="00D050A5">
        <w:rPr>
          <w:rFonts w:ascii="Times New Roman" w:eastAsia="Times New Roman" w:hAnsi="Times New Roman" w:cs="Times New Roman"/>
          <w:smallCaps/>
        </w:rPr>
        <w:t>estatement</w:t>
      </w:r>
      <w:r w:rsidR="00D050A5" w:rsidRPr="750671CE">
        <w:rPr>
          <w:rFonts w:ascii="Times New Roman" w:eastAsia="Times New Roman" w:hAnsi="Times New Roman" w:cs="Times New Roman"/>
          <w:smallCaps/>
        </w:rPr>
        <w:t xml:space="preserve"> </w:t>
      </w:r>
      <w:r w:rsidRPr="750671CE">
        <w:rPr>
          <w:rFonts w:ascii="Times New Roman" w:eastAsia="Times New Roman" w:hAnsi="Times New Roman" w:cs="Times New Roman"/>
          <w:smallCaps/>
        </w:rPr>
        <w:t>(Second) of Torts</w:t>
      </w:r>
      <w:r w:rsidRPr="750671CE">
        <w:rPr>
          <w:rFonts w:ascii="Times New Roman" w:eastAsia="Times New Roman" w:hAnsi="Times New Roman" w:cs="Times New Roman"/>
        </w:rPr>
        <w:t xml:space="preserve"> § 218 (1965).  In other words, the common law imposes the same kind of injury or damage requirement that appeared in the law of intangible trespasses and in the law of battery, but which is not typically present in the law of trespass to real property.</w:t>
      </w:r>
      <w:r w:rsidR="00D96803">
        <w:rPr>
          <w:rFonts w:ascii="Times New Roman" w:hAnsi="Times New Roman" w:cs="Times New Roman"/>
        </w:rPr>
        <w:t xml:space="preserve"> </w:t>
      </w:r>
      <w:r w:rsidR="00930156">
        <w:rPr>
          <w:rFonts w:ascii="Times New Roman" w:hAnsi="Times New Roman" w:cs="Times New Roman"/>
        </w:rPr>
        <w:t xml:space="preserve"> W</w:t>
      </w:r>
      <w:r w:rsidR="00D96803">
        <w:rPr>
          <w:rFonts w:ascii="Times New Roman" w:hAnsi="Times New Roman" w:cs="Times New Roman"/>
        </w:rPr>
        <w:t xml:space="preserve">hether </w:t>
      </w:r>
      <w:r w:rsidR="00930156">
        <w:rPr>
          <w:rFonts w:ascii="Times New Roman" w:hAnsi="Times New Roman" w:cs="Times New Roman"/>
        </w:rPr>
        <w:t>the</w:t>
      </w:r>
      <w:r w:rsidR="00D96803">
        <w:rPr>
          <w:rFonts w:ascii="Times New Roman" w:hAnsi="Times New Roman" w:cs="Times New Roman"/>
        </w:rPr>
        <w:t xml:space="preserve"> property interest </w:t>
      </w:r>
      <w:r w:rsidR="00930156">
        <w:rPr>
          <w:rFonts w:ascii="Times New Roman" w:hAnsi="Times New Roman" w:cs="Times New Roman"/>
        </w:rPr>
        <w:t xml:space="preserve">in question </w:t>
      </w:r>
      <w:r w:rsidR="00D96803">
        <w:rPr>
          <w:rFonts w:ascii="Times New Roman" w:hAnsi="Times New Roman" w:cs="Times New Roman"/>
        </w:rPr>
        <w:t>is real or personal can thus have determinative significance for the outcome of a case.</w:t>
      </w:r>
    </w:p>
    <w:p w14:paraId="7B637487" w14:textId="77777777" w:rsidR="001F4A22" w:rsidRDefault="001F4A22" w:rsidP="001F4A22">
      <w:pPr>
        <w:ind w:firstLine="720"/>
        <w:rPr>
          <w:rFonts w:ascii="Times New Roman" w:hAnsi="Times New Roman" w:cs="Times New Roman"/>
        </w:rPr>
      </w:pPr>
    </w:p>
    <w:p w14:paraId="4D08E036" w14:textId="624847DD" w:rsidR="00D96803" w:rsidRPr="005F15A7" w:rsidRDefault="00D96803" w:rsidP="00562279">
      <w:pPr>
        <w:ind w:firstLine="720"/>
        <w:rPr>
          <w:rFonts w:ascii="Times New Roman" w:eastAsia="Times New Roman" w:hAnsi="Times New Roman" w:cs="Times New Roman"/>
        </w:rPr>
      </w:pPr>
      <w:r>
        <w:rPr>
          <w:rFonts w:ascii="Times New Roman" w:eastAsia="Times New Roman" w:hAnsi="Times New Roman" w:cs="Times New Roman"/>
        </w:rPr>
        <w:t>Yet,</w:t>
      </w:r>
      <w:r w:rsidRPr="750671CE">
        <w:rPr>
          <w:rFonts w:ascii="Times New Roman" w:eastAsia="Times New Roman" w:hAnsi="Times New Roman" w:cs="Times New Roman"/>
        </w:rPr>
        <w:t xml:space="preserve"> the difference between the two formal categories of property</w:t>
      </w:r>
      <w:r w:rsidRPr="005832AD">
        <w:rPr>
          <w:rFonts w:ascii="Times New Roman" w:eastAsia="Times New Roman" w:hAnsi="Times New Roman" w:cs="Times New Roman"/>
        </w:rPr>
        <w:t>—</w:t>
      </w:r>
      <w:r w:rsidRPr="750671CE">
        <w:rPr>
          <w:rFonts w:ascii="Times New Roman" w:eastAsia="Times New Roman" w:hAnsi="Times New Roman" w:cs="Times New Roman"/>
        </w:rPr>
        <w:t>and thus the difference between the two trespass causes of action</w:t>
      </w:r>
      <w:r w:rsidRPr="005832AD">
        <w:rPr>
          <w:rFonts w:ascii="Times New Roman" w:eastAsia="Times New Roman" w:hAnsi="Times New Roman" w:cs="Times New Roman"/>
        </w:rPr>
        <w:t>—</w:t>
      </w:r>
      <w:r w:rsidRPr="750671CE">
        <w:rPr>
          <w:rFonts w:ascii="Times New Roman" w:eastAsia="Times New Roman" w:hAnsi="Times New Roman" w:cs="Times New Roman"/>
        </w:rPr>
        <w:t xml:space="preserve">can be difficult to discern.  Consider </w:t>
      </w:r>
      <w:r w:rsidRPr="750671CE">
        <w:rPr>
          <w:rFonts w:ascii="Times New Roman" w:eastAsia="Times New Roman" w:hAnsi="Times New Roman" w:cs="Times New Roman"/>
          <w:i/>
          <w:iCs/>
        </w:rPr>
        <w:t>Blondell v. Consolidated Gas Co</w:t>
      </w:r>
      <w:r w:rsidRPr="750671CE">
        <w:rPr>
          <w:rFonts w:ascii="Times New Roman" w:eastAsia="Times New Roman" w:hAnsi="Times New Roman" w:cs="Times New Roman"/>
        </w:rPr>
        <w:t xml:space="preserve">., where the plaintiff natural gas supplier sued defendants for attaching a device known as a </w:t>
      </w:r>
      <w:r>
        <w:rPr>
          <w:rFonts w:ascii="Times New Roman" w:eastAsia="Times New Roman" w:hAnsi="Times New Roman" w:cs="Times New Roman"/>
        </w:rPr>
        <w:t>“</w:t>
      </w:r>
      <w:r w:rsidRPr="750671CE">
        <w:rPr>
          <w:rFonts w:ascii="Times New Roman" w:eastAsia="Times New Roman" w:hAnsi="Times New Roman" w:cs="Times New Roman"/>
        </w:rPr>
        <w:t>governor</w:t>
      </w:r>
      <w:r>
        <w:rPr>
          <w:rFonts w:ascii="Times New Roman" w:eastAsia="Times New Roman" w:hAnsi="Times New Roman" w:cs="Times New Roman"/>
        </w:rPr>
        <w:t>”</w:t>
      </w:r>
      <w:r w:rsidRPr="750671CE">
        <w:rPr>
          <w:rFonts w:ascii="Times New Roman" w:eastAsia="Times New Roman" w:hAnsi="Times New Roman" w:cs="Times New Roman"/>
        </w:rPr>
        <w:t xml:space="preserve"> to the plaintiff</w:t>
      </w:r>
      <w:r>
        <w:rPr>
          <w:rFonts w:ascii="Times New Roman" w:eastAsia="Times New Roman" w:hAnsi="Times New Roman" w:cs="Times New Roman"/>
        </w:rPr>
        <w:t>’</w:t>
      </w:r>
      <w:r w:rsidRPr="750671CE">
        <w:rPr>
          <w:rFonts w:ascii="Times New Roman" w:eastAsia="Times New Roman" w:hAnsi="Times New Roman" w:cs="Times New Roman"/>
        </w:rPr>
        <w:t>s meters, pipes, and connections inside the buildings of the plaintiffs</w:t>
      </w:r>
      <w:r>
        <w:rPr>
          <w:rFonts w:ascii="Times New Roman" w:eastAsia="Times New Roman" w:hAnsi="Times New Roman" w:cs="Times New Roman"/>
        </w:rPr>
        <w:t>’</w:t>
      </w:r>
      <w:r w:rsidRPr="750671CE">
        <w:rPr>
          <w:rFonts w:ascii="Times New Roman" w:eastAsia="Times New Roman" w:hAnsi="Times New Roman" w:cs="Times New Roman"/>
        </w:rPr>
        <w:t xml:space="preserve"> customers for the purpose of reducing gas consumption by the customers.  Defendants replied by denying that their governors caused any damage to the plaintiff</w:t>
      </w:r>
      <w:r>
        <w:rPr>
          <w:rFonts w:ascii="Times New Roman" w:eastAsia="Times New Roman" w:hAnsi="Times New Roman" w:cs="Times New Roman"/>
        </w:rPr>
        <w:t>’</w:t>
      </w:r>
      <w:r w:rsidRPr="750671CE">
        <w:rPr>
          <w:rFonts w:ascii="Times New Roman" w:eastAsia="Times New Roman" w:hAnsi="Times New Roman" w:cs="Times New Roman"/>
        </w:rPr>
        <w:t>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688E4ADC" w14:textId="77777777" w:rsidR="00D96803" w:rsidRPr="005F15A7" w:rsidRDefault="00D96803" w:rsidP="00D96803">
      <w:pPr>
        <w:rPr>
          <w:rFonts w:ascii="Times New Roman" w:hAnsi="Times New Roman" w:cs="Times New Roman"/>
        </w:rPr>
      </w:pPr>
    </w:p>
    <w:p w14:paraId="35DAD28F" w14:textId="77777777" w:rsidR="00D96803" w:rsidRPr="005F15A7" w:rsidRDefault="00D96803">
      <w:pPr>
        <w:pStyle w:val="blockquote"/>
      </w:pPr>
      <w:r w:rsidRPr="750671CE">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w:t>
      </w:r>
      <w:r>
        <w:t>’</w:t>
      </w:r>
      <w:r w:rsidRPr="750671CE">
        <w:t xml:space="preserve">s property. </w:t>
      </w:r>
    </w:p>
    <w:p w14:paraId="26CC7C5C" w14:textId="77777777" w:rsidR="00D96803" w:rsidRPr="005F15A7" w:rsidRDefault="00D96803">
      <w:pPr>
        <w:rPr>
          <w:rFonts w:ascii="Times New Roman" w:eastAsia="Times New Roman" w:hAnsi="Times New Roman" w:cs="Times New Roman"/>
        </w:rPr>
      </w:pPr>
    </w:p>
    <w:p w14:paraId="4758B198" w14:textId="4D0F53DE" w:rsidR="00D96803" w:rsidRPr="004034E3" w:rsidRDefault="00D96803" w:rsidP="004034E3">
      <w:pPr>
        <w:rPr>
          <w:rFonts w:ascii="Times New Roman" w:eastAsia="Times New Roman" w:hAnsi="Times New Roman" w:cs="Times New Roman"/>
        </w:rPr>
      </w:pPr>
      <w:r w:rsidRPr="750671CE">
        <w:rPr>
          <w:rFonts w:ascii="Times New Roman" w:eastAsia="Times New Roman" w:hAnsi="Times New Roman" w:cs="Times New Roman"/>
        </w:rPr>
        <w:t xml:space="preserve">43 A. 817, 819 (Md. 1908).  Is the property at issue in </w:t>
      </w:r>
      <w:r w:rsidRPr="750671CE">
        <w:rPr>
          <w:rFonts w:ascii="Times New Roman" w:eastAsia="Times New Roman" w:hAnsi="Times New Roman" w:cs="Times New Roman"/>
          <w:i/>
          <w:iCs/>
        </w:rPr>
        <w:t>Blondell</w:t>
      </w:r>
      <w:r w:rsidRPr="750671CE">
        <w:rPr>
          <w:rFonts w:ascii="Times New Roman" w:eastAsia="Times New Roman" w:hAnsi="Times New Roman" w:cs="Times New Roman"/>
        </w:rPr>
        <w:t xml:space="preserve"> real or personal?  </w:t>
      </w:r>
      <w:r>
        <w:rPr>
          <w:rFonts w:ascii="Times New Roman" w:eastAsia="Times New Roman" w:hAnsi="Times New Roman" w:cs="Times New Roman"/>
        </w:rPr>
        <w:t>In each scenario, which party would be most likely to prevail?</w:t>
      </w:r>
      <w:r w:rsidRPr="750671CE">
        <w:rPr>
          <w:rFonts w:ascii="Times New Roman" w:eastAsia="Times New Roman" w:hAnsi="Times New Roman" w:cs="Times New Roman"/>
        </w:rPr>
        <w:t xml:space="preserve"> </w:t>
      </w:r>
    </w:p>
    <w:p w14:paraId="30A1DF86" w14:textId="77777777" w:rsidR="00D96803" w:rsidRDefault="00D96803">
      <w:pPr>
        <w:ind w:firstLine="720"/>
        <w:rPr>
          <w:rFonts w:ascii="Times New Roman" w:hAnsi="Times New Roman" w:cs="Times New Roman"/>
        </w:rPr>
      </w:pPr>
    </w:p>
    <w:p w14:paraId="317A5761" w14:textId="77777777" w:rsidR="001F4A22" w:rsidRDefault="001F4A22">
      <w:pPr>
        <w:widowControl w:val="0"/>
        <w:autoSpaceDE w:val="0"/>
        <w:autoSpaceDN w:val="0"/>
        <w:adjustRightInd w:val="0"/>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Lately, this once sleepy area of the law has generated more excitement.  Without anyone quite anticipating what would take place, the law of trespass to chattels has become central to a crucial question in the brave new world of digital interactions. What about trespass in cyberspace?</w:t>
      </w:r>
    </w:p>
    <w:p w14:paraId="0FA29520" w14:textId="037E7BF8" w:rsidR="00441E5D" w:rsidRDefault="00441E5D">
      <w:pPr>
        <w:rPr>
          <w:rFonts w:ascii="Times New Roman" w:eastAsia="Times New Roman" w:hAnsi="Times New Roman" w:cs="Times New Roman"/>
        </w:rPr>
      </w:pPr>
      <w:r>
        <w:rPr>
          <w:rFonts w:ascii="Times New Roman" w:eastAsia="Times New Roman" w:hAnsi="Times New Roman" w:cs="Times New Roman"/>
        </w:rPr>
        <w:br w:type="page"/>
      </w:r>
    </w:p>
    <w:p w14:paraId="3D76F34A" w14:textId="77777777" w:rsidR="001F4A22" w:rsidRPr="004034E3" w:rsidRDefault="001F4A22" w:rsidP="00C74195">
      <w:pPr>
        <w:rPr>
          <w:b/>
          <w:bCs/>
          <w:color w:val="000000" w:themeColor="text1"/>
        </w:rPr>
      </w:pPr>
      <w:bookmarkStart w:id="59" w:name="_Toc518323207"/>
      <w:bookmarkStart w:id="60" w:name="_Toc364636049"/>
      <w:r w:rsidRPr="00C74195">
        <w:rPr>
          <w:rStyle w:val="Heading4Char"/>
        </w:rPr>
        <w:lastRenderedPageBreak/>
        <w:t>Intel Corp. v. Hamidi</w:t>
      </w:r>
      <w:bookmarkEnd w:id="59"/>
      <w:r w:rsidRPr="00C74195">
        <w:rPr>
          <w:rFonts w:ascii="Times New Roman" w:hAnsi="Times New Roman" w:cs="Times New Roman"/>
          <w:b/>
        </w:rPr>
        <w:t>, 71 P.3d 296 (Cal. 2003)</w:t>
      </w:r>
      <w:bookmarkEnd w:id="60"/>
    </w:p>
    <w:p w14:paraId="1D6C0CD5" w14:textId="77777777" w:rsidR="00B67515" w:rsidRDefault="00B67515" w:rsidP="004034E3">
      <w:pPr>
        <w:widowControl w:val="0"/>
        <w:autoSpaceDE w:val="0"/>
        <w:autoSpaceDN w:val="0"/>
        <w:adjustRightInd w:val="0"/>
        <w:rPr>
          <w:rFonts w:ascii="Times New Roman" w:eastAsia="Times New Roman" w:hAnsi="Times New Roman" w:cs="Times New Roman"/>
          <w:smallCaps/>
          <w:color w:val="000000"/>
        </w:rPr>
      </w:pPr>
      <w:bookmarkStart w:id="61" w:name="co_synopsis_1"/>
      <w:bookmarkStart w:id="62" w:name="co_opinion_1"/>
      <w:bookmarkEnd w:id="61"/>
      <w:bookmarkEnd w:id="62"/>
    </w:p>
    <w:p w14:paraId="17602990" w14:textId="77777777" w:rsidR="001F4A22" w:rsidRDefault="001F4A22" w:rsidP="004034E3">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smallCaps/>
          <w:color w:val="000000"/>
        </w:rPr>
        <w:t>Werdegar, J.</w:t>
      </w:r>
      <w:bookmarkStart w:id="63" w:name="co_anchor_I95d8cdb13fda11e38578f7ccc38dc"/>
      <w:bookmarkEnd w:id="63"/>
    </w:p>
    <w:p w14:paraId="5F273E52" w14:textId="15776E61" w:rsidR="001F4A22" w:rsidRPr="00E61A33" w:rsidRDefault="750671CE" w:rsidP="00B67515">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7F8EB4CA" w14:textId="5B9E4EBA" w:rsidR="001F4A22" w:rsidRPr="00536EF5" w:rsidRDefault="750671CE" w:rsidP="00B67515">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employment practices to numerous current employees on Intel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communications to individual Intel employees caused neither physical damage nor functional disruption to the company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computers, nor did they at any time deprive Intel of the use of its computers. The contents of the messages, however, caused discussion among employees and managers. </w:t>
      </w:r>
    </w:p>
    <w:p w14:paraId="20BAA3E5"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32E3B12" w14:textId="13879724"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On these facts, Intel brought suit, claiming that by communicating with its employees over the company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e-mail system Hamidi committed the tort of </w:t>
      </w:r>
      <w:bookmarkStart w:id="64" w:name="co_pp_sp_4040_1347_1"/>
      <w:bookmarkEnd w:id="64"/>
      <w:r w:rsidRPr="750671CE">
        <w:rPr>
          <w:rFonts w:ascii="Times New Roman" w:eastAsia="Times New Roman" w:hAnsi="Times New Roman" w:cs="Times New Roman"/>
          <w:color w:val="000000"/>
        </w:rPr>
        <w:t xml:space="preserve">trespass to chattels. </w:t>
      </w:r>
      <w:bookmarkStart w:id="65" w:name="co_pp_sp_4645_300_1"/>
      <w:bookmarkEnd w:id="65"/>
      <w:r w:rsidRPr="750671CE">
        <w:rPr>
          <w:rFonts w:ascii="Times New Roman" w:eastAsia="Times New Roman" w:hAnsi="Times New Roman" w:cs="Times New Roman"/>
          <w:color w:val="000000"/>
        </w:rPr>
        <w:t>The trial court granted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motion for summary judgment and enjoined Hamidi from any further mailings. </w:t>
      </w:r>
      <w:r w:rsidR="003D32A5" w:rsidRPr="750671CE">
        <w:rPr>
          <w:rFonts w:ascii="Times New Roman" w:eastAsia="Times New Roman" w:hAnsi="Times New Roman" w:cs="Times New Roman"/>
          <w:color w:val="000000"/>
        </w:rPr>
        <w:t xml:space="preserve">[A preliminary injunction had been entered in November 1998; the permanent injunction followed in June 1999.] </w:t>
      </w:r>
      <w:r w:rsidRPr="750671CE">
        <w:rPr>
          <w:rFonts w:ascii="Times New Roman" w:eastAsia="Times New Roman" w:hAnsi="Times New Roman" w:cs="Times New Roman"/>
          <w:color w:val="000000"/>
        </w:rPr>
        <w:t>A divided Court of Appeal affirmed.</w:t>
      </w:r>
    </w:p>
    <w:p w14:paraId="0F9CE1D5"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10905603" w14:textId="3D34B238"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use or possession of, or any other legally protected interest in, the personal property itself. . . . </w:t>
      </w:r>
      <w:bookmarkStart w:id="66" w:name="co_anchor_I95d8cdb23fda11e38578f7ccc38dc"/>
      <w:bookmarkEnd w:id="66"/>
    </w:p>
    <w:p w14:paraId="0C407C52" w14:textId="77777777" w:rsidR="001F4A22" w:rsidRDefault="001F4A22" w:rsidP="001F4A22">
      <w:pPr>
        <w:widowControl w:val="0"/>
        <w:autoSpaceDE w:val="0"/>
        <w:autoSpaceDN w:val="0"/>
        <w:adjustRightInd w:val="0"/>
        <w:rPr>
          <w:rFonts w:ascii="Times New Roman" w:hAnsi="Times New Roman" w:cs="Times New Roman"/>
          <w:bCs/>
          <w:color w:val="000000"/>
        </w:rPr>
      </w:pPr>
    </w:p>
    <w:p w14:paraId="20EE175B" w14:textId="77777777" w:rsidR="001F4A22" w:rsidRPr="00E61A33"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  Current California Tort Law</w:t>
      </w:r>
    </w:p>
    <w:p w14:paraId="6902AF0F" w14:textId="77777777" w:rsidR="001F4A22" w:rsidRPr="00536EF5" w:rsidRDefault="001F4A22" w:rsidP="001F4A22">
      <w:pPr>
        <w:widowControl w:val="0"/>
        <w:autoSpaceDE w:val="0"/>
        <w:autoSpaceDN w:val="0"/>
        <w:adjustRightInd w:val="0"/>
        <w:rPr>
          <w:rFonts w:ascii="Times New Roman" w:hAnsi="Times New Roman" w:cs="Times New Roman"/>
          <w:color w:val="000000"/>
        </w:rPr>
      </w:pPr>
      <w:bookmarkStart w:id="67" w:name="co_anchor_B42003460129_1"/>
      <w:bookmarkEnd w:id="67"/>
    </w:p>
    <w:p w14:paraId="2702CAB6" w14:textId="387F1FF2"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Dubbed by Prosser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little brother of conversion,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tort of trespass to chattels allows recovery for interferences with possession of personal property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not sufficiently important to be classed as conversion, and so to compel the defendant to pay the full value of the thing with which he has interfered.</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(Prosser &amp; Keeton, Torts (5th ed.1984) § 14, pp. 85–86.)</w:t>
      </w:r>
    </w:p>
    <w:p w14:paraId="3127700D"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51026495" w14:textId="21D24B98" w:rsidR="001F4A22" w:rsidRPr="00CF784C"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68" w:name="co_anchor_B52003460129_1"/>
      <w:bookmarkStart w:id="69" w:name="co_anchor_B62003460129_1"/>
      <w:bookmarkStart w:id="70" w:name="co_anchor_B72003460129_1"/>
      <w:bookmarkEnd w:id="68"/>
      <w:bookmarkEnd w:id="69"/>
      <w:bookmarkEnd w:id="70"/>
      <w:r w:rsidRPr="750671CE">
        <w:rPr>
          <w:rFonts w:ascii="Times New Roman" w:eastAsia="Times New Roman" w:hAnsi="Times New Roman" w:cs="Times New Roman"/>
          <w:color w:val="000000"/>
        </w:rPr>
        <w:t>Though not amounting to conversion, the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interference must, to be actionable, have caused some injury to the chattel or to the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rights in it. Under California law, trespass to chattels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lies where an intentional interference with the possession of personal property </w:t>
      </w:r>
      <w:r w:rsidRPr="750671CE">
        <w:rPr>
          <w:rFonts w:ascii="Times New Roman" w:eastAsia="Times New Roman" w:hAnsi="Times New Roman" w:cs="Times New Roman"/>
          <w:i/>
          <w:iCs/>
          <w:color w:val="000000"/>
        </w:rPr>
        <w:t xml:space="preserve">has proximately </w:t>
      </w:r>
      <w:bookmarkStart w:id="71" w:name="co_pp_sp_4040_1351_1"/>
      <w:bookmarkEnd w:id="71"/>
      <w:r w:rsidRPr="750671CE">
        <w:rPr>
          <w:rFonts w:ascii="Times New Roman" w:eastAsia="Times New Roman" w:hAnsi="Times New Roman" w:cs="Times New Roman"/>
          <w:i/>
          <w:iCs/>
          <w:color w:val="000000"/>
        </w:rPr>
        <w:t>caused injury.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t>
      </w:r>
      <w:r w:rsidRPr="750671CE">
        <w:rPr>
          <w:rFonts w:ascii="Times New Roman" w:eastAsia="Times New Roman" w:hAnsi="Times New Roman" w:cs="Times New Roman"/>
          <w:i/>
          <w:iCs/>
          <w:color w:val="000000"/>
        </w:rPr>
        <w:t xml:space="preserve">Thrifty-Tel, Inc. v. Bezenek </w:t>
      </w:r>
      <w:r w:rsidRPr="750671CE">
        <w:rPr>
          <w:rFonts w:ascii="Times New Roman" w:eastAsia="Times New Roman" w:hAnsi="Times New Roman" w:cs="Times New Roman"/>
          <w:color w:val="000000"/>
        </w:rPr>
        <w:t>(1996)</w:t>
      </w:r>
      <w:r w:rsidR="00C8663D">
        <w:rPr>
          <w:rFonts w:ascii="Times New Roman" w:eastAsia="Times New Roman" w:hAnsi="Times New Roman" w:cs="Times New Roman"/>
          <w:color w:val="000000"/>
        </w:rPr>
        <w:t xml:space="preserve"> . . </w:t>
      </w:r>
      <w:r w:rsidRPr="750671CE">
        <w:rPr>
          <w:rFonts w:ascii="Times New Roman" w:eastAsia="Times New Roman" w:hAnsi="Times New Roman" w:cs="Times New Roman"/>
          <w:color w:val="000000"/>
        </w:rPr>
        <w:t>.</w:t>
      </w:r>
      <w:r w:rsidR="00C8663D">
        <w:rPr>
          <w:rFonts w:ascii="Times New Roman" w:eastAsia="Times New Roman" w:hAnsi="Times New Roman" w:cs="Times New Roman"/>
          <w:color w:val="000000"/>
        </w:rPr>
        <w:t xml:space="preserve"> </w:t>
      </w:r>
      <w:r w:rsidRPr="750671CE">
        <w:rPr>
          <w:rFonts w:ascii="Times New Roman" w:eastAsia="Times New Roman" w:hAnsi="Times New Roman" w:cs="Times New Roman"/>
          <w:color w:val="000000"/>
        </w:rPr>
        <w:t>)</w:t>
      </w:r>
      <w:r w:rsidR="00C8663D">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 . . </w:t>
      </w:r>
    </w:p>
    <w:p w14:paraId="63D99B5E" w14:textId="77777777" w:rsidR="001F4A22" w:rsidRPr="00CF784C" w:rsidRDefault="001F4A22" w:rsidP="001F4A22">
      <w:pPr>
        <w:widowControl w:val="0"/>
        <w:autoSpaceDE w:val="0"/>
        <w:autoSpaceDN w:val="0"/>
        <w:adjustRightInd w:val="0"/>
        <w:rPr>
          <w:rFonts w:ascii="Times New Roman" w:hAnsi="Times New Roman" w:cs="Times New Roman"/>
          <w:color w:val="000000"/>
        </w:rPr>
      </w:pPr>
    </w:p>
    <w:p w14:paraId="2E2A4CED" w14:textId="3D7A72AE" w:rsidR="001F4A22" w:rsidRPr="00CF784C"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The Restatement, too, makes clear that some actual injury must have occurred in order for a trespass to chattels to be actionable.  </w:t>
      </w:r>
      <w:r w:rsidRPr="750671CE">
        <w:rPr>
          <w:rFonts w:ascii="Times New Roman" w:eastAsia="Times New Roman" w:hAnsi="Times New Roman" w:cs="Times New Roman"/>
        </w:rPr>
        <w:t>Under section 218 of the Restatement Second of Torts, dispossession alone, without further damages, is actionable, but other forms of interference require some additional harm to the personal property or the possessor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interests in it. </w:t>
      </w:r>
      <w:r w:rsidRPr="750671CE">
        <w:rPr>
          <w:rFonts w:ascii="Times New Roman" w:eastAsia="Times New Roman" w:hAnsi="Times New Roman" w:cs="Times New Roman"/>
          <w:color w:val="000000" w:themeColor="text1"/>
        </w:rPr>
        <w:t xml:space="preserve">. . .  [A]s Prosser explains, modern day trespass to chattels differs . . . from the action for trespass to land: </w:t>
      </w:r>
    </w:p>
    <w:p w14:paraId="27D5E987" w14:textId="77777777" w:rsidR="001F4A22" w:rsidRPr="00CF784C" w:rsidRDefault="001F4A22" w:rsidP="001F4A22">
      <w:pPr>
        <w:widowControl w:val="0"/>
        <w:autoSpaceDE w:val="0"/>
        <w:autoSpaceDN w:val="0"/>
        <w:adjustRightInd w:val="0"/>
        <w:rPr>
          <w:rFonts w:ascii="Times New Roman" w:hAnsi="Times New Roman" w:cs="Times New Roman"/>
          <w:color w:val="000000"/>
        </w:rPr>
      </w:pPr>
    </w:p>
    <w:p w14:paraId="546CBA2E" w14:textId="1BAABD38" w:rsidR="001F4A22" w:rsidRPr="006D4537" w:rsidRDefault="750671CE" w:rsidP="004034E3">
      <w:pPr>
        <w:pStyle w:val="blockquote"/>
      </w:pPr>
      <w:r w:rsidRPr="750671CE">
        <w:t>. . . Where the defendant merely interferes without doing any harm—as where, for example, he merely lays hands upon the plaintiff</w:t>
      </w:r>
      <w:r w:rsidR="00B05F31">
        <w:t>’</w:t>
      </w:r>
      <w:r w:rsidRPr="750671CE">
        <w:t xml:space="preserve">s horse, or sits in his car—there has been a division of opinion among the writers, and a surprising dearth of authority. </w:t>
      </w:r>
      <w:r w:rsidRPr="750671CE">
        <w:rPr>
          <w:i/>
          <w:iCs/>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00B05F31">
        <w:t>”</w:t>
      </w:r>
      <w:r w:rsidRPr="750671CE">
        <w:t xml:space="preserve"> </w:t>
      </w:r>
    </w:p>
    <w:p w14:paraId="6A2F6441"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372600E2" w14:textId="5EB4347E" w:rsidR="001F4A22" w:rsidRPr="006D4537"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004034E3">
        <w:rPr>
          <w:rFonts w:ascii="Times New Roman" w:eastAsia="Times New Roman" w:hAnsi="Times New Roman" w:cs="Times New Roman"/>
          <w:smallCaps/>
          <w:color w:val="000000" w:themeColor="text1"/>
        </w:rPr>
        <w:t xml:space="preserve">Prosser &amp; Keeton, Torts </w:t>
      </w:r>
      <w:r w:rsidRPr="750671CE">
        <w:rPr>
          <w:rFonts w:ascii="Times New Roman" w:eastAsia="Times New Roman" w:hAnsi="Times New Roman" w:cs="Times New Roman"/>
          <w:color w:val="000000" w:themeColor="text1"/>
        </w:rPr>
        <w:t>[s. 14, p. 87]. . . . </w:t>
      </w:r>
    </w:p>
    <w:p w14:paraId="47FCADD3"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43A55BAF" w14:textId="1DC08A86" w:rsidR="001F4A22" w:rsidRPr="006D4537"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rPr>
        <w:t xml:space="preserve">Intel suggests that the requirement of actual harm does not apply here because it sought only injunctive relief, as protection from future injuries. But as Justice Kolkey, dissenting below, observed, </w:t>
      </w:r>
      <w:r w:rsidR="00B05F31">
        <w:rPr>
          <w:rFonts w:ascii="Times New Roman" w:eastAsia="Times New Roman" w:hAnsi="Times New Roman" w:cs="Times New Roman"/>
        </w:rPr>
        <w:t>“</w:t>
      </w:r>
      <w:r w:rsidRPr="750671CE">
        <w:rPr>
          <w:rFonts w:ascii="Times New Roman" w:eastAsia="Times New Roman" w:hAnsi="Times New Roman" w:cs="Times New Roman"/>
        </w:rPr>
        <w:t>[t]he fact the relief sought is injunctive does not excuse a showing of injury, whether actual or threatened.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Indeed, in order to obtain injunctive relief the plaintiff must ordinarily show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wrongful acts threaten to cause </w:t>
      </w:r>
      <w:r w:rsidRPr="750671CE">
        <w:rPr>
          <w:rStyle w:val="Emphasis"/>
          <w:rFonts w:ascii="Times New Roman" w:eastAsia="Times New Roman" w:hAnsi="Times New Roman" w:cs="Times New Roman"/>
        </w:rPr>
        <w:t>irreparable</w:t>
      </w:r>
      <w:r w:rsidRPr="750671CE">
        <w:rPr>
          <w:rFonts w:ascii="Times New Roman" w:eastAsia="Times New Roman" w:hAnsi="Times New Roman" w:cs="Times New Roman"/>
        </w:rPr>
        <w:t xml:space="preserve"> injuries, ones that cannot be adequately compensated in damages. . . .  [T]o issue an injunction without a showing of likely irreparable injury in an action for trespass to chattels, in which injury to the personal property or the possessor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interest in it </w:t>
      </w:r>
      <w:r w:rsidRPr="750671CE">
        <w:rPr>
          <w:rStyle w:val="Emphasis"/>
          <w:rFonts w:ascii="Times New Roman" w:eastAsia="Times New Roman" w:hAnsi="Times New Roman" w:cs="Times New Roman"/>
        </w:rPr>
        <w:t>is</w:t>
      </w:r>
      <w:r w:rsidRPr="750671CE">
        <w:rPr>
          <w:rFonts w:ascii="Times New Roman" w:eastAsia="Times New Roman" w:hAnsi="Times New Roman" w:cs="Times New Roman"/>
        </w:rPr>
        <w:t xml:space="preserve"> an element of the action, would make little legal sense.</w:t>
      </w:r>
    </w:p>
    <w:p w14:paraId="39BB0EDC" w14:textId="77777777" w:rsidR="001F4A22" w:rsidRPr="006D4537" w:rsidRDefault="001F4A22" w:rsidP="001F4A22">
      <w:pPr>
        <w:widowControl w:val="0"/>
        <w:autoSpaceDE w:val="0"/>
        <w:autoSpaceDN w:val="0"/>
        <w:adjustRightInd w:val="0"/>
        <w:rPr>
          <w:rFonts w:ascii="Times New Roman" w:hAnsi="Times New Roman" w:cs="Times New Roman"/>
          <w:color w:val="000000"/>
        </w:rPr>
      </w:pPr>
    </w:p>
    <w:p w14:paraId="2247F2C0" w14:textId="10B2C692" w:rsidR="001F4A22" w:rsidRPr="00536EF5" w:rsidRDefault="001F4A22" w:rsidP="009B68CF">
      <w:pPr>
        <w:widowControl w:val="0"/>
        <w:autoSpaceDE w:val="0"/>
        <w:autoSpaceDN w:val="0"/>
        <w:adjustRightInd w:val="0"/>
        <w:ind w:firstLine="720"/>
        <w:rPr>
          <w:rFonts w:ascii="Times New Roman" w:eastAsia="Times New Roman" w:hAnsi="Times New Roman" w:cs="Times New Roman"/>
          <w:color w:val="000000" w:themeColor="text1"/>
        </w:rPr>
      </w:pPr>
      <w:bookmarkStart w:id="72" w:name="co_anchor_B142003460129_1"/>
      <w:bookmarkEnd w:id="72"/>
      <w:r w:rsidRPr="750671CE">
        <w:rPr>
          <w:rFonts w:ascii="Times New Roman" w:eastAsia="Times New Roman" w:hAnsi="Times New Roman" w:cs="Times New Roman"/>
          <w:color w:val="000000"/>
        </w:rPr>
        <w:t>The dispositive issue in this case, therefore, is whether the undisputed facts demonstrate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actions caused or threatened to cause damage to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computer system, or injury to its rights in that personal property, such as to entitle Intel to judgment as a matter of law.</w:t>
      </w:r>
      <w:r w:rsidR="00021538">
        <w:rPr>
          <w:rFonts w:ascii="Times New Roman" w:eastAsia="Times New Roman" w:hAnsi="Times New Roman" w:cs="Times New Roman"/>
          <w:color w:val="000000" w:themeColor="text1"/>
        </w:rPr>
        <w:t xml:space="preserve"> </w:t>
      </w:r>
      <w:r w:rsidR="750671CE" w:rsidRPr="750671CE">
        <w:rPr>
          <w:rFonts w:ascii="Times New Roman" w:eastAsia="Times New Roman" w:hAnsi="Times New Roman" w:cs="Times New Roman"/>
          <w:color w:val="000000" w:themeColor="text1"/>
        </w:rPr>
        <w:t>. . . Intel contends that, while its computers were not damaged by receiving Hamidi</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s messages, its interest in the </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physical condition, quality or value</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 (Rest.2d Torts, s. 218 </w:t>
      </w:r>
      <w:r w:rsidR="0026352C">
        <w:rPr>
          <w:rFonts w:ascii="Times New Roman" w:eastAsia="Times New Roman" w:hAnsi="Times New Roman" w:cs="Times New Roman"/>
          <w:color w:val="000000" w:themeColor="text1"/>
        </w:rPr>
        <w:t xml:space="preserve">. . . </w:t>
      </w:r>
      <w:r w:rsidR="750671CE" w:rsidRPr="750671CE">
        <w:rPr>
          <w:rFonts w:ascii="Times New Roman" w:eastAsia="Times New Roman" w:hAnsi="Times New Roman" w:cs="Times New Roman"/>
          <w:color w:val="000000" w:themeColor="text1"/>
        </w:rPr>
        <w:t xml:space="preserve">) of the computers was harmed. We disagree. . . .  </w:t>
      </w:r>
    </w:p>
    <w:p w14:paraId="3D3879EE"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AAA728F" w14:textId="35787CE5"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In </w:t>
      </w:r>
      <w:r w:rsidRPr="750671CE">
        <w:rPr>
          <w:rFonts w:ascii="Times New Roman" w:eastAsia="Times New Roman" w:hAnsi="Times New Roman" w:cs="Times New Roman"/>
          <w:i/>
          <w:iCs/>
          <w:color w:val="000000"/>
        </w:rPr>
        <w:t>Thrifty-Tel, Inc. v. Bezenek</w:t>
      </w:r>
      <w:r w:rsidRPr="750671CE">
        <w:rPr>
          <w:rFonts w:ascii="Times New Roman" w:eastAsia="Times New Roman" w:hAnsi="Times New Roman" w:cs="Times New Roman"/>
          <w:color w:val="000000"/>
        </w:rPr>
        <w:t xml:space="preserve">, </w:t>
      </w:r>
      <w:r w:rsidRPr="750671CE">
        <w:rPr>
          <w:rFonts w:ascii="Times New Roman" w:eastAsia="Times New Roman" w:hAnsi="Times New Roman" w:cs="Times New Roman"/>
          <w:i/>
          <w:iCs/>
          <w:color w:val="000000"/>
        </w:rPr>
        <w:t>supra</w:t>
      </w:r>
      <w:r w:rsidR="00C8663D">
        <w:rPr>
          <w:rFonts w:ascii="Times New Roman" w:eastAsia="Times New Roman" w:hAnsi="Times New Roman" w:cs="Times New Roman"/>
          <w:i/>
          <w:iCs/>
          <w:color w:val="000000"/>
        </w:rPr>
        <w:t xml:space="preserve"> . . .</w:t>
      </w:r>
      <w:r w:rsidRPr="750671CE">
        <w:rPr>
          <w:rFonts w:ascii="Times New Roman" w:eastAsia="Times New Roman" w:hAnsi="Times New Roman" w:cs="Times New Roman"/>
          <w:color w:val="000000"/>
        </w:rPr>
        <w:t>, the California Court of Appeal held that evidence of automated searching of a telephone carrier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system for authorization codes supported a cause of action for trespass to chattels. The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automated dialing program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overburdened the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system, denying some subscribers access to</w:t>
      </w:r>
      <w:bookmarkStart w:id="73" w:name="co_pp_sp_7047_42_1"/>
      <w:bookmarkEnd w:id="73"/>
      <w:r w:rsidRPr="750671CE">
        <w:rPr>
          <w:rFonts w:ascii="Times New Roman" w:eastAsia="Times New Roman" w:hAnsi="Times New Roman" w:cs="Times New Roman"/>
          <w:color w:val="000000"/>
        </w:rPr>
        <w:t xml:space="preserve"> phone lines,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showing the requisite injury.</w:t>
      </w:r>
    </w:p>
    <w:p w14:paraId="37F99C49"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7DED692B" w14:textId="6A5C3D52"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Following </w:t>
      </w:r>
      <w:hyperlink r:id="rId33">
        <w:r w:rsidRPr="750671CE">
          <w:rPr>
            <w:rFonts w:ascii="Times New Roman" w:eastAsia="Times New Roman" w:hAnsi="Times New Roman" w:cs="Times New Roman"/>
            <w:i/>
            <w:iCs/>
            <w:color w:val="000000" w:themeColor="text1"/>
          </w:rPr>
          <w:t>Thrifty</w:t>
        </w:r>
        <w:r w:rsidR="00C8663D">
          <w:rPr>
            <w:rFonts w:ascii="Times New Roman" w:eastAsia="Times New Roman" w:hAnsi="Times New Roman" w:cs="Times New Roman"/>
            <w:i/>
            <w:iCs/>
            <w:color w:val="000000" w:themeColor="text1"/>
          </w:rPr>
          <w:t>-</w:t>
        </w:r>
        <w:r w:rsidRPr="750671CE">
          <w:rPr>
            <w:rFonts w:ascii="Times New Roman" w:eastAsia="Times New Roman" w:hAnsi="Times New Roman" w:cs="Times New Roman"/>
            <w:i/>
            <w:iCs/>
            <w:color w:val="000000" w:themeColor="text1"/>
          </w:rPr>
          <w:t>Tel,</w:t>
        </w:r>
      </w:hyperlink>
      <w:r w:rsidRPr="750671CE">
        <w:rPr>
          <w:rFonts w:ascii="Times New Roman" w:eastAsia="Times New Roman" w:hAnsi="Times New Roman" w:cs="Times New Roman"/>
          <w:color w:val="000000" w:themeColor="text1"/>
        </w:rPr>
        <w:t xml:space="preserve"> a series of federal district court decisions held that sending </w:t>
      </w:r>
      <w:r w:rsidRPr="750671CE">
        <w:rPr>
          <w:rFonts w:ascii="Times New Roman" w:eastAsia="Times New Roman" w:hAnsi="Times New Roman" w:cs="Times New Roman"/>
          <w:color w:val="000000" w:themeColor="text1"/>
        </w:rPr>
        <w:lastRenderedPageBreak/>
        <w:t>[unsolicited commercial bulk email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UCE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through an [internet service provider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ISP</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w:t>
      </w:r>
      <w:r w:rsidR="00B05F31">
        <w:rPr>
          <w:rFonts w:ascii="Times New Roman" w:eastAsia="Times New Roman" w:hAnsi="Times New Roman" w:cs="Times New Roman"/>
          <w:color w:val="000000" w:themeColor="text1"/>
        </w:rPr>
        <w:t>”</w:t>
      </w:r>
      <w:r w:rsidR="009B5752">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equipment may constitute trespass to the ISP</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computer system. . . .</w:t>
      </w:r>
    </w:p>
    <w:p w14:paraId="17E88FDC"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4FE39A80" w14:textId="35CBCCB6" w:rsidR="001F4A22" w:rsidRPr="008239F6"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In each of these spamming cases, the plaintiff showed, or was prepared to show, some interference with the efficient functioning of its computer system. . . .  </w:t>
      </w:r>
      <w:r w:rsidRPr="750671CE">
        <w:rPr>
          <w:rFonts w:ascii="Times New Roman" w:eastAsia="Times New Roman" w:hAnsi="Times New Roman" w:cs="Times New Roman"/>
        </w:rPr>
        <w:t>In [</w:t>
      </w:r>
      <w:r w:rsidRPr="750671CE">
        <w:rPr>
          <w:rFonts w:ascii="Times New Roman" w:eastAsia="Times New Roman" w:hAnsi="Times New Roman" w:cs="Times New Roman"/>
          <w:i/>
          <w:iCs/>
        </w:rPr>
        <w:t>CompuServe, Inc. v. Cyber Promotions, Inc.</w:t>
      </w:r>
      <w:r w:rsidRPr="750671CE">
        <w:rPr>
          <w:rFonts w:ascii="Times New Roman" w:eastAsia="Times New Roman" w:hAnsi="Times New Roman" w:cs="Times New Roman"/>
        </w:rPr>
        <w:t>, 962 F. Supp. 1015 (S.D. Ohio, 1997)], the plaintiff ISP</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mail equipment monitor stated that mass UCE mailings, especially from nonexistent addresses such as those used by the defendant, placed </w:t>
      </w:r>
      <w:r w:rsidR="00B05F31">
        <w:rPr>
          <w:rFonts w:ascii="Times New Roman" w:eastAsia="Times New Roman" w:hAnsi="Times New Roman" w:cs="Times New Roman"/>
        </w:rPr>
        <w:t>“</w:t>
      </w:r>
      <w:r w:rsidRPr="750671CE">
        <w:rPr>
          <w:rFonts w:ascii="Times New Roman" w:eastAsia="Times New Roman" w:hAnsi="Times New Roman" w:cs="Times New Roman"/>
        </w:rPr>
        <w:t>a tremendous burden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on the ISP</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equipment, using </w:t>
      </w:r>
      <w:r w:rsidR="00B05F31">
        <w:rPr>
          <w:rFonts w:ascii="Times New Roman" w:eastAsia="Times New Roman" w:hAnsi="Times New Roman" w:cs="Times New Roman"/>
        </w:rPr>
        <w:t>“</w:t>
      </w:r>
      <w:r w:rsidRPr="750671CE">
        <w:rPr>
          <w:rFonts w:ascii="Times New Roman" w:eastAsia="Times New Roman" w:hAnsi="Times New Roman" w:cs="Times New Roman"/>
        </w:rPr>
        <w:t>disk space and drain[ing] the processing power,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making those resources unavailable to serve subscribers.</w:t>
      </w:r>
    </w:p>
    <w:p w14:paraId="69AB0773" w14:textId="77777777" w:rsidR="001F4A22" w:rsidRPr="008239F6"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6149B6A5" w14:textId="44EB4596" w:rsidR="001F4A22" w:rsidRPr="00372E04"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0082336D">
        <w:rPr>
          <w:rFonts w:ascii="Times New Roman" w:eastAsia="Times New Roman" w:hAnsi="Times New Roman" w:cs="Times New Roman"/>
        </w:rPr>
        <w:t xml:space="preserve">Building on the spamming cases, in particular </w:t>
      </w:r>
      <w:r w:rsidRPr="750671CE">
        <w:rPr>
          <w:rFonts w:ascii="Times New Roman" w:eastAsia="Times New Roman" w:hAnsi="Times New Roman" w:cs="Times New Roman"/>
          <w:i/>
          <w:iCs/>
        </w:rPr>
        <w:t>CompuServe</w:t>
      </w:r>
      <w:r w:rsidRPr="0082336D">
        <w:rPr>
          <w:rFonts w:ascii="Times New Roman" w:eastAsia="Times New Roman" w:hAnsi="Times New Roman" w:cs="Times New Roman"/>
        </w:rPr>
        <w:t>, . . . recent district court decisions addressed whether unauthorized robotic data collection</w:t>
      </w:r>
      <w:r w:rsidRPr="0082336D">
        <w:rPr>
          <w:rFonts w:ascii="Times New Roman" w:eastAsia="Times New Roman" w:hAnsi="Times New Roman" w:cs="Times New Roman"/>
          <w:vertAlign w:val="superscript"/>
        </w:rPr>
        <w:t xml:space="preserve"> </w:t>
      </w:r>
      <w:r w:rsidRPr="0082336D">
        <w:rPr>
          <w:rFonts w:ascii="Times New Roman" w:eastAsia="Times New Roman" w:hAnsi="Times New Roman" w:cs="Times New Roman"/>
        </w:rPr>
        <w:t>from a company</w:t>
      </w:r>
      <w:r w:rsidR="00B05F31">
        <w:rPr>
          <w:rFonts w:ascii="Times New Roman" w:eastAsia="Times New Roman" w:hAnsi="Times New Roman" w:cs="Times New Roman"/>
        </w:rPr>
        <w:t>’</w:t>
      </w:r>
      <w:r w:rsidRPr="0082336D">
        <w:rPr>
          <w:rFonts w:ascii="Times New Roman" w:eastAsia="Times New Roman" w:hAnsi="Times New Roman" w:cs="Times New Roman"/>
        </w:rPr>
        <w:t>s publicly accessible Web site is a trespass on the company</w:t>
      </w:r>
      <w:r w:rsidR="00B05F31">
        <w:rPr>
          <w:rFonts w:ascii="Times New Roman" w:eastAsia="Times New Roman" w:hAnsi="Times New Roman" w:cs="Times New Roman"/>
        </w:rPr>
        <w:t>’</w:t>
      </w:r>
      <w:r w:rsidRPr="0082336D">
        <w:rPr>
          <w:rFonts w:ascii="Times New Roman" w:eastAsia="Times New Roman" w:hAnsi="Times New Roman" w:cs="Times New Roman"/>
        </w:rPr>
        <w:t>s computer system.</w:t>
      </w:r>
      <w:r w:rsidRPr="750671CE">
        <w:rPr>
          <w:rFonts w:ascii="Times New Roman" w:eastAsia="Times New Roman" w:hAnsi="Times New Roman" w:cs="Times New Roman"/>
          <w:color w:val="000000"/>
        </w:rPr>
        <w:t xml:space="preserve"> . . .  In the leading case, [</w:t>
      </w:r>
      <w:r w:rsidRPr="750671CE">
        <w:rPr>
          <w:rFonts w:ascii="Times New Roman" w:eastAsia="Times New Roman" w:hAnsi="Times New Roman" w:cs="Times New Roman"/>
          <w:i/>
          <w:iCs/>
          <w:color w:val="000000"/>
        </w:rPr>
        <w:t>eBay, Inc. v. Bidder</w:t>
      </w:r>
      <w:r w:rsidR="00B05F31">
        <w:rPr>
          <w:rFonts w:ascii="Times New Roman" w:eastAsia="Times New Roman" w:hAnsi="Times New Roman" w:cs="Times New Roman"/>
          <w:i/>
          <w:iCs/>
          <w:color w:val="000000"/>
        </w:rPr>
        <w:t>’</w:t>
      </w:r>
      <w:r w:rsidRPr="750671CE">
        <w:rPr>
          <w:rFonts w:ascii="Times New Roman" w:eastAsia="Times New Roman" w:hAnsi="Times New Roman" w:cs="Times New Roman"/>
          <w:i/>
          <w:iCs/>
          <w:color w:val="000000"/>
        </w:rPr>
        <w:t>s Edge, Inc.</w:t>
      </w:r>
      <w:r w:rsidRPr="750671CE">
        <w:rPr>
          <w:rFonts w:ascii="Times New Roman" w:eastAsia="Times New Roman" w:hAnsi="Times New Roman" w:cs="Times New Roman"/>
          <w:color w:val="000000"/>
        </w:rPr>
        <w:t>, 100 F. Supp. 2d 1058 (N.D. Cal. 2000)], the defendant Bidder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Edge operating an auction aggregation site, accessed the eBay Web site about 100,000 times</w:t>
      </w:r>
      <w:bookmarkStart w:id="74" w:name="co_pp_sp_4040_1355_1"/>
      <w:bookmarkEnd w:id="74"/>
      <w:r w:rsidRPr="750671CE">
        <w:rPr>
          <w:rFonts w:ascii="Times New Roman" w:eastAsia="Times New Roman" w:hAnsi="Times New Roman" w:cs="Times New Roman"/>
          <w:color w:val="000000"/>
        </w:rPr>
        <w:t xml:space="preserve"> per day, accounting for between 1 and 2 percent of the information requests received by eBay </w:t>
      </w:r>
      <w:bookmarkStart w:id="75" w:name="co_pp_sp_7047_43_1"/>
      <w:bookmarkEnd w:id="75"/>
      <w:r w:rsidRPr="750671CE">
        <w:rPr>
          <w:rFonts w:ascii="Times New Roman" w:eastAsia="Times New Roman" w:hAnsi="Times New Roman" w:cs="Times New Roman"/>
          <w:color w:val="000000"/>
        </w:rPr>
        <w:t>and a slightly smaller percentage of the data transferred by eBay.  The district court rejected eBay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claim that it was entitled to injunctive relief because of the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unauthorized presence alone, or because of the incremental cost the defendant had imposed on operation of the eBay site</w:t>
      </w:r>
      <w:hyperlink r:id="rId34" w:history="1">
        <w:r w:rsidRPr="750671CE">
          <w:rPr>
            <w:rFonts w:ascii="Times New Roman" w:eastAsia="Times New Roman" w:hAnsi="Times New Roman" w:cs="Times New Roman"/>
            <w:color w:val="000000"/>
          </w:rPr>
          <w:t>,</w:t>
        </w:r>
      </w:hyperlink>
      <w:r w:rsidRPr="750671CE">
        <w:rPr>
          <w:rFonts w:ascii="Times New Roman" w:eastAsia="Times New Roman" w:hAnsi="Times New Roman" w:cs="Times New Roman"/>
          <w:color w:val="000000"/>
        </w:rPr>
        <w:t xml:space="preserve"> but found sufficient proof of </w:t>
      </w:r>
      <w:r w:rsidRPr="750671CE">
        <w:rPr>
          <w:rFonts w:ascii="Times New Roman" w:eastAsia="Times New Roman" w:hAnsi="Times New Roman" w:cs="Times New Roman"/>
          <w:i/>
          <w:iCs/>
          <w:color w:val="000000"/>
        </w:rPr>
        <w:t>threatened</w:t>
      </w:r>
      <w:r w:rsidRPr="750671CE">
        <w:rPr>
          <w:rFonts w:ascii="Times New Roman" w:eastAsia="Times New Roman" w:hAnsi="Times New Roman" w:cs="Times New Roman"/>
          <w:color w:val="000000"/>
        </w:rPr>
        <w:t xml:space="preserve"> harm in the potential for others to imitate the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activity . . . .</w:t>
      </w:r>
    </w:p>
    <w:p w14:paraId="63F0B90C" w14:textId="77777777" w:rsidR="001F4A22" w:rsidRPr="00C54C19" w:rsidRDefault="001F4A22" w:rsidP="001F4A22">
      <w:pPr>
        <w:widowControl w:val="0"/>
        <w:autoSpaceDE w:val="0"/>
        <w:autoSpaceDN w:val="0"/>
        <w:adjustRightInd w:val="0"/>
        <w:rPr>
          <w:rFonts w:ascii="Times New Roman" w:hAnsi="Times New Roman" w:cs="Times New Roman"/>
          <w:color w:val="000000"/>
        </w:rPr>
      </w:pPr>
    </w:p>
    <w:p w14:paraId="24F7EAC9" w14:textId="7FEE9597" w:rsidR="001F4A22" w:rsidRPr="008239F6"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rPr>
        <w:t>That Intel does not claim the type of functional impact that spammers and robots have been alleged to cause is not surprising in light of the differences between Hamidi</w:t>
      </w:r>
      <w:r w:rsidR="00B05F31">
        <w:rPr>
          <w:rFonts w:ascii="Times New Roman" w:eastAsia="Times New Roman" w:hAnsi="Times New Roman" w:cs="Times New Roman"/>
        </w:rPr>
        <w:t>’</w:t>
      </w:r>
      <w:r w:rsidRPr="750671CE">
        <w:rPr>
          <w:rFonts w:ascii="Times New Roman" w:eastAsia="Times New Roman" w:hAnsi="Times New Roman" w:cs="Times New Roman"/>
        </w:rPr>
        <w:t>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55F6EA4C" w14:textId="77777777" w:rsidR="001F4A22" w:rsidRPr="0082336D" w:rsidRDefault="001F4A22" w:rsidP="001F4A22">
      <w:pPr>
        <w:widowControl w:val="0"/>
        <w:autoSpaceDE w:val="0"/>
        <w:autoSpaceDN w:val="0"/>
        <w:adjustRightInd w:val="0"/>
        <w:rPr>
          <w:rFonts w:ascii="Times New Roman" w:eastAsia="Times New Roman" w:hAnsi="Times New Roman" w:cs="Times New Roman"/>
        </w:rPr>
      </w:pPr>
    </w:p>
    <w:p w14:paraId="7C87582C" w14:textId="7F182F9F" w:rsidR="001F4A22" w:rsidRPr="00F11CF1"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rPr>
        <w:t xml:space="preserve">In addition to impairment of system functionality, </w:t>
      </w:r>
      <w:r w:rsidRPr="750671CE">
        <w:rPr>
          <w:rFonts w:ascii="Times New Roman" w:eastAsia="Times New Roman" w:hAnsi="Times New Roman" w:cs="Times New Roman"/>
          <w:i/>
          <w:iCs/>
        </w:rPr>
        <w:t>CompuServe</w:t>
      </w:r>
      <w:r w:rsidRPr="750671CE">
        <w:rPr>
          <w:rFonts w:ascii="Times New Roman" w:eastAsia="Times New Roman" w:hAnsi="Times New Roman" w:cs="Times New Roman"/>
        </w:rPr>
        <w:t xml:space="preserve"> and its progeny also refer to the ISP</w:t>
      </w:r>
      <w:r w:rsidR="00B05F31">
        <w:rPr>
          <w:rFonts w:ascii="Times New Roman" w:eastAsia="Times New Roman" w:hAnsi="Times New Roman" w:cs="Times New Roman"/>
        </w:rPr>
        <w:t>’</w:t>
      </w:r>
      <w:r w:rsidRPr="750671CE">
        <w:rPr>
          <w:rFonts w:ascii="Times New Roman" w:eastAsia="Times New Roman" w:hAnsi="Times New Roman" w:cs="Times New Roman"/>
        </w:rPr>
        <w:t>s loss of business reputation and customer goodwill, resulting from the inconvenience and cost that spam causes to its members, as harm to the ISP</w:t>
      </w:r>
      <w:r w:rsidR="00B05F31">
        <w:rPr>
          <w:rFonts w:ascii="Times New Roman" w:eastAsia="Times New Roman" w:hAnsi="Times New Roman" w:cs="Times New Roman"/>
        </w:rPr>
        <w:t>’</w:t>
      </w:r>
      <w:r w:rsidRPr="750671CE">
        <w:rPr>
          <w:rFonts w:ascii="Times New Roman" w:eastAsia="Times New Roman" w:hAnsi="Times New Roman" w:cs="Times New Roman"/>
        </w:rPr>
        <w:t>s legally protected interests in its personal property.</w:t>
      </w:r>
      <w:r w:rsidRPr="750671CE">
        <w:rPr>
          <w:rFonts w:ascii="Times New Roman" w:eastAsia="Times New Roman" w:hAnsi="Times New Roman" w:cs="Times New Roman"/>
          <w:color w:val="000000" w:themeColor="text1"/>
        </w:rPr>
        <w:t xml:space="preserve">  Intel argues that its own interest in employee productivity, assertedly disrupted by Hamidi</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messages, is a comparable protected interest in its computer system. We disagree.</w:t>
      </w:r>
      <w:r w:rsidR="00021538">
        <w:rPr>
          <w:rFonts w:ascii="Times New Roman" w:eastAsia="Times New Roman" w:hAnsi="Times New Roman" w:cs="Times New Roman"/>
          <w:color w:val="000000" w:themeColor="text1"/>
        </w:rPr>
        <w:t xml:space="preserve"> . . .</w:t>
      </w:r>
    </w:p>
    <w:p w14:paraId="6F4E85C5" w14:textId="77777777" w:rsidR="001F4A22" w:rsidRPr="003D21A1" w:rsidRDefault="001F4A22" w:rsidP="001F4A22">
      <w:pPr>
        <w:widowControl w:val="0"/>
        <w:autoSpaceDE w:val="0"/>
        <w:autoSpaceDN w:val="0"/>
        <w:adjustRightInd w:val="0"/>
        <w:rPr>
          <w:rFonts w:ascii="Times New Roman" w:hAnsi="Times New Roman" w:cs="Times New Roman"/>
          <w:color w:val="000000"/>
        </w:rPr>
      </w:pPr>
    </w:p>
    <w:p w14:paraId="326EC516" w14:textId="52EF68F8"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workers . . . were allegedly distracted from their work not because of the frequency or quantity of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messages, but because of assertions and opinions the messages conveyed.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complaint is thus about </w:t>
      </w:r>
      <w:r w:rsidRPr="750671CE">
        <w:rPr>
          <w:rFonts w:ascii="Times New Roman" w:eastAsia="Times New Roman" w:hAnsi="Times New Roman" w:cs="Times New Roman"/>
          <w:i/>
          <w:iCs/>
          <w:color w:val="000000"/>
        </w:rPr>
        <w:t>the contents of the messages</w:t>
      </w:r>
      <w:r w:rsidRPr="750671CE">
        <w:rPr>
          <w:rFonts w:ascii="Times New Roman" w:eastAsia="Times New Roman" w:hAnsi="Times New Roman" w:cs="Times New Roman"/>
          <w:color w:val="000000"/>
        </w:rPr>
        <w:t xml:space="preserve"> rather than the functioning of the company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e-mail system. . . .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position represents a further extension of the trespass to chattels tort, fictionally recharacterizing</w:t>
      </w:r>
      <w:bookmarkStart w:id="76" w:name="co_pp_sp_4645_308_1"/>
      <w:bookmarkEnd w:id="76"/>
      <w:r w:rsidRPr="750671CE">
        <w:rPr>
          <w:rFonts w:ascii="Times New Roman" w:eastAsia="Times New Roman" w:hAnsi="Times New Roman" w:cs="Times New Roman"/>
          <w:color w:val="000000"/>
        </w:rPr>
        <w:t xml:space="preserve"> the allegedly injurious effect of a communication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w:t>
      </w:r>
      <w:r w:rsidRPr="750671CE">
        <w:rPr>
          <w:rFonts w:ascii="Times New Roman" w:eastAsia="Times New Roman" w:hAnsi="Times New Roman" w:cs="Times New Roman"/>
          <w:i/>
          <w:iCs/>
          <w:color w:val="000000"/>
        </w:rPr>
        <w:t>contents</w:t>
      </w:r>
      <w:r w:rsidRPr="750671CE">
        <w:rPr>
          <w:rFonts w:ascii="Times New Roman" w:eastAsia="Times New Roman" w:hAnsi="Times New Roman" w:cs="Times New Roman"/>
          <w:color w:val="000000"/>
        </w:rPr>
        <w:t xml:space="preserve"> on recipients as an impairment to the device which transmitted the message.</w:t>
      </w:r>
    </w:p>
    <w:p w14:paraId="5E8BB3D5"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07EE03A" w14:textId="260BEE29"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lastRenderedPageBreak/>
        <w:t xml:space="preserve">This theory of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impairment by content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(Burk, </w:t>
      </w:r>
      <w:r w:rsidRPr="750671CE">
        <w:rPr>
          <w:rFonts w:ascii="Times New Roman" w:eastAsia="Times New Roman" w:hAnsi="Times New Roman" w:cs="Times New Roman"/>
          <w:i/>
          <w:iCs/>
          <w:color w:val="000000"/>
        </w:rPr>
        <w:t>The Trouble with Trespass . . .</w:t>
      </w:r>
      <w:r w:rsidR="00021538">
        <w:rPr>
          <w:rFonts w:ascii="Times New Roman" w:eastAsia="Times New Roman" w:hAnsi="Times New Roman" w:cs="Times New Roman"/>
          <w:i/>
          <w:iCs/>
          <w:color w:val="000000"/>
        </w:rPr>
        <w:t xml:space="preserve"> </w:t>
      </w:r>
      <w:r w:rsidRPr="750671CE">
        <w:rPr>
          <w:rFonts w:ascii="Times New Roman" w:eastAsia="Times New Roman" w:hAnsi="Times New Roman" w:cs="Times New Roman"/>
          <w:i/>
          <w:iCs/>
          <w:color w:val="000000"/>
        </w:rPr>
        <w:t>,</w:t>
      </w:r>
      <w:r w:rsidRPr="750671CE">
        <w:rPr>
          <w:rFonts w:ascii="Times New Roman" w:eastAsia="Times New Roman" w:hAnsi="Times New Roman" w:cs="Times New Roman"/>
          <w:color w:val="000000"/>
        </w:rPr>
        <w:t xml:space="preserve"> 4 J. Small &amp; Emerging Bus.L. at p. 37) threatens to stretch trespass</w:t>
      </w:r>
      <w:bookmarkStart w:id="77" w:name="co_pp_sp_4040_1359_1"/>
      <w:bookmarkEnd w:id="77"/>
      <w:r w:rsidRPr="750671CE">
        <w:rPr>
          <w:rFonts w:ascii="Times New Roman" w:eastAsia="Times New Roman" w:hAnsi="Times New Roman" w:cs="Times New Roman"/>
          <w:color w:val="000000"/>
        </w:rPr>
        <w:t xml:space="preserve"> law to cover injuries far afield from the harms to possession the tort evolved to protect. . . .</w:t>
      </w:r>
    </w:p>
    <w:p w14:paraId="0E6CCF7D"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7F60ADA5" w14:textId="3E7A75F8" w:rsidR="001F4A22"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78" w:name="co_anchor_B202003460129_1"/>
      <w:bookmarkStart w:id="79" w:name="co_anchor_B212003460129_1"/>
      <w:bookmarkEnd w:id="78"/>
      <w:bookmarkEnd w:id="79"/>
      <w:r w:rsidRPr="750671CE">
        <w:rPr>
          <w:rFonts w:ascii="Times New Roman" w:eastAsia="Times New Roman" w:hAnsi="Times New Roman" w:cs="Times New Roman"/>
          <w:color w:val="000000"/>
        </w:rPr>
        <w:t xml:space="preserve">Nor may Intel appropriately assert a </w:t>
      </w:r>
      <w:r w:rsidRPr="750671CE">
        <w:rPr>
          <w:rFonts w:ascii="Times New Roman" w:eastAsia="Times New Roman" w:hAnsi="Times New Roman" w:cs="Times New Roman"/>
          <w:i/>
          <w:iCs/>
          <w:color w:val="000000"/>
        </w:rPr>
        <w:t>property</w:t>
      </w:r>
      <w:r w:rsidRPr="750671CE">
        <w:rPr>
          <w:rFonts w:ascii="Times New Roman" w:eastAsia="Times New Roman" w:hAnsi="Times New Roman" w:cs="Times New Roman"/>
          <w:color w:val="000000"/>
        </w:rPr>
        <w:t xml:space="preserve"> interest in its employees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time.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The Restatement test clearly speaks in the first instance to the impairment of the chattel. . . . But employees are not chattels (at least not in the legal sense of the term).</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(Burk, </w:t>
      </w:r>
      <w:r w:rsidRPr="750671CE">
        <w:rPr>
          <w:rFonts w:ascii="Times New Roman" w:eastAsia="Times New Roman" w:hAnsi="Times New Roman" w:cs="Times New Roman"/>
          <w:i/>
          <w:iCs/>
          <w:color w:val="000000"/>
        </w:rPr>
        <w:t xml:space="preserve">The </w:t>
      </w:r>
      <w:hyperlink r:id="rId35" w:anchor="co_pp_sp_114264_36" w:history="1">
        <w:r w:rsidRPr="750671CE">
          <w:rPr>
            <w:rFonts w:ascii="Times New Roman" w:eastAsia="Times New Roman" w:hAnsi="Times New Roman" w:cs="Times New Roman"/>
            <w:i/>
            <w:iCs/>
            <w:color w:val="000000"/>
          </w:rPr>
          <w:t>Trouble with Trespass, supra,</w:t>
        </w:r>
        <w:r w:rsidRPr="750671CE">
          <w:rPr>
            <w:rFonts w:ascii="Times New Roman" w:eastAsia="Times New Roman" w:hAnsi="Times New Roman" w:cs="Times New Roman"/>
            <w:color w:val="000000"/>
          </w:rPr>
          <w:t xml:space="preserve"> 4 J. Small &amp; Emerging Bus.L. at p. 36.)</w:t>
        </w:r>
      </w:hyperlink>
      <w:r w:rsidRPr="750671CE">
        <w:rPr>
          <w:rFonts w:ascii="Times New Roman" w:eastAsia="Times New Roman" w:hAnsi="Times New Roman" w:cs="Times New Roman"/>
          <w:color w:val="000000"/>
        </w:rPr>
        <w:t xml:space="preserve"> </w:t>
      </w:r>
      <w:bookmarkStart w:id="80" w:name="co_anchor_I95d8cdb43fda11e38578f7ccc38dc"/>
      <w:bookmarkEnd w:id="80"/>
    </w:p>
    <w:p w14:paraId="08C43004"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6972CCBD" w14:textId="77777777" w:rsidR="001F4A22" w:rsidRPr="00E61A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II.  Proposed Extension of California Tort Law</w:t>
      </w:r>
    </w:p>
    <w:p w14:paraId="74254CD8" w14:textId="77777777" w:rsidR="001F4A22" w:rsidRDefault="001F4A22" w:rsidP="001F4A22">
      <w:pPr>
        <w:widowControl w:val="0"/>
        <w:tabs>
          <w:tab w:val="center" w:pos="3960"/>
        </w:tabs>
        <w:autoSpaceDE w:val="0"/>
        <w:autoSpaceDN w:val="0"/>
        <w:adjustRightInd w:val="0"/>
        <w:rPr>
          <w:rFonts w:ascii="Times New Roman" w:hAnsi="Times New Roman" w:cs="Times New Roman"/>
          <w:color w:val="000000"/>
        </w:rPr>
      </w:pPr>
    </w:p>
    <w:p w14:paraId="5601E0AB" w14:textId="459ADFDD" w:rsidR="001F4A22" w:rsidRDefault="750671CE" w:rsidP="750671CE">
      <w:pPr>
        <w:widowControl w:val="0"/>
        <w:tabs>
          <w:tab w:val="center" w:pos="3960"/>
        </w:tabs>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2114F709" w14:textId="77777777" w:rsidR="001F4A22" w:rsidRPr="00536EF5" w:rsidRDefault="001F4A22" w:rsidP="001F4A22">
      <w:pPr>
        <w:widowControl w:val="0"/>
        <w:tabs>
          <w:tab w:val="center" w:pos="3960"/>
        </w:tabs>
        <w:autoSpaceDE w:val="0"/>
        <w:autoSpaceDN w:val="0"/>
        <w:adjustRightInd w:val="0"/>
        <w:rPr>
          <w:rFonts w:ascii="Times New Roman" w:hAnsi="Times New Roman" w:cs="Times New Roman"/>
          <w:color w:val="000000"/>
        </w:rPr>
      </w:pPr>
      <w:r>
        <w:rPr>
          <w:rFonts w:ascii="Times New Roman" w:hAnsi="Times New Roman" w:cs="Times New Roman"/>
          <w:color w:val="000000"/>
        </w:rPr>
        <w:tab/>
      </w:r>
    </w:p>
    <w:p w14:paraId="3C55D1DC" w14:textId="04667FD9"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extending the rules of trespass to real property to all interactive Web sites and servers.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court is thus urged to recognize, for owners of a particular species of personal property, computer servers, the same interest in inviolability as is generally accorded a possessor of land. In effect, Professor Epstein suggests that a company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server should be its castle, upon which any unauthorized intrusion, however harmless, is a trespass.</w:t>
      </w:r>
    </w:p>
    <w:p w14:paraId="4360CA9A"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73493C13" w14:textId="2C081632"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Epstein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argument derives, in part, from the familiar metaphor of the Internet as a physical space, reflected in much of the language that has been used to describe it: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cyberspace,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the information superhighway,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e-mail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addresses,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and the like. Of course, the Internet is also frequently called simply the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Net,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a term, Hamidi points out,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evoking a fisherman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chattel.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A major component of the Internet is the World Wide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Web,</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a</w:t>
      </w:r>
      <w:bookmarkStart w:id="81" w:name="co_pp_sp_4040_1361_1"/>
      <w:bookmarkEnd w:id="81"/>
      <w:r w:rsidRPr="750671CE">
        <w:rPr>
          <w:rFonts w:ascii="Times New Roman" w:eastAsia="Times New Roman" w:hAnsi="Times New Roman" w:cs="Times New Roman"/>
          <w:color w:val="000000"/>
        </w:rPr>
        <w:t xml:space="preserve"> descriptive term suggesting neither personal nor real property, and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cyberspace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itself has come to be known by the oxymoronic phrase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virtual reality,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which would suggest that any real property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located</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in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cyberspace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must be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virtually real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property. Metaphor is a two-edged sword.</w:t>
      </w:r>
    </w:p>
    <w:p w14:paraId="5B92A5B4"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23EBCD86" w14:textId="05F85559"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82" w:name="co_anchor_B232003460129_1"/>
      <w:bookmarkEnd w:id="82"/>
      <w:r w:rsidRPr="750671CE">
        <w:rPr>
          <w:rFonts w:ascii="Times New Roman" w:eastAsia="Times New Roman" w:hAnsi="Times New Roman" w:cs="Times New Roman"/>
          <w:color w:val="000000"/>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83" w:name="co_pp_sp_7047_48_1"/>
      <w:bookmarkEnd w:id="83"/>
      <w:r w:rsidRPr="750671CE">
        <w:rPr>
          <w:rFonts w:ascii="Times New Roman" w:eastAsia="Times New Roman" w:hAnsi="Times New Roman" w:cs="Times New Roman"/>
          <w:color w:val="000000"/>
        </w:rPr>
        <w:t xml:space="preserve"> property. </w:t>
      </w:r>
      <w:hyperlink r:id="rId36" w:history="1">
        <w:r w:rsidRPr="750671CE">
          <w:rPr>
            <w:rFonts w:ascii="Times New Roman" w:eastAsia="Times New Roman" w:hAnsi="Times New Roman" w:cs="Times New Roman"/>
            <w:color w:val="000000"/>
          </w:rPr>
          <w:t>(</w:t>
        </w:r>
        <w:r w:rsidRPr="750671CE">
          <w:rPr>
            <w:rFonts w:ascii="Times New Roman" w:eastAsia="Times New Roman" w:hAnsi="Times New Roman" w:cs="Times New Roman"/>
            <w:i/>
            <w:iCs/>
            <w:color w:val="000000"/>
          </w:rPr>
          <w:t>San Diego Gas &amp; Electric Co. v. Superior Court</w:t>
        </w:r>
        <w:r w:rsidRPr="750671CE">
          <w:rPr>
            <w:rFonts w:ascii="Times New Roman" w:eastAsia="Times New Roman" w:hAnsi="Times New Roman" w:cs="Times New Roman"/>
            <w:color w:val="000000"/>
          </w:rPr>
          <w:t xml:space="preserve"> (1996) 13 Cal.4th 893, 936–937, 55 Cal.Rptr.2d 724, 920 P.2d 669.)</w:t>
        </w:r>
      </w:hyperlink>
      <w:r w:rsidRPr="750671CE">
        <w:rPr>
          <w:rFonts w:ascii="Times New Roman" w:eastAsia="Times New Roman" w:hAnsi="Times New Roman" w:cs="Times New Roman"/>
          <w:color w:val="000000"/>
        </w:rPr>
        <w:t xml:space="preserve"> Since Intel does not claim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hallways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of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computers and bursting out of employees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computers to read them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missives. But such fictions promise more confusion than clarity in the law. . . .</w:t>
      </w:r>
    </w:p>
    <w:p w14:paraId="28384D12"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lastRenderedPageBreak/>
        <w:t> </w:t>
      </w:r>
    </w:p>
    <w:p w14:paraId="12F178A5" w14:textId="7AA48A78"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The plain fact is that computers, even those making up the Internet, are—like such older communications equipment as telephones and fax machines—personal property, not realty. Professor Epstein observes that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[a]lthough servers may be moved in real space, they cannot be moved in cyberspace,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(e.g., defamation, intentional infliction of emotional distress, invasion of privacy), </w:t>
      </w:r>
      <w:bookmarkStart w:id="84" w:name="co_pp_sp_4645_310_1"/>
      <w:bookmarkEnd w:id="84"/>
      <w:r w:rsidRPr="750671CE">
        <w:rPr>
          <w:rFonts w:ascii="Times New Roman" w:eastAsia="Times New Roman" w:hAnsi="Times New Roman" w:cs="Times New Roman"/>
          <w:color w:val="000000"/>
        </w:rPr>
        <w:t>but the injuries are not to an</w:t>
      </w:r>
      <w:bookmarkStart w:id="85" w:name="co_pp_sp_4040_1362_1"/>
      <w:bookmarkEnd w:id="85"/>
      <w:r w:rsidRPr="750671CE">
        <w:rPr>
          <w:rFonts w:ascii="Times New Roman" w:eastAsia="Times New Roman" w:hAnsi="Times New Roman" w:cs="Times New Roman"/>
          <w:color w:val="000000"/>
        </w:rPr>
        <w:t xml:space="preserve"> interest in property, much less real property, and the appropriate tort is not trespass.</w:t>
      </w:r>
      <w:bookmarkStart w:id="86" w:name="co_footnoteReference_B00772003460129_ID0"/>
      <w:bookmarkEnd w:id="86"/>
      <w:r w:rsidRPr="750671CE">
        <w:rPr>
          <w:rFonts w:ascii="Times New Roman" w:eastAsia="Times New Roman" w:hAnsi="Times New Roman" w:cs="Times New Roman"/>
          <w:color w:val="000000"/>
        </w:rPr>
        <w:t xml:space="preserve"> </w:t>
      </w:r>
    </w:p>
    <w:p w14:paraId="54AE01E5"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328B919F" w14:textId="28B0CDEA"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More substantively, Professor Epstein argues that a rule of computer server inviolability will, through the formation or extension of a market in computer-to-computer access, create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the right social result.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In most circumstances, he predicts, </w:t>
      </w:r>
      <w:bookmarkStart w:id="87" w:name="co_pp_sp_7047_49_1"/>
      <w:bookmarkEnd w:id="87"/>
      <w:r w:rsidRPr="750671CE">
        <w:rPr>
          <w:rFonts w:ascii="Times New Roman" w:eastAsia="Times New Roman" w:hAnsi="Times New Roman" w:cs="Times New Roman"/>
          <w:color w:val="000000"/>
        </w:rPr>
        <w:t xml:space="preserve">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simple one-on-one negotiations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will arise to provide the necessary individual licenses.</w:t>
      </w:r>
    </w:p>
    <w:p w14:paraId="2F5E5C07"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51FD3529" w14:textId="122B3113"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Other scholars are less optimistic about such a complete propertization of the Internet. Professor Mark Lemley . . . writing on behalf of an amici curiae group of professors of intellectual property and computer law, observes that under a property rule of server inviolability,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each of the hundreds of millions of [Internet] users must get permission in advance from anyone with whom they want to communicate and anyone who owns a server through which their message may travel.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1D654477" w14:textId="7C41BDF8" w:rsidR="001F4A22" w:rsidRPr="00F11CF1"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A leading scholar of internet law and policy, Professor Lawrence Lessig . . . , has criticized Professor Epstein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theory of the computer server as quasi-real property . . . on the ground that it ignores the costs to society in the loss of network benefits: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eBay benefits greatly from a network that is open </w:t>
      </w:r>
      <w:bookmarkStart w:id="88" w:name="co_pp_sp_4645_311_1"/>
      <w:bookmarkEnd w:id="88"/>
      <w:r w:rsidRPr="750671CE">
        <w:rPr>
          <w:rFonts w:ascii="Times New Roman" w:eastAsia="Times New Roman" w:hAnsi="Times New Roman" w:cs="Times New Roman"/>
          <w:color w:val="000000"/>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w:t>
      </w:r>
      <w:r w:rsidRPr="0082336D">
        <w:rPr>
          <w:rFonts w:ascii="Times New Roman" w:eastAsia="Times New Roman" w:hAnsi="Times New Roman" w:cs="Times New Roman"/>
        </w:rPr>
        <w:t>If machines must negotiate before entering any individual site, then the costs of using the network climb.</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t>
      </w:r>
      <w:r w:rsidRPr="004034E3">
        <w:rPr>
          <w:rFonts w:ascii="Times New Roman" w:eastAsia="Times New Roman" w:hAnsi="Times New Roman" w:cs="Times New Roman"/>
          <w:smallCaps/>
        </w:rPr>
        <w:t xml:space="preserve">Lessig, </w:t>
      </w:r>
      <w:r w:rsidRPr="004034E3">
        <w:rPr>
          <w:rFonts w:ascii="Times New Roman" w:eastAsia="Times New Roman" w:hAnsi="Times New Roman" w:cs="Times New Roman"/>
          <w:iCs/>
          <w:smallCaps/>
        </w:rPr>
        <w:t>The Future of Ideas: The Fate of the Commons in a Connected World</w:t>
      </w:r>
      <w:r w:rsidR="00E7454F">
        <w:rPr>
          <w:rFonts w:ascii="Times New Roman" w:eastAsia="Times New Roman" w:hAnsi="Times New Roman" w:cs="Times New Roman"/>
          <w:iCs/>
          <w:smallCaps/>
        </w:rPr>
        <w:t xml:space="preserve"> 171</w:t>
      </w:r>
      <w:r w:rsidRPr="750671CE">
        <w:rPr>
          <w:rFonts w:ascii="Times New Roman" w:eastAsia="Times New Roman" w:hAnsi="Times New Roman" w:cs="Times New Roman"/>
          <w:i/>
          <w:iCs/>
        </w:rPr>
        <w:t xml:space="preserve"> </w:t>
      </w:r>
      <w:r w:rsidRPr="0082336D">
        <w:rPr>
          <w:rFonts w:ascii="Times New Roman" w:eastAsia="Times New Roman" w:hAnsi="Times New Roman" w:cs="Times New Roman"/>
        </w:rPr>
        <w:t>(2001) . . . .</w:t>
      </w:r>
    </w:p>
    <w:p w14:paraId="51003882" w14:textId="77777777" w:rsidR="001F4A22" w:rsidRPr="00F11CF1" w:rsidRDefault="001F4A22" w:rsidP="001F4A22">
      <w:pPr>
        <w:widowControl w:val="0"/>
        <w:autoSpaceDE w:val="0"/>
        <w:autoSpaceDN w:val="0"/>
        <w:adjustRightInd w:val="0"/>
        <w:rPr>
          <w:rFonts w:ascii="Times New Roman" w:hAnsi="Times New Roman" w:cs="Times New Roman"/>
          <w:color w:val="000000"/>
        </w:rPr>
      </w:pPr>
    </w:p>
    <w:p w14:paraId="1084C4AC" w14:textId="3BE7EB13" w:rsidR="001F4A22" w:rsidRPr="00B93EE3"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0082336D">
        <w:rPr>
          <w:rFonts w:ascii="Times New Roman" w:eastAsia="Times New Roman" w:hAnsi="Times New Roman" w:cs="Times New Roman"/>
        </w:rPr>
        <w:t xml:space="preserve">We discuss this debate among the amici curiae and academic writers only to note </w:t>
      </w:r>
      <w:r w:rsidRPr="0082336D">
        <w:rPr>
          <w:rFonts w:ascii="Times New Roman" w:eastAsia="Times New Roman" w:hAnsi="Times New Roman" w:cs="Times New Roman"/>
        </w:rPr>
        <w:lastRenderedPageBreak/>
        <w:t xml:space="preserve">its existence and contours, not to attempt its resolution.  </w:t>
      </w:r>
      <w:r w:rsidRPr="750671CE">
        <w:rPr>
          <w:rFonts w:ascii="Times New Roman" w:eastAsia="Times New Roman" w:hAnsi="Times New Roman" w:cs="Times New Roman"/>
          <w:color w:val="000000"/>
        </w:rPr>
        <w:t>Creating an absolute property</w:t>
      </w:r>
      <w:bookmarkStart w:id="89" w:name="co_pp_sp_7047_50_1"/>
      <w:bookmarkEnd w:id="89"/>
      <w:r w:rsidRPr="750671CE">
        <w:rPr>
          <w:rFonts w:ascii="Times New Roman" w:eastAsia="Times New Roman" w:hAnsi="Times New Roman" w:cs="Times New Roman"/>
          <w:color w:val="000000"/>
        </w:rPr>
        <w:t xml:space="preserve"> right to exclude undesired communications from one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e-mail and Web servers might help force spammers to internalize the costs they impose on ISP</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5079AE1C" w14:textId="77777777" w:rsidR="001F4A22" w:rsidRPr="00015220" w:rsidRDefault="001F4A22" w:rsidP="001F4A22">
      <w:pPr>
        <w:widowControl w:val="0"/>
        <w:autoSpaceDE w:val="0"/>
        <w:autoSpaceDN w:val="0"/>
        <w:adjustRightInd w:val="0"/>
        <w:rPr>
          <w:rFonts w:ascii="Times New Roman" w:hAnsi="Times New Roman" w:cs="Times New Roman"/>
          <w:color w:val="000000"/>
        </w:rPr>
      </w:pPr>
    </w:p>
    <w:p w14:paraId="671947C7" w14:textId="77777777" w:rsidR="001F4A22" w:rsidRPr="00762529" w:rsidRDefault="001F4A22" w:rsidP="001F4A22">
      <w:pPr>
        <w:widowControl w:val="0"/>
        <w:autoSpaceDE w:val="0"/>
        <w:autoSpaceDN w:val="0"/>
        <w:adjustRightInd w:val="0"/>
        <w:rPr>
          <w:rFonts w:ascii="Times New Roman" w:hAnsi="Times New Roman" w:cs="Times New Roman"/>
          <w:color w:val="000000"/>
        </w:rPr>
      </w:pPr>
    </w:p>
    <w:p w14:paraId="4FE394CE" w14:textId="77777777" w:rsidR="001F4A22" w:rsidRPr="00E61A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III.  Constitutional Considerations</w:t>
      </w:r>
    </w:p>
    <w:p w14:paraId="68D071CF" w14:textId="77777777" w:rsidR="001F4A22" w:rsidRPr="005E6344" w:rsidRDefault="001F4A22" w:rsidP="001F4A22">
      <w:pPr>
        <w:widowControl w:val="0"/>
        <w:autoSpaceDE w:val="0"/>
        <w:autoSpaceDN w:val="0"/>
        <w:adjustRightInd w:val="0"/>
        <w:rPr>
          <w:rFonts w:ascii="Times New Roman" w:hAnsi="Times New Roman" w:cs="Times New Roman"/>
          <w:color w:val="000000"/>
        </w:rPr>
      </w:pPr>
    </w:p>
    <w:p w14:paraId="1FAAFD46" w14:textId="131E732C" w:rsidR="001F4A22" w:rsidRPr="00F11CF1"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Court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opinion declined to reach possible First Amendment claims on both sides, but it did observe that injunctions barring communications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must comply with First Amendment limits.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majority strongly suggested that Hamidi</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emails were the modern-day equivalent of protected speech, asserting that Hamidi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rPr>
        <w:t>no more invaded Intel</w:t>
      </w:r>
      <w:r w:rsidR="00B05F31">
        <w:rPr>
          <w:rFonts w:ascii="Times New Roman" w:eastAsia="Times New Roman" w:hAnsi="Times New Roman" w:cs="Times New Roman"/>
        </w:rPr>
        <w:t>’</w:t>
      </w:r>
      <w:r w:rsidRPr="750671CE">
        <w:rPr>
          <w:rFonts w:ascii="Times New Roman" w:eastAsia="Times New Roman" w:hAnsi="Times New Roman" w:cs="Times New Roman"/>
        </w:rPr>
        <w:t>s property than does a protester holding a sign or shouting through a bullhorn outside corporate headquarters, posting a letter through the mail, or telephoning to complain of a corporate practice.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the majority dismissed Intel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own constitutional claims of a </w:t>
      </w:r>
      <w:r w:rsidR="00B05F31">
        <w:rPr>
          <w:rFonts w:ascii="Times New Roman" w:eastAsia="Times New Roman" w:hAnsi="Times New Roman" w:cs="Times New Roman"/>
        </w:rPr>
        <w:t>“</w:t>
      </w:r>
      <w:r w:rsidRPr="750671CE">
        <w:rPr>
          <w:rFonts w:ascii="Times New Roman" w:eastAsia="Times New Roman" w:hAnsi="Times New Roman" w:cs="Times New Roman"/>
        </w:rPr>
        <w:t>right not to listen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on the grounds that the actual recipients of the emails was not Intel but its individual employees.]</w:t>
      </w:r>
    </w:p>
    <w:p w14:paraId="7DC32F8E" w14:textId="77777777" w:rsidR="001F4A22" w:rsidRDefault="001F4A22" w:rsidP="001F4A22">
      <w:pPr>
        <w:widowControl w:val="0"/>
        <w:autoSpaceDE w:val="0"/>
        <w:autoSpaceDN w:val="0"/>
        <w:adjustRightInd w:val="0"/>
        <w:rPr>
          <w:rFonts w:ascii="Times New Roman" w:hAnsi="Times New Roman" w:cs="Times New Roman"/>
          <w:color w:val="000000"/>
        </w:rPr>
      </w:pPr>
    </w:p>
    <w:p w14:paraId="44046594" w14:textId="77777777" w:rsidR="001F4A22" w:rsidRDefault="001F4A22" w:rsidP="001F4A22">
      <w:pPr>
        <w:widowControl w:val="0"/>
        <w:autoSpaceDE w:val="0"/>
        <w:autoSpaceDN w:val="0"/>
        <w:adjustRightInd w:val="0"/>
        <w:rPr>
          <w:rFonts w:ascii="Times New Roman" w:hAnsi="Times New Roman" w:cs="Times New Roman"/>
          <w:color w:val="000000"/>
        </w:rPr>
      </w:pPr>
    </w:p>
    <w:p w14:paraId="77B9B681" w14:textId="77777777" w:rsidR="001F4A22" w:rsidRDefault="001F4A22" w:rsidP="750671CE">
      <w:pPr>
        <w:widowControl w:val="0"/>
        <w:autoSpaceDE w:val="0"/>
        <w:autoSpaceDN w:val="0"/>
        <w:adjustRightInd w:val="0"/>
        <w:rPr>
          <w:rFonts w:ascii="Times New Roman" w:eastAsia="Times New Roman" w:hAnsi="Times New Roman" w:cs="Times New Roman"/>
          <w:smallCaps/>
        </w:rPr>
      </w:pPr>
      <w:r w:rsidRPr="750671CE">
        <w:rPr>
          <w:rFonts w:ascii="Times New Roman" w:eastAsia="Times New Roman" w:hAnsi="Times New Roman" w:cs="Times New Roman"/>
          <w:color w:val="000000"/>
        </w:rPr>
        <w:t xml:space="preserve">Dissenting Opinion of </w:t>
      </w:r>
      <w:bookmarkStart w:id="90" w:name="co_anchor_I95d8cdc13fda11e38578f7ccc38dc"/>
      <w:bookmarkEnd w:id="90"/>
      <w:r w:rsidRPr="750671CE">
        <w:rPr>
          <w:rFonts w:ascii="Times New Roman" w:eastAsia="Times New Roman" w:hAnsi="Times New Roman" w:cs="Times New Roman"/>
          <w:smallCaps/>
        </w:rPr>
        <w:t>Brown, J.</w:t>
      </w:r>
    </w:p>
    <w:p w14:paraId="2A9B679A" w14:textId="77777777" w:rsidR="001F4A22" w:rsidRDefault="001F4A22" w:rsidP="001F4A22">
      <w:pPr>
        <w:widowControl w:val="0"/>
        <w:autoSpaceDE w:val="0"/>
        <w:autoSpaceDN w:val="0"/>
        <w:adjustRightInd w:val="0"/>
        <w:rPr>
          <w:rFonts w:ascii="Times New Roman" w:hAnsi="Times New Roman" w:cs="Times New Roman"/>
          <w:color w:val="000000"/>
        </w:rPr>
      </w:pPr>
    </w:p>
    <w:p w14:paraId="26E258C9" w14:textId="3D6717BB"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 . Intel has invested millions of dollars to develop and maintain a computer system. It did this not to act as a public forum but to enhance the productivity of its employees. . . . The time required to review and delete Hamidi</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messages diverted employees from productive tasks and undermined the utility of the computer system. . . .</w:t>
      </w:r>
    </w:p>
    <w:p w14:paraId="5474E8B1"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240FA7B1" w14:textId="12C74A35"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Hamidi concedes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91" w:name="co_pp_sp_4040_1380_1"/>
      <w:bookmarkEnd w:id="91"/>
      <w:r w:rsidRPr="750671CE">
        <w:rPr>
          <w:rFonts w:ascii="Times New Roman" w:eastAsia="Times New Roman" w:hAnsi="Times New Roman" w:cs="Times New Roman"/>
          <w:color w:val="000000"/>
        </w:rPr>
        <w:t xml:space="preserve"> right to exclude Hamidi from its system, it does not have the physical ability. It </w:t>
      </w:r>
      <w:r w:rsidRPr="750671CE">
        <w:rPr>
          <w:rFonts w:ascii="Times New Roman" w:eastAsia="Times New Roman" w:hAnsi="Times New Roman" w:cs="Times New Roman"/>
          <w:i/>
          <w:iCs/>
          <w:color w:val="000000"/>
        </w:rPr>
        <w:t>may</w:t>
      </w:r>
      <w:r w:rsidRPr="750671CE">
        <w:rPr>
          <w:rFonts w:ascii="Times New Roman" w:eastAsia="Times New Roman" w:hAnsi="Times New Roman" w:cs="Times New Roman"/>
          <w:color w:val="000000"/>
        </w:rPr>
        <w:t xml:space="preserve"> forbid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use, but it </w:t>
      </w:r>
      <w:r w:rsidRPr="750671CE">
        <w:rPr>
          <w:rFonts w:ascii="Times New Roman" w:eastAsia="Times New Roman" w:hAnsi="Times New Roman" w:cs="Times New Roman"/>
          <w:i/>
          <w:iCs/>
          <w:color w:val="000000"/>
        </w:rPr>
        <w:t>cannot</w:t>
      </w:r>
      <w:r w:rsidRPr="750671CE">
        <w:rPr>
          <w:rFonts w:ascii="Times New Roman" w:eastAsia="Times New Roman" w:hAnsi="Times New Roman" w:cs="Times New Roman"/>
          <w:color w:val="000000"/>
        </w:rPr>
        <w:t xml:space="preserve"> prevent it.</w:t>
      </w:r>
    </w:p>
    <w:p w14:paraId="07A0FF88"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4677A9CC" w14:textId="7C372AF4" w:rsidR="001F4A22" w:rsidRPr="00536EF5"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To the majority, Hamidi</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ability to outwit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cyber defenses justifies denial of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claim to exclusive use of its property. Under this reasoning, it is not right but might that determines the extent of a party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possessory interest. Although the world often works this way, the legal system should not.</w:t>
      </w:r>
      <w:bookmarkStart w:id="92" w:name="co_anchor_I95d8cdc53fda11e38578f7ccc38dc"/>
      <w:bookmarkEnd w:id="92"/>
      <w:r w:rsidRPr="750671CE">
        <w:rPr>
          <w:rFonts w:ascii="Times New Roman" w:eastAsia="Times New Roman" w:hAnsi="Times New Roman" w:cs="Times New Roman"/>
          <w:color w:val="000000"/>
        </w:rPr>
        <w:t xml:space="preserve"> . . .</w:t>
      </w:r>
    </w:p>
    <w:p w14:paraId="77B9C315" w14:textId="77777777" w:rsidR="001F4A22" w:rsidRPr="00536EF5" w:rsidRDefault="001F4A22" w:rsidP="001F4A22">
      <w:pPr>
        <w:widowControl w:val="0"/>
        <w:autoSpaceDE w:val="0"/>
        <w:autoSpaceDN w:val="0"/>
        <w:adjustRightInd w:val="0"/>
        <w:rPr>
          <w:rFonts w:ascii="Times New Roman" w:hAnsi="Times New Roman" w:cs="Times New Roman"/>
          <w:color w:val="000000"/>
        </w:rPr>
      </w:pPr>
      <w:bookmarkStart w:id="93" w:name="co_pp_sp_4645_322_1"/>
      <w:bookmarkEnd w:id="93"/>
    </w:p>
    <w:p w14:paraId="2C7E03E0" w14:textId="77777777" w:rsidR="001F4A22" w:rsidRDefault="001F4A22"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Dissenting Opinion by</w:t>
      </w:r>
      <w:r w:rsidRPr="750671CE">
        <w:rPr>
          <w:rFonts w:ascii="Times New Roman" w:eastAsia="Times New Roman" w:hAnsi="Times New Roman" w:cs="Times New Roman"/>
          <w:smallCaps/>
          <w:color w:val="000000"/>
        </w:rPr>
        <w:t xml:space="preserve"> </w:t>
      </w:r>
      <w:bookmarkStart w:id="94" w:name="co_footnoteReference_B0212003460129_ID0E"/>
      <w:bookmarkEnd w:id="94"/>
      <w:r w:rsidRPr="750671CE">
        <w:rPr>
          <w:rFonts w:ascii="Times New Roman" w:eastAsia="Times New Roman" w:hAnsi="Times New Roman" w:cs="Times New Roman"/>
          <w:smallCaps/>
        </w:rPr>
        <w:t>Mosk, J.</w:t>
      </w:r>
      <w:r w:rsidRPr="750671CE">
        <w:rPr>
          <w:rFonts w:ascii="Times New Roman" w:eastAsia="Times New Roman" w:hAnsi="Times New Roman" w:cs="Times New Roman"/>
          <w:color w:val="000000"/>
        </w:rPr>
        <w:t xml:space="preserve"> </w:t>
      </w:r>
    </w:p>
    <w:p w14:paraId="79677CF7"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123212B5" w14:textId="0121CA62" w:rsidR="001F4A22" w:rsidRDefault="001F4A22"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95" w:name="co_anchor_I95d8cdcc3fda11e38578f7ccc38dc"/>
      <w:bookmarkEnd w:id="95"/>
      <w:r w:rsidRPr="750671CE">
        <w:rPr>
          <w:rFonts w:ascii="Times New Roman" w:eastAsia="Times New Roman" w:hAnsi="Times New Roman" w:cs="Times New Roman"/>
          <w:color w:val="000000"/>
        </w:rPr>
        <w:t xml:space="preserve">. . .The majority fail to distinguish open communication in the public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commons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of the Internet from unauthorized intermeddling on a private, proprietary intranet. Hamidi is not communicating in the equivalent of a town square or of an unsolicited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junk</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t>
      </w:r>
      <w:r w:rsidRPr="750671CE">
        <w:rPr>
          <w:rFonts w:ascii="Times New Roman" w:eastAsia="Times New Roman" w:hAnsi="Times New Roman" w:cs="Times New Roman"/>
          <w:color w:val="000000"/>
        </w:rPr>
        <w:lastRenderedPageBreak/>
        <w:t>mailing through the United States Postal Service. His action, in crossing from the public Internet into a private intranet, is more like intruding into a private office mailroom, commandeering the mail cart, and dropping off unwanted broadsides on 30,000 desks. Because Intel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security measures have been circumvented by Hamidi, the majority leave Intel, which has exercised all reasonable self-help efforts, with no recourse unless he causes a malfunction or systems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crash.</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 . .  </w:t>
      </w:r>
    </w:p>
    <w:p w14:paraId="260470B7" w14:textId="77777777" w:rsidR="001F4A22" w:rsidRDefault="001F4A22" w:rsidP="001F4A22">
      <w:pPr>
        <w:widowControl w:val="0"/>
        <w:autoSpaceDE w:val="0"/>
        <w:autoSpaceDN w:val="0"/>
        <w:adjustRightInd w:val="0"/>
        <w:rPr>
          <w:rFonts w:ascii="Times New Roman" w:hAnsi="Times New Roman" w:cs="Times New Roman"/>
          <w:color w:val="000000"/>
        </w:rPr>
      </w:pPr>
    </w:p>
    <w:p w14:paraId="1364D07C" w14:textId="77777777" w:rsidR="001F4A22" w:rsidRPr="00536EF5"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1D9EDAC6" w14:textId="77777777" w:rsidR="001F4A22" w:rsidRDefault="001F4A22">
      <w:pPr>
        <w:widowControl w:val="0"/>
        <w:autoSpaceDE w:val="0"/>
        <w:autoSpaceDN w:val="0"/>
        <w:adjustRightInd w:val="0"/>
        <w:rPr>
          <w:rFonts w:ascii="Times New Roman" w:hAnsi="Times New Roman" w:cs="Times New Roman"/>
          <w:color w:val="000000"/>
        </w:rPr>
      </w:pPr>
    </w:p>
    <w:p w14:paraId="723B9A78" w14:textId="77777777" w:rsidR="001F4A22" w:rsidRDefault="001F4A22">
      <w:pPr>
        <w:widowControl w:val="0"/>
        <w:autoSpaceDE w:val="0"/>
        <w:autoSpaceDN w:val="0"/>
        <w:adjustRightInd w:val="0"/>
        <w:rPr>
          <w:rFonts w:ascii="Times New Roman" w:hAnsi="Times New Roman" w:cs="Times New Roman"/>
          <w:color w:val="000000"/>
        </w:rPr>
      </w:pPr>
    </w:p>
    <w:p w14:paraId="73A1E4CD" w14:textId="77777777" w:rsidR="001F4A22" w:rsidRPr="00CD0D03" w:rsidRDefault="001F4A22" w:rsidP="002502CC">
      <w:pPr>
        <w:pStyle w:val="Heading4"/>
      </w:pPr>
      <w:bookmarkStart w:id="96" w:name="_Toc364636050"/>
      <w:bookmarkStart w:id="97" w:name="_Toc518323208"/>
      <w:r w:rsidRPr="00CD0D03">
        <w:t>Notes</w:t>
      </w:r>
      <w:bookmarkEnd w:id="96"/>
      <w:bookmarkEnd w:id="97"/>
    </w:p>
    <w:p w14:paraId="24D38C61" w14:textId="77777777" w:rsidR="001F4A22" w:rsidRDefault="001F4A22" w:rsidP="001F4A22">
      <w:pPr>
        <w:widowControl w:val="0"/>
        <w:autoSpaceDE w:val="0"/>
        <w:autoSpaceDN w:val="0"/>
        <w:adjustRightInd w:val="0"/>
        <w:rPr>
          <w:rFonts w:ascii="Times New Roman" w:hAnsi="Times New Roman" w:cs="Times New Roman"/>
          <w:color w:val="000000"/>
        </w:rPr>
      </w:pPr>
    </w:p>
    <w:p w14:paraId="567C7F99" w14:textId="77777777" w:rsidR="007C1411" w:rsidRPr="00536EF5" w:rsidRDefault="007C1411" w:rsidP="001F4A22">
      <w:pPr>
        <w:widowControl w:val="0"/>
        <w:autoSpaceDE w:val="0"/>
        <w:autoSpaceDN w:val="0"/>
        <w:adjustRightInd w:val="0"/>
        <w:rPr>
          <w:rFonts w:ascii="Times New Roman" w:hAnsi="Times New Roman" w:cs="Times New Roman"/>
          <w:color w:val="000000"/>
        </w:rPr>
      </w:pPr>
    </w:p>
    <w:p w14:paraId="62BD1B1C" w14:textId="222FC6C1" w:rsidR="001F4A22" w:rsidRPr="004034E3" w:rsidRDefault="750671CE" w:rsidP="004034E3">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Cs/>
        </w:rPr>
        <w:t>Thrifty-Tel</w:t>
      </w:r>
      <w:r w:rsidR="0095610F" w:rsidRPr="004034E3">
        <w:rPr>
          <w:rFonts w:ascii="Times New Roman" w:eastAsia="Times New Roman" w:hAnsi="Times New Roman" w:cs="Times New Roman"/>
          <w:iCs/>
        </w:rPr>
        <w:t>, Inc.</w:t>
      </w:r>
      <w:r w:rsidRPr="004034E3">
        <w:rPr>
          <w:rFonts w:ascii="Times New Roman" w:eastAsia="Times New Roman" w:hAnsi="Times New Roman" w:cs="Times New Roman"/>
          <w:iCs/>
        </w:rPr>
        <w:t xml:space="preserve"> v. Bezenek</w:t>
      </w:r>
      <w:r w:rsidRPr="004034E3">
        <w:rPr>
          <w:rFonts w:ascii="Times New Roman" w:eastAsia="Times New Roman" w:hAnsi="Times New Roman" w:cs="Times New Roman"/>
          <w:i/>
          <w:iCs/>
        </w:rPr>
        <w:t xml:space="preserve"> </w:t>
      </w:r>
      <w:r w:rsidRPr="004034E3">
        <w:rPr>
          <w:rFonts w:ascii="Times New Roman" w:eastAsia="Times New Roman" w:hAnsi="Times New Roman" w:cs="Times New Roman"/>
          <w:i/>
        </w:rPr>
        <w:t>(1996)</w:t>
      </w:r>
      <w:r w:rsidRPr="004034E3">
        <w:rPr>
          <w:rFonts w:ascii="Times New Roman" w:eastAsia="Times New Roman" w:hAnsi="Times New Roman" w:cs="Times New Roman"/>
        </w:rPr>
        <w:t xml:space="preserve">. </w:t>
      </w:r>
      <w:r w:rsidRPr="004034E3">
        <w:rPr>
          <w:rFonts w:ascii="Times New Roman" w:eastAsia="Times New Roman" w:hAnsi="Times New Roman" w:cs="Times New Roman"/>
          <w:i/>
          <w:iCs/>
        </w:rPr>
        <w:t>Thrifty-Tel</w:t>
      </w:r>
      <w:r w:rsidRPr="004034E3">
        <w:rPr>
          <w:rFonts w:ascii="Times New Roman" w:eastAsia="Times New Roman" w:hAnsi="Times New Roman" w:cs="Times New Roman"/>
        </w:rPr>
        <w:t xml:space="preserve"> was one of the first cases to apply trespass to chattels principles to electronic communication. Thrifty-Tel, a long-distance telephone company sued the parents of minors who used computers to crack the company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authorization codes, and to make long-distance calls without paying. In holding that trespass to chattels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lies where an intentional interference with the possession of personal property has proximately caused injury,</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the </w:t>
      </w:r>
      <w:r w:rsidRPr="004034E3">
        <w:rPr>
          <w:rFonts w:ascii="Times New Roman" w:eastAsia="Times New Roman" w:hAnsi="Times New Roman" w:cs="Times New Roman"/>
          <w:i/>
          <w:iCs/>
        </w:rPr>
        <w:t xml:space="preserve">Thrifty-Tel </w:t>
      </w:r>
      <w:r w:rsidRPr="004034E3">
        <w:rPr>
          <w:rFonts w:ascii="Times New Roman" w:eastAsia="Times New Roman" w:hAnsi="Times New Roman" w:cs="Times New Roman"/>
        </w:rPr>
        <w:t>court found that the defendants</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hacking substantially interfered with Thrifty-Tel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s operations, sufficiently to give rise to a common law trespass to chattels cause of action</w:t>
      </w:r>
      <w:r w:rsidRPr="004034E3">
        <w:rPr>
          <w:rFonts w:ascii="Times New Roman" w:eastAsia="Times New Roman" w:hAnsi="Times New Roman" w:cs="Times New Roman"/>
          <w:i/>
          <w:iCs/>
        </w:rPr>
        <w:t>. Thrifty-Tel</w:t>
      </w:r>
      <w:r w:rsidRPr="004034E3">
        <w:rPr>
          <w:rFonts w:ascii="Times New Roman" w:eastAsia="Times New Roman" w:hAnsi="Times New Roman" w:cs="Times New Roman"/>
        </w:rPr>
        <w:t xml:space="preserve">, 54 Cal. Rptr. 2d at 473. </w:t>
      </w:r>
    </w:p>
    <w:p w14:paraId="0BC5F204" w14:textId="77777777" w:rsidR="001F4A22" w:rsidRPr="00536EF5" w:rsidRDefault="001F4A22" w:rsidP="001F4A22">
      <w:pPr>
        <w:ind w:left="720"/>
        <w:rPr>
          <w:rFonts w:ascii="Times New Roman" w:hAnsi="Times New Roman" w:cs="Times New Roman"/>
        </w:rPr>
      </w:pPr>
    </w:p>
    <w:p w14:paraId="43E24C0F" w14:textId="620BDBB3" w:rsidR="001F4A22" w:rsidRPr="00536EF5" w:rsidRDefault="750671CE" w:rsidP="750671CE">
      <w:pPr>
        <w:spacing w:after="240"/>
        <w:ind w:firstLine="720"/>
        <w:rPr>
          <w:rFonts w:ascii="Times New Roman" w:eastAsia="Times New Roman" w:hAnsi="Times New Roman" w:cs="Times New Roman"/>
        </w:rPr>
      </w:pPr>
      <w:r w:rsidRPr="750671CE">
        <w:rPr>
          <w:rFonts w:ascii="Times New Roman" w:eastAsia="Times New Roman" w:hAnsi="Times New Roman" w:cs="Times New Roman"/>
        </w:rPr>
        <w:t>Around the same time, CompuServe Inc., an early internet service provider, brought an action against Cyber Promotions Inc. for sending CompuServe users unsolicited advertisements through CompuServe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servers. The court in </w:t>
      </w:r>
      <w:r w:rsidRPr="750671CE">
        <w:rPr>
          <w:rFonts w:ascii="Times New Roman" w:eastAsia="Times New Roman" w:hAnsi="Times New Roman" w:cs="Times New Roman"/>
          <w:i/>
          <w:iCs/>
        </w:rPr>
        <w:t>CompuServe Inc. v. Cyber Promotions, Inc.</w:t>
      </w:r>
      <w:r w:rsidRPr="750671CE">
        <w:rPr>
          <w:rFonts w:ascii="Times New Roman" w:eastAsia="Times New Roman" w:hAnsi="Times New Roman" w:cs="Times New Roman"/>
        </w:rPr>
        <w:t>, 962 F. Supp. 1015, 1022 (S.D. Ohio 1997)</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found that defendants were guilty of trespass to chattels because </w:t>
      </w:r>
      <w:r w:rsidR="00B05F31">
        <w:rPr>
          <w:rFonts w:ascii="Times New Roman" w:eastAsia="Times New Roman" w:hAnsi="Times New Roman" w:cs="Times New Roman"/>
        </w:rPr>
        <w:t>“</w:t>
      </w:r>
      <w:r w:rsidRPr="750671CE">
        <w:rPr>
          <w:rFonts w:ascii="Times New Roman" w:eastAsia="Times New Roman" w:hAnsi="Times New Roman" w:cs="Times New Roman"/>
        </w:rPr>
        <w:t>multitudinous electronic mailings demand the disk space and drain the processing power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computer equipment,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because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actions caused customers to complain, resulting in a loss of good will toward CompuServe.</w:t>
      </w:r>
    </w:p>
    <w:p w14:paraId="5B8CB5A9" w14:textId="26E81041"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w:t>
      </w:r>
      <w:r w:rsidRPr="750671CE">
        <w:rPr>
          <w:rFonts w:ascii="Times New Roman" w:eastAsia="Times New Roman" w:hAnsi="Times New Roman" w:cs="Times New Roman"/>
          <w:i/>
          <w:iCs/>
        </w:rPr>
        <w:t>Ticketmaster Corp. v. Tickets.com Inc.,</w:t>
      </w:r>
      <w:r w:rsidRPr="750671CE">
        <w:rPr>
          <w:rFonts w:ascii="Times New Roman" w:eastAsia="Times New Roman" w:hAnsi="Times New Roman" w:cs="Times New Roman"/>
        </w:rPr>
        <w:t xml:space="preserve"> 2000 WL 525390 (C.D. Cal. Mar. 27, 2000), Ticketmaster filed suit against Tickets.com for their practice of providing hyperlinks to Ticketmaster.com, and for copying event information from Ticketmaster</w:t>
      </w:r>
      <w:r w:rsidR="00B05F31">
        <w:rPr>
          <w:rFonts w:ascii="Times New Roman" w:eastAsia="Times New Roman" w:hAnsi="Times New Roman" w:cs="Times New Roman"/>
        </w:rPr>
        <w:t>’</w:t>
      </w:r>
      <w:r w:rsidRPr="750671CE">
        <w:rPr>
          <w:rFonts w:ascii="Times New Roman" w:eastAsia="Times New Roman" w:hAnsi="Times New Roman" w:cs="Times New Roman"/>
        </w:rPr>
        <w:t>s webpage and placing it on the Tickets.com web page. The court found that providing a hyperlink to, and copying purely factual information from, a publicly available website did not (absent more) establish a claim of trespass.</w:t>
      </w:r>
    </w:p>
    <w:p w14:paraId="402208E9" w14:textId="77777777" w:rsidR="001F4A22" w:rsidRPr="00536EF5" w:rsidRDefault="001F4A22" w:rsidP="001F4A22">
      <w:pPr>
        <w:ind w:left="720"/>
        <w:rPr>
          <w:rFonts w:ascii="Times New Roman" w:hAnsi="Times New Roman" w:cs="Times New Roman"/>
        </w:rPr>
      </w:pPr>
    </w:p>
    <w:p w14:paraId="74BC976D" w14:textId="09C26FE6"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 few months after the </w:t>
      </w:r>
      <w:r w:rsidRPr="750671CE">
        <w:rPr>
          <w:rFonts w:ascii="Times New Roman" w:eastAsia="Times New Roman" w:hAnsi="Times New Roman" w:cs="Times New Roman"/>
          <w:i/>
          <w:iCs/>
        </w:rPr>
        <w:t>Ticketmaster</w:t>
      </w:r>
      <w:r w:rsidRPr="750671CE">
        <w:rPr>
          <w:rFonts w:ascii="Times New Roman" w:eastAsia="Times New Roman" w:hAnsi="Times New Roman" w:cs="Times New Roman"/>
        </w:rPr>
        <w:t xml:space="preserve"> decision, a federal judge in the Northern District of California held that the gathering of publicly accessible auction information from eBay.com by an auction services firm called Bidder</w:t>
      </w:r>
      <w:r w:rsidR="00B05F31">
        <w:rPr>
          <w:rFonts w:ascii="Times New Roman" w:eastAsia="Times New Roman" w:hAnsi="Times New Roman" w:cs="Times New Roman"/>
        </w:rPr>
        <w:t>’</w:t>
      </w:r>
      <w:r w:rsidRPr="750671CE">
        <w:rPr>
          <w:rFonts w:ascii="Times New Roman" w:eastAsia="Times New Roman" w:hAnsi="Times New Roman" w:cs="Times New Roman"/>
        </w:rPr>
        <w:t>s Edge constituted a trespass to chattels. Bidder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Edge used electronic </w:t>
      </w:r>
      <w:r w:rsidR="00B05F31">
        <w:rPr>
          <w:rFonts w:ascii="Times New Roman" w:eastAsia="Times New Roman" w:hAnsi="Times New Roman" w:cs="Times New Roman"/>
        </w:rPr>
        <w:t>“</w:t>
      </w:r>
      <w:r w:rsidRPr="750671CE">
        <w:rPr>
          <w:rFonts w:ascii="Times New Roman" w:eastAsia="Times New Roman" w:hAnsi="Times New Roman" w:cs="Times New Roman"/>
        </w:rPr>
        <w:t>spiders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crawl through bidding information on eBay and other auction sites and used the information it collected to allow its customers to compare goods and prices across bidding websites. Does it matter that eBay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database </w:t>
      </w:r>
      <w:r w:rsidRPr="750671CE">
        <w:rPr>
          <w:rFonts w:ascii="Times New Roman" w:eastAsia="Times New Roman" w:hAnsi="Times New Roman" w:cs="Times New Roman"/>
        </w:rPr>
        <w:lastRenderedPageBreak/>
        <w:t>was publicly accessible, or that it posted a notice purporting to forbid the use of information collecting spiders? Part of the threat to eBay was that Bidder</w:t>
      </w:r>
      <w:r w:rsidR="00B05F31">
        <w:rPr>
          <w:rFonts w:ascii="Times New Roman" w:eastAsia="Times New Roman" w:hAnsi="Times New Roman" w:cs="Times New Roman"/>
        </w:rPr>
        <w:t>’</w:t>
      </w:r>
      <w:r w:rsidRPr="750671CE">
        <w:rPr>
          <w:rFonts w:ascii="Times New Roman" w:eastAsia="Times New Roman" w:hAnsi="Times New Roman" w:cs="Times New Roman"/>
        </w:rPr>
        <w:t>s Edge allowed users to access the eBay site without encountering eBay</w:t>
      </w:r>
      <w:r w:rsidR="00B05F31">
        <w:rPr>
          <w:rFonts w:ascii="Times New Roman" w:eastAsia="Times New Roman" w:hAnsi="Times New Roman" w:cs="Times New Roman"/>
        </w:rPr>
        <w:t>’</w:t>
      </w:r>
      <w:r w:rsidRPr="750671CE">
        <w:rPr>
          <w:rFonts w:ascii="Times New Roman" w:eastAsia="Times New Roman" w:hAnsi="Times New Roman" w:cs="Times New Roman"/>
        </w:rPr>
        <w:t>s advertising. Note that eBay said that it was willing to sell Bidder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Edge a license to collect the information for a charge.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eBay, Inc. v. Bidder</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s Edge, Inc.</w:t>
      </w:r>
      <w:r w:rsidRPr="750671CE">
        <w:rPr>
          <w:rFonts w:ascii="Times New Roman" w:eastAsia="Times New Roman" w:hAnsi="Times New Roman" w:cs="Times New Roman"/>
        </w:rPr>
        <w:t>, 100 F. Supp. 2d 1058 (N.D. Cal. 2000).</w:t>
      </w:r>
    </w:p>
    <w:p w14:paraId="020A2710" w14:textId="77777777" w:rsidR="001F4A22" w:rsidRDefault="001F4A22" w:rsidP="001F4A22">
      <w:pPr>
        <w:ind w:firstLine="720"/>
        <w:rPr>
          <w:rFonts w:ascii="Times New Roman" w:hAnsi="Times New Roman" w:cs="Times New Roman"/>
        </w:rPr>
      </w:pPr>
    </w:p>
    <w:p w14:paraId="5A894B08" w14:textId="77777777" w:rsidR="001F4A22" w:rsidRPr="00536EF5" w:rsidRDefault="001F4A22" w:rsidP="001F4A22">
      <w:pPr>
        <w:ind w:firstLine="720"/>
        <w:rPr>
          <w:rFonts w:ascii="Times New Roman" w:hAnsi="Times New Roman" w:cs="Times New Roman"/>
        </w:rPr>
      </w:pPr>
    </w:p>
    <w:p w14:paraId="601050EB" w14:textId="3A9A2128" w:rsidR="001F4A22" w:rsidRPr="004034E3" w:rsidRDefault="750671CE" w:rsidP="004034E3">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 xml:space="preserve">The </w:t>
      </w:r>
      <w:r w:rsidR="00441E5D">
        <w:rPr>
          <w:rFonts w:ascii="Times New Roman" w:eastAsia="Times New Roman" w:hAnsi="Times New Roman" w:cs="Times New Roman"/>
          <w:i/>
          <w:iCs/>
        </w:rPr>
        <w:t>p</w:t>
      </w:r>
      <w:r w:rsidRPr="004034E3">
        <w:rPr>
          <w:rFonts w:ascii="Times New Roman" w:eastAsia="Times New Roman" w:hAnsi="Times New Roman" w:cs="Times New Roman"/>
          <w:i/>
          <w:iCs/>
        </w:rPr>
        <w:t xml:space="preserve">roperty </w:t>
      </w:r>
      <w:r w:rsidR="00441E5D">
        <w:rPr>
          <w:rFonts w:ascii="Times New Roman" w:eastAsia="Times New Roman" w:hAnsi="Times New Roman" w:cs="Times New Roman"/>
          <w:i/>
          <w:iCs/>
        </w:rPr>
        <w:t>a</w:t>
      </w:r>
      <w:r w:rsidRPr="004034E3">
        <w:rPr>
          <w:rFonts w:ascii="Times New Roman" w:eastAsia="Times New Roman" w:hAnsi="Times New Roman" w:cs="Times New Roman"/>
          <w:i/>
          <w:iCs/>
        </w:rPr>
        <w:t>nalogy?</w:t>
      </w:r>
      <w:r w:rsidRPr="004034E3">
        <w:rPr>
          <w:rFonts w:ascii="Times New Roman" w:eastAsia="Times New Roman" w:hAnsi="Times New Roman" w:cs="Times New Roman"/>
          <w:b/>
          <w:bCs/>
          <w:i/>
          <w:iCs/>
        </w:rPr>
        <w:t xml:space="preserve"> </w:t>
      </w:r>
      <w:r w:rsidRPr="004034E3">
        <w:rPr>
          <w:rFonts w:ascii="Times New Roman" w:eastAsia="Times New Roman" w:hAnsi="Times New Roman" w:cs="Times New Roman"/>
        </w:rPr>
        <w:t xml:space="preserve">Did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court err in grounding its ruling in trespass to chattels principles? For an argument that property analogies (either chattel or real) wrongly govern virtual space,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Shyamkrishna Balganesh, </w:t>
      </w:r>
      <w:r w:rsidRPr="004034E3">
        <w:rPr>
          <w:rFonts w:ascii="Times New Roman" w:eastAsia="Times New Roman" w:hAnsi="Times New Roman" w:cs="Times New Roman"/>
          <w:i/>
          <w:iCs/>
        </w:rPr>
        <w:t>Common Law Property Metaphors on the Internet: The Real Problem with the Doctrine of Cyber Trespass</w:t>
      </w:r>
      <w:r w:rsidRPr="004034E3">
        <w:rPr>
          <w:rFonts w:ascii="Times New Roman" w:eastAsia="Times New Roman" w:hAnsi="Times New Roman" w:cs="Times New Roman"/>
        </w:rPr>
        <w:t>, 12 M</w:t>
      </w:r>
      <w:r w:rsidRPr="004034E3">
        <w:rPr>
          <w:rFonts w:ascii="Times New Roman" w:eastAsia="Times New Roman" w:hAnsi="Times New Roman" w:cs="Times New Roman"/>
          <w:smallCaps/>
        </w:rPr>
        <w:t>ich</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elecomm</w:t>
      </w:r>
      <w:r w:rsidRPr="004034E3">
        <w:rPr>
          <w:rFonts w:ascii="Times New Roman" w:eastAsia="Times New Roman" w:hAnsi="Times New Roman" w:cs="Times New Roman"/>
        </w:rPr>
        <w:t>. T</w:t>
      </w:r>
      <w:r w:rsidRPr="004034E3">
        <w:rPr>
          <w:rFonts w:ascii="Times New Roman" w:eastAsia="Times New Roman" w:hAnsi="Times New Roman" w:cs="Times New Roman"/>
          <w:smallCaps/>
        </w:rPr>
        <w:t>ech</w:t>
      </w:r>
      <w:r w:rsidRPr="004034E3">
        <w:rPr>
          <w:rFonts w:ascii="Times New Roman" w:eastAsia="Times New Roman" w:hAnsi="Times New Roman" w:cs="Times New Roman"/>
        </w:rPr>
        <w:t>.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265 (2006). Richard Epstein, in contrast, has argued that the </w:t>
      </w:r>
      <w:r w:rsidRPr="004034E3">
        <w:rPr>
          <w:rFonts w:ascii="Times New Roman" w:eastAsia="Times New Roman" w:hAnsi="Times New Roman" w:cs="Times New Roman"/>
          <w:i/>
          <w:iCs/>
        </w:rPr>
        <w:t>Hamidi</w:t>
      </w:r>
      <w:r w:rsidRPr="004034E3">
        <w:rPr>
          <w:rFonts w:ascii="Times New Roman" w:eastAsia="Times New Roman" w:hAnsi="Times New Roman" w:cs="Times New Roman"/>
        </w:rPr>
        <w:t xml:space="preserve"> ruling</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refusal to adopt the real property analogy deprives internet users of much needed civil protection when self-help remedies for excluding cyber trespassers fail.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Richard A. Epstein, </w:t>
      </w:r>
      <w:r w:rsidRPr="004034E3">
        <w:rPr>
          <w:rFonts w:ascii="Times New Roman" w:eastAsia="Times New Roman" w:hAnsi="Times New Roman" w:cs="Times New Roman"/>
          <w:i/>
          <w:iCs/>
        </w:rPr>
        <w:t>Intel Corp. v. Hamidi: The Role of Self-help in Cyberspace?</w:t>
      </w:r>
      <w:r w:rsidRPr="004034E3">
        <w:rPr>
          <w:rFonts w:ascii="Times New Roman" w:eastAsia="Times New Roman" w:hAnsi="Times New Roman" w:cs="Times New Roman"/>
        </w:rPr>
        <w:t>, 1 J.L. E</w:t>
      </w:r>
      <w:r w:rsidRPr="004034E3">
        <w:rPr>
          <w:rFonts w:ascii="Times New Roman" w:eastAsia="Times New Roman" w:hAnsi="Times New Roman" w:cs="Times New Roman"/>
          <w:smallCaps/>
        </w:rPr>
        <w:t>con</w:t>
      </w:r>
      <w:r w:rsidRPr="004034E3">
        <w:rPr>
          <w:rFonts w:ascii="Times New Roman" w:eastAsia="Times New Roman" w:hAnsi="Times New Roman" w:cs="Times New Roman"/>
        </w:rPr>
        <w:t>. &amp; P</w:t>
      </w:r>
      <w:r w:rsidRPr="004034E3">
        <w:rPr>
          <w:rFonts w:ascii="Times New Roman" w:eastAsia="Times New Roman" w:hAnsi="Times New Roman" w:cs="Times New Roman"/>
          <w:smallCaps/>
        </w:rPr>
        <w:t>ol</w:t>
      </w:r>
      <w:r w:rsidR="00B05F31" w:rsidRPr="004034E3">
        <w:rPr>
          <w:rFonts w:ascii="Times New Roman" w:eastAsia="Times New Roman" w:hAnsi="Times New Roman" w:cs="Times New Roman"/>
          <w:smallCaps/>
        </w:rPr>
        <w:t>’</w:t>
      </w:r>
      <w:r w:rsidRPr="004034E3">
        <w:rPr>
          <w:rFonts w:ascii="Times New Roman" w:eastAsia="Times New Roman" w:hAnsi="Times New Roman" w:cs="Times New Roman"/>
          <w:smallCaps/>
        </w:rPr>
        <w:t>y</w:t>
      </w:r>
      <w:r w:rsidRPr="004034E3">
        <w:rPr>
          <w:rFonts w:ascii="Times New Roman" w:eastAsia="Times New Roman" w:hAnsi="Times New Roman" w:cs="Times New Roman"/>
        </w:rPr>
        <w:t xml:space="preserve"> 147 (2005) for an extended critique of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For an argument that courts should chart a middle path requiring that plaintiffs show sufficient recourse to self-help measures as a condition for awarding civil relief, </w:t>
      </w:r>
      <w:r w:rsidRPr="004034E3">
        <w:rPr>
          <w:rFonts w:ascii="Times New Roman" w:eastAsia="Times New Roman" w:hAnsi="Times New Roman" w:cs="Times New Roman"/>
          <w:iCs/>
        </w:rPr>
        <w:t>see</w:t>
      </w:r>
      <w:r w:rsidRPr="004034E3">
        <w:rPr>
          <w:rFonts w:ascii="Times New Roman" w:eastAsia="Times New Roman" w:hAnsi="Times New Roman" w:cs="Times New Roman"/>
        </w:rPr>
        <w:t xml:space="preserve"> Catherine M. Sharkey, </w:t>
      </w:r>
      <w:r w:rsidRPr="004034E3">
        <w:rPr>
          <w:rFonts w:ascii="Times New Roman" w:eastAsia="Times New Roman" w:hAnsi="Times New Roman" w:cs="Times New Roman"/>
          <w:i/>
          <w:iCs/>
        </w:rPr>
        <w:t>Trespass Torts and Self-Help for an Electronic Age</w:t>
      </w:r>
      <w:r w:rsidRPr="004034E3">
        <w:rPr>
          <w:rFonts w:ascii="Times New Roman" w:eastAsia="Times New Roman" w:hAnsi="Times New Roman" w:cs="Times New Roman"/>
        </w:rPr>
        <w:t>, 44 T</w:t>
      </w:r>
      <w:r w:rsidRPr="004034E3">
        <w:rPr>
          <w:rFonts w:ascii="Times New Roman" w:eastAsia="Times New Roman" w:hAnsi="Times New Roman" w:cs="Times New Roman"/>
          <w:smallCaps/>
        </w:rPr>
        <w:t>ulsa</w:t>
      </w:r>
      <w:r w:rsidRPr="004034E3">
        <w:rPr>
          <w:rFonts w:ascii="Times New Roman" w:eastAsia="Times New Roman" w:hAnsi="Times New Roman" w:cs="Times New Roman"/>
        </w:rPr>
        <w:t xml:space="preserve"> L. R</w:t>
      </w:r>
      <w:r w:rsidRPr="004034E3">
        <w:rPr>
          <w:rFonts w:ascii="Times New Roman" w:eastAsia="Times New Roman" w:hAnsi="Times New Roman" w:cs="Times New Roman"/>
          <w:smallCaps/>
        </w:rPr>
        <w:t>ev</w:t>
      </w:r>
      <w:r w:rsidRPr="004034E3">
        <w:rPr>
          <w:rFonts w:ascii="Times New Roman" w:eastAsia="Times New Roman" w:hAnsi="Times New Roman" w:cs="Times New Roman"/>
        </w:rPr>
        <w:t xml:space="preserve">. 677 (2008). Why not simply adopt a narrowly-tailored opt-out regime that would allow harmless cyber interaction unless and until a party has been asked specifically to cease and desist? </w:t>
      </w:r>
    </w:p>
    <w:p w14:paraId="6CFD1E23" w14:textId="77777777" w:rsidR="001F4A22" w:rsidRPr="00536EF5" w:rsidRDefault="001F4A22" w:rsidP="001F4A22">
      <w:pPr>
        <w:ind w:left="720"/>
        <w:rPr>
          <w:rFonts w:ascii="Times New Roman" w:hAnsi="Times New Roman" w:cs="Times New Roman"/>
        </w:rPr>
      </w:pPr>
    </w:p>
    <w:p w14:paraId="457A0B97" w14:textId="150BDB9C"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How far can trespass principles be applied? Consider the case of </w:t>
      </w:r>
      <w:r w:rsidRPr="750671CE">
        <w:rPr>
          <w:rFonts w:ascii="Times New Roman" w:eastAsia="Times New Roman" w:hAnsi="Times New Roman" w:cs="Times New Roman"/>
          <w:i/>
          <w:iCs/>
        </w:rPr>
        <w:t>U</w:t>
      </w:r>
      <w:r w:rsidR="00E7454F">
        <w:rPr>
          <w:rFonts w:ascii="Times New Roman" w:eastAsia="Times New Roman" w:hAnsi="Times New Roman" w:cs="Times New Roman"/>
          <w:i/>
          <w:iCs/>
        </w:rPr>
        <w:t>nited States</w:t>
      </w:r>
      <w:r w:rsidRPr="750671CE">
        <w:rPr>
          <w:rFonts w:ascii="Times New Roman" w:eastAsia="Times New Roman" w:hAnsi="Times New Roman" w:cs="Times New Roman"/>
          <w:i/>
          <w:iCs/>
        </w:rPr>
        <w:t xml:space="preserve"> v. Jones</w:t>
      </w:r>
      <w:r w:rsidRPr="750671CE">
        <w:rPr>
          <w:rFonts w:ascii="Times New Roman" w:eastAsia="Times New Roman" w:hAnsi="Times New Roman" w:cs="Times New Roman"/>
        </w:rPr>
        <w:t xml:space="preserve">, </w:t>
      </w:r>
      <w:r w:rsidR="009B68CF">
        <w:rPr>
          <w:rFonts w:ascii="Times New Roman" w:eastAsia="Times New Roman" w:hAnsi="Times New Roman" w:cs="Times New Roman"/>
        </w:rPr>
        <w:t>565 U.S. 400</w:t>
      </w:r>
      <w:r w:rsidRPr="750671CE">
        <w:rPr>
          <w:rFonts w:ascii="Times New Roman" w:eastAsia="Times New Roman" w:hAnsi="Times New Roman" w:cs="Times New Roman"/>
        </w:rPr>
        <w:t xml:space="preserve"> (2012), where police placed a GPS tracking device on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vehicle without a warrant. The Government introduced aggregated GPS data at trial that connected Jones (the defendant) with a cocaine stash house. Delivering the opinion of the Court, Justice Antonin Scalia reasoned that the question of whether placing the device on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vehicle amounted to a constitutionally regulated search and seizure turned on whether the government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action would have constituted a trespass at common law. Justice Sonia Sotomayor concurred, but worried that </w:t>
      </w:r>
      <w:r w:rsidR="00B05F31">
        <w:rPr>
          <w:rFonts w:ascii="Times New Roman" w:eastAsia="Times New Roman" w:hAnsi="Times New Roman" w:cs="Times New Roman"/>
        </w:rPr>
        <w:t>“</w:t>
      </w:r>
      <w:r w:rsidRPr="750671CE">
        <w:rPr>
          <w:rFonts w:ascii="Times New Roman" w:eastAsia="Times New Roman" w:hAnsi="Times New Roman" w:cs="Times New Roman"/>
        </w:rPr>
        <w:t>[i]n cases of electronic or other novel modes of surveillance that do not depend upon a physical invasion on property, the majority opinion</w:t>
      </w:r>
      <w:r w:rsidR="00B05F31">
        <w:rPr>
          <w:rFonts w:ascii="Times New Roman" w:eastAsia="Times New Roman" w:hAnsi="Times New Roman" w:cs="Times New Roman"/>
        </w:rPr>
        <w:t>’</w:t>
      </w:r>
      <w:r w:rsidRPr="750671CE">
        <w:rPr>
          <w:rFonts w:ascii="Times New Roman" w:eastAsia="Times New Roman" w:hAnsi="Times New Roman" w:cs="Times New Roman"/>
        </w:rPr>
        <w:t>s trespassory test may provide little guidance.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9B68CF">
        <w:rPr>
          <w:rFonts w:ascii="Times New Roman" w:eastAsia="Times New Roman" w:hAnsi="Times New Roman" w:cs="Times New Roman"/>
        </w:rPr>
        <w:t>565 U.S.</w:t>
      </w:r>
      <w:r w:rsidRPr="750671CE">
        <w:rPr>
          <w:rFonts w:ascii="Times New Roman" w:eastAsia="Times New Roman" w:hAnsi="Times New Roman" w:cs="Times New Roman"/>
        </w:rPr>
        <w:t xml:space="preserve"> at </w:t>
      </w:r>
      <w:r w:rsidR="009B68CF">
        <w:rPr>
          <w:rFonts w:ascii="Times New Roman" w:eastAsia="Times New Roman" w:hAnsi="Times New Roman" w:cs="Times New Roman"/>
        </w:rPr>
        <w:t>415</w:t>
      </w:r>
      <w:r w:rsidRPr="750671CE">
        <w:rPr>
          <w:rFonts w:ascii="Times New Roman" w:eastAsia="Times New Roman" w:hAnsi="Times New Roman" w:cs="Times New Roman"/>
        </w:rPr>
        <w:t>.  Did placing the GPS device on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personal property constitute a common law trespass if it caused no damage to the property? </w:t>
      </w:r>
    </w:p>
    <w:p w14:paraId="761B88D4" w14:textId="77777777" w:rsidR="001F4A22" w:rsidRDefault="001F4A22" w:rsidP="001F4A22">
      <w:pPr>
        <w:rPr>
          <w:rFonts w:ascii="Times New Roman" w:hAnsi="Times New Roman" w:cs="Times New Roman"/>
        </w:rPr>
      </w:pPr>
    </w:p>
    <w:p w14:paraId="195D1937" w14:textId="77777777" w:rsidR="001F4A22" w:rsidRPr="00536EF5" w:rsidRDefault="001F4A22" w:rsidP="001F4A22">
      <w:pPr>
        <w:rPr>
          <w:rFonts w:ascii="Times New Roman" w:hAnsi="Times New Roman" w:cs="Times New Roman"/>
        </w:rPr>
      </w:pPr>
    </w:p>
    <w:p w14:paraId="239D118C" w14:textId="7DEA3D0F" w:rsidR="001F4A22" w:rsidRPr="004034E3" w:rsidRDefault="750671CE" w:rsidP="004034E3">
      <w:pPr>
        <w:pStyle w:val="ListParagraph"/>
        <w:numPr>
          <w:ilvl w:val="0"/>
          <w:numId w:val="63"/>
        </w:numPr>
        <w:ind w:left="0" w:firstLine="360"/>
        <w:rPr>
          <w:rFonts w:ascii="Times New Roman" w:eastAsia="Times New Roman" w:hAnsi="Times New Roman" w:cs="Times New Roman"/>
        </w:rPr>
      </w:pPr>
      <w:r w:rsidRPr="004034E3">
        <w:rPr>
          <w:rFonts w:ascii="Times New Roman" w:eastAsia="Times New Roman" w:hAnsi="Times New Roman" w:cs="Times New Roman"/>
          <w:i/>
          <w:iCs/>
        </w:rPr>
        <w:t>Anti-spamming legislation.</w:t>
      </w:r>
      <w:r w:rsidRPr="004034E3">
        <w:rPr>
          <w:rFonts w:ascii="Times New Roman" w:eastAsia="Times New Roman" w:hAnsi="Times New Roman" w:cs="Times New Roman"/>
        </w:rPr>
        <w:t xml:space="preserve">  Although the California Supreme Court declined to censure Mr. Hamidi</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emailing in </w:t>
      </w:r>
      <w:r w:rsidRPr="004034E3">
        <w:rPr>
          <w:rFonts w:ascii="Times New Roman" w:eastAsia="Times New Roman" w:hAnsi="Times New Roman" w:cs="Times New Roman"/>
          <w:i/>
          <w:iCs/>
        </w:rPr>
        <w:t>Intel Corp. v. Hamidi</w:t>
      </w:r>
      <w:r w:rsidRPr="004034E3">
        <w:rPr>
          <w:rFonts w:ascii="Times New Roman" w:eastAsia="Times New Roman" w:hAnsi="Times New Roman" w:cs="Times New Roman"/>
        </w:rPr>
        <w:t xml:space="preserve">, Congress and many state legislatures have passed anti-spamming laws. In 2003, Congress passed the Controlling the Assault of Non-Solicited Pornography and Marketing (or CAN-SPAM) Act. Broadly, the act protects against fraud, and misleading commercial emails. CAN-SPAM also requires that commercial senders allow email recipients to opt out of receiving future messages and establishes a national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Do-Not-Email</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registry on which they can do so. </w:t>
      </w:r>
      <w:r w:rsidRPr="004034E3">
        <w:rPr>
          <w:rFonts w:ascii="Times New Roman" w:eastAsia="Times New Roman" w:hAnsi="Times New Roman" w:cs="Times New Roman"/>
          <w:i/>
          <w:iCs/>
        </w:rPr>
        <w:t>See</w:t>
      </w:r>
      <w:r w:rsidRPr="004034E3">
        <w:rPr>
          <w:rFonts w:ascii="Times New Roman" w:eastAsia="Times New Roman" w:hAnsi="Times New Roman" w:cs="Times New Roman"/>
        </w:rPr>
        <w:t xml:space="preserve"> 15 U.S.C.A §§ 7701-13. Many states, including California, have passed state anti-spam statutes as well, though CAN-SPAM has preempted much of the content of the </w:t>
      </w:r>
      <w:r w:rsidRPr="004034E3">
        <w:rPr>
          <w:rFonts w:ascii="Times New Roman" w:eastAsia="Times New Roman" w:hAnsi="Times New Roman" w:cs="Times New Roman"/>
        </w:rPr>
        <w:lastRenderedPageBreak/>
        <w:t>state statutes. Interestingly, in recent years</w:t>
      </w:r>
      <w:r w:rsidR="009B68CF">
        <w:rPr>
          <w:rFonts w:ascii="Times New Roman" w:eastAsia="Times New Roman" w:hAnsi="Times New Roman" w:cs="Times New Roman"/>
        </w:rPr>
        <w:t>,</w:t>
      </w:r>
      <w:r w:rsidRPr="004034E3">
        <w:rPr>
          <w:rFonts w:ascii="Times New Roman" w:eastAsia="Times New Roman" w:hAnsi="Times New Roman" w:cs="Times New Roman"/>
        </w:rPr>
        <w:t xml:space="preserve"> private email distributers have begun adding additional safeguards for consumer privacy beyond those required by CAN-SPAM and its state analogues. The widely-used digital distribution and marketing firm MailChimp, for example, includes in its terms of use a commitment that their users </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won</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t send Spam!</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  MailChimp reserves the right to enforce this provision by dropping clients who violate it. Terms of Use, </w:t>
      </w:r>
      <w:r w:rsidRPr="004034E3">
        <w:rPr>
          <w:rFonts w:ascii="Times New Roman" w:eastAsia="Times New Roman" w:hAnsi="Times New Roman" w:cs="Times New Roman"/>
          <w:smallCaps/>
        </w:rPr>
        <w:t xml:space="preserve">MailChimp.com, </w:t>
      </w:r>
      <w:r w:rsidRPr="004034E3">
        <w:rPr>
          <w:rFonts w:ascii="Times New Roman" w:eastAsia="Times New Roman" w:hAnsi="Times New Roman" w:cs="Times New Roman"/>
        </w:rPr>
        <w:t>http://mailchimp.com/legal/terms/ (last visited Apr. 8, 2014).  Does MailChimp</w:t>
      </w:r>
      <w:r w:rsidR="00B05F31" w:rsidRPr="004034E3">
        <w:rPr>
          <w:rFonts w:ascii="Times New Roman" w:eastAsia="Times New Roman" w:hAnsi="Times New Roman" w:cs="Times New Roman"/>
        </w:rPr>
        <w:t>’</w:t>
      </w:r>
      <w:r w:rsidRPr="004034E3">
        <w:rPr>
          <w:rFonts w:ascii="Times New Roman" w:eastAsia="Times New Roman" w:hAnsi="Times New Roman" w:cs="Times New Roman"/>
        </w:rPr>
        <w:t xml:space="preserve">s policy suggest that some combination of market reputation on the part of distributors and self-help by potential recipients would evolve toward protections against spamming regardless of what the law does?  </w:t>
      </w:r>
    </w:p>
    <w:p w14:paraId="5BB6F509" w14:textId="77777777" w:rsidR="001F4A22" w:rsidRDefault="001F4A22" w:rsidP="001F4A22">
      <w:pPr>
        <w:rPr>
          <w:rFonts w:ascii="Times New Roman" w:hAnsi="Times New Roman" w:cs="Times New Roman"/>
          <w:b/>
          <w:i/>
        </w:rPr>
      </w:pPr>
    </w:p>
    <w:p w14:paraId="14E3378F" w14:textId="77777777" w:rsidR="001F4A22" w:rsidRPr="00536EF5" w:rsidRDefault="001F4A22" w:rsidP="001F4A22">
      <w:pPr>
        <w:rPr>
          <w:rFonts w:ascii="Times New Roman" w:hAnsi="Times New Roman" w:cs="Times New Roman"/>
          <w:b/>
          <w:i/>
        </w:rPr>
      </w:pPr>
    </w:p>
    <w:p w14:paraId="46133493" w14:textId="77777777" w:rsidR="001F4A22" w:rsidRPr="0082336D" w:rsidRDefault="001F4A22" w:rsidP="0056378F">
      <w:pPr>
        <w:pStyle w:val="Heading2"/>
      </w:pPr>
      <w:bookmarkStart w:id="98" w:name="_Toc364636051"/>
      <w:bookmarkStart w:id="99" w:name="_Toc518323209"/>
      <w:r w:rsidRPr="0082336D">
        <w:t>B.  Defenses to Trespass</w:t>
      </w:r>
      <w:bookmarkEnd w:id="98"/>
      <w:bookmarkEnd w:id="99"/>
    </w:p>
    <w:p w14:paraId="69D4C0E5" w14:textId="77777777" w:rsidR="001F4A22" w:rsidRDefault="001F4A22" w:rsidP="001F4A22">
      <w:pPr>
        <w:pStyle w:val="ListParagraph"/>
        <w:ind w:left="360"/>
        <w:rPr>
          <w:rFonts w:ascii="Times New Roman" w:eastAsia="Times New Roman" w:hAnsi="Times New Roman" w:cs="Times New Roman"/>
          <w:b/>
        </w:rPr>
      </w:pPr>
    </w:p>
    <w:p w14:paraId="31DD9EB5" w14:textId="77777777" w:rsidR="006F1186" w:rsidRPr="00536EF5" w:rsidRDefault="006F1186" w:rsidP="001F4A22">
      <w:pPr>
        <w:pStyle w:val="ListParagraph"/>
        <w:ind w:left="360"/>
        <w:rPr>
          <w:rFonts w:ascii="Times New Roman" w:eastAsia="Times New Roman" w:hAnsi="Times New Roman" w:cs="Times New Roman"/>
          <w:b/>
        </w:rPr>
      </w:pPr>
    </w:p>
    <w:p w14:paraId="21F8F4B3" w14:textId="77777777" w:rsidR="001F4A22" w:rsidRPr="0082336D" w:rsidRDefault="001F4A22" w:rsidP="00322687">
      <w:pPr>
        <w:pStyle w:val="Heading3"/>
      </w:pPr>
      <w:bookmarkStart w:id="100" w:name="_Toc364636052"/>
      <w:bookmarkStart w:id="101" w:name="_Toc518323210"/>
      <w:r w:rsidRPr="0082336D">
        <w:t>1.  Self-Defense</w:t>
      </w:r>
      <w:bookmarkEnd w:id="100"/>
      <w:bookmarkEnd w:id="101"/>
    </w:p>
    <w:p w14:paraId="66D032E5" w14:textId="77777777" w:rsidR="001F4A22" w:rsidRPr="00536EF5" w:rsidRDefault="001F4A22" w:rsidP="001F4A22">
      <w:pPr>
        <w:pStyle w:val="ListParagraph"/>
        <w:rPr>
          <w:rFonts w:ascii="Times New Roman" w:eastAsia="Times New Roman" w:hAnsi="Times New Roman" w:cs="Times New Roman"/>
          <w:b/>
        </w:rPr>
      </w:pPr>
    </w:p>
    <w:p w14:paraId="5C3D5A0D" w14:textId="77777777" w:rsidR="001F4A22" w:rsidRPr="00B14C5D" w:rsidDel="003D21A1" w:rsidRDefault="001F4A22" w:rsidP="0065550D">
      <w:bookmarkStart w:id="102" w:name="_Toc518323211"/>
      <w:bookmarkStart w:id="103" w:name="_Toc364636053"/>
      <w:r w:rsidRPr="0065550D" w:rsidDel="003D21A1">
        <w:rPr>
          <w:rStyle w:val="Heading4Char"/>
        </w:rPr>
        <w:t>Courvoisier v. Raymond</w:t>
      </w:r>
      <w:bookmarkEnd w:id="102"/>
      <w:r w:rsidRPr="0065550D" w:rsidDel="003D21A1">
        <w:rPr>
          <w:rFonts w:ascii="Times New Roman" w:hAnsi="Times New Roman" w:cs="Times New Roman"/>
          <w:b/>
        </w:rPr>
        <w:t>, 47 P. 284 (Colo. 1896)</w:t>
      </w:r>
      <w:bookmarkEnd w:id="103"/>
    </w:p>
    <w:p w14:paraId="38B47CEA" w14:textId="77777777" w:rsidR="001F4A22" w:rsidRPr="00536EF5" w:rsidRDefault="001F4A22" w:rsidP="001F4A22">
      <w:pPr>
        <w:rPr>
          <w:rFonts w:ascii="Times New Roman" w:eastAsia="Times New Roman" w:hAnsi="Times New Roman" w:cs="Times New Roman"/>
        </w:rPr>
      </w:pPr>
    </w:p>
    <w:p w14:paraId="273FE5F1" w14:textId="080C6DF1" w:rsidR="00BD2690"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H</w:t>
      </w:r>
      <w:r w:rsidRPr="750671CE">
        <w:rPr>
          <w:rFonts w:ascii="Times New Roman" w:eastAsia="Times New Roman" w:hAnsi="Times New Roman" w:cs="Times New Roman"/>
          <w:smallCaps/>
        </w:rPr>
        <w:t>ayt</w:t>
      </w:r>
      <w:r w:rsidRPr="750671CE">
        <w:rPr>
          <w:rFonts w:ascii="Times New Roman" w:eastAsia="Times New Roman" w:hAnsi="Times New Roman" w:cs="Times New Roman"/>
        </w:rPr>
        <w:t xml:space="preserve">, C.J.   </w:t>
      </w:r>
    </w:p>
    <w:p w14:paraId="1544BE9C" w14:textId="77777777" w:rsidR="00BD2690" w:rsidRDefault="00BD2690" w:rsidP="750671CE">
      <w:pPr>
        <w:rPr>
          <w:rFonts w:ascii="Times New Roman" w:eastAsia="Times New Roman" w:hAnsi="Times New Roman" w:cs="Times New Roman"/>
        </w:rPr>
      </w:pPr>
    </w:p>
    <w:p w14:paraId="7F28EED3" w14:textId="53BECCEA" w:rsidR="001F4A22" w:rsidRPr="00536EF5" w:rsidRDefault="750671CE" w:rsidP="004034E3">
      <w:pPr>
        <w:ind w:firstLine="720"/>
        <w:rPr>
          <w:rFonts w:ascii="Times New Roman" w:eastAsia="Times New Roman" w:hAnsi="Times New Roman" w:cs="Times New Roman"/>
        </w:rPr>
      </w:pPr>
      <w:r w:rsidRPr="750671CE">
        <w:rPr>
          <w:rFonts w:ascii="Times New Roman" w:eastAsia="Times New Roman" w:hAnsi="Times New Roman" w:cs="Times New Roman"/>
        </w:rPr>
        <w:t>It is admitted, or proven beyond controversy, that appellee received a gunshot wound at the hands of the appellant at the time and place designated in the complaint, and that, as the result of such wound, the appellee was seriously injured. It is further shown that the shooting occurred under the following circumstances: That Mr. Courvoisier, on the night in question, was asleep in his bed, in the second story of a brick building, situate</w:t>
      </w:r>
      <w:r w:rsidR="009B68CF">
        <w:rPr>
          <w:rFonts w:ascii="Times New Roman" w:eastAsia="Times New Roman" w:hAnsi="Times New Roman" w:cs="Times New Roman"/>
        </w:rPr>
        <w:t>[d]</w:t>
      </w:r>
      <w:r w:rsidRPr="750671CE">
        <w:rPr>
          <w:rFonts w:ascii="Times New Roman" w:eastAsia="Times New Roman" w:hAnsi="Times New Roman" w:cs="Times New Roman"/>
        </w:rPr>
        <w:t xml:space="preserve"> at the corner of South Broadway and Dakota streets, in South Denver; that he occupied a portion of the lower floor of this building as a jewelry 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t>
      </w:r>
      <w:r w:rsidRPr="750671CE">
        <w:rPr>
          <w:rFonts w:ascii="Times New Roman" w:eastAsia="Times New Roman" w:hAnsi="Times New Roman" w:cs="Times New Roman"/>
        </w:rPr>
        <w:lastRenderedPageBreak/>
        <w:t>when the officer approached him, defendant shaded his eyes, and, taking deliberate aim, fired, causing the injury complained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 . .</w:t>
      </w:r>
    </w:p>
    <w:p w14:paraId="605F2257" w14:textId="77777777" w:rsidR="001F4A22" w:rsidRDefault="001F4A22" w:rsidP="001F4A22">
      <w:pPr>
        <w:rPr>
          <w:rFonts w:ascii="Times New Roman" w:eastAsia="Times New Roman" w:hAnsi="Times New Roman" w:cs="Times New Roman"/>
        </w:rPr>
      </w:pPr>
    </w:p>
    <w:p w14:paraId="3CB55007" w14:textId="4CEB8B7E"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The next error assigned relates to the instructions given by the court to the jury, and to those requested by the defendant and refused by the court. The second instruction given by the court was clearly erroneous. The instruction is as follows: </w:t>
      </w:r>
      <w:r w:rsidR="00B05F31">
        <w:rPr>
          <w:rFonts w:ascii="Times New Roman" w:eastAsia="Times New Roman" w:hAnsi="Times New Roman" w:cs="Times New Roman"/>
        </w:rPr>
        <w:t>‘</w:t>
      </w:r>
      <w:r w:rsidRPr="00536EF5">
        <w:rPr>
          <w:rFonts w:ascii="Times New Roman" w:eastAsia="Times New Roman" w:hAnsi="Times New Roman" w:cs="Times New Roman"/>
        </w:rPr>
        <w:t>The court instructs you that if you believe, from the evidence, that, at the time the defendant shot the plaintiff, the plaintiff was not assaulting the defendant, then your verdict should be for the plaintiff.</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was an officer; that his eyesight was greatly impaired, so that he was obliged to use glasses; and that he was without glasses at the time of the shooting, and for this reason could not</w:t>
      </w:r>
      <w:r>
        <w:rPr>
          <w:rFonts w:ascii="Times New Roman" w:eastAsia="Times New Roman" w:hAnsi="Times New Roman" w:cs="Times New Roman"/>
        </w:rPr>
        <w:t xml:space="preserve"> see distinctly. He then adds: </w:t>
      </w:r>
      <w:r w:rsidR="00B05F31">
        <w:rPr>
          <w:rFonts w:ascii="Times New Roman" w:eastAsia="Times New Roman" w:hAnsi="Times New Roman" w:cs="Times New Roman"/>
        </w:rPr>
        <w:t>“</w:t>
      </w:r>
      <w:r w:rsidRPr="00536EF5">
        <w:rPr>
          <w:rFonts w:ascii="Times New Roman" w:eastAsia="Times New Roman" w:hAnsi="Times New Roman" w:cs="Times New Roman"/>
        </w:rPr>
        <w:t>I saw a man come away from the bunch of men, and come up towards me, and as I looked around I saw this man put his hand to his hip pocket. I didn</w:t>
      </w:r>
      <w:r w:rsidR="00B05F31">
        <w:rPr>
          <w:rFonts w:ascii="Times New Roman" w:eastAsia="Times New Roman" w:hAnsi="Times New Roman" w:cs="Times New Roman"/>
        </w:rPr>
        <w:t>’</w:t>
      </w:r>
      <w:r w:rsidRPr="00536EF5">
        <w:rPr>
          <w:rFonts w:ascii="Times New Roman" w:eastAsia="Times New Roman" w:hAnsi="Times New Roman" w:cs="Times New Roman"/>
        </w:rPr>
        <w:t>t think I had time to jump aside, and therefore turned around and fired at him. I had no doubts but it was somebody that had come to rob me, because, some weeks before, Mr. Wilson</w:t>
      </w:r>
      <w:r w:rsidR="00B05F31">
        <w:rPr>
          <w:rFonts w:ascii="Times New Roman" w:eastAsia="Times New Roman" w:hAnsi="Times New Roman" w:cs="Times New Roman"/>
        </w:rPr>
        <w:t>’</w:t>
      </w:r>
      <w:r w:rsidRPr="00536EF5">
        <w:rPr>
          <w:rFonts w:ascii="Times New Roman" w:eastAsia="Times New Roman" w:hAnsi="Times New Roman" w:cs="Times New Roman"/>
        </w:rPr>
        <w:t>s store was r</w:t>
      </w:r>
      <w:r>
        <w:rPr>
          <w:rFonts w:ascii="Times New Roman" w:eastAsia="Times New Roman" w:hAnsi="Times New Roman" w:cs="Times New Roman"/>
        </w:rPr>
        <w:t>obbed. It is next door to mine.</w:t>
      </w:r>
      <w:r w:rsidR="00B05F31">
        <w:rPr>
          <w:rFonts w:ascii="Times New Roman" w:eastAsia="Times New Roman" w:hAnsi="Times New Roman" w:cs="Times New Roman"/>
        </w:rPr>
        <w:t>”</w:t>
      </w:r>
    </w:p>
    <w:p w14:paraId="12CBF004" w14:textId="77777777" w:rsidR="001F4A22" w:rsidRPr="00536EF5" w:rsidRDefault="001F4A22" w:rsidP="001F4A22">
      <w:pPr>
        <w:rPr>
          <w:rFonts w:ascii="Times New Roman" w:eastAsia="Times New Roman" w:hAnsi="Times New Roman" w:cs="Times New Roman"/>
        </w:rPr>
      </w:pPr>
    </w:p>
    <w:p w14:paraId="34C38A44" w14:textId="6D036D4B" w:rsidR="001F4A22" w:rsidRPr="0043351C"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By this evidence two phases of the transaction are presented for consideration: </w:t>
      </w:r>
      <w:r w:rsidRPr="750671CE">
        <w:rPr>
          <w:rFonts w:ascii="Times New Roman" w:eastAsia="Times New Roman" w:hAnsi="Times New Roman" w:cs="Times New Roman"/>
          <w:i/>
          <w:iCs/>
        </w:rPr>
        <w:t>First</w:t>
      </w:r>
      <w:r w:rsidRPr="00536EF5">
        <w:rPr>
          <w:rFonts w:ascii="Times New Roman" w:eastAsia="Times New Roman" w:hAnsi="Times New Roman" w:cs="Times New Roman"/>
        </w:rPr>
        <w:t xml:space="preserve">. Was the plaintiff assaulting the defendant at the time plaintiff was shot? </w:t>
      </w:r>
      <w:r w:rsidRPr="750671CE">
        <w:rPr>
          <w:rFonts w:ascii="Times New Roman" w:eastAsia="Times New Roman" w:hAnsi="Times New Roman" w:cs="Times New Roman"/>
          <w:i/>
          <w:iCs/>
        </w:rPr>
        <w:t>Second</w:t>
      </w:r>
      <w:r w:rsidRPr="00536EF5">
        <w:rPr>
          <w:rFonts w:ascii="Times New Roman" w:eastAsia="Times New Roman" w:hAnsi="Times New Roman" w:cs="Times New Roman"/>
        </w:rPr>
        <w:t>. If not, was there sufficient evidence of justification for the consideration of the jury? The first question was properly submitted, but the second was excluded by the instruction under review. The defendant</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justification did not rest entirely upon the proof of assault by the plaintiff. A riot was in progress, and the defendant swears that he was attacked with missiles, hit with stones, brickbats, etc.; that he shot plaintiff, supposing him to be </w:t>
      </w:r>
      <w:r w:rsidRPr="00536EF5">
        <w:rPr>
          <w:rFonts w:ascii="Times New Roman" w:eastAsia="Times New Roman" w:hAnsi="Times New Roman" w:cs="Times New Roman"/>
        </w:rPr>
        <w:lastRenderedPageBreak/>
        <w:t xml:space="preserve">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w:t>
      </w:r>
      <w:r w:rsidRPr="0043351C">
        <w:rPr>
          <w:rFonts w:ascii="Times New Roman" w:eastAsia="Times New Roman" w:hAnsi="Times New Roman" w:cs="Times New Roman"/>
        </w:rPr>
        <w:t xml:space="preserve">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4C9C311D" w14:textId="77777777" w:rsidR="001F4A22" w:rsidRDefault="001F4A22">
      <w:pPr>
        <w:rPr>
          <w:rFonts w:ascii="Times New Roman" w:eastAsia="Times New Roman" w:hAnsi="Times New Roman" w:cs="Times New Roman"/>
        </w:rPr>
      </w:pPr>
    </w:p>
    <w:p w14:paraId="1F14FA48" w14:textId="77777777" w:rsidR="001F4A22" w:rsidRPr="0043351C" w:rsidRDefault="001F4A22">
      <w:pPr>
        <w:rPr>
          <w:rFonts w:ascii="Times New Roman" w:eastAsia="Times New Roman" w:hAnsi="Times New Roman" w:cs="Times New Roman"/>
        </w:rPr>
      </w:pPr>
    </w:p>
    <w:p w14:paraId="02D26058" w14:textId="77777777" w:rsidR="001F4A22" w:rsidRPr="0043351C" w:rsidRDefault="001F4A22" w:rsidP="002502CC">
      <w:pPr>
        <w:pStyle w:val="Heading4"/>
      </w:pPr>
      <w:bookmarkStart w:id="104" w:name="_Toc364636054"/>
      <w:bookmarkStart w:id="105" w:name="_Toc518323212"/>
      <w:r w:rsidRPr="0043351C">
        <w:t>Notes</w:t>
      </w:r>
      <w:bookmarkEnd w:id="104"/>
      <w:bookmarkEnd w:id="105"/>
    </w:p>
    <w:p w14:paraId="5BC6CEAF" w14:textId="77777777" w:rsidR="001F4A22" w:rsidRDefault="001F4A22" w:rsidP="006F1186">
      <w:pPr>
        <w:rPr>
          <w:rFonts w:ascii="Times New Roman" w:eastAsia="Times New Roman" w:hAnsi="Times New Roman" w:cs="Times New Roman"/>
        </w:rPr>
      </w:pPr>
    </w:p>
    <w:p w14:paraId="57F4329A" w14:textId="77777777" w:rsidR="006F1186" w:rsidRPr="0043351C" w:rsidRDefault="006F1186" w:rsidP="006F1186">
      <w:pPr>
        <w:rPr>
          <w:rFonts w:ascii="Times New Roman" w:eastAsia="Times New Roman" w:hAnsi="Times New Roman" w:cs="Times New Roman"/>
        </w:rPr>
      </w:pPr>
    </w:p>
    <w:p w14:paraId="74F3EAB0" w14:textId="0E96E2DC" w:rsidR="001F4A22" w:rsidRPr="004034E3" w:rsidRDefault="750671CE" w:rsidP="004034E3">
      <w:pPr>
        <w:pStyle w:val="ListParagraph"/>
        <w:numPr>
          <w:ilvl w:val="0"/>
          <w:numId w:val="64"/>
        </w:numPr>
        <w:spacing w:beforeLines="1" w:before="2" w:afterLines="1" w:after="2"/>
        <w:ind w:left="0" w:firstLine="360"/>
        <w:rPr>
          <w:rFonts w:ascii="Times New Roman" w:eastAsia="Times New Roman" w:hAnsi="Times New Roman" w:cs="Times New Roman"/>
          <w:color w:val="000000" w:themeColor="text1"/>
        </w:rPr>
      </w:pPr>
      <w:r w:rsidRPr="004034E3">
        <w:rPr>
          <w:rFonts w:ascii="Times New Roman" w:eastAsia="Times New Roman" w:hAnsi="Times New Roman" w:cs="Times New Roman"/>
          <w:i/>
          <w:iCs/>
          <w:color w:val="000000" w:themeColor="text1"/>
        </w:rPr>
        <w:t>Reasonable errors in self-defense</w:t>
      </w:r>
      <w:r w:rsidRPr="004034E3">
        <w:rPr>
          <w:rFonts w:ascii="Times New Roman" w:eastAsia="Times New Roman" w:hAnsi="Times New Roman" w:cs="Times New Roman"/>
          <w:color w:val="000000" w:themeColor="text1"/>
        </w:rPr>
        <w:t>. Why should innocent third parties bear the costs of another person</w:t>
      </w:r>
      <w:r w:rsidR="00B05F31" w:rsidRPr="004034E3">
        <w:rPr>
          <w:rFonts w:ascii="Times New Roman" w:eastAsia="Times New Roman" w:hAnsi="Times New Roman" w:cs="Times New Roman"/>
          <w:color w:val="000000" w:themeColor="text1"/>
        </w:rPr>
        <w:t>’</w:t>
      </w:r>
      <w:r w:rsidRPr="004034E3">
        <w:rPr>
          <w:rFonts w:ascii="Times New Roman" w:eastAsia="Times New Roman" w:hAnsi="Times New Roman" w:cs="Times New Roman"/>
          <w:color w:val="000000" w:themeColor="text1"/>
        </w:rPr>
        <w:t xml:space="preserve">s mistaken self-defense?  Since at least </w:t>
      </w:r>
      <w:r w:rsidRPr="004034E3">
        <w:rPr>
          <w:rFonts w:ascii="Times New Roman" w:eastAsia="Times New Roman" w:hAnsi="Times New Roman" w:cs="Times New Roman"/>
          <w:i/>
          <w:iCs/>
          <w:color w:val="000000" w:themeColor="text1"/>
        </w:rPr>
        <w:t>Morris v. Platt</w:t>
      </w:r>
      <w:r w:rsidRPr="004034E3">
        <w:rPr>
          <w:rFonts w:ascii="Times New Roman" w:eastAsia="Times New Roman" w:hAnsi="Times New Roman" w:cs="Times New Roman"/>
          <w:color w:val="000000" w:themeColor="text1"/>
        </w:rPr>
        <w:t xml:space="preserve">, discussed in the </w:t>
      </w:r>
      <w:r w:rsidRPr="004034E3">
        <w:rPr>
          <w:rFonts w:ascii="Times New Roman" w:eastAsia="Times New Roman" w:hAnsi="Times New Roman" w:cs="Times New Roman"/>
          <w:i/>
          <w:iCs/>
          <w:color w:val="000000" w:themeColor="text1"/>
        </w:rPr>
        <w:t xml:space="preserve">Courvoisier </w:t>
      </w:r>
      <w:r w:rsidRPr="004034E3">
        <w:rPr>
          <w:rFonts w:ascii="Times New Roman" w:eastAsia="Times New Roman" w:hAnsi="Times New Roman" w:cs="Times New Roman"/>
          <w:color w:val="000000" w:themeColor="text1"/>
        </w:rPr>
        <w:t>opinion, American courts have adopted the view that a defendant may not be held liable for injuries caused by mistaken self-defense, so long as the mistake was reasonable.  Other legal systems, however, have allowed injured persons to hold defendants liable under these circumstances, allocating mistake costs to the mistaken self-defender himself.  The Roman law rule, for example, provided that:</w:t>
      </w:r>
      <w:r w:rsidRPr="004034E3">
        <w:rPr>
          <w:rFonts w:ascii="Times New Roman" w:eastAsia="Times New Roman" w:hAnsi="Times New Roman" w:cs="Times New Roman"/>
          <w:b/>
          <w:bCs/>
          <w:color w:val="000000" w:themeColor="text1"/>
        </w:rPr>
        <w:t xml:space="preserve"> </w:t>
      </w:r>
    </w:p>
    <w:p w14:paraId="4C7F4DFC" w14:textId="77777777" w:rsidR="001F4A22" w:rsidRPr="00295445" w:rsidRDefault="750671CE" w:rsidP="750671CE">
      <w:pPr>
        <w:spacing w:beforeLines="1" w:before="2" w:afterLines="1" w:after="2"/>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4ADF93B0" w14:textId="77777777" w:rsidR="001F4A22" w:rsidRPr="00295445" w:rsidRDefault="750671CE" w:rsidP="004034E3">
      <w:pPr>
        <w:pStyle w:val="blockquote"/>
      </w:pPr>
      <w:r w:rsidRPr="750671CE">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7E31AA4A" w14:textId="77777777" w:rsidR="001F4A22" w:rsidRPr="00295445" w:rsidRDefault="750671CE" w:rsidP="750671CE">
      <w:pPr>
        <w:spacing w:beforeLines="1" w:before="2" w:afterLines="1" w:after="2"/>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525ED38A" w14:textId="352D0465" w:rsidR="001F4A22" w:rsidRPr="00295445" w:rsidRDefault="750671CE" w:rsidP="750671CE">
      <w:pP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1 </w:t>
      </w:r>
      <w:r w:rsidRPr="750671CE">
        <w:rPr>
          <w:rFonts w:ascii="Times New Roman" w:eastAsia="Times New Roman" w:hAnsi="Times New Roman" w:cs="Times New Roman"/>
          <w:smallCaps/>
          <w:color w:val="000000" w:themeColor="text1"/>
        </w:rPr>
        <w:t>Theodor Mommsen &amp; Alan Watson eds., The Digest of Justinian</w:t>
      </w:r>
      <w:r w:rsidRPr="750671CE">
        <w:rPr>
          <w:rFonts w:ascii="Times New Roman" w:eastAsia="Times New Roman" w:hAnsi="Times New Roman" w:cs="Times New Roman"/>
          <w:color w:val="000000" w:themeColor="text1"/>
        </w:rPr>
        <w:t xml:space="preserve"> 9.2.45.4, at p. 292 (1985).  Today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German law adopts a similar approach.  </w:t>
      </w:r>
      <w:r w:rsidRPr="750671CE">
        <w:rPr>
          <w:rFonts w:ascii="Times New Roman" w:eastAsia="Times New Roman" w:hAnsi="Times New Roman" w:cs="Times New Roman"/>
          <w:i/>
          <w:iCs/>
          <w:color w:val="000000" w:themeColor="text1"/>
        </w:rPr>
        <w:t>See</w:t>
      </w:r>
      <w:r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smallCaps/>
          <w:color w:val="000000" w:themeColor="text1"/>
        </w:rPr>
        <w:t>Raymond Youngs, English, French &amp; German Comparative Law</w:t>
      </w:r>
      <w:r w:rsidRPr="750671CE">
        <w:rPr>
          <w:rFonts w:ascii="Times New Roman" w:eastAsia="Times New Roman" w:hAnsi="Times New Roman" w:cs="Times New Roman"/>
          <w:color w:val="000000" w:themeColor="text1"/>
        </w:rPr>
        <w:t xml:space="preserve"> 472-73 (2d ed. 2007).  The French </w:t>
      </w:r>
      <w:r w:rsidRPr="750671CE">
        <w:rPr>
          <w:rFonts w:ascii="Times New Roman" w:eastAsia="Times New Roman" w:hAnsi="Times New Roman" w:cs="Times New Roman"/>
          <w:color w:val="000000" w:themeColor="text1"/>
        </w:rPr>
        <w:lastRenderedPageBreak/>
        <w:t xml:space="preserve">adopt the </w:t>
      </w:r>
      <w:r w:rsidRPr="750671CE">
        <w:rPr>
          <w:rFonts w:ascii="Times New Roman" w:eastAsia="Times New Roman" w:hAnsi="Times New Roman" w:cs="Times New Roman"/>
          <w:i/>
          <w:iCs/>
          <w:color w:val="000000" w:themeColor="text1"/>
        </w:rPr>
        <w:t>Courvoisier</w:t>
      </w:r>
      <w:r w:rsidRPr="750671CE">
        <w:rPr>
          <w:rFonts w:ascii="Times New Roman" w:eastAsia="Times New Roman" w:hAnsi="Times New Roman" w:cs="Times New Roman"/>
          <w:color w:val="000000" w:themeColor="text1"/>
        </w:rPr>
        <w:t xml:space="preserve"> approach. Jean Limpens, Robert M. Kruithof &amp; Anne Meinertzhagen-Limpens, </w:t>
      </w:r>
      <w:r w:rsidRPr="750671CE">
        <w:rPr>
          <w:rFonts w:ascii="Times New Roman" w:eastAsia="Times New Roman" w:hAnsi="Times New Roman" w:cs="Times New Roman"/>
          <w:i/>
          <w:iCs/>
          <w:color w:val="000000" w:themeColor="text1"/>
        </w:rPr>
        <w:t>Liability for One</w:t>
      </w:r>
      <w:r w:rsidR="00B05F31">
        <w:rPr>
          <w:rFonts w:ascii="Times New Roman" w:eastAsia="Times New Roman" w:hAnsi="Times New Roman" w:cs="Times New Roman"/>
          <w:i/>
          <w:iCs/>
          <w:color w:val="000000" w:themeColor="text1"/>
        </w:rPr>
        <w:t>’</w:t>
      </w:r>
      <w:r w:rsidRPr="750671CE">
        <w:rPr>
          <w:rFonts w:ascii="Times New Roman" w:eastAsia="Times New Roman" w:hAnsi="Times New Roman" w:cs="Times New Roman"/>
          <w:i/>
          <w:iCs/>
          <w:color w:val="000000" w:themeColor="text1"/>
        </w:rPr>
        <w:t>s Own Act</w:t>
      </w:r>
      <w:r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i/>
          <w:iCs/>
          <w:color w:val="000000" w:themeColor="text1"/>
        </w:rPr>
        <w:t xml:space="preserve">in </w:t>
      </w:r>
      <w:r w:rsidRPr="750671CE">
        <w:rPr>
          <w:rFonts w:ascii="Times New Roman" w:eastAsia="Times New Roman" w:hAnsi="Times New Roman" w:cs="Times New Roman"/>
          <w:color w:val="000000" w:themeColor="text1"/>
        </w:rPr>
        <w:t xml:space="preserve">11 </w:t>
      </w:r>
      <w:r w:rsidRPr="750671CE">
        <w:rPr>
          <w:rFonts w:ascii="Times New Roman" w:eastAsia="Times New Roman" w:hAnsi="Times New Roman" w:cs="Times New Roman"/>
          <w:smallCaps/>
          <w:color w:val="000000" w:themeColor="text1"/>
        </w:rPr>
        <w:t>Int</w:t>
      </w:r>
      <w:r w:rsidR="009B68CF">
        <w:rPr>
          <w:rFonts w:ascii="Times New Roman" w:eastAsia="Times New Roman" w:hAnsi="Times New Roman" w:cs="Times New Roman"/>
          <w:smallCaps/>
          <w:color w:val="000000" w:themeColor="text1"/>
        </w:rPr>
        <w:t>’</w:t>
      </w:r>
      <w:r w:rsidRPr="750671CE">
        <w:rPr>
          <w:rFonts w:ascii="Times New Roman" w:eastAsia="Times New Roman" w:hAnsi="Times New Roman" w:cs="Times New Roman"/>
          <w:smallCaps/>
          <w:color w:val="000000" w:themeColor="text1"/>
        </w:rPr>
        <w:t>l Encyclopedia of Comparative L</w:t>
      </w:r>
      <w:r w:rsidR="009B68CF">
        <w:rPr>
          <w:rFonts w:ascii="Times New Roman" w:eastAsia="Times New Roman" w:hAnsi="Times New Roman" w:cs="Times New Roman"/>
          <w:smallCaps/>
          <w:color w:val="000000" w:themeColor="text1"/>
        </w:rPr>
        <w:t>.</w:t>
      </w:r>
      <w:r w:rsidRPr="750671CE">
        <w:rPr>
          <w:rFonts w:ascii="Times New Roman" w:eastAsia="Times New Roman" w:hAnsi="Times New Roman" w:cs="Times New Roman"/>
          <w:color w:val="000000" w:themeColor="text1"/>
        </w:rPr>
        <w:t xml:space="preserve">, 2-1, 2-171 (André Tunc ed., 1983).   </w:t>
      </w:r>
    </w:p>
    <w:p w14:paraId="1AE63C50" w14:textId="77777777" w:rsidR="001F4A22" w:rsidRPr="00295445" w:rsidRDefault="001F4A22" w:rsidP="001F4A22">
      <w:pPr>
        <w:widowControl w:val="0"/>
        <w:autoSpaceDE w:val="0"/>
        <w:autoSpaceDN w:val="0"/>
        <w:adjustRightInd w:val="0"/>
        <w:rPr>
          <w:rFonts w:ascii="Times New Roman" w:eastAsia="Times New Roman" w:hAnsi="Times New Roman" w:cs="Times New Roman"/>
          <w:color w:val="000000" w:themeColor="text1"/>
        </w:rPr>
      </w:pPr>
    </w:p>
    <w:p w14:paraId="0DA4811D" w14:textId="189F5795" w:rsidR="001F4A22" w:rsidRPr="00295445"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In the United Kingdom, the House of Lords recently indicated its inclination to adopt the Roman law rule of strict liability for mistaken self-defense, regardless of whether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beliefs and actions were reasonable under the circumstances.  A majority of the Lords of Appeal in the case affirmed their agreement with the opinion of Lord Scott, who asserted that the correct principle would be that </w:t>
      </w:r>
      <w:r w:rsidR="00B05F31">
        <w:rPr>
          <w:rFonts w:ascii="Times New Roman" w:eastAsia="Times New Roman" w:hAnsi="Times New Roman" w:cs="Times New Roman"/>
        </w:rPr>
        <w:t>“</w:t>
      </w:r>
      <w:r w:rsidRPr="750671CE">
        <w:rPr>
          <w:rFonts w:ascii="Times New Roman" w:eastAsia="Times New Roman" w:hAnsi="Times New Roman" w:cs="Times New Roman"/>
        </w:rPr>
        <w:t>in order to establish the relevant necessity the defendant must establish that there was in fact an imminent and real risk of attack.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Ashley v. Chief Constable of Sussex Police</w:t>
      </w:r>
      <w:r w:rsidRPr="750671CE">
        <w:rPr>
          <w:rFonts w:ascii="Times New Roman" w:eastAsia="Times New Roman" w:hAnsi="Times New Roman" w:cs="Times New Roman"/>
        </w:rPr>
        <w:t xml:space="preserve">, [2008] UKHL 25, 1 A.C. 962, para. 16-19.  Because the issue was not squarely posed, the Lords of Appeal did not decide the issue definitively.   </w:t>
      </w:r>
    </w:p>
    <w:p w14:paraId="7AF9E3EA" w14:textId="77777777" w:rsidR="001F4A22" w:rsidRPr="00295445" w:rsidRDefault="001F4A22" w:rsidP="001F4A22">
      <w:pPr>
        <w:widowControl w:val="0"/>
        <w:autoSpaceDE w:val="0"/>
        <w:autoSpaceDN w:val="0"/>
        <w:adjustRightInd w:val="0"/>
        <w:ind w:firstLine="720"/>
        <w:rPr>
          <w:rFonts w:ascii="Times New Roman" w:hAnsi="Times New Roman" w:cs="Times New Roman"/>
        </w:rPr>
      </w:pPr>
    </w:p>
    <w:p w14:paraId="5FA9728E" w14:textId="1E4C5465" w:rsidR="001F4A22" w:rsidRPr="0043351C"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On the other hand, the criminal law</w:t>
      </w:r>
      <w:r w:rsidR="002B4F6A" w:rsidRPr="002B4F6A">
        <w:rPr>
          <w:rFonts w:ascii="Times New Roman" w:eastAsia="Times New Roman" w:hAnsi="Times New Roman" w:cs="Times New Roman"/>
        </w:rPr>
        <w:t>—</w:t>
      </w:r>
      <w:r w:rsidRPr="750671CE">
        <w:rPr>
          <w:rFonts w:ascii="Times New Roman" w:eastAsia="Times New Roman" w:hAnsi="Times New Roman" w:cs="Times New Roman"/>
        </w:rPr>
        <w:t>and at least one U.S. jurisdiction</w:t>
      </w:r>
      <w:r w:rsidR="00B05F31">
        <w:rPr>
          <w:rFonts w:ascii="Times New Roman" w:eastAsia="Times New Roman" w:hAnsi="Times New Roman" w:cs="Times New Roman"/>
        </w:rPr>
        <w:t>’</w:t>
      </w:r>
      <w:r w:rsidRPr="750671CE">
        <w:rPr>
          <w:rFonts w:ascii="Times New Roman" w:eastAsia="Times New Roman" w:hAnsi="Times New Roman" w:cs="Times New Roman"/>
        </w:rPr>
        <w:t>s tort law</w:t>
      </w:r>
      <w:r w:rsidR="002B4F6A" w:rsidRPr="002B4F6A">
        <w:rPr>
          <w:rFonts w:ascii="Times New Roman" w:eastAsia="Times New Roman" w:hAnsi="Times New Roman" w:cs="Times New Roman"/>
        </w:rPr>
        <w:t>—</w:t>
      </w:r>
      <w:r w:rsidRPr="750671CE">
        <w:rPr>
          <w:rFonts w:ascii="Times New Roman" w:eastAsia="Times New Roman" w:hAnsi="Times New Roman" w:cs="Times New Roman"/>
        </w:rPr>
        <w:t xml:space="preserve">adopts a standard for self-defense that substantially vindicates a defendant whether her belief in the necessity of self-defense is reasonable or not.  Under this approach, so long as the defendant has a subjectively authentic belief in the threat of an attack, she is privileged to respond with appropriate force without risking prosecution for any crime for which intent is a requirement.  (She may nonetheless be liable for those crimes for which proof of recklessness is sufficient.)  </w:t>
      </w:r>
      <w:r w:rsidRPr="750671CE">
        <w:rPr>
          <w:rFonts w:ascii="Times New Roman" w:eastAsia="Times New Roman" w:hAnsi="Times New Roman" w:cs="Times New Roman"/>
          <w:i/>
          <w:iCs/>
        </w:rPr>
        <w:t>See Moor v. Licciardello</w:t>
      </w:r>
      <w:r w:rsidRPr="750671CE">
        <w:rPr>
          <w:rFonts w:ascii="Times New Roman" w:eastAsia="Times New Roman" w:hAnsi="Times New Roman" w:cs="Times New Roman"/>
        </w:rPr>
        <w:t xml:space="preserve">, 463 A.2d 268, 270-71 (Del. 1983). </w:t>
      </w:r>
    </w:p>
    <w:p w14:paraId="029C96D1" w14:textId="77777777" w:rsidR="001F4A22" w:rsidRDefault="001F4A22" w:rsidP="001F4A22">
      <w:pPr>
        <w:rPr>
          <w:rFonts w:ascii="Times New Roman" w:eastAsia="Times New Roman" w:hAnsi="Times New Roman" w:cs="Times New Roman"/>
        </w:rPr>
      </w:pPr>
    </w:p>
    <w:p w14:paraId="4C52929D" w14:textId="77777777" w:rsidR="001F4A22" w:rsidRPr="0043351C"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16CF5DD8" w14:textId="77777777" w:rsidR="001F4A22" w:rsidRPr="004800A9" w:rsidRDefault="001F4A22" w:rsidP="001F4A22">
      <w:pPr>
        <w:rPr>
          <w:rFonts w:ascii="Times New Roman" w:eastAsia="Times New Roman" w:hAnsi="Times New Roman" w:cs="Times New Roman"/>
        </w:rPr>
      </w:pPr>
    </w:p>
    <w:p w14:paraId="2C4FD28E" w14:textId="77777777" w:rsidR="001F4A22" w:rsidRPr="004800A9" w:rsidRDefault="001F4A22" w:rsidP="001F4A22">
      <w:pPr>
        <w:rPr>
          <w:rFonts w:ascii="Times New Roman" w:eastAsia="Times New Roman" w:hAnsi="Times New Roman" w:cs="Times New Roman"/>
        </w:rPr>
      </w:pPr>
    </w:p>
    <w:p w14:paraId="0D4D5613" w14:textId="684A39BF" w:rsidR="001F4A22" w:rsidRPr="00F94B7E" w:rsidRDefault="750671CE" w:rsidP="00F94B7E">
      <w:pPr>
        <w:pStyle w:val="ListParagraph"/>
        <w:numPr>
          <w:ilvl w:val="0"/>
          <w:numId w:val="6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Reasonable escalation</w:t>
      </w:r>
      <w:r w:rsidRPr="00F94B7E">
        <w:rPr>
          <w:rFonts w:ascii="Times New Roman" w:eastAsia="Times New Roman" w:hAnsi="Times New Roman" w:cs="Times New Roman"/>
        </w:rPr>
        <w:t>.  Defense of 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self privileges a person to use reasonable force to defend himself against an unprivileged act, or the threat of an imminent unprivileged act, by another that the person reasonably believes will cause him harm.  A key limit here is that the force used in self-defense must be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6AEBCB20" w14:textId="77777777" w:rsidR="001F4A22" w:rsidRPr="004800A9" w:rsidRDefault="001F4A22" w:rsidP="001F4A22">
      <w:pPr>
        <w:rPr>
          <w:rFonts w:ascii="Times New Roman" w:eastAsia="Times New Roman" w:hAnsi="Times New Roman" w:cs="Times New Roman"/>
        </w:rPr>
      </w:pPr>
    </w:p>
    <w:p w14:paraId="72DC7B9D" w14:textId="422AEB91" w:rsidR="001F4A22" w:rsidRPr="004800A9"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w:t>
      </w:r>
      <w:r w:rsidRPr="750671CE">
        <w:rPr>
          <w:rFonts w:ascii="Times New Roman" w:eastAsia="Times New Roman" w:hAnsi="Times New Roman" w:cs="Times New Roman"/>
          <w:i/>
          <w:iCs/>
        </w:rPr>
        <w:t>Martin v. Yeoham</w:t>
      </w:r>
      <w:r w:rsidRPr="750671CE">
        <w:rPr>
          <w:rFonts w:ascii="Times New Roman" w:eastAsia="Times New Roman" w:hAnsi="Times New Roman" w:cs="Times New Roman"/>
        </w:rPr>
        <w:t>, 419 S.W.2d 937 (Mo. App. 1967), for example, the court held that a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apprehension of bodily harm alone would not have justified the use of deadly force; only apprehension of </w:t>
      </w:r>
      <w:r w:rsidR="00B05F31">
        <w:rPr>
          <w:rFonts w:ascii="Times New Roman" w:eastAsia="Times New Roman" w:hAnsi="Times New Roman" w:cs="Times New Roman"/>
        </w:rPr>
        <w:t>“</w:t>
      </w:r>
      <w:r w:rsidRPr="750671CE">
        <w:rPr>
          <w:rFonts w:ascii="Times New Roman" w:eastAsia="Times New Roman" w:hAnsi="Times New Roman" w:cs="Times New Roman"/>
        </w:rPr>
        <w:t>imminent danger of death or great bodily harm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would have warranted the use of a firearm in defense against the perceived threat.  The basic test is whether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use of force was necessary given all the attendant facts and circumstances.  As the Connecticut Supreme Court put it, </w:t>
      </w:r>
      <w:r w:rsidR="00B05F31">
        <w:rPr>
          <w:rFonts w:ascii="Times New Roman" w:eastAsia="Times New Roman" w:hAnsi="Times New Roman" w:cs="Times New Roman"/>
        </w:rPr>
        <w:t>“</w:t>
      </w:r>
      <w:r w:rsidRPr="750671CE">
        <w:rPr>
          <w:rFonts w:ascii="Times New Roman" w:eastAsia="Times New Roman" w:hAnsi="Times New Roman" w:cs="Times New Roman"/>
        </w:rPr>
        <w:t>The permissible degree of force used in self-defense depends on that which is necessary, under all the circumstances, to prevent an impending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Hanauer v. Coscia</w:t>
      </w:r>
      <w:r w:rsidRPr="750671CE">
        <w:rPr>
          <w:rFonts w:ascii="Times New Roman" w:eastAsia="Times New Roman" w:hAnsi="Times New Roman" w:cs="Times New Roman"/>
        </w:rPr>
        <w:t xml:space="preserve">, 244 A.2d 611, 614 (Conn. 1968).  </w:t>
      </w:r>
    </w:p>
    <w:p w14:paraId="0F7F32F2" w14:textId="77777777" w:rsidR="001F4A22" w:rsidRPr="004800A9" w:rsidRDefault="001F4A22" w:rsidP="001F4A22">
      <w:pPr>
        <w:ind w:firstLine="720"/>
        <w:rPr>
          <w:rFonts w:ascii="Times New Roman" w:eastAsia="Times New Roman" w:hAnsi="Times New Roman" w:cs="Times New Roman"/>
        </w:rPr>
      </w:pPr>
    </w:p>
    <w:p w14:paraId="1DD2199A" w14:textId="175A6DB0" w:rsidR="001F4A22" w:rsidRPr="004800A9"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English law, and according to the Restatement authors, the necessity standard, properly understood, includes an obligation to retreat before using deadly force if retreat is possible.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750671CE">
        <w:rPr>
          <w:rFonts w:ascii="Times New Roman" w:eastAsia="Times New Roman" w:hAnsi="Times New Roman" w:cs="Times New Roman"/>
        </w:rPr>
        <w:t xml:space="preserve"> § 63 (1965).  This is the doctrine </w:t>
      </w:r>
      <w:r w:rsidRPr="750671CE">
        <w:rPr>
          <w:rFonts w:ascii="Times New Roman" w:eastAsia="Times New Roman" w:hAnsi="Times New Roman" w:cs="Times New Roman"/>
        </w:rPr>
        <w:lastRenderedPageBreak/>
        <w:t xml:space="preserve">known as the </w:t>
      </w:r>
      <w:r w:rsidR="00B05F31">
        <w:rPr>
          <w:rFonts w:ascii="Times New Roman" w:eastAsia="Times New Roman" w:hAnsi="Times New Roman" w:cs="Times New Roman"/>
        </w:rPr>
        <w:t>“</w:t>
      </w:r>
      <w:r w:rsidRPr="750671CE">
        <w:rPr>
          <w:rFonts w:ascii="Times New Roman" w:eastAsia="Times New Roman" w:hAnsi="Times New Roman" w:cs="Times New Roman"/>
        </w:rPr>
        <w:t>retreat to the wall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A number of American states, however, follow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true man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stand your ground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which allows the use of deadly force in response to imminent danger of death or great bodily harm, even when the alternative of retreat exists.  </w:t>
      </w:r>
      <w:r w:rsidRPr="750671CE">
        <w:rPr>
          <w:rFonts w:ascii="Times New Roman" w:eastAsia="Times New Roman" w:hAnsi="Times New Roman" w:cs="Times New Roman"/>
          <w:i/>
          <w:iCs/>
        </w:rPr>
        <w:t>E.g.</w:t>
      </w:r>
      <w:r w:rsidRPr="00F94B7E">
        <w:rPr>
          <w:rFonts w:ascii="Times New Roman" w:eastAsia="Times New Roman" w:hAnsi="Times New Roman" w:cs="Times New Roman"/>
          <w:iCs/>
        </w:rPr>
        <w:t>,</w:t>
      </w:r>
      <w:r w:rsidRPr="750671CE">
        <w:rPr>
          <w:rFonts w:ascii="Times New Roman" w:eastAsia="Times New Roman" w:hAnsi="Times New Roman" w:cs="Times New Roman"/>
          <w:i/>
          <w:iCs/>
        </w:rPr>
        <w:t xml:space="preserve"> Boykin v. People</w:t>
      </w:r>
      <w:r w:rsidRPr="750671CE">
        <w:rPr>
          <w:rFonts w:ascii="Times New Roman" w:eastAsia="Times New Roman" w:hAnsi="Times New Roman" w:cs="Times New Roman"/>
        </w:rPr>
        <w:t xml:space="preserve">, 45 P. 419 (Colo. 1896).  Some states have even extended the stand-your-ground approach to allow deadly force in self-defense without an obligation to make an available retreat by a person who is himself a trespasser at the time.  </w:t>
      </w:r>
      <w:r w:rsidRPr="750671CE">
        <w:rPr>
          <w:rFonts w:ascii="Times New Roman" w:eastAsia="Times New Roman" w:hAnsi="Times New Roman" w:cs="Times New Roman"/>
          <w:i/>
          <w:iCs/>
        </w:rPr>
        <w:t>E.g.</w:t>
      </w:r>
      <w:r w:rsidRPr="00F94B7E">
        <w:rPr>
          <w:rFonts w:ascii="Times New Roman" w:eastAsia="Times New Roman" w:hAnsi="Times New Roman" w:cs="Times New Roman"/>
          <w:iCs/>
        </w:rPr>
        <w:t>,</w:t>
      </w:r>
      <w:r w:rsidRPr="750671CE">
        <w:rPr>
          <w:rFonts w:ascii="Times New Roman" w:eastAsia="Times New Roman" w:hAnsi="Times New Roman" w:cs="Times New Roman"/>
          <w:i/>
          <w:iCs/>
        </w:rPr>
        <w:t xml:space="preserve"> People v. Toler,</w:t>
      </w:r>
      <w:r w:rsidRPr="750671CE">
        <w:rPr>
          <w:rFonts w:ascii="Times New Roman" w:eastAsia="Times New Roman" w:hAnsi="Times New Roman" w:cs="Times New Roman"/>
        </w:rPr>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750671CE">
        <w:rPr>
          <w:rFonts w:ascii="Times New Roman" w:eastAsia="Times New Roman" w:hAnsi="Times New Roman" w:cs="Times New Roman"/>
        </w:rPr>
        <w:t xml:space="preserve"> § 65 (1965).  On the other hand, virtually all authorities agree when a person is at her dwelling, she is not obliged to retreat before using deadly force.  </w:t>
      </w:r>
      <w:r w:rsidRPr="750671CE">
        <w:rPr>
          <w:rFonts w:ascii="Times New Roman" w:eastAsia="Times New Roman" w:hAnsi="Times New Roman" w:cs="Times New Roman"/>
          <w:i/>
          <w:iCs/>
        </w:rPr>
        <w:t>See Beard v. United States,</w:t>
      </w:r>
      <w:r w:rsidRPr="750671CE">
        <w:rPr>
          <w:rFonts w:ascii="Times New Roman" w:eastAsia="Times New Roman" w:hAnsi="Times New Roman" w:cs="Times New Roman"/>
        </w:rPr>
        <w:t xml:space="preserve"> 158 U.S. 550, 563-64 (1895) (when defendant was at his dwelling he was </w:t>
      </w:r>
      <w:r w:rsidR="00B05F31">
        <w:rPr>
          <w:rFonts w:ascii="Times New Roman" w:eastAsia="Times New Roman" w:hAnsi="Times New Roman" w:cs="Times New Roman"/>
        </w:rPr>
        <w:t>“</w:t>
      </w:r>
      <w:r w:rsidRPr="750671CE">
        <w:rPr>
          <w:rFonts w:ascii="Times New Roman" w:eastAsia="Times New Roman" w:hAnsi="Times New Roman" w:cs="Times New Roman"/>
        </w:rPr>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202CD874" w14:textId="77777777" w:rsidR="001F4A22" w:rsidRPr="004800A9" w:rsidRDefault="001F4A22" w:rsidP="001F4A22">
      <w:pPr>
        <w:rPr>
          <w:rFonts w:ascii="Times New Roman" w:eastAsia="Times New Roman" w:hAnsi="Times New Roman" w:cs="Times New Roman"/>
        </w:rPr>
      </w:pPr>
    </w:p>
    <w:p w14:paraId="737893C2" w14:textId="31A748D9" w:rsidR="001F4A22" w:rsidRPr="00386E40" w:rsidRDefault="001F4A22" w:rsidP="750671CE">
      <w:pPr>
        <w:rPr>
          <w:rFonts w:ascii="Times New Roman" w:eastAsia="Times New Roman" w:hAnsi="Times New Roman" w:cs="Times New Roman"/>
        </w:rPr>
      </w:pPr>
      <w:r w:rsidRPr="004800A9">
        <w:rPr>
          <w:rFonts w:ascii="Times New Roman" w:eastAsia="Times New Roman" w:hAnsi="Times New Roman" w:cs="Times New Roman"/>
        </w:rPr>
        <w:tab/>
        <w:t>What are the considerations in favor of the Restatement</w:t>
      </w:r>
      <w:r w:rsidR="00B05F31">
        <w:rPr>
          <w:rFonts w:ascii="Times New Roman" w:eastAsia="Times New Roman" w:hAnsi="Times New Roman" w:cs="Times New Roman"/>
        </w:rPr>
        <w:t>’</w:t>
      </w:r>
      <w:r w:rsidRPr="004800A9">
        <w:rPr>
          <w:rFonts w:ascii="Times New Roman" w:eastAsia="Times New Roman" w:hAnsi="Times New Roman" w:cs="Times New Roman"/>
        </w:rPr>
        <w:t xml:space="preserve">s </w:t>
      </w:r>
      <w:r w:rsidR="00B05F31">
        <w:rPr>
          <w:rFonts w:ascii="Times New Roman" w:eastAsia="Times New Roman" w:hAnsi="Times New Roman" w:cs="Times New Roman"/>
        </w:rPr>
        <w:t>“</w:t>
      </w:r>
      <w:r w:rsidRPr="004800A9">
        <w:rPr>
          <w:rFonts w:ascii="Times New Roman" w:eastAsia="Times New Roman" w:hAnsi="Times New Roman" w:cs="Times New Roman"/>
        </w:rPr>
        <w:t>retreat to the wall</w:t>
      </w:r>
      <w:r w:rsidR="00B05F31">
        <w:rPr>
          <w:rFonts w:ascii="Times New Roman" w:eastAsia="Times New Roman" w:hAnsi="Times New Roman" w:cs="Times New Roman"/>
        </w:rPr>
        <w:t>”</w:t>
      </w:r>
      <w:r w:rsidRPr="004800A9">
        <w:rPr>
          <w:rFonts w:ascii="Times New Roman" w:eastAsia="Times New Roman" w:hAnsi="Times New Roman" w:cs="Times New Roman"/>
        </w:rPr>
        <w:t xml:space="preserve"> </w:t>
      </w:r>
      <w:r w:rsidRPr="00325941">
        <w:rPr>
          <w:rFonts w:ascii="Times New Roman" w:eastAsia="Times New Roman" w:hAnsi="Times New Roman" w:cs="Times New Roman"/>
        </w:rPr>
        <w:t xml:space="preserve">approach as opposed to the majority </w:t>
      </w:r>
      <w:r w:rsidR="00B05F31">
        <w:rPr>
          <w:rFonts w:ascii="Times New Roman" w:eastAsia="Times New Roman" w:hAnsi="Times New Roman" w:cs="Times New Roman"/>
        </w:rPr>
        <w:t>“</w:t>
      </w:r>
      <w:r w:rsidRPr="0082336D">
        <w:rPr>
          <w:rFonts w:ascii="Times New Roman" w:eastAsia="Times New Roman" w:hAnsi="Times New Roman" w:cs="Times New Roman"/>
        </w:rPr>
        <w:t>true man</w:t>
      </w:r>
      <w:r w:rsidR="00B05F31">
        <w:rPr>
          <w:rFonts w:ascii="Times New Roman" w:eastAsia="Times New Roman" w:hAnsi="Times New Roman" w:cs="Times New Roman"/>
        </w:rPr>
        <w:t>”</w:t>
      </w:r>
      <w:r w:rsidRPr="00325941">
        <w:rPr>
          <w:rFonts w:ascii="Times New Roman" w:eastAsia="Times New Roman" w:hAnsi="Times New Roman" w:cs="Times New Roman"/>
        </w:rPr>
        <w:t xml:space="preserve"> approach?  </w:t>
      </w:r>
      <w:r>
        <w:rPr>
          <w:rFonts w:ascii="Times New Roman" w:eastAsia="Times New Roman" w:hAnsi="Times New Roman" w:cs="Times New Roman"/>
        </w:rPr>
        <w:t xml:space="preserve">(Note that the doctrinal labels themselves seem slanted heavily toward the latter, in a clumsily gendered way.) </w:t>
      </w:r>
      <w:r w:rsidRPr="00325941">
        <w:rPr>
          <w:rFonts w:ascii="Times New Roman" w:eastAsia="Times New Roman" w:hAnsi="Times New Roman" w:cs="Times New Roman"/>
        </w:rPr>
        <w:t>Why</w:t>
      </w:r>
      <w:r>
        <w:rPr>
          <w:rFonts w:ascii="Times New Roman" w:eastAsia="Times New Roman" w:hAnsi="Times New Roman" w:cs="Times New Roman"/>
        </w:rPr>
        <w:t xml:space="preserve"> does </w:t>
      </w:r>
      <w:r w:rsidRPr="00325941">
        <w:rPr>
          <w:rFonts w:ascii="Times New Roman" w:eastAsia="Times New Roman" w:hAnsi="Times New Roman" w:cs="Times New Roman"/>
        </w:rPr>
        <w:t>the Restatement view</w:t>
      </w:r>
      <w:r>
        <w:rPr>
          <w:rFonts w:ascii="Times New Roman" w:eastAsia="Times New Roman" w:hAnsi="Times New Roman" w:cs="Times New Roman"/>
        </w:rPr>
        <w:t xml:space="preserve"> </w:t>
      </w:r>
      <w:r w:rsidRPr="00325941">
        <w:rPr>
          <w:rFonts w:ascii="Times New Roman" w:eastAsia="Times New Roman" w:hAnsi="Times New Roman" w:cs="Times New Roman"/>
        </w:rPr>
        <w:t>carve out the home as a special no-retreat-required zone?  Is defending one</w:t>
      </w:r>
      <w:r w:rsidR="00B05F31">
        <w:rPr>
          <w:rFonts w:ascii="Times New Roman" w:eastAsia="Times New Roman" w:hAnsi="Times New Roman" w:cs="Times New Roman"/>
        </w:rPr>
        <w:t>’</w:t>
      </w:r>
      <w:r w:rsidRPr="00325941">
        <w:rPr>
          <w:rFonts w:ascii="Times New Roman" w:eastAsia="Times New Roman" w:hAnsi="Times New Roman" w:cs="Times New Roman"/>
        </w:rPr>
        <w:t xml:space="preserve">s home </w:t>
      </w:r>
      <w:r w:rsidRPr="00E4067A">
        <w:rPr>
          <w:rFonts w:ascii="Times New Roman" w:eastAsia="Times New Roman" w:hAnsi="Times New Roman" w:cs="Times New Roman"/>
        </w:rPr>
        <w:t>somehow more worthy of respect than, say, defending one</w:t>
      </w:r>
      <w:r w:rsidR="00B05F31">
        <w:rPr>
          <w:rFonts w:ascii="Times New Roman" w:eastAsia="Times New Roman" w:hAnsi="Times New Roman" w:cs="Times New Roman"/>
        </w:rPr>
        <w:t>’</w:t>
      </w:r>
      <w:r w:rsidRPr="00E4067A">
        <w:rPr>
          <w:rFonts w:ascii="Times New Roman" w:eastAsia="Times New Roman" w:hAnsi="Times New Roman" w:cs="Times New Roman"/>
        </w:rPr>
        <w:t xml:space="preserve">s </w:t>
      </w:r>
      <w:r w:rsidRPr="00386E40">
        <w:rPr>
          <w:rFonts w:ascii="Times New Roman" w:eastAsia="Times New Roman" w:hAnsi="Times New Roman" w:cs="Times New Roman"/>
        </w:rPr>
        <w:t>family or one</w:t>
      </w:r>
      <w:r w:rsidR="00B05F31">
        <w:rPr>
          <w:rFonts w:ascii="Times New Roman" w:eastAsia="Times New Roman" w:hAnsi="Times New Roman" w:cs="Times New Roman"/>
        </w:rPr>
        <w:t>’</w:t>
      </w:r>
      <w:r w:rsidRPr="00386E40">
        <w:rPr>
          <w:rFonts w:ascii="Times New Roman" w:eastAsia="Times New Roman" w:hAnsi="Times New Roman" w:cs="Times New Roman"/>
        </w:rPr>
        <w:t xml:space="preserve">s </w:t>
      </w:r>
      <w:r w:rsidR="005809FC">
        <w:rPr>
          <w:rFonts w:ascii="Times New Roman" w:eastAsia="Times New Roman" w:hAnsi="Times New Roman" w:cs="Times New Roman"/>
        </w:rPr>
        <w:t>business or one</w:t>
      </w:r>
      <w:r w:rsidR="00B05F31">
        <w:rPr>
          <w:rFonts w:ascii="Times New Roman" w:eastAsia="Times New Roman" w:hAnsi="Times New Roman" w:cs="Times New Roman"/>
        </w:rPr>
        <w:t>’</w:t>
      </w:r>
      <w:r w:rsidR="005809FC">
        <w:rPr>
          <w:rFonts w:ascii="Times New Roman" w:eastAsia="Times New Roman" w:hAnsi="Times New Roman" w:cs="Times New Roman"/>
        </w:rPr>
        <w:t>s neighbors?</w:t>
      </w:r>
    </w:p>
    <w:p w14:paraId="73C96D76" w14:textId="77777777" w:rsidR="001F4A22" w:rsidRPr="002778E9" w:rsidRDefault="001F4A22" w:rsidP="001F4A22">
      <w:pPr>
        <w:rPr>
          <w:rFonts w:ascii="Times New Roman" w:eastAsia="Times New Roman" w:hAnsi="Times New Roman" w:cs="Times New Roman"/>
        </w:rPr>
      </w:pPr>
    </w:p>
    <w:p w14:paraId="11794EF7" w14:textId="77777777" w:rsidR="001F4A22" w:rsidRPr="00AD7114" w:rsidRDefault="001F4A22" w:rsidP="001F4A22">
      <w:pPr>
        <w:rPr>
          <w:rFonts w:ascii="Times New Roman" w:eastAsia="Times New Roman" w:hAnsi="Times New Roman" w:cs="Times New Roman"/>
        </w:rPr>
      </w:pPr>
    </w:p>
    <w:p w14:paraId="75D72063" w14:textId="0296326D" w:rsidR="001F4A22" w:rsidRPr="00F94B7E" w:rsidRDefault="750671CE" w:rsidP="00F94B7E">
      <w:pPr>
        <w:pStyle w:val="ListParagraph"/>
        <w:numPr>
          <w:ilvl w:val="0"/>
          <w:numId w:val="6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Race and self-defense</w:t>
      </w:r>
      <w:r w:rsidRPr="00F94B7E">
        <w:rPr>
          <w:rFonts w:ascii="Times New Roman" w:eastAsia="Times New Roman" w:hAnsi="Times New Roman" w:cs="Times New Roman"/>
        </w:rPr>
        <w:t xml:space="preserv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Stand your ground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laws faced renewed public scrutiny after the death of a seventeen-year-old African-American named Trayvon Martin in Florida in 2012. Martin was walking to a local 7-Eleven to buy skittles and an iced tea when he was shot to death by a neighborhood watch member named George Zimmerman. In Zimmerman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criminal trial, the trial judge instructed the jury that Florida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2005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stand your ground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 provided that Zimmerman had no duty to retreat before using deadly force in self-defense as long as he was attacked in a place where he had a lawful right to be. The jury found Zimmerman not guilty. </w:t>
      </w:r>
    </w:p>
    <w:p w14:paraId="59025AD1" w14:textId="77777777" w:rsidR="001F4A22" w:rsidRPr="00EF03D5" w:rsidRDefault="001F4A22" w:rsidP="001F4A22">
      <w:pPr>
        <w:rPr>
          <w:rFonts w:ascii="Times New Roman" w:hAnsi="Times New Roman" w:cs="Times New Roman"/>
        </w:rPr>
      </w:pPr>
    </w:p>
    <w:p w14:paraId="4A62F0A5" w14:textId="7C8CD44A" w:rsidR="001F4A22" w:rsidRPr="00EF03D5" w:rsidRDefault="001F4A22" w:rsidP="750671CE">
      <w:pPr>
        <w:rPr>
          <w:rFonts w:ascii="Times New Roman" w:eastAsia="Times New Roman" w:hAnsi="Times New Roman" w:cs="Times New Roman"/>
        </w:rPr>
      </w:pPr>
      <w:r w:rsidRPr="00EF03D5">
        <w:rPr>
          <w:rFonts w:ascii="Times New Roman" w:hAnsi="Times New Roman" w:cs="Times New Roman"/>
        </w:rPr>
        <w:tab/>
      </w:r>
      <w:r w:rsidRPr="750671CE">
        <w:rPr>
          <w:rFonts w:ascii="Times New Roman" w:eastAsia="Times New Roman" w:hAnsi="Times New Roman" w:cs="Times New Roman"/>
        </w:rPr>
        <w:t xml:space="preserve">Critics argue that one problem with the </w:t>
      </w:r>
      <w:r w:rsidR="00B05F31">
        <w:rPr>
          <w:rFonts w:ascii="Times New Roman" w:eastAsia="Times New Roman" w:hAnsi="Times New Roman" w:cs="Times New Roman"/>
        </w:rPr>
        <w:t>“</w:t>
      </w:r>
      <w:r w:rsidRPr="750671CE">
        <w:rPr>
          <w:rFonts w:ascii="Times New Roman" w:eastAsia="Times New Roman" w:hAnsi="Times New Roman" w:cs="Times New Roman"/>
        </w:rPr>
        <w:t>stand your ground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principle is the apparent racial </w:t>
      </w:r>
      <w:r w:rsidRPr="00E17192">
        <w:rPr>
          <w:rFonts w:ascii="Times New Roman" w:eastAsia="Times New Roman" w:hAnsi="Times New Roman" w:cs="Times New Roman"/>
        </w:rPr>
        <w:t>disparity of its impact. Psychological research on implicit bias finds that in simulatio</w:t>
      </w:r>
      <w:r w:rsidRPr="00A7206C">
        <w:rPr>
          <w:rFonts w:ascii="Times New Roman" w:eastAsia="Times New Roman" w:hAnsi="Times New Roman" w:cs="Times New Roman"/>
        </w:rPr>
        <w:t xml:space="preserve">n shooting studies, </w:t>
      </w:r>
      <w:r w:rsidR="00B05F31" w:rsidRPr="009127B8">
        <w:rPr>
          <w:rFonts w:ascii="Times New Roman" w:eastAsia="Times New Roman" w:hAnsi="Times New Roman" w:cs="Times New Roman"/>
        </w:rPr>
        <w:t>“</w:t>
      </w:r>
      <w:r w:rsidRPr="00A5115E">
        <w:rPr>
          <w:rFonts w:ascii="Times New Roman" w:eastAsia="Times New Roman" w:hAnsi="Times New Roman" w:cs="Times New Roman"/>
        </w:rPr>
        <w:t xml:space="preserve">participants are faster and more accurate when shooting an armed black man than an armed white man, and faster and more accurate when responding </w:t>
      </w:r>
      <w:r w:rsidR="00B05F31" w:rsidRPr="00846C38">
        <w:rPr>
          <w:rFonts w:ascii="Times New Roman" w:eastAsia="Times New Roman" w:hAnsi="Times New Roman" w:cs="Times New Roman"/>
        </w:rPr>
        <w:t>‘</w:t>
      </w:r>
      <w:r w:rsidRPr="00E30455">
        <w:rPr>
          <w:rFonts w:ascii="Times New Roman" w:eastAsia="Times New Roman" w:hAnsi="Times New Roman" w:cs="Times New Roman"/>
        </w:rPr>
        <w:t>don</w:t>
      </w:r>
      <w:r w:rsidR="00B05F31" w:rsidRPr="00744778">
        <w:rPr>
          <w:rFonts w:ascii="Times New Roman" w:eastAsia="Times New Roman" w:hAnsi="Times New Roman" w:cs="Times New Roman"/>
        </w:rPr>
        <w:t>’</w:t>
      </w:r>
      <w:r w:rsidRPr="009D3DA7">
        <w:rPr>
          <w:rFonts w:ascii="Times New Roman" w:eastAsia="Times New Roman" w:hAnsi="Times New Roman" w:cs="Times New Roman"/>
        </w:rPr>
        <w:t>t shoot</w:t>
      </w:r>
      <w:r w:rsidR="00B05F31" w:rsidRPr="002A23B2">
        <w:rPr>
          <w:rFonts w:ascii="Times New Roman" w:eastAsia="Times New Roman" w:hAnsi="Times New Roman" w:cs="Times New Roman"/>
        </w:rPr>
        <w:t>’</w:t>
      </w:r>
      <w:r w:rsidRPr="00B41D0B">
        <w:rPr>
          <w:rFonts w:ascii="Times New Roman" w:eastAsia="Times New Roman" w:hAnsi="Times New Roman" w:cs="Times New Roman"/>
        </w:rPr>
        <w:t xml:space="preserve"> to an unarmed white man than an unarmed black man.</w:t>
      </w:r>
      <w:r w:rsidR="00B05F31" w:rsidRPr="00190B65">
        <w:rPr>
          <w:rFonts w:ascii="Times New Roman" w:eastAsia="Times New Roman" w:hAnsi="Times New Roman" w:cs="Times New Roman"/>
        </w:rPr>
        <w:t>”</w:t>
      </w:r>
      <w:r w:rsidRPr="009418B2">
        <w:rPr>
          <w:rFonts w:ascii="Times New Roman" w:eastAsia="Times New Roman" w:hAnsi="Times New Roman" w:cs="Times New Roman"/>
        </w:rPr>
        <w:t xml:space="preserve">  </w:t>
      </w:r>
      <w:r w:rsidRPr="00F94B7E">
        <w:rPr>
          <w:rFonts w:ascii="Times New Roman" w:eastAsia="Times" w:hAnsi="Times New Roman" w:cs="Times New Roman"/>
        </w:rPr>
        <w:t xml:space="preserve">Joshua Correll et al., </w:t>
      </w:r>
      <w:r w:rsidRPr="00F94B7E">
        <w:rPr>
          <w:rFonts w:ascii="Times New Roman" w:eastAsia="Times" w:hAnsi="Times New Roman" w:cs="Times New Roman"/>
          <w:i/>
          <w:iCs/>
        </w:rPr>
        <w:t>Across the Thin Blue Line: Police Officers and Racial Bias in the Decision to Shoot</w:t>
      </w:r>
      <w:r w:rsidRPr="00F94B7E">
        <w:rPr>
          <w:rFonts w:ascii="Times New Roman" w:eastAsia="Times" w:hAnsi="Times New Roman" w:cs="Times New Roman"/>
        </w:rPr>
        <w:t xml:space="preserve">, 92 </w:t>
      </w:r>
      <w:r w:rsidR="002B4F6A" w:rsidRPr="00F94B7E">
        <w:rPr>
          <w:rFonts w:ascii="Times New Roman" w:eastAsia="Times" w:hAnsi="Times New Roman" w:cs="Times New Roman"/>
        </w:rPr>
        <w:t xml:space="preserve">J. </w:t>
      </w:r>
      <w:r w:rsidRPr="00F94B7E">
        <w:rPr>
          <w:rFonts w:ascii="Times New Roman" w:eastAsia="Times" w:hAnsi="Times New Roman" w:cs="Times New Roman"/>
          <w:smallCaps/>
        </w:rPr>
        <w:t>Personality &amp; Soc. Psychol.</w:t>
      </w:r>
      <w:r w:rsidRPr="00F94B7E">
        <w:rPr>
          <w:rFonts w:ascii="Times New Roman" w:eastAsia="Times" w:hAnsi="Times New Roman" w:cs="Times New Roman"/>
        </w:rPr>
        <w:t xml:space="preserve"> 1007 (2007). </w:t>
      </w:r>
      <w:r w:rsidRPr="00E17192">
        <w:rPr>
          <w:rFonts w:ascii="Times New Roman" w:eastAsia="Times New Roman" w:hAnsi="Times New Roman" w:cs="Times New Roman"/>
        </w:rPr>
        <w:t xml:space="preserve"> The Urban Institute released a study in 2013 that found </w:t>
      </w:r>
      <w:r w:rsidR="00B05F31" w:rsidRPr="00E17192">
        <w:rPr>
          <w:rFonts w:ascii="Times New Roman" w:eastAsia="Times New Roman" w:hAnsi="Times New Roman" w:cs="Times New Roman"/>
        </w:rPr>
        <w:t>“</w:t>
      </w:r>
      <w:r w:rsidRPr="00E17192">
        <w:rPr>
          <w:rFonts w:ascii="Times New Roman" w:eastAsia="Times New Roman" w:hAnsi="Times New Roman" w:cs="Times New Roman"/>
        </w:rPr>
        <w:t>with respect to race, controlling for all other case attributes, the odds a white-on-black homicide is found justified is 281</w:t>
      </w:r>
      <w:r w:rsidRPr="750671CE">
        <w:rPr>
          <w:rFonts w:ascii="Times New Roman" w:eastAsia="Times New Roman" w:hAnsi="Times New Roman" w:cs="Times New Roman"/>
        </w:rPr>
        <w:t xml:space="preserve"> percent greater than the odds a white-on-white homicide is found justified. By contrast, a black-on-white homicide has barely half the odds of being ruled justifiable relative to white-on-white homicides.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00F94B7E">
        <w:rPr>
          <w:rFonts w:ascii="Times" w:eastAsia="Times" w:hAnsi="Times" w:cs="Times"/>
          <w:smallCaps/>
        </w:rPr>
        <w:lastRenderedPageBreak/>
        <w:t xml:space="preserve">John K. Roman, </w:t>
      </w:r>
      <w:r w:rsidR="00C42250" w:rsidRPr="00F94B7E">
        <w:rPr>
          <w:rFonts w:ascii="Times,Garamond" w:eastAsia="Times,Garamond" w:hAnsi="Times,Garamond" w:cs="Times,Garamond"/>
          <w:smallCaps/>
        </w:rPr>
        <w:t xml:space="preserve">Urban Inst., </w:t>
      </w:r>
      <w:r w:rsidRPr="00F94B7E">
        <w:rPr>
          <w:rFonts w:ascii="Times,Garamond" w:eastAsia="Times,Garamond" w:hAnsi="Times,Garamond" w:cs="Times,Garamond"/>
          <w:iCs/>
          <w:smallCaps/>
        </w:rPr>
        <w:t>Race, Justifiable Homicide, and Stand Your Ground Laws: Analysis of FBI Supplementary Homicide Report Data</w:t>
      </w:r>
      <w:r w:rsidRPr="750671CE">
        <w:rPr>
          <w:rFonts w:ascii="Times,Garamond" w:eastAsia="Times,Garamond" w:hAnsi="Times,Garamond" w:cs="Times,Garamond"/>
        </w:rPr>
        <w:t xml:space="preserve"> (2013).</w:t>
      </w:r>
      <w:r w:rsidRPr="750671CE">
        <w:rPr>
          <w:rFonts w:ascii="Times New Roman" w:eastAsia="Times New Roman" w:hAnsi="Times New Roman" w:cs="Times New Roman"/>
        </w:rPr>
        <w:t xml:space="preserve"> </w:t>
      </w:r>
    </w:p>
    <w:p w14:paraId="50B6D949" w14:textId="77777777" w:rsidR="001F4A22" w:rsidRPr="00E4067A" w:rsidRDefault="001F4A22" w:rsidP="001F4A22">
      <w:pPr>
        <w:rPr>
          <w:rFonts w:ascii="Times New Roman" w:eastAsia="Times New Roman" w:hAnsi="Times New Roman" w:cs="Times New Roman"/>
        </w:rPr>
      </w:pPr>
    </w:p>
    <w:p w14:paraId="11BA9C37" w14:textId="471CBDCD" w:rsidR="001F4A22" w:rsidRPr="00E4067A" w:rsidRDefault="001F4A22" w:rsidP="750671CE">
      <w:pPr>
        <w:rPr>
          <w:rFonts w:ascii="Times New Roman" w:eastAsia="Times New Roman" w:hAnsi="Times New Roman" w:cs="Times New Roman"/>
        </w:rPr>
      </w:pPr>
      <w:r>
        <w:rPr>
          <w:rFonts w:ascii="Times New Roman" w:eastAsia="Times New Roman" w:hAnsi="Times New Roman" w:cs="Times New Roman"/>
        </w:rPr>
        <w:tab/>
        <w:t xml:space="preserve">How should the </w:t>
      </w:r>
      <w:r w:rsidR="00B05F31">
        <w:rPr>
          <w:rFonts w:ascii="Times New Roman" w:eastAsia="Times New Roman" w:hAnsi="Times New Roman" w:cs="Times New Roman"/>
        </w:rPr>
        <w:t>“</w:t>
      </w:r>
      <w:r>
        <w:rPr>
          <w:rFonts w:ascii="Times New Roman" w:eastAsia="Times New Roman" w:hAnsi="Times New Roman" w:cs="Times New Roman"/>
        </w:rPr>
        <w:t>reasonableness</w:t>
      </w:r>
      <w:r w:rsidR="00B05F31">
        <w:rPr>
          <w:rFonts w:ascii="Times New Roman" w:eastAsia="Times New Roman" w:hAnsi="Times New Roman" w:cs="Times New Roman"/>
        </w:rPr>
        <w:t>”</w:t>
      </w:r>
      <w:r>
        <w:rPr>
          <w:rFonts w:ascii="Times New Roman" w:eastAsia="Times New Roman" w:hAnsi="Times New Roman" w:cs="Times New Roman"/>
        </w:rPr>
        <w:t xml:space="preserve"> standard be applied in view of such racial disparities?  </w:t>
      </w:r>
    </w:p>
    <w:p w14:paraId="3F07A387" w14:textId="77777777" w:rsidR="001F4A22" w:rsidRPr="00E4067A" w:rsidRDefault="001F4A22" w:rsidP="001F4A22">
      <w:pPr>
        <w:rPr>
          <w:rFonts w:ascii="Times New Roman" w:eastAsia="Times New Roman" w:hAnsi="Times New Roman" w:cs="Times New Roman"/>
        </w:rPr>
      </w:pPr>
    </w:p>
    <w:p w14:paraId="231938B4" w14:textId="77777777" w:rsidR="001F4A22" w:rsidRPr="00E4067A" w:rsidRDefault="001F4A22" w:rsidP="001F4A22">
      <w:pPr>
        <w:rPr>
          <w:rFonts w:ascii="Times New Roman" w:eastAsia="Times New Roman" w:hAnsi="Times New Roman" w:cs="Times New Roman"/>
        </w:rPr>
      </w:pPr>
    </w:p>
    <w:p w14:paraId="1FEA131C" w14:textId="31280816" w:rsidR="001F4A22" w:rsidRPr="00F94B7E" w:rsidRDefault="750671CE" w:rsidP="00F94B7E">
      <w:pPr>
        <w:pStyle w:val="ListParagraph"/>
        <w:numPr>
          <w:ilvl w:val="0"/>
          <w:numId w:val="64"/>
        </w:numPr>
        <w:ind w:left="0" w:firstLine="360"/>
        <w:rPr>
          <w:rFonts w:ascii="Times New Roman" w:hAnsi="Times New Roman" w:cs="Times New Roman"/>
        </w:rPr>
      </w:pPr>
      <w:r w:rsidRPr="00F94B7E">
        <w:rPr>
          <w:rFonts w:ascii="Times New Roman" w:eastAsia="Times New Roman" w:hAnsi="Times New Roman" w:cs="Times New Roman"/>
          <w:i/>
          <w:iCs/>
        </w:rPr>
        <w:t>Defense of third parties</w:t>
      </w:r>
      <w:r w:rsidRPr="00F94B7E">
        <w:rPr>
          <w:rFonts w:ascii="Times New Roman" w:eastAsia="Times New Roman" w:hAnsi="Times New Roman" w:cs="Times New Roman"/>
        </w:rPr>
        <w:t xml:space="preserve">.  </w:t>
      </w:r>
      <w:r w:rsidRPr="00F94B7E">
        <w:rPr>
          <w:rFonts w:ascii="Times New Roman" w:hAnsi="Times New Roman" w:cs="Times New Roman"/>
        </w:rPr>
        <w:t>A person is privileged to defend others, too</w:t>
      </w:r>
      <w:r w:rsidR="00A444B6" w:rsidRPr="00F94B7E">
        <w:rPr>
          <w:rFonts w:ascii="Times New Roman" w:hAnsi="Times New Roman" w:cs="Times New Roman"/>
        </w:rPr>
        <w:t>—</w:t>
      </w:r>
      <w:r w:rsidRPr="00F94B7E">
        <w:rPr>
          <w:rFonts w:ascii="Times New Roman" w:hAnsi="Times New Roman" w:cs="Times New Roman"/>
        </w:rPr>
        <w:t>even strangers.  Until the second half of the twentieth century, most courts held that the privilege of a person to defend another was no greater than the other</w:t>
      </w:r>
      <w:r w:rsidR="00B05F31" w:rsidRPr="00F94B7E">
        <w:rPr>
          <w:rFonts w:ascii="Times New Roman" w:hAnsi="Times New Roman" w:cs="Times New Roman"/>
        </w:rPr>
        <w:t>’</w:t>
      </w:r>
      <w:r w:rsidRPr="00F94B7E">
        <w:rPr>
          <w:rFonts w:ascii="Times New Roman" w:hAnsi="Times New Roman" w:cs="Times New Roman"/>
        </w:rPr>
        <w:t xml:space="preserve">s right to defend himself.  A person using force to defend another thus took the risk that the other was for some reason not privileged to use force in his own defense.  If the other person, for example, was subject to lawful arrest and confinement, or if the attack on the other person was itself privileged as self-defense by some third party, it would follow that any use of force in his defense would not be privileged.  </w:t>
      </w:r>
    </w:p>
    <w:p w14:paraId="71EBD1BD" w14:textId="77777777" w:rsidR="001F4A22" w:rsidRPr="00325941" w:rsidRDefault="001F4A22" w:rsidP="001F4A22">
      <w:pPr>
        <w:rPr>
          <w:rFonts w:ascii="Times New Roman" w:eastAsia="Times New Roman" w:hAnsi="Times New Roman" w:cs="Times New Roman"/>
        </w:rPr>
      </w:pPr>
    </w:p>
    <w:p w14:paraId="7EDA452E" w14:textId="67CAF328" w:rsidR="001F4A22" w:rsidRPr="00325941"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Since the 1960s, the rule has shifted.  Today, </w:t>
      </w:r>
      <w:r w:rsidR="00B05F31">
        <w:rPr>
          <w:rFonts w:ascii="Times New Roman" w:eastAsia="Times New Roman" w:hAnsi="Times New Roman" w:cs="Times New Roman"/>
        </w:rPr>
        <w:t>“</w:t>
      </w:r>
      <w:r w:rsidRPr="750671CE">
        <w:rPr>
          <w:rFonts w:ascii="Times New Roman" w:eastAsia="Times New Roman" w:hAnsi="Times New Roman" w:cs="Times New Roman"/>
        </w:rPr>
        <w:t>one who intervenes in a struggle between strangers under the mistaken but reasonable belief that he is protecting another who he assumes is being unlawfully beaten is thereby exonerated from criminal liability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A444B6" w:rsidRPr="00A444B6">
        <w:rPr>
          <w:rFonts w:ascii="Times New Roman" w:eastAsia="Times New Roman" w:hAnsi="Times New Roman" w:cs="Times New Roman"/>
        </w:rPr>
        <w:t>—</w:t>
      </w:r>
      <w:r w:rsidRPr="750671CE">
        <w:rPr>
          <w:rFonts w:ascii="Times New Roman" w:eastAsia="Times New Roman" w:hAnsi="Times New Roman" w:cs="Times New Roman"/>
        </w:rPr>
        <w:t xml:space="preserve">and from tort liability, too.  </w:t>
      </w:r>
      <w:r w:rsidRPr="750671CE">
        <w:rPr>
          <w:rFonts w:ascii="Times New Roman" w:eastAsia="Times New Roman" w:hAnsi="Times New Roman" w:cs="Times New Roman"/>
          <w:i/>
          <w:iCs/>
        </w:rPr>
        <w:t>People v. Young</w:t>
      </w:r>
      <w:r w:rsidRPr="750671CE">
        <w:rPr>
          <w:rFonts w:ascii="Times New Roman" w:eastAsia="Times New Roman" w:hAnsi="Times New Roman" w:cs="Times New Roman"/>
        </w:rPr>
        <w:t xml:space="preserve">, 183 N.E.2d 319 (N.Y. 1962).  </w:t>
      </w:r>
    </w:p>
    <w:p w14:paraId="169CE9ED" w14:textId="77777777" w:rsidR="001F4A22" w:rsidRPr="00325941" w:rsidRDefault="001F4A22" w:rsidP="001F4A22">
      <w:pPr>
        <w:ind w:firstLine="720"/>
        <w:rPr>
          <w:rFonts w:ascii="Times New Roman" w:eastAsia="Times New Roman" w:hAnsi="Times New Roman" w:cs="Times New Roman"/>
        </w:rPr>
      </w:pPr>
    </w:p>
    <w:p w14:paraId="183614F8" w14:textId="6FDF2417" w:rsidR="001F4A22" w:rsidRPr="00325941" w:rsidRDefault="750671CE" w:rsidP="00F94B7E">
      <w:pPr>
        <w:ind w:firstLine="720"/>
        <w:rPr>
          <w:rFonts w:ascii="Times New Roman" w:eastAsia="Times New Roman" w:hAnsi="Times New Roman" w:cs="Times New Roman"/>
          <w:b/>
        </w:rPr>
      </w:pPr>
      <w:r w:rsidRPr="750671CE">
        <w:rPr>
          <w:rFonts w:ascii="Times New Roman" w:eastAsia="Times New Roman" w:hAnsi="Times New Roman" w:cs="Times New Roman"/>
        </w:rPr>
        <w:t>Which of the two approaches is better?  Why do we see a shift from one approach to the other?</w:t>
      </w:r>
    </w:p>
    <w:p w14:paraId="6DCF229E" w14:textId="77777777" w:rsidR="001F4A22" w:rsidRPr="00325941" w:rsidRDefault="001F4A22" w:rsidP="001F4A22">
      <w:pPr>
        <w:pStyle w:val="ListParagraph"/>
        <w:ind w:left="1080"/>
        <w:rPr>
          <w:rFonts w:ascii="Times New Roman" w:eastAsia="Times New Roman" w:hAnsi="Times New Roman" w:cs="Times New Roman"/>
          <w:b/>
        </w:rPr>
      </w:pPr>
    </w:p>
    <w:p w14:paraId="3E6FEDE7" w14:textId="77777777" w:rsidR="001F4A22" w:rsidRPr="0043351C" w:rsidRDefault="001F4A22" w:rsidP="001F4A22">
      <w:pPr>
        <w:pStyle w:val="ListParagraph"/>
        <w:ind w:left="1080"/>
        <w:rPr>
          <w:rFonts w:ascii="Times New Roman" w:eastAsia="Times New Roman" w:hAnsi="Times New Roman" w:cs="Times New Roman"/>
          <w:b/>
        </w:rPr>
      </w:pPr>
    </w:p>
    <w:p w14:paraId="67067CF9" w14:textId="77777777" w:rsidR="001F4A22" w:rsidRPr="00740B34" w:rsidRDefault="001F4A22" w:rsidP="00322687">
      <w:pPr>
        <w:pStyle w:val="Heading3"/>
      </w:pPr>
      <w:bookmarkStart w:id="106" w:name="_Toc364636055"/>
      <w:bookmarkStart w:id="107" w:name="_Toc518323213"/>
      <w:r w:rsidRPr="00740B34">
        <w:t>2.  Defense of Real Property</w:t>
      </w:r>
      <w:bookmarkEnd w:id="106"/>
      <w:bookmarkEnd w:id="107"/>
    </w:p>
    <w:p w14:paraId="4E463010" w14:textId="77777777" w:rsidR="006F1186" w:rsidRPr="0043351C" w:rsidRDefault="006F1186" w:rsidP="001F4A22">
      <w:pPr>
        <w:ind w:left="720"/>
        <w:rPr>
          <w:rFonts w:ascii="Times New Roman" w:eastAsia="Times New Roman" w:hAnsi="Times New Roman" w:cs="Times New Roman"/>
          <w:b/>
        </w:rPr>
      </w:pPr>
    </w:p>
    <w:p w14:paraId="24FC3C10" w14:textId="77777777" w:rsidR="001F4A22" w:rsidRPr="00A444B6" w:rsidRDefault="001F4A22" w:rsidP="750671CE">
      <w:pPr>
        <w:rPr>
          <w:rFonts w:ascii="Times New Roman" w:eastAsia="Times New Roman" w:hAnsi="Times New Roman" w:cs="Times New Roman"/>
          <w:b/>
          <w:bCs/>
        </w:rPr>
      </w:pPr>
      <w:bookmarkStart w:id="108" w:name="_Toc518323214"/>
      <w:r w:rsidRPr="00F94B7E">
        <w:rPr>
          <w:rStyle w:val="Heading4Char"/>
          <w:rFonts w:eastAsiaTheme="minorEastAsia"/>
        </w:rPr>
        <w:t>Bird v. Holbrook</w:t>
      </w:r>
      <w:bookmarkEnd w:id="108"/>
      <w:r w:rsidRPr="00A444B6">
        <w:rPr>
          <w:rFonts w:ascii="Times New Roman" w:eastAsia="Times New Roman" w:hAnsi="Times New Roman" w:cs="Times New Roman"/>
          <w:b/>
          <w:bCs/>
        </w:rPr>
        <w:t>, 130 Eng. Rep. 911 (C.P. 1825)</w:t>
      </w:r>
    </w:p>
    <w:p w14:paraId="3453518A" w14:textId="77777777" w:rsidR="001F4A22" w:rsidRPr="0043351C" w:rsidRDefault="001F4A22" w:rsidP="001F4A22">
      <w:pPr>
        <w:rPr>
          <w:rFonts w:ascii="Times New Roman" w:eastAsia="Times New Roman" w:hAnsi="Times New Roman" w:cs="Times New Roman"/>
        </w:rPr>
      </w:pPr>
    </w:p>
    <w:p w14:paraId="7B6BDB31" w14:textId="573991C1"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was a nineteen-year-old boy who, seeing a young woman giving chase to a stray pea-hen, climbed the wall of a neighboring garden for the innocent purpose of retrieving the fowl, which belonged to the young woman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employer and had flown over the wall and into the garden.  The defendant, who leased the garden, used it to grow </w:t>
      </w:r>
      <w:r w:rsidR="00B05F31">
        <w:rPr>
          <w:rFonts w:ascii="Times New Roman" w:eastAsia="Times New Roman" w:hAnsi="Times New Roman" w:cs="Times New Roman"/>
        </w:rPr>
        <w:t>“</w:t>
      </w:r>
      <w:r w:rsidRPr="750671CE">
        <w:rPr>
          <w:rFonts w:ascii="Times New Roman" w:eastAsia="Times New Roman" w:hAnsi="Times New Roman" w:cs="Times New Roman"/>
        </w:rPr>
        <w:t>valuable flower-roots,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including tulips </w:t>
      </w:r>
      <w:r w:rsidR="00B05F31">
        <w:rPr>
          <w:rFonts w:ascii="Times New Roman" w:eastAsia="Times New Roman" w:hAnsi="Times New Roman" w:cs="Times New Roman"/>
        </w:rPr>
        <w:t>“</w:t>
      </w:r>
      <w:r w:rsidRPr="750671CE">
        <w:rPr>
          <w:rFonts w:ascii="Times New Roman" w:eastAsia="Times New Roman" w:hAnsi="Times New Roman" w:cs="Times New Roman"/>
        </w:rPr>
        <w:t>of the choicest and most expensive description.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paths in three or four locations.  Defendant posted no notice of the spring gun, and though the wires were visible from the wall, the defendant conceded that the plaintiff did not see them.  When the defendant told one or two people about the spring gun, he asked them not to tell others of its presence in the garden </w:t>
      </w:r>
      <w:r w:rsidR="00B05F31">
        <w:rPr>
          <w:rFonts w:ascii="Times New Roman" w:eastAsia="Times New Roman" w:hAnsi="Times New Roman" w:cs="Times New Roman"/>
        </w:rPr>
        <w:t>“</w:t>
      </w:r>
      <w:r w:rsidRPr="750671CE">
        <w:rPr>
          <w:rFonts w:ascii="Times New Roman" w:eastAsia="Times New Roman" w:hAnsi="Times New Roman" w:cs="Times New Roman"/>
        </w:rPr>
        <w:t>lest the villain should not be detected.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One witness testified that he (the witness) had urged the defendant to post a notice of the gun, but the defendant had answered that </w:t>
      </w:r>
      <w:r w:rsidR="00B05F31">
        <w:rPr>
          <w:rFonts w:ascii="Times New Roman" w:eastAsia="Times New Roman" w:hAnsi="Times New Roman" w:cs="Times New Roman"/>
        </w:rPr>
        <w:t>“</w:t>
      </w:r>
      <w:r w:rsidRPr="750671CE">
        <w:rPr>
          <w:rFonts w:ascii="Times New Roman" w:eastAsia="Times New Roman" w:hAnsi="Times New Roman" w:cs="Times New Roman"/>
        </w:rPr>
        <w:t>he did not conceive that there was any law to oblige him to so.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Defendant stated to the same person that the garden was very </w:t>
      </w:r>
      <w:r w:rsidRPr="750671CE">
        <w:rPr>
          <w:rFonts w:ascii="Times New Roman" w:eastAsia="Times New Roman" w:hAnsi="Times New Roman" w:cs="Times New Roman"/>
        </w:rPr>
        <w:lastRenderedPageBreak/>
        <w:t>secure, and that he and his wife were going to sleep in the summer-house in a few days.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Plaintiff climbed the garden wall, which was nowhere higher than seven feet, between the hours of six and seven in the afternoon.  </w:t>
      </w:r>
      <w:r w:rsidR="00B05F31">
        <w:rPr>
          <w:rFonts w:ascii="Times New Roman" w:eastAsia="Times New Roman" w:hAnsi="Times New Roman" w:cs="Times New Roman"/>
        </w:rPr>
        <w:t>“</w:t>
      </w:r>
      <w:r w:rsidRPr="750671CE">
        <w:rPr>
          <w:rFonts w:ascii="Times New Roman" w:eastAsia="Times New Roman" w:hAnsi="Times New Roman" w:cs="Times New Roman"/>
        </w:rPr>
        <w:t>Having called out two or three times to ascertain whether any person was in the garden and waiting a short space of time without receiving any answer,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knee, maiming him.  After the case was tried at the Bristol assizes, plaintiff and defendant consented to enter a verdict for the plaintiff of £50, to be reserved pending the judgment of the Court of Common Pleas.]   </w:t>
      </w:r>
    </w:p>
    <w:p w14:paraId="73C4F29D" w14:textId="77777777" w:rsidR="001F4A22" w:rsidRPr="00536EF5" w:rsidRDefault="001F4A22" w:rsidP="001F4A22">
      <w:pPr>
        <w:rPr>
          <w:rFonts w:ascii="Times New Roman" w:eastAsia="Times New Roman" w:hAnsi="Times New Roman" w:cs="Times New Roman"/>
        </w:rPr>
      </w:pPr>
    </w:p>
    <w:p w14:paraId="659C6F23" w14:textId="48DC2684"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Merewether Serjt. for the defendant. . . . Plaintiff cannot recover for an injury occasioned to him by his own wrongful act. </w:t>
      </w:r>
      <w:r w:rsidR="00367908">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If a man place broken glass on a wall, or spikes behind a carriage, one who willfully encounters them, and is wounded, even though it were by night, when he could have no notice, has no claim for compensation. </w:t>
      </w:r>
      <w:r w:rsidRPr="750671CE">
        <w:rPr>
          <w:rFonts w:ascii="Times New Roman" w:eastAsia="Times New Roman" w:hAnsi="Times New Roman" w:cs="Times New Roman"/>
          <w:i/>
          <w:iCs/>
        </w:rPr>
        <w:t>Volenti non fit injuria</w:t>
      </w:r>
      <w:r>
        <w:rPr>
          <w:rFonts w:ascii="Times New Roman" w:eastAsia="Times New Roman" w:hAnsi="Times New Roman" w:cs="Times New Roman"/>
        </w:rPr>
        <w:t xml:space="preserve"> [no legally cognizable injury occurs with the consent of the victim]. </w:t>
      </w:r>
      <w:r w:rsidRPr="00536EF5">
        <w:rPr>
          <w:rFonts w:ascii="Times New Roman" w:eastAsia="Times New Roman" w:hAnsi="Times New Roman" w:cs="Times New Roman"/>
        </w:rPr>
        <w:t xml:space="preserve">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536EF5" w:rsidRDefault="001F4A22" w:rsidP="001F4A22">
      <w:pPr>
        <w:rPr>
          <w:rFonts w:ascii="Times New Roman" w:eastAsia="Times New Roman" w:hAnsi="Times New Roman" w:cs="Times New Roman"/>
        </w:rPr>
      </w:pPr>
    </w:p>
    <w:p w14:paraId="3B15C9B3" w14:textId="3334497F"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Wilde in reply. . . . No illustration can be drawn from the use of spikes and broken glass on walls, &amp;c. These are mere pre</w:t>
      </w:r>
      <w:r>
        <w:rPr>
          <w:rFonts w:ascii="Times New Roman" w:eastAsia="Times New Roman" w:hAnsi="Times New Roman" w:cs="Times New Roman"/>
        </w:rPr>
        <w:t>ventives, obvious to the sight,</w:t>
      </w:r>
      <w:r w:rsidR="00B732CB" w:rsidRPr="00B732CB">
        <w:rPr>
          <w:rFonts w:ascii="Times New Roman" w:eastAsia="Times New Roman" w:hAnsi="Times New Roman" w:cs="Times New Roman"/>
        </w:rPr>
        <w:t>—</w:t>
      </w:r>
      <w:r w:rsidRPr="00536EF5">
        <w:rPr>
          <w:rFonts w:ascii="Times New Roman" w:eastAsia="Times New Roman" w:hAnsi="Times New Roman" w:cs="Times New Roman"/>
        </w:rPr>
        <w:t>unless the trespasser chooses a time of darkness, whe</w:t>
      </w:r>
      <w:r>
        <w:rPr>
          <w:rFonts w:ascii="Times New Roman" w:eastAsia="Times New Roman" w:hAnsi="Times New Roman" w:cs="Times New Roman"/>
        </w:rPr>
        <w:t>n no notice could be available,</w:t>
      </w:r>
      <w:r w:rsidR="00B732CB" w:rsidRPr="00B732CB">
        <w:rPr>
          <w:rFonts w:ascii="Times New Roman" w:eastAsia="Times New Roman" w:hAnsi="Times New Roman" w:cs="Times New Roman"/>
        </w:rPr>
        <w:t>—</w:t>
      </w:r>
      <w:r w:rsidRPr="00536EF5">
        <w:rPr>
          <w:rFonts w:ascii="Times New Roman" w:eastAsia="Times New Roman" w:hAnsi="Times New Roman" w:cs="Times New Roman"/>
        </w:rPr>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536EF5" w:rsidRDefault="001F4A22" w:rsidP="001F4A22">
      <w:pPr>
        <w:rPr>
          <w:rFonts w:ascii="Times New Roman" w:eastAsia="Times New Roman" w:hAnsi="Times New Roman" w:cs="Times New Roman"/>
        </w:rPr>
      </w:pPr>
    </w:p>
    <w:p w14:paraId="4E710E5E" w14:textId="3CFEC481" w:rsidR="001F4A22" w:rsidRPr="00536EF5" w:rsidRDefault="001F4A22" w:rsidP="750671CE">
      <w:pPr>
        <w:rPr>
          <w:rFonts w:ascii="Times New Roman" w:eastAsia="Times New Roman" w:hAnsi="Times New Roman" w:cs="Times New Roman"/>
        </w:rPr>
      </w:pPr>
      <w:r>
        <w:rPr>
          <w:rFonts w:ascii="Times New Roman" w:eastAsia="Times New Roman" w:hAnsi="Times New Roman" w:cs="Times New Roman"/>
        </w:rPr>
        <w:tab/>
      </w:r>
      <w:r w:rsidRPr="00740B34">
        <w:rPr>
          <w:rFonts w:ascii="Times New Roman" w:eastAsia="Times New Roman" w:hAnsi="Times New Roman" w:cs="Times New Roman"/>
          <w:smallCaps/>
        </w:rPr>
        <w:t>Best</w:t>
      </w:r>
      <w:r>
        <w:rPr>
          <w:rFonts w:ascii="Times New Roman" w:eastAsia="Times New Roman" w:hAnsi="Times New Roman" w:cs="Times New Roman"/>
        </w:rPr>
        <w:t>, C.J</w:t>
      </w:r>
      <w:r w:rsidRPr="00536EF5">
        <w:rPr>
          <w:rFonts w:ascii="Times New Roman" w:eastAsia="Times New Roman" w:hAnsi="Times New Roman" w:cs="Times New Roman"/>
        </w:rPr>
        <w:t xml:space="preserve">. . . .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w:t>
      </w:r>
      <w:r>
        <w:rPr>
          <w:rFonts w:ascii="Times New Roman" w:eastAsia="Times New Roman" w:hAnsi="Times New Roman" w:cs="Times New Roman"/>
        </w:rPr>
        <w:t xml:space="preserve">if </w:t>
      </w:r>
      <w:r w:rsidRPr="00536EF5">
        <w:rPr>
          <w:rFonts w:ascii="Times New Roman" w:eastAsia="Times New Roman" w:hAnsi="Times New Roman" w:cs="Times New Roman"/>
        </w:rPr>
        <w:t xml:space="preserve">injurious consequences ensue, he is liable to yield redress to the sufferer. But this case stands on grounds distinct </w:t>
      </w:r>
      <w:r>
        <w:rPr>
          <w:rFonts w:ascii="Times New Roman" w:eastAsia="Times New Roman" w:hAnsi="Times New Roman" w:cs="Times New Roman"/>
        </w:rPr>
        <w:t>from any that have preceded it.</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In general, spring guns have been set for the purpose of deterring; the Defendant placed his for the express purpose of doing injury; for, when call</w:t>
      </w:r>
      <w:r>
        <w:rPr>
          <w:rFonts w:ascii="Times New Roman" w:eastAsia="Times New Roman" w:hAnsi="Times New Roman" w:cs="Times New Roman"/>
        </w:rPr>
        <w:t xml:space="preserve">ed on to give notice, he said, </w:t>
      </w:r>
      <w:r w:rsidR="00B05F31">
        <w:rPr>
          <w:rFonts w:ascii="Times New Roman" w:eastAsia="Times New Roman" w:hAnsi="Times New Roman" w:cs="Times New Roman"/>
        </w:rPr>
        <w:t>“</w:t>
      </w:r>
      <w:r w:rsidRPr="00536EF5">
        <w:rPr>
          <w:rFonts w:ascii="Times New Roman" w:eastAsia="Times New Roman" w:hAnsi="Times New Roman" w:cs="Times New Roman"/>
        </w:rPr>
        <w:t>If I give</w:t>
      </w:r>
      <w:r>
        <w:rPr>
          <w:rFonts w:ascii="Times New Roman" w:eastAsia="Times New Roman" w:hAnsi="Times New Roman" w:cs="Times New Roman"/>
        </w:rPr>
        <w:t xml:space="preserve"> notice, I shall not catch him.</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He intended, therefore, that the gun should be discharged, and that the contents should be lodged in the body of his victim, for he could not be caught in any other way. On these principles the action is clearly maintainable, and part</w:t>
      </w:r>
      <w:r>
        <w:rPr>
          <w:rFonts w:ascii="Times New Roman" w:eastAsia="Times New Roman" w:hAnsi="Times New Roman" w:cs="Times New Roman"/>
        </w:rPr>
        <w:t xml:space="preserve">icularly on the latter ground. . . .  </w:t>
      </w:r>
      <w:r w:rsidRPr="00536EF5">
        <w:rPr>
          <w:rFonts w:ascii="Times New Roman" w:eastAsia="Times New Roman" w:hAnsi="Times New Roman" w:cs="Times New Roman"/>
        </w:rPr>
        <w:t xml:space="preserve">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public footpath, he interferes with the rights of the public. What would be the </w:t>
      </w:r>
      <w:r w:rsidRPr="00536EF5">
        <w:rPr>
          <w:rFonts w:ascii="Times New Roman" w:eastAsia="Times New Roman" w:hAnsi="Times New Roman" w:cs="Times New Roman"/>
        </w:rPr>
        <w:lastRenderedPageBreak/>
        <w:t xml:space="preserve">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rPr>
          <w:rFonts w:ascii="Times New Roman" w:eastAsia="Times New Roman" w:hAnsi="Times New Roman" w:cs="Times New Roman"/>
        </w:rPr>
        <w:t>. . .</w:t>
      </w:r>
    </w:p>
    <w:p w14:paraId="62411C77" w14:textId="77777777" w:rsidR="001F4A22" w:rsidRDefault="001F4A22" w:rsidP="001F4A22">
      <w:pPr>
        <w:rPr>
          <w:rFonts w:ascii="Times New Roman" w:eastAsia="Times New Roman" w:hAnsi="Times New Roman" w:cs="Times New Roman"/>
        </w:rPr>
      </w:pPr>
    </w:p>
    <w:p w14:paraId="76EDE5C8" w14:textId="721A44CA"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Default="001F4A22" w:rsidP="001F4A22">
      <w:pPr>
        <w:ind w:firstLine="720"/>
        <w:rPr>
          <w:rFonts w:ascii="Times New Roman" w:eastAsia="Times New Roman" w:hAnsi="Times New Roman" w:cs="Times New Roman"/>
        </w:rPr>
      </w:pPr>
    </w:p>
    <w:p w14:paraId="3714FE73" w14:textId="74CDE44D" w:rsidR="001F4A22" w:rsidRPr="00536EF5" w:rsidRDefault="750671CE" w:rsidP="00F94B7E">
      <w:pPr>
        <w:rPr>
          <w:rFonts w:ascii="Times New Roman" w:eastAsia="Times New Roman" w:hAnsi="Times New Roman" w:cs="Times New Roman"/>
        </w:rPr>
      </w:pPr>
      <w:r w:rsidRPr="750671CE">
        <w:rPr>
          <w:rFonts w:ascii="Times New Roman" w:eastAsia="Times New Roman" w:hAnsi="Times New Roman" w:cs="Times New Roman"/>
        </w:rPr>
        <w:t>. . .</w:t>
      </w:r>
    </w:p>
    <w:p w14:paraId="3B723FD2" w14:textId="77777777" w:rsidR="001F4A22" w:rsidRDefault="001F4A22" w:rsidP="001F4A22">
      <w:pPr>
        <w:rPr>
          <w:rFonts w:ascii="Times New Roman" w:eastAsia="Times New Roman" w:hAnsi="Times New Roman" w:cs="Times New Roman"/>
        </w:rPr>
      </w:pPr>
      <w:r w:rsidRPr="00536EF5">
        <w:rPr>
          <w:rFonts w:ascii="Times New Roman" w:eastAsia="Times New Roman" w:hAnsi="Times New Roman" w:cs="Times New Roman"/>
        </w:rPr>
        <w:tab/>
      </w:r>
    </w:p>
    <w:p w14:paraId="29071E0D" w14:textId="77777777"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smallCaps/>
        </w:rPr>
        <w:t>Burrough</w:t>
      </w:r>
      <w:r w:rsidRPr="750671CE">
        <w:rPr>
          <w:rFonts w:ascii="Times New Roman" w:eastAsia="Times New Roman" w:hAnsi="Times New Roman" w:cs="Times New Roman"/>
        </w:rPr>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536EF5" w:rsidRDefault="001F4A22">
      <w:pPr>
        <w:rPr>
          <w:rFonts w:ascii="Times New Roman" w:eastAsia="Times New Roman" w:hAnsi="Times New Roman" w:cs="Times New Roman"/>
          <w:i/>
        </w:rPr>
      </w:pPr>
      <w:r w:rsidRPr="00536EF5">
        <w:rPr>
          <w:rFonts w:ascii="Times New Roman" w:eastAsia="Times New Roman" w:hAnsi="Times New Roman" w:cs="Times New Roman"/>
          <w:i/>
        </w:rPr>
        <w:tab/>
      </w:r>
    </w:p>
    <w:p w14:paraId="7A9E3A75" w14:textId="77777777" w:rsidR="001F4A22" w:rsidRDefault="001F4A22">
      <w:pPr>
        <w:rPr>
          <w:rFonts w:ascii="Times New Roman" w:eastAsia="Times New Roman" w:hAnsi="Times New Roman" w:cs="Times New Roman"/>
          <w:b/>
        </w:rPr>
      </w:pPr>
    </w:p>
    <w:p w14:paraId="23358ECB" w14:textId="77777777" w:rsidR="001F4A22" w:rsidRPr="00372FFB" w:rsidRDefault="001F4A22" w:rsidP="002502CC">
      <w:pPr>
        <w:pStyle w:val="Heading4"/>
      </w:pPr>
      <w:bookmarkStart w:id="109" w:name="_Toc364636056"/>
      <w:bookmarkStart w:id="110" w:name="_Toc518323215"/>
      <w:r w:rsidRPr="00372FFB">
        <w:t>Notes</w:t>
      </w:r>
      <w:bookmarkEnd w:id="109"/>
      <w:bookmarkEnd w:id="110"/>
    </w:p>
    <w:p w14:paraId="58B3D7FD" w14:textId="77777777" w:rsidR="001F4A22" w:rsidRDefault="001F4A22" w:rsidP="007C1411">
      <w:pPr>
        <w:rPr>
          <w:rFonts w:ascii="Times New Roman" w:eastAsia="Times New Roman" w:hAnsi="Times New Roman" w:cs="Times New Roman"/>
          <w:b/>
        </w:rPr>
      </w:pPr>
    </w:p>
    <w:p w14:paraId="010C0336" w14:textId="77777777" w:rsidR="007C1411" w:rsidRPr="00536EF5" w:rsidRDefault="007C1411" w:rsidP="007C1411">
      <w:pPr>
        <w:rPr>
          <w:rFonts w:ascii="Times New Roman" w:eastAsia="Times New Roman" w:hAnsi="Times New Roman" w:cs="Times New Roman"/>
          <w:b/>
        </w:rPr>
      </w:pPr>
    </w:p>
    <w:p w14:paraId="0671E160" w14:textId="6BA0A8A4" w:rsidR="001F4A22" w:rsidRPr="00F94B7E" w:rsidRDefault="750671CE" w:rsidP="00F94B7E">
      <w:pPr>
        <w:pStyle w:val="ListParagraph"/>
        <w:numPr>
          <w:ilvl w:val="0"/>
          <w:numId w:val="6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Pea-fowls versus tulips</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Judge Richard Posner analyzes </w:t>
      </w:r>
      <w:r w:rsidRPr="00F94B7E">
        <w:rPr>
          <w:rFonts w:ascii="Times New Roman" w:eastAsia="Times New Roman" w:hAnsi="Times New Roman" w:cs="Times New Roman"/>
          <w:i/>
          <w:iCs/>
        </w:rPr>
        <w:t>Bird</w:t>
      </w:r>
      <w:r w:rsidRPr="00F94B7E">
        <w:rPr>
          <w:rFonts w:ascii="Times New Roman" w:eastAsia="Times New Roman" w:hAnsi="Times New Roman" w:cs="Times New Roman"/>
        </w:rPr>
        <w:t xml:space="preserve"> as presenting a conflict between two economic activities:</w:t>
      </w:r>
    </w:p>
    <w:p w14:paraId="59DFD8E5" w14:textId="77777777" w:rsidR="001F4A22" w:rsidRPr="00536EF5" w:rsidRDefault="001F4A22" w:rsidP="001F4A22">
      <w:pPr>
        <w:rPr>
          <w:rFonts w:ascii="Times New Roman" w:eastAsia="Times New Roman" w:hAnsi="Times New Roman" w:cs="Times New Roman"/>
        </w:rPr>
      </w:pPr>
    </w:p>
    <w:p w14:paraId="7B90ABCB" w14:textId="5B0CCF63" w:rsidR="001F4A22" w:rsidRPr="00536EF5" w:rsidRDefault="750671CE" w:rsidP="00F94B7E">
      <w:pPr>
        <w:pStyle w:val="blockquote"/>
      </w:pPr>
      <w:r w:rsidRPr="750671CE">
        <w:t>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w:t>
      </w:r>
      <w:r w:rsidR="00B05F31">
        <w:t>’</w:t>
      </w:r>
      <w:r w:rsidRPr="750671CE">
        <w:t xml:space="preserve">s property and so increase the costs (enclosure costs or straying losses) of keeping animals.  The court in </w:t>
      </w:r>
      <w:r w:rsidRPr="750671CE">
        <w:rPr>
          <w:i/>
          <w:iCs/>
        </w:rPr>
        <w:t>Bird</w:t>
      </w:r>
      <w:r w:rsidRPr="750671CE">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w:t>
      </w:r>
      <w:r w:rsidRPr="750671CE">
        <w:lastRenderedPageBreak/>
        <w:t>event few owners would chase their straying animals after dark.</w:t>
      </w:r>
    </w:p>
    <w:p w14:paraId="781B8C72" w14:textId="77777777" w:rsidR="001F4A22" w:rsidRPr="00536EF5" w:rsidRDefault="001F4A22" w:rsidP="001F4A22">
      <w:pPr>
        <w:rPr>
          <w:rFonts w:ascii="Times New Roman" w:eastAsia="Times New Roman" w:hAnsi="Times New Roman" w:cs="Times New Roman"/>
        </w:rPr>
      </w:pPr>
    </w:p>
    <w:p w14:paraId="53E7DB70" w14:textId="6A9A559A" w:rsidR="001F4A22" w:rsidRDefault="00B732CB" w:rsidP="750671CE">
      <w:pPr>
        <w:rPr>
          <w:rFonts w:ascii="Times New Roman" w:eastAsia="Times New Roman" w:hAnsi="Times New Roman" w:cs="Times New Roman"/>
        </w:rPr>
      </w:pPr>
      <w:r>
        <w:rPr>
          <w:rFonts w:ascii="Times New Roman" w:eastAsia="Times New Roman" w:hAnsi="Times New Roman" w:cs="Times New Roman"/>
          <w:smallCaps/>
        </w:rPr>
        <w:t xml:space="preserve">Richard A. </w:t>
      </w:r>
      <w:r w:rsidR="750671CE" w:rsidRPr="750671CE">
        <w:rPr>
          <w:rFonts w:ascii="Times New Roman" w:eastAsia="Times New Roman" w:hAnsi="Times New Roman" w:cs="Times New Roman"/>
          <w:smallCaps/>
        </w:rPr>
        <w:t>Posner, Economic Analysis of Law</w:t>
      </w:r>
      <w:r w:rsidR="750671CE" w:rsidRPr="750671CE">
        <w:rPr>
          <w:rFonts w:ascii="Times New Roman" w:eastAsia="Times New Roman" w:hAnsi="Times New Roman" w:cs="Times New Roman"/>
        </w:rPr>
        <w:t xml:space="preserve"> 260-61 (8th ed. 2011).  If this is the right way to think about </w:t>
      </w:r>
      <w:r w:rsidR="750671CE" w:rsidRPr="750671CE">
        <w:rPr>
          <w:rFonts w:ascii="Times New Roman" w:eastAsia="Times New Roman" w:hAnsi="Times New Roman" w:cs="Times New Roman"/>
          <w:i/>
          <w:iCs/>
        </w:rPr>
        <w:t>Bird v. Holbrook</w:t>
      </w:r>
      <w:r w:rsidR="750671CE" w:rsidRPr="750671CE">
        <w:rPr>
          <w:rFonts w:ascii="Times New Roman" w:eastAsia="Times New Roman" w:hAnsi="Times New Roman" w:cs="Times New Roman"/>
        </w:rPr>
        <w:t>, what explains the court</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s decision to place the 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00DA326E" w14:textId="77777777" w:rsidR="001F4A22" w:rsidRDefault="001F4A22" w:rsidP="001F4A22">
      <w:pPr>
        <w:rPr>
          <w:rFonts w:ascii="Times New Roman" w:eastAsia="Times New Roman" w:hAnsi="Times New Roman" w:cs="Times New Roman"/>
        </w:rPr>
      </w:pPr>
    </w:p>
    <w:p w14:paraId="4DCD582A" w14:textId="0D729BB5"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Note Judge Posner</w:t>
      </w:r>
      <w:r w:rsidR="00B05F31">
        <w:rPr>
          <w:rFonts w:ascii="Times New Roman" w:eastAsia="Times New Roman" w:hAnsi="Times New Roman" w:cs="Times New Roman"/>
        </w:rPr>
        <w:t>’</w:t>
      </w:r>
      <w:r w:rsidRPr="750671CE">
        <w:rPr>
          <w:rFonts w:ascii="Times New Roman" w:eastAsia="Times New Roman" w:hAnsi="Times New Roman" w:cs="Times New Roman"/>
        </w:rPr>
        <w:t>s reference to the negligible police protection of 1820s Great Britain. We no longer live in such an era</w:t>
      </w:r>
      <w:r w:rsidR="00441BC5" w:rsidRPr="00441BC5">
        <w:rPr>
          <w:rFonts w:ascii="Times New Roman" w:eastAsia="Times New Roman" w:hAnsi="Times New Roman" w:cs="Times New Roman"/>
        </w:rPr>
        <w:t>—</w:t>
      </w:r>
      <w:r w:rsidRPr="750671CE">
        <w:rPr>
          <w:rFonts w:ascii="Times New Roman" w:eastAsia="Times New Roman" w:hAnsi="Times New Roman" w:cs="Times New Roman"/>
        </w:rPr>
        <w:t xml:space="preserve">at least not in developed countries.  Does this matter for the analysis?  What about technological changes? Should spring guns or other dangerous traps be allowed even with notice in defense of private property now that inexpensive digital cameras promise the possibility of constant surveillance?  </w:t>
      </w:r>
    </w:p>
    <w:p w14:paraId="59BC118F" w14:textId="77777777" w:rsidR="001F4A22" w:rsidRDefault="001F4A22" w:rsidP="001F4A22">
      <w:pPr>
        <w:rPr>
          <w:rFonts w:ascii="Times New Roman" w:eastAsia="Times New Roman" w:hAnsi="Times New Roman" w:cs="Times New Roman"/>
        </w:rPr>
      </w:pPr>
    </w:p>
    <w:p w14:paraId="052F4238" w14:textId="77777777" w:rsidR="007C1411" w:rsidRPr="00536EF5" w:rsidRDefault="007C1411" w:rsidP="001F4A22">
      <w:pPr>
        <w:rPr>
          <w:rFonts w:ascii="Times New Roman" w:eastAsia="Times New Roman" w:hAnsi="Times New Roman" w:cs="Times New Roman"/>
        </w:rPr>
      </w:pPr>
    </w:p>
    <w:p w14:paraId="1EFA7923" w14:textId="548AC97B" w:rsidR="001F4A22" w:rsidRPr="00F94B7E" w:rsidRDefault="750671CE" w:rsidP="00F94B7E">
      <w:pPr>
        <w:pStyle w:val="ListParagraph"/>
        <w:numPr>
          <w:ilvl w:val="0"/>
          <w:numId w:val="6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Malicious traps</w:t>
      </w:r>
      <w:r w:rsidRPr="00F94B7E">
        <w:rPr>
          <w:rFonts w:ascii="Times New Roman" w:eastAsia="Times New Roman" w:hAnsi="Times New Roman" w:cs="Times New Roman"/>
        </w:rPr>
        <w:t>.  The use of spring guns and other traps by property owners looking for an inexpensive way to defend their property</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or to wreak private vengeance on thieves</w:t>
      </w:r>
      <w:r w:rsidR="00441BC5" w:rsidRPr="00F94B7E">
        <w:rPr>
          <w:rFonts w:ascii="Times New Roman" w:eastAsia="Times New Roman" w:hAnsi="Times New Roman" w:cs="Times New Roman"/>
        </w:rPr>
        <w:t>—</w:t>
      </w:r>
      <w:r w:rsidRPr="00F94B7E">
        <w:rPr>
          <w:rFonts w:ascii="Times New Roman" w:eastAsia="Times New Roman" w:hAnsi="Times New Roman" w:cs="Times New Roman"/>
        </w:rPr>
        <w:t xml:space="preserve">has not disappeared in the era of modern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Default="001F4A22" w:rsidP="001F4A22">
      <w:pPr>
        <w:rPr>
          <w:rFonts w:ascii="Times New Roman" w:eastAsia="Times New Roman" w:hAnsi="Times New Roman" w:cs="Times New Roman"/>
        </w:rPr>
      </w:pPr>
    </w:p>
    <w:p w14:paraId="215D5F23" w14:textId="674BCDB4"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Probably the most celebrated (and reviled) instance of the use of spring gun traps is</w:t>
      </w:r>
      <w:r w:rsidRPr="750671CE">
        <w:rPr>
          <w:rFonts w:ascii="Times New Roman" w:eastAsia="Times New Roman" w:hAnsi="Times New Roman" w:cs="Times New Roman"/>
          <w:i/>
          <w:iCs/>
        </w:rPr>
        <w:t xml:space="preserve"> Katko v. Briney</w:t>
      </w:r>
      <w:r w:rsidRPr="750671CE">
        <w:rPr>
          <w:rFonts w:ascii="Times New Roman" w:eastAsia="Times New Roman" w:hAnsi="Times New Roman" w:cs="Times New Roman"/>
        </w:rPr>
        <w:t xml:space="preserve">, 183 N.W.2d 657 (Iowa 1971), near the beginning of the late-twentieth-century crime wave.  The issue before the court in </w:t>
      </w:r>
      <w:r w:rsidRPr="750671CE">
        <w:rPr>
          <w:rFonts w:ascii="Times New Roman" w:eastAsia="Times New Roman" w:hAnsi="Times New Roman" w:cs="Times New Roman"/>
          <w:i/>
          <w:iCs/>
        </w:rPr>
        <w:t>Katko</w:t>
      </w:r>
      <w:r w:rsidRPr="750671CE">
        <w:rPr>
          <w:rFonts w:ascii="Times New Roman" w:eastAsia="Times New Roman" w:hAnsi="Times New Roman" w:cs="Times New Roman"/>
        </w:rPr>
        <w:t xml:space="preserve"> was whether an owner </w:t>
      </w:r>
      <w:r w:rsidR="00B05F31">
        <w:rPr>
          <w:rFonts w:ascii="Times New Roman" w:eastAsia="Times New Roman" w:hAnsi="Times New Roman" w:cs="Times New Roman"/>
        </w:rPr>
        <w:t>“</w:t>
      </w:r>
      <w:r w:rsidRPr="750671CE">
        <w:rPr>
          <w:rFonts w:ascii="Times New Roman" w:eastAsia="Times New Roman" w:hAnsi="Times New Roman" w:cs="Times New Roman"/>
        </w:rPr>
        <w:t>may protect personal property in an unoccupied boarded-up farm house against trespassers and thieves by a spring gun capable of inflicting death or serious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After a series of break-ins to their vacant farmhouse over a ten year period</w:t>
      </w:r>
      <w:r w:rsidR="00441BC5" w:rsidRPr="00441BC5">
        <w:rPr>
          <w:rFonts w:ascii="Times New Roman" w:eastAsia="Times New Roman" w:hAnsi="Times New Roman" w:cs="Times New Roman"/>
        </w:rPr>
        <w:t>—</w:t>
      </w:r>
      <w:r w:rsidRPr="750671CE">
        <w:rPr>
          <w:rFonts w:ascii="Times New Roman" w:eastAsia="Times New Roman" w:hAnsi="Times New Roman" w:cs="Times New Roman"/>
        </w:rPr>
        <w:t>break-ins that had resulted in considerable property damage and the theft of household items</w:t>
      </w:r>
      <w:r w:rsidR="00441BC5" w:rsidRPr="00441BC5">
        <w:rPr>
          <w:rFonts w:ascii="Times New Roman" w:eastAsia="Times New Roman" w:hAnsi="Times New Roman" w:cs="Times New Roman"/>
        </w:rPr>
        <w:t>—</w:t>
      </w:r>
      <w:r w:rsidRPr="750671CE">
        <w:rPr>
          <w:rFonts w:ascii="Times New Roman" w:eastAsia="Times New Roman" w:hAnsi="Times New Roman" w:cs="Times New Roman"/>
        </w:rPr>
        <w:t>Mr. and Mrs. Briney decided to put a stop to the crimes once and for all.  In June 1967</w:t>
      </w:r>
      <w:r w:rsidR="00071B85">
        <w:rPr>
          <w:rFonts w:ascii="Times New Roman" w:eastAsia="Times New Roman" w:hAnsi="Times New Roman" w:cs="Times New Roman"/>
        </w:rPr>
        <w:t>,</w:t>
      </w:r>
      <w:r w:rsidRPr="750671CE">
        <w:rPr>
          <w:rFonts w:ascii="Times New Roman" w:eastAsia="Times New Roman" w:hAnsi="Times New Roman" w:cs="Times New Roman"/>
        </w:rPr>
        <w:t xml:space="preserve"> they supplemented the </w:t>
      </w:r>
      <w:r w:rsidR="00B05F31">
        <w:rPr>
          <w:rFonts w:ascii="Times New Roman" w:eastAsia="Times New Roman" w:hAnsi="Times New Roman" w:cs="Times New Roman"/>
        </w:rPr>
        <w:t>“</w:t>
      </w:r>
      <w:r w:rsidRPr="750671CE">
        <w:rPr>
          <w:rFonts w:ascii="Times New Roman" w:eastAsia="Times New Roman" w:hAnsi="Times New Roman" w:cs="Times New Roman"/>
        </w:rPr>
        <w:t>no trespass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signs on the property with boards on the windows and doors and with a spring-loaded shotgun wired to fire when the door to a bedroom was opened.</w:t>
      </w:r>
    </w:p>
    <w:p w14:paraId="16177F4F" w14:textId="77777777" w:rsidR="001F4A22" w:rsidRPr="00536EF5" w:rsidRDefault="001F4A22" w:rsidP="001F4A22">
      <w:pPr>
        <w:ind w:firstLine="720"/>
        <w:rPr>
          <w:rFonts w:ascii="Times New Roman" w:eastAsia="Times New Roman" w:hAnsi="Times New Roman" w:cs="Times New Roman"/>
        </w:rPr>
      </w:pPr>
    </w:p>
    <w:p w14:paraId="1E7BB904" w14:textId="67B6C0FB"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In July 1967, </w:t>
      </w:r>
      <w:r>
        <w:rPr>
          <w:rFonts w:ascii="Times New Roman" w:eastAsia="Times New Roman" w:hAnsi="Times New Roman" w:cs="Times New Roman"/>
        </w:rPr>
        <w:t xml:space="preserve">a man named </w:t>
      </w:r>
      <w:r w:rsidRPr="00536EF5">
        <w:rPr>
          <w:rFonts w:ascii="Times New Roman" w:eastAsia="Times New Roman" w:hAnsi="Times New Roman" w:cs="Times New Roman"/>
        </w:rPr>
        <w:t xml:space="preserve">Katko entered the home to </w:t>
      </w:r>
      <w:r>
        <w:rPr>
          <w:rFonts w:ascii="Times New Roman" w:eastAsia="Times New Roman" w:hAnsi="Times New Roman" w:cs="Times New Roman"/>
        </w:rPr>
        <w:t>steal</w:t>
      </w:r>
      <w:r w:rsidRPr="00536EF5">
        <w:rPr>
          <w:rFonts w:ascii="Times New Roman" w:eastAsia="Times New Roman" w:hAnsi="Times New Roman" w:cs="Times New Roman"/>
        </w:rPr>
        <w:t xml:space="preserve"> antique glass bottles and fruit jars he had found on </w:t>
      </w:r>
      <w:r>
        <w:rPr>
          <w:rFonts w:ascii="Times New Roman" w:eastAsia="Times New Roman" w:hAnsi="Times New Roman" w:cs="Times New Roman"/>
        </w:rPr>
        <w:t>an earlier visit</w:t>
      </w:r>
      <w:r w:rsidRPr="00536EF5">
        <w:rPr>
          <w:rFonts w:ascii="Times New Roman" w:eastAsia="Times New Roman" w:hAnsi="Times New Roman" w:cs="Times New Roman"/>
        </w:rPr>
        <w:t>.  After loosening a board on the porch window, Katko entered the house with a c</w:t>
      </w:r>
      <w:r>
        <w:rPr>
          <w:rFonts w:ascii="Times New Roman" w:eastAsia="Times New Roman" w:hAnsi="Times New Roman" w:cs="Times New Roman"/>
        </w:rPr>
        <w:t>ompanion and began to search it</w:t>
      </w:r>
      <w:r w:rsidRPr="00536EF5">
        <w:rPr>
          <w:rFonts w:ascii="Times New Roman" w:eastAsia="Times New Roman" w:hAnsi="Times New Roman" w:cs="Times New Roman"/>
        </w:rPr>
        <w:t>.  On opening the north bed</w:t>
      </w:r>
      <w:r>
        <w:rPr>
          <w:rFonts w:ascii="Times New Roman" w:eastAsia="Times New Roman" w:hAnsi="Times New Roman" w:cs="Times New Roman"/>
        </w:rPr>
        <w:t>room door, Katko triggered the shotgun trap</w:t>
      </w:r>
      <w:r w:rsidRPr="00536EF5">
        <w:rPr>
          <w:rFonts w:ascii="Times New Roman" w:eastAsia="Times New Roman" w:hAnsi="Times New Roman" w:cs="Times New Roman"/>
        </w:rPr>
        <w:t xml:space="preserve"> </w:t>
      </w:r>
      <w:r>
        <w:rPr>
          <w:rFonts w:ascii="Times New Roman" w:eastAsia="Times New Roman" w:hAnsi="Times New Roman" w:cs="Times New Roman"/>
        </w:rPr>
        <w:t>set</w:t>
      </w:r>
      <w:r w:rsidRPr="00536EF5">
        <w:rPr>
          <w:rFonts w:ascii="Times New Roman" w:eastAsia="Times New Roman" w:hAnsi="Times New Roman" w:cs="Times New Roman"/>
        </w:rPr>
        <w:t xml:space="preserve"> by the defendants.  The 20-gauge spring shotgun fired, striking Katko in the right leg above the ankle; much of his leg, including part of the tibia, </w:t>
      </w:r>
      <w:r>
        <w:rPr>
          <w:rFonts w:ascii="Times New Roman" w:eastAsia="Times New Roman" w:hAnsi="Times New Roman" w:cs="Times New Roman"/>
        </w:rPr>
        <w:t>was destroyed.</w:t>
      </w:r>
      <w:r w:rsidRPr="00536EF5">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536EF5">
        <w:rPr>
          <w:rFonts w:ascii="Times New Roman" w:eastAsia="Times New Roman" w:hAnsi="Times New Roman" w:cs="Times New Roman"/>
        </w:rPr>
        <w:t xml:space="preserve">Katko later entered a guilty plea to larceny, stating that he knew </w:t>
      </w:r>
      <w:r w:rsidR="00B05F31">
        <w:rPr>
          <w:rFonts w:ascii="Times New Roman" w:eastAsia="Times New Roman" w:hAnsi="Times New Roman" w:cs="Times New Roman"/>
        </w:rPr>
        <w:t>“</w:t>
      </w:r>
      <w:r w:rsidRPr="00536EF5">
        <w:rPr>
          <w:rFonts w:ascii="Times New Roman" w:eastAsia="Times New Roman" w:hAnsi="Times New Roman" w:cs="Times New Roman"/>
        </w:rPr>
        <w:t>he had no right to break and enter the house with the intent to steal.</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The value of the jars and bottles was set at less than $20 in value; Katko was later fined $50 and paroled during good behavior from his 60-day jail sentence. The </w:t>
      </w:r>
      <w:r>
        <w:rPr>
          <w:rFonts w:ascii="Times New Roman" w:eastAsia="Times New Roman" w:hAnsi="Times New Roman" w:cs="Times New Roman"/>
        </w:rPr>
        <w:t xml:space="preserve">legal </w:t>
      </w:r>
      <w:r>
        <w:rPr>
          <w:rFonts w:ascii="Times New Roman" w:eastAsia="Times New Roman" w:hAnsi="Times New Roman" w:cs="Times New Roman"/>
        </w:rPr>
        <w:lastRenderedPageBreak/>
        <w:t xml:space="preserve">consequences for the Brineys were somewhat stiffer; when Katko brought suit for damages, the trial judge instructed the jury: </w:t>
      </w:r>
    </w:p>
    <w:p w14:paraId="0B759497" w14:textId="77777777" w:rsidR="001F4A22" w:rsidRDefault="001F4A22" w:rsidP="001F4A22">
      <w:pPr>
        <w:rPr>
          <w:rFonts w:ascii="Times New Roman" w:eastAsia="Times New Roman" w:hAnsi="Times New Roman" w:cs="Times New Roman"/>
        </w:rPr>
      </w:pPr>
    </w:p>
    <w:p w14:paraId="38D218EE" w14:textId="77777777" w:rsidR="001F4A22" w:rsidRDefault="750671CE" w:rsidP="00F94B7E">
      <w:pPr>
        <w:pStyle w:val="blockquote"/>
      </w:pPr>
      <w:r w:rsidRPr="750671CE">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6F134583" w14:textId="77777777" w:rsidR="001F4A22" w:rsidRDefault="001F4A22" w:rsidP="001F4A22">
      <w:pPr>
        <w:rPr>
          <w:rFonts w:ascii="Times New Roman" w:eastAsia="Times New Roman" w:hAnsi="Times New Roman" w:cs="Times New Roman"/>
        </w:rPr>
      </w:pPr>
    </w:p>
    <w:p w14:paraId="515EB7BD" w14:textId="621F6F4B"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The jury found for Katko and awarded him $20,000 in compensatory damages and an additional $10,000 in punitive damages.  The Iowa Supreme Court upheld the verdict and approved the instruction, 183 N.W.2d 657, notwithstanding widespread protest, an angry dissent, and a nationwide fundraiser that netted some $10,000 for the Brineys.  Newspapers later reported that the Brineys sold 80 acres of their 120-acre farm in order to pay the judgment to Katko.  When asked several years later whether he had any regrets, Mr. Briney replied: </w:t>
      </w:r>
      <w:r w:rsidR="00B05F31">
        <w:rPr>
          <w:rFonts w:ascii="Times New Roman" w:eastAsia="Times New Roman" w:hAnsi="Times New Roman" w:cs="Times New Roman"/>
        </w:rPr>
        <w:t>“</w:t>
      </w:r>
      <w:r w:rsidRPr="750671CE">
        <w:rPr>
          <w:rFonts w:ascii="Times New Roman" w:eastAsia="Times New Roman" w:hAnsi="Times New Roman" w:cs="Times New Roman"/>
        </w:rPr>
        <w:t>There</w:t>
      </w:r>
      <w:r w:rsidR="00B05F31">
        <w:rPr>
          <w:rFonts w:ascii="Times New Roman" w:eastAsia="Times New Roman" w:hAnsi="Times New Roman" w:cs="Times New Roman"/>
        </w:rPr>
        <w:t>’</w:t>
      </w:r>
      <w:r w:rsidRPr="750671CE">
        <w:rPr>
          <w:rFonts w:ascii="Times New Roman" w:eastAsia="Times New Roman" w:hAnsi="Times New Roman" w:cs="Times New Roman"/>
        </w:rPr>
        <w:t>s one thing I</w:t>
      </w:r>
      <w:r w:rsidR="00B05F31">
        <w:rPr>
          <w:rFonts w:ascii="Times New Roman" w:eastAsia="Times New Roman" w:hAnsi="Times New Roman" w:cs="Times New Roman"/>
        </w:rPr>
        <w:t>’</w:t>
      </w:r>
      <w:r w:rsidRPr="750671CE">
        <w:rPr>
          <w:rFonts w:ascii="Times New Roman" w:eastAsia="Times New Roman" w:hAnsi="Times New Roman" w:cs="Times New Roman"/>
        </w:rPr>
        <w:t>d do different, though. . . .  I</w:t>
      </w:r>
      <w:r w:rsidR="00B05F31">
        <w:rPr>
          <w:rFonts w:ascii="Times New Roman" w:eastAsia="Times New Roman" w:hAnsi="Times New Roman" w:cs="Times New Roman"/>
        </w:rPr>
        <w:t>’</w:t>
      </w:r>
      <w:r w:rsidRPr="750671CE">
        <w:rPr>
          <w:rFonts w:ascii="Times New Roman" w:eastAsia="Times New Roman" w:hAnsi="Times New Roman" w:cs="Times New Roman"/>
        </w:rPr>
        <w:t>d have aimed that gun a few feet higher.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Booby Trap Case in Iowa Takes New Turn</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Chi. Tribune</w:t>
      </w:r>
      <w:r w:rsidRPr="750671CE">
        <w:rPr>
          <w:rFonts w:ascii="Times New Roman" w:eastAsia="Times New Roman" w:hAnsi="Times New Roman" w:cs="Times New Roman"/>
        </w:rPr>
        <w:t xml:space="preserve">, April 25, 1975, </w:t>
      </w:r>
      <w:r w:rsidR="00441BC5">
        <w:rPr>
          <w:rFonts w:ascii="Times New Roman" w:eastAsia="Times New Roman" w:hAnsi="Times New Roman" w:cs="Times New Roman"/>
        </w:rPr>
        <w:t>at</w:t>
      </w:r>
      <w:r w:rsidRPr="750671CE">
        <w:rPr>
          <w:rFonts w:ascii="Times New Roman" w:eastAsia="Times New Roman" w:hAnsi="Times New Roman" w:cs="Times New Roman"/>
        </w:rPr>
        <w:t xml:space="preserve"> 1.  </w:t>
      </w:r>
    </w:p>
    <w:p w14:paraId="39BB9EF5" w14:textId="77777777" w:rsidR="001F4A22" w:rsidRPr="00536EF5" w:rsidRDefault="001F4A22" w:rsidP="001F4A22">
      <w:pPr>
        <w:rPr>
          <w:rFonts w:ascii="Times New Roman" w:eastAsia="Times New Roman" w:hAnsi="Times New Roman" w:cs="Times New Roman"/>
        </w:rPr>
      </w:pPr>
    </w:p>
    <w:p w14:paraId="6DCDF9EA" w14:textId="114258C1" w:rsidR="001F4A22" w:rsidRPr="00536EF5"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Why was the spring shotgun an unjustifiable protection for the Brineys</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farmhouse?  </w:t>
      </w:r>
      <w:r>
        <w:rPr>
          <w:rFonts w:ascii="Times New Roman" w:eastAsia="Times New Roman" w:hAnsi="Times New Roman" w:cs="Times New Roman"/>
        </w:rPr>
        <w:t>D</w:t>
      </w:r>
      <w:r w:rsidRPr="00536EF5">
        <w:rPr>
          <w:rFonts w:ascii="Times New Roman" w:eastAsia="Times New Roman" w:hAnsi="Times New Roman" w:cs="Times New Roman"/>
        </w:rPr>
        <w:t>oes it matter that the defendants</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home was several miles from the scene?  That neither Mr. Briney nor Mrs</w:t>
      </w:r>
      <w:r>
        <w:rPr>
          <w:rFonts w:ascii="Times New Roman" w:eastAsia="Times New Roman" w:hAnsi="Times New Roman" w:cs="Times New Roman"/>
        </w:rPr>
        <w:t>.</w:t>
      </w:r>
      <w:r w:rsidRPr="00536EF5">
        <w:rPr>
          <w:rFonts w:ascii="Times New Roman" w:eastAsia="Times New Roman" w:hAnsi="Times New Roman" w:cs="Times New Roman"/>
        </w:rPr>
        <w:t xml:space="preserve"> Briney were present on the property at the time of the break-in?  Under what conditions, if any, could the Brineys</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shotgun trap be considered a reasonable protection of property?  </w:t>
      </w:r>
    </w:p>
    <w:p w14:paraId="11F968D7" w14:textId="77777777" w:rsidR="001F4A22" w:rsidRPr="00536EF5" w:rsidRDefault="001F4A22" w:rsidP="001F4A22">
      <w:pPr>
        <w:pStyle w:val="ListParagraph"/>
        <w:ind w:left="1080"/>
        <w:rPr>
          <w:rFonts w:ascii="Times New Roman" w:eastAsia="Times New Roman" w:hAnsi="Times New Roman" w:cs="Times New Roman"/>
        </w:rPr>
      </w:pPr>
    </w:p>
    <w:p w14:paraId="2837CA10" w14:textId="77777777" w:rsidR="001F4A22" w:rsidRPr="00536EF5" w:rsidRDefault="001F4A22" w:rsidP="001F4A22">
      <w:pPr>
        <w:rPr>
          <w:rFonts w:ascii="Times New Roman" w:eastAsia="Times New Roman" w:hAnsi="Times New Roman" w:cs="Times New Roman"/>
          <w:b/>
        </w:rPr>
      </w:pPr>
    </w:p>
    <w:p w14:paraId="7F4F8600" w14:textId="77777777" w:rsidR="001F4A22" w:rsidRPr="00536EF5" w:rsidRDefault="001F4A22" w:rsidP="00322687">
      <w:pPr>
        <w:pStyle w:val="Heading3"/>
      </w:pPr>
      <w:bookmarkStart w:id="111" w:name="_Toc364636057"/>
      <w:bookmarkStart w:id="112" w:name="_Toc518323216"/>
      <w:r w:rsidRPr="00A26739">
        <w:t>3.  Defense of Chattels</w:t>
      </w:r>
      <w:bookmarkEnd w:id="111"/>
      <w:bookmarkEnd w:id="112"/>
    </w:p>
    <w:p w14:paraId="28D4A510" w14:textId="77777777" w:rsidR="001F4A22" w:rsidRPr="00536EF5" w:rsidRDefault="001F4A22" w:rsidP="001F4A22">
      <w:pPr>
        <w:rPr>
          <w:rFonts w:ascii="Times New Roman" w:eastAsia="Times New Roman" w:hAnsi="Times New Roman" w:cs="Times New Roman"/>
          <w:b/>
        </w:rPr>
      </w:pPr>
    </w:p>
    <w:p w14:paraId="00CD226B" w14:textId="551C8259" w:rsidR="001F4A22" w:rsidRPr="00441BC5" w:rsidRDefault="001F4A22" w:rsidP="750671CE">
      <w:pPr>
        <w:rPr>
          <w:rFonts w:ascii="Times New Roman" w:eastAsia="Times New Roman" w:hAnsi="Times New Roman" w:cs="Times New Roman"/>
          <w:b/>
          <w:bCs/>
        </w:rPr>
      </w:pPr>
      <w:bookmarkStart w:id="113" w:name="_Toc518323217"/>
      <w:r w:rsidRPr="00F94B7E">
        <w:rPr>
          <w:rStyle w:val="Heading4Char"/>
          <w:rFonts w:eastAsiaTheme="minorEastAsia"/>
        </w:rPr>
        <w:t>Gortarez v. Smitty</w:t>
      </w:r>
      <w:r w:rsidR="00B05F31" w:rsidRPr="00F94B7E">
        <w:rPr>
          <w:rStyle w:val="Heading4Char"/>
          <w:rFonts w:eastAsiaTheme="minorEastAsia"/>
        </w:rPr>
        <w:t>’</w:t>
      </w:r>
      <w:r w:rsidRPr="00F94B7E">
        <w:rPr>
          <w:rStyle w:val="Heading4Char"/>
          <w:rFonts w:eastAsiaTheme="minorEastAsia"/>
        </w:rPr>
        <w:t>s Super Valu</w:t>
      </w:r>
      <w:bookmarkEnd w:id="113"/>
      <w:r w:rsidRPr="00441BC5">
        <w:rPr>
          <w:rFonts w:ascii="Times New Roman" w:eastAsia="Times New Roman" w:hAnsi="Times New Roman" w:cs="Times New Roman"/>
          <w:b/>
          <w:bCs/>
        </w:rPr>
        <w:t>, 680 P.2d 807 (Ariz. 1984)</w:t>
      </w:r>
    </w:p>
    <w:p w14:paraId="58AE20E9" w14:textId="77777777" w:rsidR="001F4A22" w:rsidRPr="00536EF5" w:rsidRDefault="001F4A22" w:rsidP="001F4A22">
      <w:pPr>
        <w:rPr>
          <w:rFonts w:ascii="Times New Roman" w:eastAsia="Times New Roman" w:hAnsi="Times New Roman" w:cs="Times New Roman"/>
        </w:rPr>
      </w:pPr>
    </w:p>
    <w:p w14:paraId="2B3173C6" w14:textId="77777777" w:rsidR="001F4A22" w:rsidRPr="00A26739" w:rsidRDefault="750671CE" w:rsidP="750671CE">
      <w:pPr>
        <w:rPr>
          <w:rFonts w:ascii="Times New Roman" w:eastAsia="Times New Roman" w:hAnsi="Times New Roman" w:cs="Times New Roman"/>
          <w:b/>
          <w:bCs/>
          <w:smallCaps/>
        </w:rPr>
      </w:pPr>
      <w:r w:rsidRPr="750671CE">
        <w:rPr>
          <w:rFonts w:ascii="Times New Roman" w:eastAsia="Times New Roman" w:hAnsi="Times New Roman" w:cs="Times New Roman"/>
          <w:smallCaps/>
        </w:rPr>
        <w:t>Feldman, J.</w:t>
      </w:r>
    </w:p>
    <w:p w14:paraId="23332BCD" w14:textId="77777777" w:rsidR="001F4A22" w:rsidRPr="00536EF5" w:rsidRDefault="001F4A22" w:rsidP="001F4A22">
      <w:pPr>
        <w:rPr>
          <w:rFonts w:ascii="Times New Roman" w:eastAsia="Times New Roman" w:hAnsi="Times New Roman" w:cs="Times New Roman"/>
        </w:rPr>
      </w:pPr>
    </w:p>
    <w:p w14:paraId="7D242C23" w14:textId="6AFD8894"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Ernest Gortarez, age 16, and his cousin, Albert Hernandez, age 18, went to Smitty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store on January 2, 1979, around 8:00 p.m. [In the automotive department, Hernandez selected and bought something known as a </w:t>
      </w:r>
      <w:r w:rsidR="00B05F31">
        <w:rPr>
          <w:rFonts w:ascii="Times New Roman" w:eastAsia="Times New Roman" w:hAnsi="Times New Roman" w:cs="Times New Roman"/>
        </w:rPr>
        <w:t>“</w:t>
      </w:r>
      <w:r w:rsidRPr="750671CE">
        <w:rPr>
          <w:rFonts w:ascii="Times New Roman" w:eastAsia="Times New Roman" w:hAnsi="Times New Roman" w:cs="Times New Roman"/>
        </w:rPr>
        <w:t>power booster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w:t>
      </w:r>
      <w:r w:rsidR="00B05F31">
        <w:rPr>
          <w:rFonts w:ascii="Times New Roman" w:eastAsia="Times New Roman" w:hAnsi="Times New Roman" w:cs="Times New Roman"/>
        </w:rPr>
        <w:t>“</w:t>
      </w:r>
      <w:r w:rsidRPr="750671CE">
        <w:rPr>
          <w:rFonts w:ascii="Times New Roman" w:eastAsia="Times New Roman" w:hAnsi="Times New Roman" w:cs="Times New Roman"/>
        </w:rPr>
        <w:t>[t]hose two guys just ripped us off.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w:t>
      </w:r>
    </w:p>
    <w:p w14:paraId="6FBE44A8" w14:textId="77777777" w:rsidR="001F4A22" w:rsidRPr="00536EF5" w:rsidRDefault="001F4A22" w:rsidP="001F4A22">
      <w:pPr>
        <w:ind w:firstLine="720"/>
        <w:rPr>
          <w:rFonts w:ascii="Times New Roman" w:eastAsia="Times New Roman" w:hAnsi="Times New Roman" w:cs="Times New Roman"/>
        </w:rPr>
      </w:pPr>
    </w:p>
    <w:p w14:paraId="715CCA4E" w14:textId="32397CA4"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side. Gibson said that he identified himself </w:t>
      </w:r>
      <w:r w:rsidR="00B05F31">
        <w:rPr>
          <w:rFonts w:ascii="Times New Roman" w:eastAsia="Times New Roman" w:hAnsi="Times New Roman" w:cs="Times New Roman"/>
        </w:rPr>
        <w:t>“</w:t>
      </w:r>
      <w:r w:rsidRPr="00536EF5">
        <w:rPr>
          <w:rFonts w:ascii="Times New Roman" w:eastAsia="Times New Roman" w:hAnsi="Times New Roman" w:cs="Times New Roman"/>
        </w:rPr>
        <w:t>as an officer</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by showing his badge as he ran </w:t>
      </w:r>
      <w:r w:rsidRPr="00536EF5">
        <w:rPr>
          <w:rFonts w:ascii="Times New Roman" w:eastAsia="Times New Roman" w:hAnsi="Times New Roman" w:cs="Times New Roman"/>
        </w:rPr>
        <w:lastRenderedPageBreak/>
        <w:t>up to Hernandez. (Gibson was an off-duty police officer working</w:t>
      </w:r>
      <w:r w:rsidR="00A52C0E">
        <w:rPr>
          <w:rFonts w:ascii="Times New Roman" w:eastAsia="Times New Roman" w:hAnsi="Times New Roman" w:cs="Times New Roman"/>
        </w:rPr>
        <w:t xml:space="preserve"> as a security guard for Smitty</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Gibson told Hernandez: </w:t>
      </w:r>
      <w:r w:rsidR="00B05F31">
        <w:rPr>
          <w:rFonts w:ascii="Times New Roman" w:eastAsia="Times New Roman" w:hAnsi="Times New Roman" w:cs="Times New Roman"/>
        </w:rPr>
        <w:t>“</w:t>
      </w:r>
      <w:r w:rsidRPr="00536EF5">
        <w:rPr>
          <w:rFonts w:ascii="Times New Roman" w:eastAsia="Times New Roman" w:hAnsi="Times New Roman" w:cs="Times New Roman"/>
        </w:rPr>
        <w:t>I believe you have something you did not pay for.</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0FC9F41F" w14:textId="77777777" w:rsidR="001F4A22" w:rsidRPr="00536EF5" w:rsidRDefault="001F4A22" w:rsidP="001F4A22">
      <w:pPr>
        <w:rPr>
          <w:rFonts w:ascii="Times New Roman" w:eastAsia="Times New Roman" w:hAnsi="Times New Roman" w:cs="Times New Roman"/>
        </w:rPr>
      </w:pPr>
    </w:p>
    <w:p w14:paraId="51A6FE63" w14:textId="77777777"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0E79ED7D" w14:textId="77777777" w:rsidR="001F4A22" w:rsidRPr="00536EF5" w:rsidRDefault="001F4A22" w:rsidP="001F4A22">
      <w:pPr>
        <w:rPr>
          <w:rFonts w:ascii="Times New Roman" w:eastAsia="Times New Roman" w:hAnsi="Times New Roman" w:cs="Times New Roman"/>
        </w:rPr>
      </w:pPr>
    </w:p>
    <w:p w14:paraId="76989FDC" w14:textId="70926B5A"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Seeing Gibson </w:t>
      </w:r>
      <w:r w:rsidR="00B05F31">
        <w:rPr>
          <w:rFonts w:ascii="Times New Roman" w:eastAsia="Times New Roman" w:hAnsi="Times New Roman" w:cs="Times New Roman"/>
        </w:rPr>
        <w:t>“</w:t>
      </w:r>
      <w:r w:rsidRPr="750671CE">
        <w:rPr>
          <w:rFonts w:ascii="Times New Roman" w:eastAsia="Times New Roman" w:hAnsi="Times New Roman" w:cs="Times New Roman"/>
        </w:rPr>
        <w:t>rousting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Hernandez, Gortarez came to the defense of his cousin, ran around the front of the car and pushed Gibson away. Gibson then grabbed Gortarez and put a choke hold around Gortarez</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5839B7C0" w14:textId="77777777" w:rsidR="001F4A22" w:rsidRPr="00536EF5" w:rsidRDefault="001F4A22" w:rsidP="001F4A22">
      <w:pPr>
        <w:ind w:firstLine="720"/>
        <w:rPr>
          <w:rFonts w:ascii="Times New Roman" w:eastAsia="Times New Roman" w:hAnsi="Times New Roman" w:cs="Times New Roman"/>
        </w:rPr>
      </w:pPr>
    </w:p>
    <w:p w14:paraId="394B3244" w14:textId="057A0BEB"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Gortarez later required medical treatment for injuries suffered from the choke hold. Plaintiffs sued Smitty</w:t>
      </w:r>
      <w:r w:rsidR="00B05F31">
        <w:rPr>
          <w:rFonts w:ascii="Times New Roman" w:eastAsia="Times New Roman" w:hAnsi="Times New Roman" w:cs="Times New Roman"/>
        </w:rPr>
        <w:t>’</w:t>
      </w:r>
      <w:r w:rsidRPr="00536EF5">
        <w:rPr>
          <w:rFonts w:ascii="Times New Roman" w:eastAsia="Times New Roman" w:hAnsi="Times New Roman" w:cs="Times New Roman"/>
        </w:rPr>
        <w:t>s and Gibson for false arrest</w:t>
      </w:r>
      <w:r>
        <w:rPr>
          <w:rFonts w:ascii="Times New Roman" w:eastAsia="Times New Roman" w:hAnsi="Times New Roman" w:cs="Times New Roman"/>
        </w:rPr>
        <w:t xml:space="preserve"> [and]</w:t>
      </w:r>
      <w:r w:rsidRPr="00536EF5">
        <w:rPr>
          <w:rFonts w:ascii="Times New Roman" w:eastAsia="Times New Roman" w:hAnsi="Times New Roman" w:cs="Times New Roman"/>
        </w:rPr>
        <w:t xml:space="preserve"> false imprisonment</w:t>
      </w:r>
      <w:r>
        <w:rPr>
          <w:rFonts w:ascii="Times New Roman" w:eastAsia="Times New Roman" w:hAnsi="Times New Roman" w:cs="Times New Roman"/>
        </w:rPr>
        <w:t xml:space="preserve"> . . . .</w:t>
      </w:r>
      <w:r w:rsidRPr="00536EF5">
        <w:rPr>
          <w:rFonts w:ascii="Times New Roman" w:eastAsia="Times New Roman" w:hAnsi="Times New Roman" w:cs="Times New Roman"/>
        </w:rPr>
        <w:t xml:space="preserve"> The case was tried before a jury. At the close of all the evidence, the court directed a verdict for the defendants on the false imprisonment and false arrest count</w:t>
      </w:r>
      <w:r>
        <w:rPr>
          <w:rFonts w:ascii="Times New Roman" w:eastAsia="Times New Roman" w:hAnsi="Times New Roman" w:cs="Times New Roman"/>
        </w:rPr>
        <w:t>[s]</w:t>
      </w:r>
      <w:r w:rsidRPr="00536EF5">
        <w:rPr>
          <w:rFonts w:ascii="Times New Roman" w:eastAsia="Times New Roman" w:hAnsi="Times New Roman" w:cs="Times New Roman"/>
        </w:rPr>
        <w:t xml:space="preserve">. </w:t>
      </w:r>
      <w:r w:rsidRPr="00991716">
        <w:rPr>
          <w:rFonts w:ascii="Times New Roman" w:eastAsia="Times New Roman" w:hAnsi="Times New Roman" w:cs="Times New Roman"/>
        </w:rPr>
        <w:t xml:space="preserve">. . . </w:t>
      </w:r>
      <w:r w:rsidRPr="00536EF5">
        <w:rPr>
          <w:rFonts w:ascii="Times New Roman" w:eastAsia="Times New Roman" w:hAnsi="Times New Roman" w:cs="Times New Roman"/>
        </w:rPr>
        <w:t>The court of appeals affirmed, and plaintiffs petition this court for review</w:t>
      </w:r>
      <w:r w:rsidRPr="750671CE">
        <w:rPr>
          <w:rFonts w:ascii="Times New Roman" w:eastAsia="Times New Roman" w:hAnsi="Times New Roman" w:cs="Times New Roman"/>
        </w:rPr>
        <w:t>. . . .</w:t>
      </w:r>
    </w:p>
    <w:p w14:paraId="14D43BAA" w14:textId="77777777" w:rsidR="001F4A22" w:rsidRDefault="001F4A22" w:rsidP="001F4A22">
      <w:pPr>
        <w:rPr>
          <w:rFonts w:ascii="Times New Roman" w:eastAsia="Times New Roman" w:hAnsi="Times New Roman" w:cs="Times New Roman"/>
          <w:bCs/>
        </w:rPr>
      </w:pPr>
    </w:p>
    <w:p w14:paraId="2D019DE2" w14:textId="77777777" w:rsidR="001F4A22" w:rsidRDefault="750671CE" w:rsidP="750671CE">
      <w:pPr>
        <w:ind w:firstLine="720"/>
        <w:rPr>
          <w:rFonts w:ascii="Times New Roman" w:eastAsia="Times New Roman" w:hAnsi="Times New Roman" w:cs="Times New Roman"/>
          <w:i/>
          <w:iCs/>
        </w:rPr>
      </w:pPr>
      <w:r w:rsidRPr="750671CE">
        <w:rPr>
          <w:rFonts w:ascii="Times New Roman" w:eastAsia="Times New Roman" w:hAnsi="Times New Roman" w:cs="Times New Roman"/>
        </w:rPr>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750671CE">
        <w:rPr>
          <w:rFonts w:ascii="Times New Roman" w:eastAsia="Times New Roman" w:hAnsi="Times New Roman" w:cs="Times New Roman"/>
          <w:i/>
          <w:iCs/>
        </w:rPr>
        <w:t>.</w:t>
      </w:r>
    </w:p>
    <w:p w14:paraId="3212B8A0" w14:textId="77777777" w:rsidR="001F4A22" w:rsidRPr="00536EF5" w:rsidRDefault="001F4A22" w:rsidP="001F4A22">
      <w:pPr>
        <w:rPr>
          <w:rFonts w:ascii="Times New Roman" w:eastAsia="Times New Roman" w:hAnsi="Times New Roman" w:cs="Times New Roman"/>
        </w:rPr>
      </w:pPr>
    </w:p>
    <w:p w14:paraId="13419D95" w14:textId="387286FE" w:rsidR="001F4A22" w:rsidRPr="00536EF5"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Thus, privileges for misdemeanor arrest traditionally available at common law recognize no privilege to arrest for ordinary </w:t>
      </w:r>
      <w:r w:rsidR="00B05F31">
        <w:rPr>
          <w:rFonts w:ascii="Times New Roman" w:eastAsia="Times New Roman" w:hAnsi="Times New Roman" w:cs="Times New Roman"/>
        </w:rPr>
        <w:t>“</w:t>
      </w:r>
      <w:r w:rsidRPr="00536EF5">
        <w:rPr>
          <w:rFonts w:ascii="Times New Roman" w:eastAsia="Times New Roman" w:hAnsi="Times New Roman" w:cs="Times New Roman"/>
        </w:rPr>
        <w:t>shoplifting.</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 Under this rule a shopkeeper who believed that a customer was shoplifting was placed in an untenable position. Either the shopkeeper allowed the suspect to leave the premises, risking the loss of merchandise, </w:t>
      </w:r>
      <w:r w:rsidRPr="00536EF5">
        <w:rPr>
          <w:rFonts w:ascii="Times New Roman" w:eastAsia="Times New Roman" w:hAnsi="Times New Roman" w:cs="Times New Roman"/>
        </w:rPr>
        <w:lastRenderedPageBreak/>
        <w:t xml:space="preserve">or took the risk of attempting to recapture the chattel by detaining the customer, facing liability for the wrongful detention if the person had not stolen merchandise. </w:t>
      </w:r>
    </w:p>
    <w:p w14:paraId="57470D3B" w14:textId="77777777" w:rsidR="001F4A22" w:rsidRDefault="001F4A22" w:rsidP="001F4A22">
      <w:pPr>
        <w:rPr>
          <w:rFonts w:ascii="Times New Roman" w:eastAsia="Times New Roman" w:hAnsi="Times New Roman" w:cs="Times New Roman"/>
        </w:rPr>
      </w:pPr>
    </w:p>
    <w:p w14:paraId="5BD381CC" w14:textId="77777777" w:rsidR="001F4A22" w:rsidRPr="00536EF5"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As Prosser noted, shoplifting is a major problem, causing losses that range into millions of dollars each year. There have been a number of decisions which permit a business person for reasonable </w:t>
      </w:r>
      <w:r>
        <w:rPr>
          <w:rFonts w:ascii="Times New Roman" w:eastAsia="Times New Roman" w:hAnsi="Times New Roman" w:cs="Times New Roman"/>
        </w:rPr>
        <w:t xml:space="preserve">cause, to detain a customer for </w:t>
      </w:r>
      <w:r w:rsidRPr="00536EF5">
        <w:rPr>
          <w:rFonts w:ascii="Times New Roman" w:eastAsia="Times New Roman" w:hAnsi="Times New Roman" w:cs="Times New Roman"/>
        </w:rPr>
        <w:t>investigation. This privilege, however, is narrow: it is</w:t>
      </w:r>
      <w:r>
        <w:rPr>
          <w:rFonts w:ascii="Times New Roman" w:eastAsia="Times New Roman" w:hAnsi="Times New Roman" w:cs="Times New Roman"/>
        </w:rPr>
        <w:t xml:space="preserve"> </w:t>
      </w:r>
      <w:r w:rsidRPr="00536EF5">
        <w:rPr>
          <w:rFonts w:ascii="Times New Roman" w:eastAsia="Times New Roman" w:hAnsi="Times New Roman" w:cs="Times New Roman"/>
        </w:rPr>
        <w:t>confined to what is reasonably necessary for its limited purpose, of enabling the defendant to do what is possible on t</w:t>
      </w:r>
      <w:r>
        <w:rPr>
          <w:rFonts w:ascii="Times New Roman" w:eastAsia="Times New Roman" w:hAnsi="Times New Roman" w:cs="Times New Roman"/>
        </w:rPr>
        <w:t>he spot to discover the facts. . . .</w:t>
      </w:r>
    </w:p>
    <w:p w14:paraId="5C27687E" w14:textId="77777777" w:rsidR="001F4A22" w:rsidRDefault="001F4A22" w:rsidP="001F4A22">
      <w:pPr>
        <w:rPr>
          <w:rFonts w:ascii="Times New Roman" w:eastAsia="Times New Roman" w:hAnsi="Times New Roman" w:cs="Times New Roman"/>
          <w:b/>
        </w:rPr>
      </w:pPr>
    </w:p>
    <w:p w14:paraId="6EE08D80" w14:textId="547B6FB9"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Arizona has adopted the shopkeeper</w:t>
      </w:r>
      <w:r w:rsidR="00B05F31">
        <w:rPr>
          <w:rFonts w:ascii="Times New Roman" w:eastAsia="Times New Roman" w:hAnsi="Times New Roman" w:cs="Times New Roman"/>
        </w:rPr>
        <w:t>’</w:t>
      </w:r>
      <w:r w:rsidRPr="750671CE">
        <w:rPr>
          <w:rFonts w:ascii="Times New Roman" w:eastAsia="Times New Roman" w:hAnsi="Times New Roman" w:cs="Times New Roman"/>
        </w:rPr>
        <w:t>s privilege by statute, which provides in pertinent part:</w:t>
      </w:r>
    </w:p>
    <w:p w14:paraId="37A15EA3" w14:textId="77777777" w:rsidR="001F4A22" w:rsidRPr="00536EF5" w:rsidRDefault="001F4A22" w:rsidP="001F4A22">
      <w:pPr>
        <w:rPr>
          <w:rFonts w:ascii="Times New Roman" w:eastAsia="Times New Roman" w:hAnsi="Times New Roman" w:cs="Times New Roman"/>
        </w:rPr>
      </w:pPr>
    </w:p>
    <w:p w14:paraId="44B865DC" w14:textId="1E79E06E" w:rsidR="001F4A22" w:rsidRPr="00536EF5" w:rsidRDefault="750671CE" w:rsidP="00F94B7E">
      <w:pPr>
        <w:pStyle w:val="blockquote"/>
      </w:pPr>
      <w:r w:rsidRPr="750671CE">
        <w:t>C. A merchant, or his agent or employee, with reasonable cause, may detain on the premises in a reasonable manner and for a reasonable time any person suspected of shoplifting .</w:t>
      </w:r>
      <w:r w:rsidR="005361D8">
        <w:t xml:space="preserve"> . </w:t>
      </w:r>
      <w:r w:rsidRPr="750671CE">
        <w:t>. for questioning or summoning a law enforcement officer.</w:t>
      </w:r>
    </w:p>
    <w:p w14:paraId="7128902C" w14:textId="77777777" w:rsidR="001F4A22" w:rsidRPr="00536EF5" w:rsidRDefault="001F4A22" w:rsidP="00F94B7E">
      <w:pPr>
        <w:pStyle w:val="blockquote"/>
      </w:pPr>
    </w:p>
    <w:p w14:paraId="3C2FCD5D" w14:textId="77777777" w:rsidR="001F4A22" w:rsidRPr="00536EF5" w:rsidRDefault="750671CE" w:rsidP="00F94B7E">
      <w:pPr>
        <w:pStyle w:val="blockquote"/>
      </w:pPr>
      <w:r w:rsidRPr="750671CE">
        <w:t>D. Reasonable cause is a defense to a civil or criminal action against a peace officer, merchant or an agent or employee of such merchant for false arrest, false or unlawful imprisonment or wrongful detention. A.R.S. § 13–1805 (emphasis supplied).</w:t>
      </w:r>
    </w:p>
    <w:p w14:paraId="10E6397C" w14:textId="77777777" w:rsidR="001F4A22" w:rsidRPr="00536EF5" w:rsidRDefault="001F4A22" w:rsidP="001F4A22">
      <w:pPr>
        <w:ind w:left="720"/>
        <w:rPr>
          <w:rFonts w:ascii="Times New Roman" w:eastAsia="Times New Roman" w:hAnsi="Times New Roman" w:cs="Times New Roman"/>
          <w:i/>
          <w:iCs/>
        </w:rPr>
      </w:pPr>
    </w:p>
    <w:p w14:paraId="6B381593" w14:textId="44A395BB" w:rsidR="001F4A22" w:rsidRPr="004D70A2"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 . . Once reasonable cause is established, there are two further questions regarding the application of the privilege. We must ask whether the purpose of the shopkeeper</w:t>
      </w:r>
      <w:r w:rsidR="00B05F31">
        <w:rPr>
          <w:rFonts w:ascii="Times New Roman" w:eastAsia="Times New Roman" w:hAnsi="Times New Roman" w:cs="Times New Roman"/>
        </w:rPr>
        <w:t>’</w:t>
      </w:r>
      <w:r w:rsidRPr="750671CE">
        <w:rPr>
          <w:rFonts w:ascii="Times New Roman" w:eastAsia="Times New Roman" w:hAnsi="Times New Roman" w:cs="Times New Roman"/>
        </w:rPr>
        <w:t>s action was proper (</w:t>
      </w:r>
      <w:r w:rsidRPr="00F94B7E">
        <w:rPr>
          <w:rFonts w:ascii="Times New Roman" w:eastAsia="Times New Roman" w:hAnsi="Times New Roman" w:cs="Times New Roman"/>
          <w:iCs/>
        </w:rPr>
        <w:t>i.e.,</w:t>
      </w:r>
      <w:r w:rsidRPr="750671CE">
        <w:rPr>
          <w:rFonts w:ascii="Times New Roman" w:eastAsia="Times New Roman" w:hAnsi="Times New Roman" w:cs="Times New Roman"/>
        </w:rPr>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61A085D6" w14:textId="77777777" w:rsidR="001F4A22" w:rsidRDefault="001F4A22" w:rsidP="001F4A22">
      <w:pPr>
        <w:rPr>
          <w:rFonts w:ascii="Times New Roman" w:eastAsia="Times New Roman" w:hAnsi="Times New Roman" w:cs="Times New Roman"/>
        </w:rPr>
      </w:pPr>
    </w:p>
    <w:p w14:paraId="663B5010" w14:textId="77777777" w:rsidR="001F4A22" w:rsidRPr="00536EF5"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court concluded that while it could not say that the shopkeepers lacked reasonable cause or acted with an improper purpose, neither could it conclude that the detention was necessarily reasonable under the circumstances:]</w:t>
      </w:r>
      <w:r w:rsidR="001F4A22">
        <w:br/>
      </w:r>
    </w:p>
    <w:p w14:paraId="0C7B502E" w14:textId="6F11BB31"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750671CE">
        <w:rPr>
          <w:rFonts w:ascii="Times New Roman" w:eastAsia="Times New Roman" w:hAnsi="Times New Roman" w:cs="Times New Roman"/>
          <w:i/>
          <w:iCs/>
        </w:rPr>
        <w:t>obviously</w:t>
      </w:r>
      <w:r w:rsidRPr="750671CE">
        <w:rPr>
          <w:rFonts w:ascii="Times New Roman" w:eastAsia="Times New Roman" w:hAnsi="Times New Roman" w:cs="Times New Roman"/>
        </w:rPr>
        <w:t xml:space="preserve"> have been futile. The evidence adduced probably would have supported a finding that the manner of detention was unreasonable as a matter of law. At best, there was a question of fact; there was no support for the court</w:t>
      </w:r>
      <w:r w:rsidR="00B05F31">
        <w:rPr>
          <w:rFonts w:ascii="Times New Roman" w:eastAsia="Times New Roman" w:hAnsi="Times New Roman" w:cs="Times New Roman"/>
        </w:rPr>
        <w:t>’</w:t>
      </w:r>
      <w:r w:rsidRPr="750671CE">
        <w:rPr>
          <w:rFonts w:ascii="Times New Roman" w:eastAsia="Times New Roman" w:hAnsi="Times New Roman" w:cs="Times New Roman"/>
        </w:rPr>
        <w:t>s presumptive finding that as a matter of law the detention was performed reasonably.</w:t>
      </w:r>
    </w:p>
    <w:p w14:paraId="71BFAA6F" w14:textId="77777777" w:rsidR="001F4A22" w:rsidRPr="00536EF5" w:rsidRDefault="001F4A22" w:rsidP="001F4A22">
      <w:pPr>
        <w:rPr>
          <w:rFonts w:ascii="Times New Roman" w:eastAsia="Times New Roman" w:hAnsi="Times New Roman" w:cs="Times New Roman"/>
        </w:rPr>
      </w:pPr>
    </w:p>
    <w:p w14:paraId="60FA473A" w14:textId="77777777" w:rsidR="001F4A22" w:rsidRPr="00536EF5" w:rsidRDefault="001F4A22">
      <w:pPr>
        <w:rPr>
          <w:rFonts w:ascii="Times New Roman" w:eastAsia="Times New Roman" w:hAnsi="Times New Roman" w:cs="Times New Roman"/>
        </w:rPr>
      </w:pPr>
      <w:r w:rsidRPr="00536EF5">
        <w:rPr>
          <w:rFonts w:ascii="Times New Roman" w:eastAsia="Times New Roman" w:hAnsi="Times New Roman" w:cs="Times New Roman"/>
        </w:rPr>
        <w:lastRenderedPageBreak/>
        <w:tab/>
      </w:r>
      <w:r>
        <w:rPr>
          <w:rFonts w:ascii="Times New Roman" w:eastAsia="Times New Roman" w:hAnsi="Times New Roman" w:cs="Times New Roman"/>
        </w:rPr>
        <w:t>[T]</w:t>
      </w:r>
      <w:r w:rsidRPr="00536EF5">
        <w:rPr>
          <w:rFonts w:ascii="Times New Roman" w:eastAsia="Times New Roman" w:hAnsi="Times New Roman" w:cs="Times New Roman"/>
        </w:rPr>
        <w:t>he court erred in its findings with respect to both the purpose and manner of detention. This</w:t>
      </w:r>
      <w:r>
        <w:rPr>
          <w:rFonts w:ascii="Times New Roman" w:eastAsia="Times New Roman" w:hAnsi="Times New Roman" w:cs="Times New Roman"/>
        </w:rPr>
        <w:t xml:space="preserve"> requires reversal and retrial. . . .</w:t>
      </w:r>
    </w:p>
    <w:p w14:paraId="7C8B7347" w14:textId="77777777" w:rsidR="001F4A22" w:rsidRDefault="001F4A22" w:rsidP="007C1411">
      <w:pPr>
        <w:rPr>
          <w:rFonts w:ascii="Times New Roman" w:eastAsia="Times New Roman" w:hAnsi="Times New Roman" w:cs="Times New Roman"/>
        </w:rPr>
      </w:pPr>
    </w:p>
    <w:p w14:paraId="6390BEAC" w14:textId="77777777" w:rsidR="007C1411" w:rsidRPr="00536EF5" w:rsidRDefault="007C1411" w:rsidP="007C1411">
      <w:pPr>
        <w:rPr>
          <w:rFonts w:ascii="Times New Roman" w:eastAsia="Times New Roman" w:hAnsi="Times New Roman" w:cs="Times New Roman"/>
        </w:rPr>
      </w:pPr>
    </w:p>
    <w:p w14:paraId="0CD26AA0" w14:textId="77777777" w:rsidR="001F4A22" w:rsidRPr="00991716" w:rsidRDefault="001F4A22" w:rsidP="002502CC">
      <w:pPr>
        <w:pStyle w:val="Heading4"/>
      </w:pPr>
      <w:bookmarkStart w:id="114" w:name="_Toc364636058"/>
      <w:bookmarkStart w:id="115" w:name="_Toc518323218"/>
      <w:r w:rsidRPr="00991716">
        <w:t>Notes</w:t>
      </w:r>
      <w:bookmarkEnd w:id="114"/>
      <w:bookmarkEnd w:id="115"/>
    </w:p>
    <w:p w14:paraId="7F512B1A" w14:textId="77777777" w:rsidR="001F4A22" w:rsidRDefault="001F4A22" w:rsidP="001F4A22">
      <w:pPr>
        <w:rPr>
          <w:rFonts w:ascii="Times New Roman" w:eastAsia="Times New Roman" w:hAnsi="Times New Roman" w:cs="Times New Roman"/>
          <w:b/>
        </w:rPr>
      </w:pPr>
    </w:p>
    <w:p w14:paraId="75AEA1C9" w14:textId="77777777" w:rsidR="006F1186" w:rsidRDefault="006F1186" w:rsidP="001F4A22">
      <w:pPr>
        <w:rPr>
          <w:rFonts w:ascii="Times New Roman" w:eastAsia="Times New Roman" w:hAnsi="Times New Roman" w:cs="Times New Roman"/>
          <w:b/>
        </w:rPr>
      </w:pPr>
    </w:p>
    <w:p w14:paraId="67EF8060" w14:textId="5ED09AA0" w:rsidR="001F4A22" w:rsidRPr="00F94B7E" w:rsidRDefault="750671CE" w:rsidP="00F94B7E">
      <w:pPr>
        <w:pStyle w:val="ListParagraph"/>
        <w:numPr>
          <w:ilvl w:val="0"/>
          <w:numId w:val="66"/>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The recapture privilege.</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Hodegeden v. Hubbard</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18 Vt. 504 (1846), the plaintiff purchased a stove from defendants in exchange for a promissory note, making assurances of his creditworthiness.  When the defendant-sellers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the same day, and soon after the sale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learned of credible reports that the buyer-plaintiff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suit on the grounds that the defendants were privileged to recapture the stove:</w:t>
      </w:r>
    </w:p>
    <w:p w14:paraId="6A1CCD7F" w14:textId="77777777" w:rsidR="001F4A22" w:rsidRDefault="001F4A22" w:rsidP="001F4A22">
      <w:pPr>
        <w:rPr>
          <w:rFonts w:ascii="Times New Roman" w:eastAsia="Times New Roman" w:hAnsi="Times New Roman" w:cs="Times New Roman"/>
          <w:b/>
        </w:rPr>
      </w:pPr>
    </w:p>
    <w:p w14:paraId="6E046D2E" w14:textId="77777777" w:rsidR="001F4A22" w:rsidRDefault="750671CE" w:rsidP="00F94B7E">
      <w:pPr>
        <w:pStyle w:val="blockquote"/>
        <w:rPr>
          <w:b/>
          <w:bCs/>
        </w:rPr>
      </w:pPr>
      <w:r w:rsidRPr="750671CE">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3ADD7B11" w14:textId="77777777" w:rsidR="001F4A22" w:rsidRDefault="001F4A22" w:rsidP="001F4A22">
      <w:pPr>
        <w:rPr>
          <w:rFonts w:ascii="Times New Roman" w:eastAsia="Times New Roman" w:hAnsi="Times New Roman" w:cs="Times New Roman"/>
          <w:b/>
        </w:rPr>
      </w:pPr>
    </w:p>
    <w:p w14:paraId="5DC710AB" w14:textId="1B7B24B5" w:rsidR="001F4A22" w:rsidRPr="00654570"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18 Vt. at 507-08.  Critical to the shopkeeper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privilege is the requirement that the privilege be exercised (as the </w:t>
      </w:r>
      <w:r w:rsidRPr="750671CE">
        <w:rPr>
          <w:rFonts w:ascii="Times New Roman" w:eastAsia="Times New Roman" w:hAnsi="Times New Roman" w:cs="Times New Roman"/>
          <w:i/>
          <w:iCs/>
        </w:rPr>
        <w:t>Gortarez</w:t>
      </w:r>
      <w:r w:rsidRPr="750671CE">
        <w:rPr>
          <w:rFonts w:ascii="Times New Roman" w:eastAsia="Times New Roman" w:hAnsi="Times New Roman" w:cs="Times New Roman"/>
        </w:rPr>
        <w:t xml:space="preserve"> court opinion indicated) </w:t>
      </w:r>
      <w:r w:rsidR="00B05F31">
        <w:rPr>
          <w:rFonts w:ascii="Times New Roman" w:eastAsia="Times New Roman" w:hAnsi="Times New Roman" w:cs="Times New Roman"/>
        </w:rPr>
        <w:t>“</w:t>
      </w:r>
      <w:r w:rsidRPr="750671CE">
        <w:rPr>
          <w:rFonts w:ascii="Times New Roman" w:eastAsia="Times New Roman" w:hAnsi="Times New Roman" w:cs="Times New Roman"/>
        </w:rPr>
        <w:t>on the spot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while in </w:t>
      </w:r>
      <w:r w:rsidR="00B05F31">
        <w:rPr>
          <w:rFonts w:ascii="Times New Roman" w:eastAsia="Times New Roman" w:hAnsi="Times New Roman" w:cs="Times New Roman"/>
        </w:rPr>
        <w:t>“</w:t>
      </w:r>
      <w:r w:rsidRPr="750671CE">
        <w:rPr>
          <w:rFonts w:ascii="Times New Roman" w:eastAsia="Times New Roman" w:hAnsi="Times New Roman" w:cs="Times New Roman"/>
        </w:rPr>
        <w:t>fresh pursuit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the purported shoplifters.  What is the function of the </w:t>
      </w:r>
      <w:r w:rsidR="00B05F31">
        <w:rPr>
          <w:rFonts w:ascii="Times New Roman" w:eastAsia="Times New Roman" w:hAnsi="Times New Roman" w:cs="Times New Roman"/>
        </w:rPr>
        <w:t>“</w:t>
      </w:r>
      <w:r w:rsidRPr="750671CE">
        <w:rPr>
          <w:rFonts w:ascii="Times New Roman" w:eastAsia="Times New Roman" w:hAnsi="Times New Roman" w:cs="Times New Roman"/>
        </w:rPr>
        <w:t>fresh pursuit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w:t>
      </w:r>
    </w:p>
    <w:p w14:paraId="38D753A0" w14:textId="77777777" w:rsidR="001F4A22" w:rsidRDefault="001F4A22" w:rsidP="001F4A22">
      <w:pPr>
        <w:rPr>
          <w:rFonts w:ascii="Times New Roman" w:eastAsia="Times New Roman" w:hAnsi="Times New Roman" w:cs="Times New Roman"/>
          <w:b/>
        </w:rPr>
      </w:pPr>
    </w:p>
    <w:p w14:paraId="37B0035B" w14:textId="77777777" w:rsidR="001F4A22" w:rsidRPr="00536EF5" w:rsidRDefault="001F4A22" w:rsidP="001F4A22">
      <w:pPr>
        <w:rPr>
          <w:rFonts w:ascii="Times New Roman" w:eastAsia="Times New Roman" w:hAnsi="Times New Roman" w:cs="Times New Roman"/>
          <w:b/>
        </w:rPr>
      </w:pPr>
    </w:p>
    <w:p w14:paraId="767D98EA" w14:textId="6C561728" w:rsidR="001F4A22" w:rsidRPr="00F94B7E" w:rsidRDefault="750671CE" w:rsidP="00F94B7E">
      <w:pPr>
        <w:pStyle w:val="ListParagraph"/>
        <w:numPr>
          <w:ilvl w:val="0"/>
          <w:numId w:val="6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Claims of right</w:t>
      </w:r>
      <w:r w:rsidRPr="00F94B7E">
        <w:rPr>
          <w:rFonts w:ascii="Times New Roman" w:eastAsia="Times New Roman" w:hAnsi="Times New Roman" w:cs="Times New Roman"/>
        </w:rPr>
        <w:t>.</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Kirby v. Foster</w:t>
      </w:r>
      <w:r w:rsidRPr="00F94B7E">
        <w:rPr>
          <w:rFonts w:ascii="Times New Roman" w:eastAsia="Times New Roman" w:hAnsi="Times New Roman" w:cs="Times New Roman"/>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Foster and his son</w:t>
      </w:r>
      <w:r w:rsidR="005361D8" w:rsidRPr="00F94B7E">
        <w:rPr>
          <w:rFonts w:ascii="Times New Roman" w:eastAsia="Times New Roman" w:hAnsi="Times New Roman" w:cs="Times New Roman"/>
        </w:rPr>
        <w:t>—</w:t>
      </w:r>
      <w:r w:rsidRPr="00F94B7E">
        <w:rPr>
          <w:rFonts w:ascii="Times New Roman" w:eastAsia="Times New Roman" w:hAnsi="Times New Roman" w:cs="Times New Roman"/>
        </w:rPr>
        <w:t>then seized the plaintiff, and attempted to take the money from him. A struggle ensued, in which the plaintiff claims to have received injury, which led to his suit.  In his opinion, Judge Stiness rejected the defense that Foster was engaged in a privileged recapture of his money:</w:t>
      </w:r>
    </w:p>
    <w:p w14:paraId="4B604790" w14:textId="77777777" w:rsidR="001F4A22" w:rsidRPr="00536EF5" w:rsidRDefault="001F4A22" w:rsidP="001F4A22">
      <w:pPr>
        <w:rPr>
          <w:rFonts w:ascii="Times New Roman" w:eastAsia="Times New Roman" w:hAnsi="Times New Roman" w:cs="Times New Roman"/>
        </w:rPr>
      </w:pPr>
    </w:p>
    <w:p w14:paraId="47A63135" w14:textId="6F6ED4C4" w:rsidR="001F4A22" w:rsidRPr="00354DC4" w:rsidRDefault="750671CE" w:rsidP="00F94B7E">
      <w:pPr>
        <w:pStyle w:val="blockquote"/>
      </w:pPr>
      <w:r w:rsidRPr="750671CE">
        <w:t>Unquestionably, if one takes another</w:t>
      </w:r>
      <w:r w:rsidR="00B05F31">
        <w:t>’</w:t>
      </w:r>
      <w:r w:rsidRPr="750671CE">
        <w:t xml:space="preserve">s property from his possession, without right and against his will, the owner or person in charge may protect his possession, or retake the property, by the use of necessary force. </w:t>
      </w:r>
      <w:r w:rsidRPr="750671CE">
        <w:lastRenderedPageBreak/>
        <w:t>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750671CE">
        <w:rPr>
          <w:i/>
          <w:iCs/>
        </w:rPr>
        <w:t>First,</w:t>
      </w:r>
      <w:r w:rsidRPr="750671CE">
        <w:t> possession by the owner; and, </w:t>
      </w:r>
      <w:r w:rsidRPr="750671CE">
        <w:rPr>
          <w:i/>
          <w:iCs/>
        </w:rPr>
        <w:t>second,</w:t>
      </w:r>
      <w:r w:rsidRPr="750671CE">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4DBAAC8C" w14:textId="77777777" w:rsidR="001F4A22" w:rsidRPr="00536EF5" w:rsidRDefault="001F4A22" w:rsidP="001F4A22">
      <w:pPr>
        <w:rPr>
          <w:rFonts w:ascii="Times New Roman" w:eastAsia="Times New Roman" w:hAnsi="Times New Roman" w:cs="Times New Roman"/>
          <w:b/>
        </w:rPr>
      </w:pPr>
    </w:p>
    <w:p w14:paraId="0D7A5F17" w14:textId="3EA7EF99" w:rsidR="001F4A22" w:rsidRPr="00536EF5"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22 A. 1112.  Why does Kirby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claim of right in the money transform the legal situation from that of ordinary recapture of chattels?  </w:t>
      </w:r>
    </w:p>
    <w:p w14:paraId="2A9E9BDF" w14:textId="77777777" w:rsidR="001F4A22" w:rsidRPr="00536EF5" w:rsidRDefault="001F4A22" w:rsidP="001F4A22">
      <w:pPr>
        <w:rPr>
          <w:rFonts w:ascii="Times New Roman" w:eastAsia="Times New Roman" w:hAnsi="Times New Roman" w:cs="Times New Roman"/>
        </w:rPr>
      </w:pPr>
    </w:p>
    <w:p w14:paraId="21CE7B6D" w14:textId="77777777" w:rsidR="001F4A22" w:rsidRPr="00536EF5" w:rsidRDefault="001F4A22" w:rsidP="001F4A22">
      <w:pPr>
        <w:rPr>
          <w:rFonts w:ascii="Times New Roman" w:eastAsia="Times New Roman" w:hAnsi="Times New Roman" w:cs="Times New Roman"/>
          <w:b/>
        </w:rPr>
      </w:pPr>
    </w:p>
    <w:p w14:paraId="0961CE08" w14:textId="77777777" w:rsidR="001F4A22" w:rsidRPr="00536EF5" w:rsidRDefault="001F4A22" w:rsidP="00322687">
      <w:pPr>
        <w:pStyle w:val="Heading3"/>
      </w:pPr>
      <w:bookmarkStart w:id="116" w:name="_Toc364636059"/>
      <w:bookmarkStart w:id="117" w:name="_Toc518323219"/>
      <w:r w:rsidRPr="00845FCF">
        <w:t>4.  Consent</w:t>
      </w:r>
      <w:bookmarkEnd w:id="116"/>
      <w:bookmarkEnd w:id="117"/>
    </w:p>
    <w:p w14:paraId="0829BCAF" w14:textId="77777777" w:rsidR="001F4A22" w:rsidRPr="00536EF5" w:rsidRDefault="001F4A22" w:rsidP="001F4A22">
      <w:pPr>
        <w:rPr>
          <w:rFonts w:ascii="Times New Roman" w:eastAsia="Times New Roman" w:hAnsi="Times New Roman" w:cs="Times New Roman"/>
          <w:b/>
        </w:rPr>
      </w:pPr>
    </w:p>
    <w:p w14:paraId="0421BA54" w14:textId="558F9FB2" w:rsidR="001F4A22" w:rsidRPr="007521C2" w:rsidRDefault="001F4A22" w:rsidP="750671CE">
      <w:pPr>
        <w:rPr>
          <w:rFonts w:ascii="Times New Roman" w:eastAsia="Times New Roman" w:hAnsi="Times New Roman" w:cs="Times New Roman"/>
          <w:b/>
          <w:bCs/>
        </w:rPr>
      </w:pPr>
      <w:bookmarkStart w:id="118" w:name="_Toc518323220"/>
      <w:r w:rsidRPr="00F94B7E">
        <w:rPr>
          <w:rStyle w:val="Heading4Char"/>
          <w:rFonts w:eastAsiaTheme="minorEastAsia"/>
        </w:rPr>
        <w:t>Mohr v. Williams</w:t>
      </w:r>
      <w:bookmarkEnd w:id="118"/>
      <w:r w:rsidRPr="007521C2">
        <w:rPr>
          <w:rFonts w:ascii="Times New Roman" w:eastAsia="Times New Roman" w:hAnsi="Times New Roman" w:cs="Times New Roman"/>
          <w:b/>
          <w:bCs/>
        </w:rPr>
        <w:t xml:space="preserve">, </w:t>
      </w:r>
      <w:r w:rsidR="005809FC" w:rsidRPr="007521C2">
        <w:rPr>
          <w:rFonts w:ascii="Times New Roman" w:eastAsia="Times New Roman" w:hAnsi="Times New Roman" w:cs="Times New Roman"/>
          <w:b/>
          <w:bCs/>
        </w:rPr>
        <w:t>104 N.W. 12, 13-16 (Minn. 1905)</w:t>
      </w:r>
    </w:p>
    <w:p w14:paraId="01EE42B0" w14:textId="77777777" w:rsidR="005809FC" w:rsidRPr="005809FC" w:rsidRDefault="005809FC" w:rsidP="001F4A22">
      <w:pPr>
        <w:rPr>
          <w:rFonts w:ascii="Times New Roman" w:eastAsia="Times New Roman" w:hAnsi="Times New Roman" w:cs="Times New Roman"/>
          <w:b/>
        </w:rPr>
      </w:pPr>
    </w:p>
    <w:p w14:paraId="79AF41CE" w14:textId="77777777" w:rsidR="005F28D6"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Brown,</w:t>
      </w:r>
      <w:r w:rsidRPr="750671CE">
        <w:rPr>
          <w:rFonts w:ascii="Times New Roman" w:eastAsia="Times New Roman" w:hAnsi="Times New Roman" w:cs="Times New Roman"/>
        </w:rPr>
        <w:t xml:space="preserve"> J.  </w:t>
      </w:r>
    </w:p>
    <w:p w14:paraId="68846AD4" w14:textId="77777777" w:rsidR="005F28D6" w:rsidRDefault="005F28D6" w:rsidP="750671CE">
      <w:pPr>
        <w:rPr>
          <w:rFonts w:ascii="Times New Roman" w:eastAsia="Times New Roman" w:hAnsi="Times New Roman" w:cs="Times New Roman"/>
        </w:rPr>
      </w:pPr>
    </w:p>
    <w:p w14:paraId="1CF5E62F" w14:textId="0659E0E2" w:rsidR="001F4A22"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w:t>
      </w:r>
      <w:r w:rsidR="00071B85">
        <w:rPr>
          <w:rFonts w:ascii="Times New Roman" w:eastAsia="Times New Roman" w:hAnsi="Times New Roman" w:cs="Times New Roman"/>
        </w:rPr>
        <w:lastRenderedPageBreak/>
        <w:t>Davis</w:t>
      </w:r>
      <w:r w:rsidR="007521C2" w:rsidRPr="007521C2">
        <w:rPr>
          <w:rFonts w:ascii="Times New Roman" w:eastAsia="Times New Roman" w:hAnsi="Times New Roman" w:cs="Times New Roman"/>
        </w:rPr>
        <w:t>—</w:t>
      </w:r>
      <w:r w:rsidRPr="750671CE">
        <w:rPr>
          <w:rFonts w:ascii="Times New Roman" w:eastAsia="Times New Roman" w:hAnsi="Times New Roman" w:cs="Times New Roman"/>
        </w:rPr>
        <w:t>plaintiff</w:t>
      </w:r>
      <w:r w:rsidR="00B05F31">
        <w:rPr>
          <w:rFonts w:ascii="Times New Roman" w:eastAsia="Times New Roman" w:hAnsi="Times New Roman" w:cs="Times New Roman"/>
        </w:rPr>
        <w:t>’</w:t>
      </w:r>
      <w:r w:rsidRPr="750671CE">
        <w:rPr>
          <w:rFonts w:ascii="Times New Roman" w:eastAsia="Times New Roman" w:hAnsi="Times New Roman" w:cs="Times New Roman"/>
        </w:rPr>
        <w:t>s family physician, who attended the operation at her request</w:t>
      </w:r>
      <w:r w:rsidR="007521C2" w:rsidRPr="007521C2">
        <w:rPr>
          <w:rFonts w:ascii="Times New Roman" w:eastAsia="Times New Roman" w:hAnsi="Times New Roman" w:cs="Times New Roman"/>
        </w:rPr>
        <w:t>—</w:t>
      </w:r>
      <w:r w:rsidRPr="750671CE">
        <w:rPr>
          <w:rFonts w:ascii="Times New Roman" w:eastAsia="Times New Roman" w:hAnsi="Times New Roman" w:cs="Times New Roman"/>
        </w:rPr>
        <w: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w:t>
      </w:r>
      <w:r w:rsidR="00B05F31">
        <w:rPr>
          <w:rFonts w:ascii="Times New Roman" w:eastAsia="Times New Roman" w:hAnsi="Times New Roman" w:cs="Times New Roman"/>
        </w:rPr>
        <w:t>’</w:t>
      </w:r>
      <w:r w:rsidRPr="750671CE">
        <w:rPr>
          <w:rFonts w:ascii="Times New Roman" w:eastAsia="Times New Roman" w:hAnsi="Times New Roman" w:cs="Times New Roman"/>
        </w:rPr>
        <w:t>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536EF5" w:rsidRDefault="001F4A22" w:rsidP="001F4A22">
      <w:pPr>
        <w:rPr>
          <w:rFonts w:ascii="Times New Roman" w:eastAsia="Times New Roman" w:hAnsi="Times New Roman" w:cs="Times New Roman"/>
        </w:rPr>
      </w:pPr>
    </w:p>
    <w:p w14:paraId="44330E6F" w14:textId="77777777"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536EF5" w:rsidRDefault="001F4A22" w:rsidP="001F4A22">
      <w:pPr>
        <w:ind w:firstLine="720"/>
        <w:rPr>
          <w:rFonts w:ascii="Times New Roman" w:eastAsia="Times New Roman" w:hAnsi="Times New Roman" w:cs="Times New Roman"/>
        </w:rPr>
      </w:pPr>
    </w:p>
    <w:p w14:paraId="04C28541" w14:textId="4FF165B4"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 xml:space="preserve">The </w:t>
      </w:r>
      <w:r>
        <w:rPr>
          <w:rFonts w:ascii="Times New Roman" w:eastAsia="Times New Roman" w:hAnsi="Times New Roman" w:cs="Times New Roman"/>
        </w:rPr>
        <w:t>. . .</w:t>
      </w:r>
      <w:r w:rsidRPr="00536EF5">
        <w:rPr>
          <w:rFonts w:ascii="Times New Roman" w:eastAsia="Times New Roman" w:hAnsi="Times New Roman" w:cs="Times New Roman"/>
        </w:rPr>
        <w:t xml:space="preserve"> contention of defendant is that the act complained of did not amount to an assault and battery. This is based upon the theory that, as plaintiff</w:t>
      </w:r>
      <w:r w:rsidR="00B05F31">
        <w:rPr>
          <w:rFonts w:ascii="Times New Roman" w:eastAsia="Times New Roman" w:hAnsi="Times New Roman" w:cs="Times New Roman"/>
        </w:rPr>
        <w:t>’</w:t>
      </w:r>
      <w:r w:rsidRPr="00536EF5">
        <w:rPr>
          <w:rFonts w:ascii="Times New Roman" w:eastAsia="Times New Roman" w:hAnsi="Times New Roman" w:cs="Times New Roman"/>
        </w:rPr>
        <w:t>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consent, and the circumstances were not such as to justify its performance without, it was wrongful; and, if it was wrongful, it was unlawful. </w:t>
      </w:r>
      <w:r>
        <w:rPr>
          <w:rFonts w:ascii="Times New Roman" w:eastAsia="Times New Roman" w:hAnsi="Times New Roman" w:cs="Times New Roman"/>
        </w:rPr>
        <w:t>[E]</w:t>
      </w:r>
      <w:r w:rsidRPr="00536EF5">
        <w:rPr>
          <w:rFonts w:ascii="Times New Roman" w:eastAsia="Times New Roman" w:hAnsi="Times New Roman" w:cs="Times New Roman"/>
        </w:rPr>
        <w:t xml:space="preserv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Default="001F4A22" w:rsidP="001F4A22">
      <w:pPr>
        <w:rPr>
          <w:rFonts w:ascii="Times New Roman" w:eastAsia="Times New Roman" w:hAnsi="Times New Roman" w:cs="Times New Roman"/>
        </w:rPr>
      </w:pPr>
    </w:p>
    <w:p w14:paraId="5892D8ED" w14:textId="3977176A"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case at bar, as we have already seen, the question whether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1498E2AD" w14:textId="77777777" w:rsidR="001F4A22" w:rsidRPr="00536EF5" w:rsidRDefault="001F4A22" w:rsidP="001F4A22">
      <w:pPr>
        <w:ind w:firstLine="720"/>
        <w:rPr>
          <w:rFonts w:ascii="Times New Roman" w:eastAsia="Times New Roman" w:hAnsi="Times New Roman" w:cs="Times New Roman"/>
        </w:rPr>
      </w:pPr>
    </w:p>
    <w:p w14:paraId="483CD3E0" w14:textId="6D75716A" w:rsidR="001F4A22"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The amount of plaintiff</w:t>
      </w:r>
      <w:r w:rsidR="00B05F31">
        <w:rPr>
          <w:rFonts w:ascii="Times New Roman" w:eastAsia="Times New Roman" w:hAnsi="Times New Roman" w:cs="Times New Roman"/>
        </w:rPr>
        <w:t>’</w:t>
      </w:r>
      <w:r w:rsidRPr="00536EF5">
        <w:rPr>
          <w:rFonts w:ascii="Times New Roman" w:eastAsia="Times New Roman" w:hAnsi="Times New Roman" w:cs="Times New Roman"/>
        </w:rPr>
        <w:t>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609907B9" w14:textId="77777777" w:rsidR="001F4A22" w:rsidRPr="00536EF5" w:rsidRDefault="001F4A22" w:rsidP="001F4A22">
      <w:pPr>
        <w:rPr>
          <w:rFonts w:ascii="Times New Roman" w:eastAsia="Times New Roman" w:hAnsi="Times New Roman" w:cs="Times New Roman"/>
        </w:rPr>
      </w:pPr>
    </w:p>
    <w:p w14:paraId="69CA2BC1" w14:textId="77777777" w:rsidR="001F4A22" w:rsidRPr="00536EF5" w:rsidRDefault="001F4A22" w:rsidP="750671CE">
      <w:pPr>
        <w:rPr>
          <w:rFonts w:ascii="Times New Roman" w:eastAsia="Times New Roman" w:hAnsi="Times New Roman" w:cs="Times New Roman"/>
        </w:rPr>
      </w:pPr>
      <w:r w:rsidRPr="00536EF5">
        <w:rPr>
          <w:rFonts w:ascii="Times New Roman" w:eastAsia="Times New Roman" w:hAnsi="Times New Roman" w:cs="Times New Roman"/>
        </w:rPr>
        <w:tab/>
        <w:t>Order affirmed.</w:t>
      </w:r>
    </w:p>
    <w:p w14:paraId="0BFD8C5E" w14:textId="77777777" w:rsidR="001F4A22" w:rsidRDefault="001F4A22" w:rsidP="007C1411">
      <w:pPr>
        <w:rPr>
          <w:rFonts w:ascii="Times New Roman" w:eastAsia="Times New Roman" w:hAnsi="Times New Roman" w:cs="Times New Roman"/>
          <w:b/>
        </w:rPr>
      </w:pPr>
    </w:p>
    <w:p w14:paraId="689BFD50" w14:textId="77777777" w:rsidR="007C1411" w:rsidRPr="00536EF5" w:rsidRDefault="007C1411" w:rsidP="007C1411">
      <w:pPr>
        <w:rPr>
          <w:rFonts w:ascii="Times New Roman" w:eastAsia="Times New Roman" w:hAnsi="Times New Roman" w:cs="Times New Roman"/>
          <w:b/>
        </w:rPr>
      </w:pPr>
    </w:p>
    <w:p w14:paraId="18FEB24A" w14:textId="77777777" w:rsidR="001F4A22" w:rsidRPr="00E10F57" w:rsidRDefault="001F4A22" w:rsidP="002502CC">
      <w:pPr>
        <w:pStyle w:val="Heading4"/>
      </w:pPr>
      <w:bookmarkStart w:id="119" w:name="_Toc364636060"/>
      <w:bookmarkStart w:id="120" w:name="_Toc518323221"/>
      <w:r w:rsidRPr="00E10F57">
        <w:t>Notes</w:t>
      </w:r>
      <w:bookmarkEnd w:id="119"/>
      <w:bookmarkEnd w:id="120"/>
    </w:p>
    <w:p w14:paraId="7E0A86F0" w14:textId="77777777" w:rsidR="001F4A22" w:rsidRDefault="001F4A22" w:rsidP="006F1186">
      <w:pPr>
        <w:rPr>
          <w:rFonts w:ascii="Times New Roman" w:eastAsia="Times New Roman" w:hAnsi="Times New Roman" w:cs="Times New Roman"/>
          <w:b/>
        </w:rPr>
      </w:pPr>
    </w:p>
    <w:p w14:paraId="4781A344" w14:textId="77777777" w:rsidR="006F1186" w:rsidRPr="00536EF5" w:rsidRDefault="006F1186" w:rsidP="006F1186">
      <w:pPr>
        <w:rPr>
          <w:rFonts w:ascii="Times New Roman" w:eastAsia="Times New Roman" w:hAnsi="Times New Roman" w:cs="Times New Roman"/>
          <w:b/>
        </w:rPr>
      </w:pPr>
    </w:p>
    <w:p w14:paraId="74E79F05" w14:textId="5C39A44A" w:rsidR="001F4A22" w:rsidRPr="00F94B7E" w:rsidRDefault="750671CE" w:rsidP="00F94B7E">
      <w:pPr>
        <w:pStyle w:val="ListParagraph"/>
        <w:numPr>
          <w:ilvl w:val="0"/>
          <w:numId w:val="6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Consent or utility?</w:t>
      </w:r>
      <w:r w:rsidRPr="00F94B7E">
        <w:rPr>
          <w:rFonts w:ascii="Times New Roman" w:eastAsia="Times New Roman" w:hAnsi="Times New Roman" w:cs="Times New Roman"/>
        </w:rPr>
        <w:t xml:space="preserve">  The operation was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 every way successful and skillfully performed.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No one seems to have doubted that the surgeon adopted the prudent course of action once the operation had begun.  Moreover, the surgeon even consulted with his patient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family doctor during the surgery.  To have obtained permission from the patient herself would have required that she be brought out of anesthesia and then put back under, no easy feat at the time, and a procedure with considerable risks to the patient herself.  </w:t>
      </w:r>
    </w:p>
    <w:p w14:paraId="74CC6A24" w14:textId="77777777" w:rsidR="001F4A22" w:rsidRDefault="001F4A22" w:rsidP="001F4A22">
      <w:pPr>
        <w:rPr>
          <w:rFonts w:ascii="Times New Roman" w:eastAsia="Times New Roman" w:hAnsi="Times New Roman" w:cs="Times New Roman"/>
        </w:rPr>
      </w:pPr>
    </w:p>
    <w:p w14:paraId="6110D37F" w14:textId="65B0E390" w:rsidR="001F4A22" w:rsidRPr="004F0A58" w:rsidRDefault="001F4A22" w:rsidP="750671CE">
      <w:pPr>
        <w:rPr>
          <w:rFonts w:ascii="Times New Roman" w:eastAsia="Times New Roman" w:hAnsi="Times New Roman" w:cs="Times New Roman"/>
        </w:rPr>
      </w:pPr>
      <w:r>
        <w:rPr>
          <w:rFonts w:ascii="Times New Roman" w:eastAsia="Times New Roman" w:hAnsi="Times New Roman" w:cs="Times New Roman"/>
        </w:rPr>
        <w:tab/>
        <w:t>Why on earth, then, would the court conclude that the undoubtedly correct surgical decision was nonetheless a battery on the plaintiff?  Isn</w:t>
      </w:r>
      <w:r w:rsidR="00B05F31">
        <w:rPr>
          <w:rFonts w:ascii="Times New Roman" w:eastAsia="Times New Roman" w:hAnsi="Times New Roman" w:cs="Times New Roman"/>
        </w:rPr>
        <w:t>’</w:t>
      </w:r>
      <w:r>
        <w:rPr>
          <w:rFonts w:ascii="Times New Roman" w:eastAsia="Times New Roman" w:hAnsi="Times New Roman" w:cs="Times New Roman"/>
        </w:rPr>
        <w:t xml:space="preserve">t this a wasteful decision, requiring future doctors and patients to expend unnecessary and foolish resources in time, money, and health?  </w:t>
      </w:r>
    </w:p>
    <w:p w14:paraId="5D8EA90B" w14:textId="77777777" w:rsidR="001F4A22" w:rsidRDefault="001F4A22" w:rsidP="001F4A22">
      <w:pPr>
        <w:rPr>
          <w:rFonts w:ascii="Times New Roman" w:eastAsia="Times New Roman" w:hAnsi="Times New Roman" w:cs="Times New Roman"/>
        </w:rPr>
      </w:pPr>
    </w:p>
    <w:p w14:paraId="44F7F924" w14:textId="77777777" w:rsidR="001F4A22" w:rsidRPr="004F0A58" w:rsidRDefault="001F4A22" w:rsidP="001F4A22">
      <w:pPr>
        <w:rPr>
          <w:rFonts w:ascii="Times New Roman" w:eastAsia="Times New Roman" w:hAnsi="Times New Roman" w:cs="Times New Roman"/>
        </w:rPr>
      </w:pPr>
    </w:p>
    <w:p w14:paraId="781DB45D" w14:textId="2DB514C6" w:rsidR="001F4A22" w:rsidRPr="00F94B7E" w:rsidRDefault="750671CE" w:rsidP="00F94B7E">
      <w:pPr>
        <w:pStyle w:val="ListParagraph"/>
        <w:numPr>
          <w:ilvl w:val="0"/>
          <w:numId w:val="6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Identifying </w:t>
      </w:r>
      <w:r w:rsidR="00C8663D" w:rsidRPr="00F94B7E">
        <w:rPr>
          <w:rFonts w:ascii="Times New Roman" w:eastAsia="Times New Roman" w:hAnsi="Times New Roman" w:cs="Times New Roman"/>
          <w:i/>
          <w:iCs/>
        </w:rPr>
        <w:t>c</w:t>
      </w:r>
      <w:r w:rsidRPr="00F94B7E">
        <w:rPr>
          <w:rFonts w:ascii="Times New Roman" w:eastAsia="Times New Roman" w:hAnsi="Times New Roman" w:cs="Times New Roman"/>
          <w:i/>
          <w:iCs/>
        </w:rPr>
        <w:t>onsent.</w:t>
      </w:r>
      <w:r w:rsidRPr="00F94B7E">
        <w:rPr>
          <w:rFonts w:ascii="Times New Roman" w:eastAsia="Times New Roman" w:hAnsi="Times New Roman" w:cs="Times New Roman"/>
        </w:rPr>
        <w:t xml:space="preserve">  It is not always easy to identify when consent has taken place.  Consider </w:t>
      </w:r>
      <w:r w:rsidRPr="00F94B7E">
        <w:rPr>
          <w:rFonts w:ascii="Times New Roman" w:eastAsia="Times New Roman" w:hAnsi="Times New Roman" w:cs="Times New Roman"/>
          <w:i/>
          <w:iCs/>
        </w:rPr>
        <w:t>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Brien v. Cunard Steamship Co.</w:t>
      </w:r>
      <w:r w:rsidRPr="00F94B7E">
        <w:rPr>
          <w:rFonts w:ascii="Times New Roman" w:eastAsia="Times New Roman" w:hAnsi="Times New Roman" w:cs="Times New Roman"/>
        </w:rPr>
        <w:t>, 28 N.E. 266 (Mass. 1891), in which a steerage passenger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steamship brought an action for intentional tort alleging that defendant administered a contaminated vaccine without her consent.  Plaintiff never said to anyone that she desired to be vaccinated.  To the contrary, she told the 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surgeon that she had already been vaccinated, though it had left no mark.  On the other hand, plaintiff waited in a line with 200 other women who were all vaccinated; plaintiff presented her arm to the surgeon as the women before her had done; and plaintiff used the vaccination card she received to gain admission to the United States at the port of Boston.  </w:t>
      </w:r>
    </w:p>
    <w:p w14:paraId="269D4F45" w14:textId="77777777" w:rsidR="001F4A22" w:rsidRDefault="001F4A22" w:rsidP="001F4A22">
      <w:pPr>
        <w:rPr>
          <w:rFonts w:ascii="Times New Roman" w:eastAsia="Times New Roman" w:hAnsi="Times New Roman" w:cs="Times New Roman"/>
        </w:rPr>
      </w:pPr>
    </w:p>
    <w:p w14:paraId="7BF6CABA" w14:textId="77777777"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Writing for the court, Judge Knowlton, held that the question of consent turned on a broad reading of the surrounding facts and circumstances:</w:t>
      </w:r>
    </w:p>
    <w:p w14:paraId="45CC3868" w14:textId="77777777" w:rsidR="001F4A22" w:rsidRPr="00536EF5" w:rsidRDefault="001F4A22" w:rsidP="001F4A22">
      <w:pPr>
        <w:rPr>
          <w:rFonts w:ascii="Times New Roman" w:eastAsia="Times New Roman" w:hAnsi="Times New Roman" w:cs="Times New Roman"/>
        </w:rPr>
      </w:pPr>
    </w:p>
    <w:p w14:paraId="469CCAEB" w14:textId="29281E75" w:rsidR="001F4A22" w:rsidRDefault="750671CE" w:rsidP="00F94B7E">
      <w:pPr>
        <w:pStyle w:val="blockquote"/>
      </w:pPr>
      <w:r w:rsidRPr="750671CE">
        <w:t>In determining whether the act was lawful or unlawful, the surgeon</w:t>
      </w:r>
      <w:r w:rsidR="00B05F31">
        <w:t>’</w:t>
      </w:r>
      <w:r w:rsidRPr="750671CE">
        <w:t>s conduct must be considered in connection with the surrounding circumstances. If the plaintiff</w:t>
      </w:r>
      <w:r w:rsidR="00B05F31">
        <w:t>’</w:t>
      </w:r>
      <w:r w:rsidRPr="750671CE">
        <w:t xml:space="preserve">s behavior was such as to indicate consent on her part, he was justified in his act, whatever her unexpressed feelings may have been. In determining whether she consented, he could be guided only by her overt acts and the manifestations of her feelings. </w:t>
      </w:r>
    </w:p>
    <w:p w14:paraId="08216ABF" w14:textId="77777777" w:rsidR="001F4A22" w:rsidRDefault="001F4A22" w:rsidP="001F4A22">
      <w:pPr>
        <w:rPr>
          <w:rFonts w:ascii="Times New Roman" w:eastAsia="Times New Roman" w:hAnsi="Times New Roman" w:cs="Times New Roman"/>
        </w:rPr>
      </w:pPr>
    </w:p>
    <w:p w14:paraId="0508DEE8" w14:textId="33095C31"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The court concluded about the women passengers that </w:t>
      </w:r>
      <w:r w:rsidR="00B05F31">
        <w:rPr>
          <w:rFonts w:ascii="Times New Roman" w:eastAsia="Times New Roman" w:hAnsi="Times New Roman" w:cs="Times New Roman"/>
        </w:rPr>
        <w:t>“</w:t>
      </w:r>
      <w:r w:rsidRPr="750671CE">
        <w:rPr>
          <w:rFonts w:ascii="Times New Roman" w:eastAsia="Times New Roman" w:hAnsi="Times New Roman" w:cs="Times New Roman"/>
        </w:rPr>
        <w:t>[t]hey all indicated by their conduct that they desired to avail themselves of the provisions made for their benefit.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28 N.E. at 273-74.  Does this kind of consent-by-conduct allay the kinds of concerns that motivate the consent requirement in the first place?  </w:t>
      </w:r>
    </w:p>
    <w:p w14:paraId="405C22A1" w14:textId="77777777" w:rsidR="001F4A22" w:rsidRDefault="001F4A22" w:rsidP="001F4A22">
      <w:pPr>
        <w:rPr>
          <w:rFonts w:ascii="Times New Roman" w:eastAsia="Times New Roman" w:hAnsi="Times New Roman" w:cs="Times New Roman"/>
          <w:i/>
        </w:rPr>
      </w:pPr>
    </w:p>
    <w:p w14:paraId="29A944BE" w14:textId="77777777" w:rsidR="001F4A22" w:rsidRDefault="001F4A22" w:rsidP="001F4A22">
      <w:pPr>
        <w:rPr>
          <w:rFonts w:ascii="Times New Roman" w:eastAsia="Times New Roman" w:hAnsi="Times New Roman" w:cs="Times New Roman"/>
          <w:i/>
        </w:rPr>
      </w:pPr>
    </w:p>
    <w:p w14:paraId="5DBF0716" w14:textId="4726296E" w:rsidR="001F4A22" w:rsidRPr="00F94B7E" w:rsidRDefault="750671CE" w:rsidP="00F94B7E">
      <w:pPr>
        <w:pStyle w:val="ListParagraph"/>
        <w:numPr>
          <w:ilvl w:val="0"/>
          <w:numId w:val="67"/>
        </w:numPr>
        <w:ind w:left="0" w:firstLine="360"/>
        <w:rPr>
          <w:rFonts w:ascii="Times New Roman" w:eastAsia="Times New Roman" w:hAnsi="Times New Roman" w:cs="Times New Roman"/>
          <w:b/>
          <w:bCs/>
          <w:i/>
          <w:iCs/>
        </w:rPr>
      </w:pPr>
      <w:r w:rsidRPr="00F94B7E">
        <w:rPr>
          <w:rFonts w:ascii="Times New Roman" w:eastAsia="Times New Roman" w:hAnsi="Times New Roman" w:cs="Times New Roman"/>
          <w:i/>
          <w:iCs/>
        </w:rPr>
        <w:t>Boilerplate consent</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Modern consent mechanisms in the medical care context are radically different from the informal inferences of </w:t>
      </w:r>
      <w:r w:rsidRPr="00F94B7E">
        <w:rPr>
          <w:rFonts w:ascii="Times New Roman" w:eastAsia="Times New Roman" w:hAnsi="Times New Roman" w:cs="Times New Roman"/>
          <w:i/>
          <w:iCs/>
        </w:rPr>
        <w:t>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Brien</w:t>
      </w:r>
      <w:r w:rsidRPr="00F94B7E">
        <w:rPr>
          <w:rFonts w:ascii="Times New Roman" w:eastAsia="Times New Roman" w:hAnsi="Times New Roman" w:cs="Times New Roman"/>
        </w:rPr>
        <w:t>.  Establishing consent in a medical context is now a matter of detailed medical paperwork.  Consider the following excerpt from a standardized consent form at Yale-New Haven Hospital:</w:t>
      </w:r>
    </w:p>
    <w:p w14:paraId="047FBD93" w14:textId="77777777" w:rsidR="001F4A22" w:rsidRDefault="001F4A22" w:rsidP="002A589D">
      <w:pPr>
        <w:rPr>
          <w:rFonts w:ascii="Times New Roman" w:eastAsia="Times New Roman" w:hAnsi="Times New Roman" w:cs="Times New Roman"/>
          <w:b/>
        </w:rPr>
      </w:pPr>
    </w:p>
    <w:p w14:paraId="33985711" w14:textId="77777777" w:rsidR="001F4A22" w:rsidRPr="00536EF5" w:rsidRDefault="001F4A22" w:rsidP="002A589D">
      <w:pPr>
        <w:rPr>
          <w:rFonts w:ascii="Times New Roman" w:eastAsia="Times New Roman" w:hAnsi="Times New Roman" w:cs="Times New Roman"/>
          <w:b/>
        </w:rPr>
      </w:pPr>
    </w:p>
    <w:p w14:paraId="7650F686"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SECTION A</w:t>
      </w:r>
    </w:p>
    <w:p w14:paraId="1B0E5A3C"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After discussing other options, including no treatment, with my doctor, I ask Dr. _____________________________  and/or his/her partners to perform the following procedure(s): ____________________________________________ ______________________________________________________________________________________________ </w:t>
      </w:r>
      <w:r w:rsidRPr="750671CE">
        <w:rPr>
          <w:rFonts w:ascii="Times New Roman" w:eastAsia="Times New Roman" w:hAnsi="Times New Roman" w:cs="Times New Roman"/>
          <w:i/>
          <w:iCs/>
        </w:rPr>
        <w:t xml:space="preserve">Name or description of operation(s), procedure(s) and/or treatment(s). Indicate applicable level, side, or site. </w:t>
      </w:r>
      <w:r w:rsidRPr="750671CE">
        <w:rPr>
          <w:rFonts w:ascii="Times New Roman" w:eastAsia="Times New Roman" w:hAnsi="Times New Roman" w:cs="Times New Roman"/>
        </w:rPr>
        <w:t xml:space="preserve"> I understand that this procedure is for purposes of __________________________________________________ </w:t>
      </w:r>
    </w:p>
    <w:p w14:paraId="10A8647A"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give permission to my doctor to do whatever may be necessary if there is a complication or unforeseen condition  during my procedure. </w:t>
      </w:r>
    </w:p>
    <w:p w14:paraId="27234409"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My doctor has explained to me that some possible complications of the procedure(s) can include: </w:t>
      </w:r>
    </w:p>
    <w:p w14:paraId="0EF5CB17" w14:textId="77777777" w:rsidR="001F4A22" w:rsidRPr="00536EF5" w:rsidRDefault="750671CE" w:rsidP="00BB34A5">
      <w:pPr>
        <w:numPr>
          <w:ilvl w:val="1"/>
          <w:numId w:val="2"/>
        </w:numPr>
        <w:rPr>
          <w:rFonts w:ascii="Times New Roman" w:eastAsia="Times New Roman" w:hAnsi="Times New Roman" w:cs="Times New Roman"/>
        </w:rPr>
      </w:pPr>
      <w:r w:rsidRPr="750671CE">
        <w:rPr>
          <w:rFonts w:ascii="Times New Roman" w:eastAsia="Times New Roman" w:hAnsi="Times New Roman" w:cs="Times New Roman"/>
        </w:rPr>
        <w:t xml:space="preserve">Bleeding; infection; accidental injury of other body parts; my condition returning or not being improved; or, possibly, death. </w:t>
      </w:r>
    </w:p>
    <w:p w14:paraId="067CDF37" w14:textId="77777777" w:rsidR="001F4A22" w:rsidRPr="00536EF5" w:rsidRDefault="750671CE" w:rsidP="00BB34A5">
      <w:pPr>
        <w:numPr>
          <w:ilvl w:val="1"/>
          <w:numId w:val="2"/>
        </w:numPr>
        <w:rPr>
          <w:rFonts w:ascii="Times New Roman" w:eastAsia="Times New Roman" w:hAnsi="Times New Roman" w:cs="Times New Roman"/>
        </w:rPr>
      </w:pPr>
      <w:r w:rsidRPr="750671CE">
        <w:rPr>
          <w:rFonts w:ascii="Times New Roman" w:eastAsia="Times New Roman" w:hAnsi="Times New Roman" w:cs="Times New Roman"/>
        </w:rPr>
        <w:t xml:space="preserve">My doctor has discussed with me the additional risks listed below and their chances of happening. I do understand that other things can happen as well._____________________________________________________ __________________________________________________________________ </w:t>
      </w:r>
    </w:p>
    <w:p w14:paraId="7F8BFABF"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lastRenderedPageBreak/>
        <w:t>I understand that Yale-New Haven is a teaching hospital. Doctors who are in training may help my doctor with the procedure. My doctor will supervise these trainees and will be present at all import</w:t>
      </w:r>
      <w:r w:rsidR="00441E5D">
        <w:rPr>
          <w:rFonts w:ascii="Times New Roman" w:eastAsia="Times New Roman" w:hAnsi="Times New Roman" w:cs="Times New Roman"/>
        </w:rPr>
        <w:t xml:space="preserve">ant times during the procedure. </w:t>
      </w:r>
      <w:r w:rsidRPr="750671CE">
        <w:rPr>
          <w:rFonts w:ascii="Times New Roman" w:eastAsia="Times New Roman" w:hAnsi="Times New Roman" w:cs="Times New Roman"/>
        </w:rPr>
        <w:t>I also understand that my doctor</w:t>
      </w:r>
      <w:r w:rsidR="00B05F31">
        <w:rPr>
          <w:rFonts w:ascii="Times New Roman" w:eastAsia="Times New Roman" w:hAnsi="Times New Roman" w:cs="Times New Roman"/>
        </w:rPr>
        <w:t>’</w:t>
      </w:r>
      <w:r w:rsidRPr="750671CE">
        <w:rPr>
          <w:rFonts w:ascii="Times New Roman" w:eastAsia="Times New Roman" w:hAnsi="Times New Roman" w:cs="Times New Roman"/>
        </w:rPr>
        <w:t>s associate(s), surgical assistants and/or other non-physicians or trainees may assist or perform parts of the procedure under my doctor</w:t>
      </w:r>
      <w:r w:rsidR="00B05F31">
        <w:rPr>
          <w:rFonts w:ascii="Times New Roman" w:eastAsia="Times New Roman" w:hAnsi="Times New Roman" w:cs="Times New Roman"/>
        </w:rPr>
        <w:t>’</w:t>
      </w:r>
      <w:r w:rsidRPr="750671CE">
        <w:rPr>
          <w:rFonts w:ascii="Times New Roman" w:eastAsia="Times New Roman" w:hAnsi="Times New Roman" w:cs="Times New Roman"/>
        </w:rPr>
        <w:t>s supervision, as permitted by law and hospital p</w:t>
      </w:r>
      <w:r w:rsidR="00441E5D">
        <w:rPr>
          <w:rFonts w:ascii="Times New Roman" w:eastAsia="Times New Roman" w:hAnsi="Times New Roman" w:cs="Times New Roman"/>
        </w:rPr>
        <w:t xml:space="preserve">olicy. </w:t>
      </w:r>
      <w:r w:rsidRPr="750671CE">
        <w:rPr>
          <w:rFonts w:ascii="Times New Roman" w:eastAsia="Times New Roman" w:hAnsi="Times New Roman" w:cs="Times New Roman"/>
        </w:rPr>
        <w:t xml:space="preserve">If others who are not hospital staff will be present in the operating room, my doctor has spoken with me about this. </w:t>
      </w:r>
    </w:p>
    <w:p w14:paraId="5B6573FE"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536EF5" w:rsidRDefault="750671CE" w:rsidP="00BB34A5">
      <w:pPr>
        <w:numPr>
          <w:ilvl w:val="0"/>
          <w:numId w:val="2"/>
        </w:numPr>
        <w:rPr>
          <w:rFonts w:ascii="Times New Roman" w:eastAsia="Times New Roman" w:hAnsi="Times New Roman" w:cs="Times New Roman"/>
        </w:rPr>
      </w:pPr>
      <w:r w:rsidRPr="750671CE">
        <w:rPr>
          <w:rFonts w:ascii="Times New Roman" w:eastAsia="Times New Roman" w:hAnsi="Times New Roman" w:cs="Times New Roman"/>
        </w:rPr>
        <w:t xml:space="preserve">I give permission to the hospital and the above-named doctor to photograph and/or videotape the procedure(s) for medical, scientific, or educational purposes. </w:t>
      </w:r>
    </w:p>
    <w:p w14:paraId="03F6B363" w14:textId="77777777" w:rsidR="001F4A22" w:rsidRPr="00536EF5" w:rsidRDefault="001F4A22" w:rsidP="001F4A22">
      <w:pPr>
        <w:ind w:left="720"/>
        <w:rPr>
          <w:rFonts w:ascii="Times New Roman" w:eastAsia="Times New Roman" w:hAnsi="Times New Roman" w:cs="Times New Roman"/>
        </w:rPr>
      </w:pPr>
    </w:p>
    <w:p w14:paraId="2A4C995C"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Consent signed on _____________, 20__ at _______________AM / PM</w:t>
      </w:r>
    </w:p>
    <w:p w14:paraId="57A42155"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_____________________________________</w:t>
      </w:r>
    </w:p>
    <w:p w14:paraId="4E9F9B96"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Signature of Patient or Guardian (Circle one)</w:t>
      </w:r>
    </w:p>
    <w:p w14:paraId="5C209DEF"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_____________________________________</w:t>
      </w:r>
    </w:p>
    <w:p w14:paraId="6A57CEDC"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Signature of Doctor Performing Procedure</w:t>
      </w:r>
    </w:p>
    <w:p w14:paraId="45A7C37C"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_____________________________________</w:t>
      </w:r>
    </w:p>
    <w:p w14:paraId="500345A9"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Signature of Person Obtaining Consent</w:t>
      </w:r>
    </w:p>
    <w:p w14:paraId="28944787"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___________________________________</w:t>
      </w:r>
    </w:p>
    <w:p w14:paraId="5B88C56E"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Printed Name</w:t>
      </w:r>
    </w:p>
    <w:p w14:paraId="290B006D"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____________________________________</w:t>
      </w:r>
    </w:p>
    <w:p w14:paraId="261C2BEB" w14:textId="77777777" w:rsidR="001F4A22" w:rsidRPr="0016654B"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Printed Name</w:t>
      </w:r>
    </w:p>
    <w:p w14:paraId="21CD9371" w14:textId="77777777" w:rsidR="001F4A22" w:rsidRDefault="001F4A22" w:rsidP="001F4A22">
      <w:pPr>
        <w:rPr>
          <w:rFonts w:ascii="Times New Roman" w:eastAsia="Times New Roman" w:hAnsi="Times New Roman" w:cs="Times New Roman"/>
          <w:b/>
        </w:rPr>
      </w:pPr>
    </w:p>
    <w:p w14:paraId="669E0AF3" w14:textId="77777777" w:rsidR="001F4A22" w:rsidRDefault="001F4A22" w:rsidP="001F4A22">
      <w:pPr>
        <w:rPr>
          <w:rFonts w:ascii="Times New Roman" w:eastAsia="Times New Roman" w:hAnsi="Times New Roman" w:cs="Times New Roman"/>
        </w:rPr>
      </w:pPr>
    </w:p>
    <w:p w14:paraId="02E58ECC" w14:textId="1E1038B4" w:rsidR="001F4A22" w:rsidRPr="0071183E" w:rsidRDefault="750671CE" w:rsidP="001F4A22">
      <w:pPr>
        <w:rPr>
          <w:rFonts w:ascii="Times New Roman" w:eastAsia="Times New Roman" w:hAnsi="Times New Roman" w:cs="Times New Roman"/>
        </w:rPr>
      </w:pPr>
      <w:r w:rsidRPr="750671CE">
        <w:rPr>
          <w:rFonts w:ascii="Times New Roman" w:eastAsia="Times New Roman" w:hAnsi="Times New Roman" w:cs="Times New Roman"/>
        </w:rPr>
        <w:t xml:space="preserve">Do boilerplate consent forms of modern medical practice undo the decision in </w:t>
      </w:r>
      <w:r w:rsidRPr="750671CE">
        <w:rPr>
          <w:rFonts w:ascii="Times New Roman" w:eastAsia="Times New Roman" w:hAnsi="Times New Roman" w:cs="Times New Roman"/>
          <w:i/>
          <w:iCs/>
        </w:rPr>
        <w:t>Mohr</w:t>
      </w:r>
      <w:r w:rsidRPr="750671CE">
        <w:rPr>
          <w:rFonts w:ascii="Times New Roman" w:eastAsia="Times New Roman" w:hAnsi="Times New Roman" w:cs="Times New Roman"/>
        </w:rPr>
        <w:t xml:space="preserve">?  Or do they vindicate it?  What if the consent form said only the following: </w:t>
      </w:r>
      <w:r w:rsidR="00B05F31">
        <w:rPr>
          <w:rFonts w:ascii="Times New Roman" w:eastAsia="Times New Roman" w:hAnsi="Times New Roman" w:cs="Times New Roman"/>
        </w:rPr>
        <w:t>“</w:t>
      </w:r>
      <w:r w:rsidRPr="750671CE">
        <w:rPr>
          <w:rFonts w:ascii="Times New Roman" w:eastAsia="Times New Roman" w:hAnsi="Times New Roman" w:cs="Times New Roman"/>
        </w:rPr>
        <w:t>I give permission to my doctor to do whatever she or he deems advisable for my health and wellbeing during my procedure.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Would this undo the decision in </w:t>
      </w:r>
      <w:r w:rsidRPr="750671CE">
        <w:rPr>
          <w:rFonts w:ascii="Times New Roman" w:eastAsia="Times New Roman" w:hAnsi="Times New Roman" w:cs="Times New Roman"/>
          <w:i/>
          <w:iCs/>
        </w:rPr>
        <w:t>Mohr</w:t>
      </w:r>
      <w:r w:rsidRPr="750671CE">
        <w:rPr>
          <w:rFonts w:ascii="Times New Roman" w:eastAsia="Times New Roman" w:hAnsi="Times New Roman" w:cs="Times New Roman"/>
        </w:rPr>
        <w:t>?</w:t>
      </w:r>
    </w:p>
    <w:p w14:paraId="3BA3D717" w14:textId="77777777" w:rsidR="001F4A22" w:rsidRDefault="001F4A22" w:rsidP="001F4A22">
      <w:pPr>
        <w:pStyle w:val="ListParagraph"/>
        <w:ind w:left="1080"/>
        <w:rPr>
          <w:rFonts w:ascii="Times New Roman" w:eastAsia="Times New Roman" w:hAnsi="Times New Roman" w:cs="Times New Roman"/>
          <w:b/>
        </w:rPr>
      </w:pPr>
    </w:p>
    <w:p w14:paraId="177F62EE" w14:textId="77777777" w:rsidR="001F4A22" w:rsidRPr="00536EF5" w:rsidRDefault="001F4A22" w:rsidP="001F4A22">
      <w:pPr>
        <w:pStyle w:val="ListParagraph"/>
        <w:ind w:left="1080"/>
        <w:rPr>
          <w:rFonts w:ascii="Times New Roman" w:eastAsia="Times New Roman" w:hAnsi="Times New Roman" w:cs="Times New Roman"/>
          <w:b/>
        </w:rPr>
      </w:pPr>
    </w:p>
    <w:p w14:paraId="0D02F937" w14:textId="77777777" w:rsidR="001F4A22" w:rsidRPr="00845FCF" w:rsidRDefault="001F4A22" w:rsidP="00322687">
      <w:pPr>
        <w:pStyle w:val="Heading3"/>
      </w:pPr>
      <w:bookmarkStart w:id="121" w:name="_Toc364636061"/>
      <w:bookmarkStart w:id="122" w:name="_Toc518323222"/>
      <w:r w:rsidRPr="00845FCF">
        <w:t>5.  Necessity</w:t>
      </w:r>
      <w:bookmarkEnd w:id="121"/>
      <w:bookmarkEnd w:id="122"/>
    </w:p>
    <w:p w14:paraId="461F61A9" w14:textId="77777777" w:rsidR="001F4A22" w:rsidRPr="00536EF5" w:rsidRDefault="001F4A22" w:rsidP="001F4A22">
      <w:pPr>
        <w:pStyle w:val="ListParagraph"/>
        <w:ind w:left="1080"/>
        <w:rPr>
          <w:rFonts w:ascii="Times New Roman" w:eastAsia="Times New Roman" w:hAnsi="Times New Roman" w:cs="Times New Roman"/>
          <w:b/>
        </w:rPr>
      </w:pPr>
    </w:p>
    <w:p w14:paraId="3CF27074" w14:textId="77777777" w:rsidR="001F4A22" w:rsidRPr="004200C2" w:rsidRDefault="001F4A22" w:rsidP="750671CE">
      <w:pPr>
        <w:rPr>
          <w:rFonts w:ascii="Times New Roman" w:eastAsia="Times New Roman" w:hAnsi="Times New Roman" w:cs="Times New Roman"/>
          <w:b/>
          <w:bCs/>
        </w:rPr>
      </w:pPr>
      <w:bookmarkStart w:id="123" w:name="_Toc518323223"/>
      <w:r w:rsidRPr="00F94B7E">
        <w:rPr>
          <w:rStyle w:val="Heading4Char"/>
          <w:rFonts w:eastAsiaTheme="minorEastAsia"/>
        </w:rPr>
        <w:t>Ploof v. Putnam</w:t>
      </w:r>
      <w:bookmarkEnd w:id="123"/>
      <w:r w:rsidRPr="007521C2">
        <w:rPr>
          <w:rFonts w:ascii="Times New Roman" w:eastAsia="Times New Roman" w:hAnsi="Times New Roman" w:cs="Times New Roman"/>
          <w:b/>
          <w:bCs/>
        </w:rPr>
        <w:t>, 71</w:t>
      </w:r>
      <w:r w:rsidRPr="750671CE">
        <w:rPr>
          <w:rFonts w:ascii="Times New Roman" w:eastAsia="Times New Roman" w:hAnsi="Times New Roman" w:cs="Times New Roman"/>
          <w:b/>
          <w:bCs/>
        </w:rPr>
        <w:t xml:space="preserve"> A. 188 (Vt. 1908)</w:t>
      </w:r>
    </w:p>
    <w:p w14:paraId="4E7B8528" w14:textId="77777777" w:rsidR="00B21491" w:rsidRDefault="00B21491" w:rsidP="001F4A22">
      <w:pPr>
        <w:rPr>
          <w:rFonts w:ascii="Times New Roman" w:eastAsia="Times New Roman" w:hAnsi="Times New Roman" w:cs="Times New Roman"/>
          <w:smallCaps/>
        </w:rPr>
      </w:pPr>
    </w:p>
    <w:p w14:paraId="583096E8" w14:textId="77777777" w:rsidR="001F4A22" w:rsidRPr="00845FCF" w:rsidRDefault="001F4A22" w:rsidP="001F4A22">
      <w:pPr>
        <w:rPr>
          <w:rFonts w:ascii="Times New Roman" w:eastAsia="Times New Roman" w:hAnsi="Times New Roman" w:cs="Times New Roman"/>
          <w:smallCaps/>
          <w:vanish/>
        </w:rPr>
      </w:pPr>
      <w:r w:rsidRPr="00845FCF">
        <w:rPr>
          <w:rFonts w:ascii="Times New Roman" w:eastAsia="Times New Roman" w:hAnsi="Times New Roman" w:cs="Times New Roman"/>
          <w:smallCaps/>
          <w:noProof/>
          <w:vanish/>
          <w:lang w:eastAsia="en-US"/>
        </w:rPr>
        <w:drawing>
          <wp:inline distT="0" distB="0" distL="0" distR="0" wp14:anchorId="525AA832" wp14:editId="7AF36AB7">
            <wp:extent cx="2854960" cy="10160"/>
            <wp:effectExtent l="0" t="0" r="0" b="0"/>
            <wp:docPr id="4" name="Picture 4" descr="https://ia.next.westlaw.com/StaticContent_22.3.1011/images/co_docDelivery_dotted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a.next.westlaw.com/StaticContent_22.3.1011/images/co_docDelivery_dottedLin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4960" cy="10160"/>
                    </a:xfrm>
                    <a:prstGeom prst="rect">
                      <a:avLst/>
                    </a:prstGeom>
                    <a:noFill/>
                    <a:ln>
                      <a:noFill/>
                    </a:ln>
                  </pic:spPr>
                </pic:pic>
              </a:graphicData>
            </a:graphic>
          </wp:inline>
        </w:drawing>
      </w:r>
    </w:p>
    <w:p w14:paraId="40406941" w14:textId="77777777" w:rsidR="005F28D6" w:rsidRDefault="750671CE" w:rsidP="750671CE">
      <w:pPr>
        <w:tabs>
          <w:tab w:val="left" w:pos="720"/>
        </w:tabs>
        <w:rPr>
          <w:rFonts w:ascii="Times New Roman" w:eastAsia="Times New Roman" w:hAnsi="Times New Roman" w:cs="Times New Roman"/>
        </w:rPr>
      </w:pPr>
      <w:r w:rsidRPr="750671CE">
        <w:rPr>
          <w:rFonts w:ascii="Times New Roman" w:eastAsia="Times New Roman" w:hAnsi="Times New Roman" w:cs="Times New Roman"/>
          <w:smallCaps/>
        </w:rPr>
        <w:t>Munson</w:t>
      </w:r>
      <w:r w:rsidRPr="750671CE">
        <w:rPr>
          <w:rFonts w:ascii="Times New Roman" w:eastAsia="Times New Roman" w:hAnsi="Times New Roman" w:cs="Times New Roman"/>
        </w:rPr>
        <w:t xml:space="preserve">, J.  </w:t>
      </w:r>
    </w:p>
    <w:p w14:paraId="1C6B7715" w14:textId="77777777" w:rsidR="005F28D6" w:rsidRDefault="005F28D6" w:rsidP="750671CE">
      <w:pPr>
        <w:tabs>
          <w:tab w:val="left" w:pos="720"/>
        </w:tabs>
        <w:rPr>
          <w:rFonts w:ascii="Times New Roman" w:eastAsia="Times New Roman" w:hAnsi="Times New Roman" w:cs="Times New Roman"/>
        </w:rPr>
      </w:pPr>
      <w:r>
        <w:rPr>
          <w:rFonts w:ascii="Times New Roman" w:eastAsia="Times New Roman" w:hAnsi="Times New Roman" w:cs="Times New Roman"/>
        </w:rPr>
        <w:tab/>
      </w:r>
    </w:p>
    <w:p w14:paraId="5B1A2F9A" w14:textId="3C6C08A7" w:rsidR="001F4A22" w:rsidRDefault="005F28D6" w:rsidP="750671CE">
      <w:pPr>
        <w:tabs>
          <w:tab w:val="left" w:pos="720"/>
        </w:tabs>
        <w:rPr>
          <w:rFonts w:ascii="Times New Roman" w:eastAsia="Times New Roman" w:hAnsi="Times New Roman" w:cs="Times New Roman"/>
        </w:rPr>
      </w:pPr>
      <w:r>
        <w:rPr>
          <w:rFonts w:ascii="Times New Roman" w:eastAsia="Times New Roman" w:hAnsi="Times New Roman" w:cs="Times New Roman"/>
        </w:rPr>
        <w:tab/>
      </w:r>
      <w:r w:rsidR="750671CE" w:rsidRPr="750671CE">
        <w:rPr>
          <w:rFonts w:ascii="Times New Roman" w:eastAsia="Times New Roman" w:hAnsi="Times New Roman" w:cs="Times New Roman"/>
        </w:rPr>
        <w:t>It is alleged as the ground on recovery that on the 13th day of November 1904, the defendant was the owner of a certain island in Lake Champlain, and of a certain dock attached thereto, which island and dock were then in charge of the defendant</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s servant; that the plaintiff was then possessed of and sailing upon said lake a certain loaded sloop, on which were the plaintiff and his wife and two minor children; that there then arose a sudden and violent tempest, whereby the sloop and the property and persons therein were </w:t>
      </w:r>
      <w:r w:rsidR="750671CE" w:rsidRPr="750671CE">
        <w:rPr>
          <w:rFonts w:ascii="Times New Roman" w:eastAsia="Times New Roman" w:hAnsi="Times New Roman" w:cs="Times New Roman"/>
        </w:rPr>
        <w:lastRenderedPageBreak/>
        <w:t>placed in great danger of destruction; that, to save these from destruction or injury, the plaintiff was compelled to, and did, moor the sloop to defendant</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s dock; that the defendant, by his servant, unmoored the sloop, whereupon it was driven upon the shore by the tempest, without the plaintiff</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s fault; and that the sloop and its contents were thereby destroyed, and the plaintiff and his wife and children cast into the lake and upon the shore, receiving injuries. . . .</w:t>
      </w:r>
    </w:p>
    <w:p w14:paraId="16A10150" w14:textId="77777777" w:rsidR="001F4A22" w:rsidRPr="00536EF5" w:rsidRDefault="001F4A22" w:rsidP="001F4A22">
      <w:pPr>
        <w:tabs>
          <w:tab w:val="left" w:pos="720"/>
        </w:tabs>
        <w:rPr>
          <w:rFonts w:ascii="Times New Roman" w:eastAsia="Times New Roman" w:hAnsi="Times New Roman" w:cs="Times New Roman"/>
        </w:rPr>
      </w:pPr>
    </w:p>
    <w:p w14:paraId="39BC0FC9" w14:textId="3C5621A1" w:rsidR="001F4A22" w:rsidRDefault="001F4A22" w:rsidP="750671CE">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In trespass of cattle taken in A., defendant pleaded that he was seised of C. and found the cattle there damage feasant, and chased them towards the pound, and they escaped from him and went into A., and he presently retook them; and this was held a good plea.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If one have a way over the land of another for his beasts to pass, and the beasts, being properly driven, feed the grass by morsels in passing, or run out of the way and are promptly pursued and brought back, trespass will not lie. </w:t>
      </w:r>
      <w:r w:rsidR="00306C20">
        <w:rPr>
          <w:rFonts w:ascii="Times New Roman" w:eastAsia="Times New Roman" w:hAnsi="Times New Roman" w:cs="Times New Roman"/>
        </w:rPr>
        <w:t xml:space="preserve">. . </w:t>
      </w:r>
      <w:r w:rsidRPr="00536EF5">
        <w:rPr>
          <w:rFonts w:ascii="Times New Roman" w:eastAsia="Times New Roman" w:hAnsi="Times New Roman" w:cs="Times New Roman"/>
        </w:rPr>
        <w:t xml:space="preserve">. A traveler on a highway who finds it obstructed from a sudden and temporary cause may pass upon the adjoining land without becoming a trespasser because of the necessity. </w:t>
      </w:r>
      <w:r w:rsidR="00306C20">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 An entry upon land to save goods which are in danger of being lost or destroyed by water or fire is not a trespass. </w:t>
      </w:r>
      <w:r w:rsidR="00306C20">
        <w:rPr>
          <w:rFonts w:ascii="Times New Roman" w:eastAsia="Times New Roman" w:hAnsi="Times New Roman" w:cs="Times New Roman"/>
        </w:rPr>
        <w:t xml:space="preserve">. . . </w:t>
      </w:r>
      <w:r w:rsidRPr="00536EF5">
        <w:rPr>
          <w:rFonts w:ascii="Times New Roman" w:eastAsia="Times New Roman" w:hAnsi="Times New Roman" w:cs="Times New Roman"/>
        </w:rPr>
        <w:t xml:space="preserve"> In </w:t>
      </w:r>
      <w:r w:rsidRPr="00F94B7E">
        <w:rPr>
          <w:rFonts w:ascii="Times New Roman" w:eastAsia="Times New Roman" w:hAnsi="Times New Roman" w:cs="Times New Roman"/>
          <w:i/>
        </w:rPr>
        <w:t>Proctor v. Adams</w:t>
      </w:r>
      <w:r w:rsidRPr="00536EF5">
        <w:rPr>
          <w:rFonts w:ascii="Times New Roman" w:eastAsia="Times New Roman" w:hAnsi="Times New Roman" w:cs="Times New Roman"/>
        </w:rPr>
        <w:t>, 113 Mass. 376, 18 Am. Rep. 500, the defendant went upon the plaintiff</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beach for the purpose of saving and restoring to the lawful owner a boat which had been driven ashore, and was in danger of being carried off by the sea; and it was held no trespass. </w:t>
      </w:r>
      <w:r w:rsidR="00306C20">
        <w:rPr>
          <w:rFonts w:ascii="Times New Roman" w:eastAsia="Times New Roman" w:hAnsi="Times New Roman" w:cs="Times New Roman"/>
        </w:rPr>
        <w:t xml:space="preserve">. . </w:t>
      </w:r>
      <w:r w:rsidRPr="00536EF5">
        <w:rPr>
          <w:rFonts w:ascii="Times New Roman" w:eastAsia="Times New Roman" w:hAnsi="Times New Roman" w:cs="Times New Roman"/>
        </w:rPr>
        <w:t>.</w:t>
      </w:r>
    </w:p>
    <w:p w14:paraId="7EB674EC" w14:textId="77777777" w:rsidR="001F4A22" w:rsidRPr="00536EF5" w:rsidRDefault="001F4A22" w:rsidP="001F4A22">
      <w:pPr>
        <w:tabs>
          <w:tab w:val="left" w:pos="720"/>
        </w:tabs>
        <w:rPr>
          <w:rFonts w:ascii="Times New Roman" w:eastAsia="Times New Roman" w:hAnsi="Times New Roman" w:cs="Times New Roman"/>
        </w:rPr>
      </w:pPr>
    </w:p>
    <w:p w14:paraId="38B078F2" w14:textId="4CE9A5CB" w:rsidR="001F4A22" w:rsidRDefault="001F4A22" w:rsidP="750671CE">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 xml:space="preserve">This doctrine of necessity applies with special force to the preservation of human life. One assaulted and in peril of his life may run through the close of another to escape from his assailant. </w:t>
      </w:r>
      <w:r w:rsidR="00306C20">
        <w:rPr>
          <w:rFonts w:ascii="Times New Roman" w:eastAsia="Times New Roman" w:hAnsi="Times New Roman" w:cs="Times New Roman"/>
        </w:rPr>
        <w:t>. . .</w:t>
      </w:r>
      <w:r w:rsidRPr="00536EF5">
        <w:rPr>
          <w:rFonts w:ascii="Times New Roman" w:eastAsia="Times New Roman" w:hAnsi="Times New Roman" w:cs="Times New Roman"/>
        </w:rPr>
        <w:t xml:space="preserve"> One may sacrifice the personal property of another to save his life or the lives of his fellows. In </w:t>
      </w:r>
      <w:r w:rsidRPr="00F94B7E">
        <w:rPr>
          <w:rFonts w:ascii="Times New Roman" w:eastAsia="Times New Roman" w:hAnsi="Times New Roman" w:cs="Times New Roman"/>
          <w:i/>
        </w:rPr>
        <w:t>Mouse</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Cas</w:t>
      </w:r>
      <w:r w:rsidRPr="00536EF5">
        <w:rPr>
          <w:rFonts w:ascii="Times New Roman" w:eastAsia="Times New Roman" w:hAnsi="Times New Roman" w:cs="Times New Roman"/>
        </w:rPr>
        <w:t>e, 12 Co. 63, the defendant was sued for taking and carrying away the plaintiff</w:t>
      </w:r>
      <w:r w:rsidR="00B05F31">
        <w:rPr>
          <w:rFonts w:ascii="Times New Roman" w:eastAsia="Times New Roman" w:hAnsi="Times New Roman" w:cs="Times New Roman"/>
        </w:rPr>
        <w:t>’</w:t>
      </w:r>
      <w:r w:rsidRPr="00536EF5">
        <w:rPr>
          <w:rFonts w:ascii="Times New Roman" w:eastAsia="Times New Roman" w:hAnsi="Times New Roman" w:cs="Times New Roman"/>
        </w:rPr>
        <w:t>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rPr>
          <w:rFonts w:ascii="Times New Roman" w:eastAsia="Times New Roman" w:hAnsi="Times New Roman" w:cs="Times New Roman"/>
        </w:rPr>
        <w:t>’</w:t>
      </w:r>
      <w:r w:rsidRPr="00536EF5">
        <w:rPr>
          <w:rFonts w:ascii="Times New Roman" w:eastAsia="Times New Roman" w:hAnsi="Times New Roman" w:cs="Times New Roman"/>
        </w:rPr>
        <w:t>s casket. It was resolved that in case of necessity, to save the lives of the passengers, it was lawful for the defendant, being a passenger, to cast the plaintiff</w:t>
      </w:r>
      <w:r w:rsidR="00B05F31">
        <w:rPr>
          <w:rFonts w:ascii="Times New Roman" w:eastAsia="Times New Roman" w:hAnsi="Times New Roman" w:cs="Times New Roman"/>
        </w:rPr>
        <w:t>’</w:t>
      </w:r>
      <w:r w:rsidRPr="00536EF5">
        <w:rPr>
          <w:rFonts w:ascii="Times New Roman" w:eastAsia="Times New Roman" w:hAnsi="Times New Roman" w:cs="Times New Roman"/>
        </w:rPr>
        <w:t>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536EF5" w:rsidRDefault="001F4A22" w:rsidP="001F4A22">
      <w:pPr>
        <w:tabs>
          <w:tab w:val="left" w:pos="720"/>
        </w:tabs>
        <w:rPr>
          <w:rFonts w:ascii="Times New Roman" w:eastAsia="Times New Roman" w:hAnsi="Times New Roman" w:cs="Times New Roman"/>
        </w:rPr>
      </w:pPr>
    </w:p>
    <w:p w14:paraId="1969FF4E" w14:textId="64F237ED" w:rsidR="001F4A22" w:rsidRDefault="001F4A22" w:rsidP="750671CE">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It is clear that an entry upon the land of anothe</w:t>
      </w:r>
      <w:r w:rsidR="00306C20">
        <w:rPr>
          <w:rFonts w:ascii="Times New Roman" w:eastAsia="Times New Roman" w:hAnsi="Times New Roman" w:cs="Times New Roman"/>
        </w:rPr>
        <w:t xml:space="preserve">r may be justified by necessity . . . </w:t>
      </w:r>
      <w:r w:rsidRPr="00536EF5">
        <w:rPr>
          <w:rFonts w:ascii="Times New Roman" w:eastAsia="Times New Roman" w:hAnsi="Times New Roman" w:cs="Times New Roman"/>
        </w:rPr>
        <w:t>.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w:t>
      </w:r>
      <w:r w:rsidR="00B05F31">
        <w:rPr>
          <w:rFonts w:ascii="Times New Roman" w:eastAsia="Times New Roman" w:hAnsi="Times New Roman" w:cs="Times New Roman"/>
        </w:rPr>
        <w:t>’</w:t>
      </w:r>
      <w:r w:rsidRPr="00536EF5">
        <w:rPr>
          <w:rFonts w:ascii="Times New Roman" w:eastAsia="Times New Roman" w:hAnsi="Times New Roman" w:cs="Times New Roman"/>
        </w:rPr>
        <w:t xml:space="preserve">s dock to save his sloop and the people in it. </w:t>
      </w:r>
      <w:r w:rsidRPr="00536EF5">
        <w:rPr>
          <w:rFonts w:ascii="Times New Roman" w:eastAsia="Times New Roman" w:hAnsi="Times New Roman" w:cs="Times New Roman"/>
        </w:rPr>
        <w:lastRenderedPageBreak/>
        <w:t>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127416D9" w14:textId="77777777" w:rsidR="001F4A22" w:rsidRPr="00536EF5" w:rsidRDefault="001F4A22" w:rsidP="001F4A22">
      <w:pPr>
        <w:tabs>
          <w:tab w:val="left" w:pos="720"/>
        </w:tabs>
        <w:rPr>
          <w:rFonts w:ascii="Times New Roman" w:eastAsia="Times New Roman" w:hAnsi="Times New Roman" w:cs="Times New Roman"/>
        </w:rPr>
      </w:pPr>
    </w:p>
    <w:p w14:paraId="0A9D4F90" w14:textId="3C3B7BE5" w:rsidR="001F4A22" w:rsidRDefault="00306C20" w:rsidP="750671CE">
      <w:pPr>
        <w:tabs>
          <w:tab w:val="left" w:pos="720"/>
        </w:tabs>
        <w:rPr>
          <w:rFonts w:ascii="Times New Roman" w:eastAsia="Times New Roman" w:hAnsi="Times New Roman" w:cs="Times New Roman"/>
        </w:rPr>
      </w:pPr>
      <w:r>
        <w:rPr>
          <w:rFonts w:ascii="Times New Roman" w:eastAsia="Times New Roman" w:hAnsi="Times New Roman" w:cs="Times New Roman"/>
        </w:rPr>
        <w:t>. . .</w:t>
      </w:r>
    </w:p>
    <w:p w14:paraId="5001FACA" w14:textId="77777777" w:rsidR="001F4A22" w:rsidRPr="00536EF5" w:rsidRDefault="001F4A22" w:rsidP="001F4A22">
      <w:pPr>
        <w:tabs>
          <w:tab w:val="left" w:pos="720"/>
        </w:tabs>
        <w:rPr>
          <w:rFonts w:ascii="Times New Roman" w:eastAsia="Times New Roman" w:hAnsi="Times New Roman" w:cs="Times New Roman"/>
        </w:rPr>
      </w:pPr>
    </w:p>
    <w:p w14:paraId="76FEE90D" w14:textId="77777777" w:rsidR="001F4A22" w:rsidRPr="00536EF5" w:rsidRDefault="001F4A22" w:rsidP="750671CE">
      <w:pPr>
        <w:tabs>
          <w:tab w:val="left" w:pos="720"/>
        </w:tabs>
        <w:rPr>
          <w:rFonts w:ascii="Times New Roman" w:eastAsia="Times New Roman" w:hAnsi="Times New Roman" w:cs="Times New Roman"/>
        </w:rPr>
      </w:pPr>
      <w:r w:rsidRPr="00536EF5">
        <w:rPr>
          <w:rFonts w:ascii="Times New Roman" w:eastAsia="Times New Roman" w:hAnsi="Times New Roman" w:cs="Times New Roman"/>
        </w:rPr>
        <w:tab/>
        <w:t>Judgment affirmed and cause remanded.</w:t>
      </w:r>
    </w:p>
    <w:p w14:paraId="2C3F977A" w14:textId="77777777" w:rsidR="001F4A22" w:rsidRPr="00536EF5" w:rsidRDefault="001F4A22" w:rsidP="001F4A22">
      <w:pPr>
        <w:rPr>
          <w:rFonts w:ascii="Times New Roman" w:eastAsia="Times New Roman" w:hAnsi="Times New Roman" w:cs="Times New Roman"/>
        </w:rPr>
      </w:pPr>
    </w:p>
    <w:p w14:paraId="1EA2F19F" w14:textId="77777777" w:rsidR="001F4A22" w:rsidRPr="00536EF5" w:rsidRDefault="001F4A22" w:rsidP="001F4A22">
      <w:pPr>
        <w:rPr>
          <w:rFonts w:ascii="Times New Roman" w:eastAsia="Times New Roman" w:hAnsi="Times New Roman" w:cs="Times New Roman"/>
        </w:rPr>
      </w:pPr>
    </w:p>
    <w:p w14:paraId="6C1C337B" w14:textId="77777777" w:rsidR="001F4A22" w:rsidRPr="00845FCF" w:rsidRDefault="001F4A22" w:rsidP="750671CE">
      <w:pPr>
        <w:rPr>
          <w:rFonts w:ascii="Times New Roman" w:eastAsia="Times New Roman" w:hAnsi="Times New Roman" w:cs="Times New Roman"/>
          <w:b/>
          <w:bCs/>
        </w:rPr>
      </w:pPr>
      <w:bookmarkStart w:id="124" w:name="_Toc518323224"/>
      <w:r w:rsidRPr="00F94B7E">
        <w:rPr>
          <w:rStyle w:val="Heading4Char"/>
          <w:rFonts w:eastAsiaTheme="minorEastAsia"/>
        </w:rPr>
        <w:t>Vincent v. Lake Erie Transp. Co</w:t>
      </w:r>
      <w:r w:rsidRPr="00F94B7E">
        <w:rPr>
          <w:rStyle w:val="Heading4Char"/>
          <w:rFonts w:eastAsiaTheme="minorEastAsia"/>
          <w:i w:val="0"/>
        </w:rPr>
        <w:t>.</w:t>
      </w:r>
      <w:bookmarkEnd w:id="124"/>
      <w:r w:rsidRPr="00D73457">
        <w:rPr>
          <w:rFonts w:ascii="Times New Roman" w:eastAsia="Times New Roman" w:hAnsi="Times New Roman" w:cs="Times New Roman"/>
        </w:rPr>
        <w:t xml:space="preserve">, </w:t>
      </w:r>
      <w:r w:rsidRPr="00D73457">
        <w:rPr>
          <w:rFonts w:ascii="Times New Roman" w:eastAsia="Times New Roman" w:hAnsi="Times New Roman" w:cs="Times New Roman"/>
          <w:b/>
          <w:bCs/>
        </w:rPr>
        <w:t>109</w:t>
      </w:r>
      <w:r w:rsidRPr="750671CE">
        <w:rPr>
          <w:rFonts w:ascii="Times New Roman" w:eastAsia="Times New Roman" w:hAnsi="Times New Roman" w:cs="Times New Roman"/>
          <w:b/>
          <w:bCs/>
        </w:rPr>
        <w:t xml:space="preserve"> Minn. 456, 124 N.W. 221 (1910)</w:t>
      </w:r>
    </w:p>
    <w:p w14:paraId="10EFE3E8" w14:textId="77777777" w:rsidR="001F4A22" w:rsidRPr="00536EF5" w:rsidRDefault="001F4A22" w:rsidP="001F4A22">
      <w:pPr>
        <w:rPr>
          <w:rFonts w:ascii="Times New Roman" w:eastAsia="Times New Roman" w:hAnsi="Times New Roman" w:cs="Times New Roman"/>
          <w:color w:val="000000"/>
        </w:rPr>
      </w:pPr>
    </w:p>
    <w:p w14:paraId="1794B015" w14:textId="77777777" w:rsidR="005F28D6" w:rsidRDefault="750671CE" w:rsidP="750671CE">
      <w:pP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O</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B</w:t>
      </w:r>
      <w:r w:rsidRPr="750671CE">
        <w:rPr>
          <w:rFonts w:ascii="Times New Roman" w:eastAsia="Times New Roman" w:hAnsi="Times New Roman" w:cs="Times New Roman"/>
          <w:smallCaps/>
          <w:color w:val="000000" w:themeColor="text1"/>
        </w:rPr>
        <w:t>rien</w:t>
      </w:r>
      <w:r w:rsidRPr="750671CE">
        <w:rPr>
          <w:rFonts w:ascii="Times New Roman" w:eastAsia="Times New Roman" w:hAnsi="Times New Roman" w:cs="Times New Roman"/>
          <w:color w:val="000000" w:themeColor="text1"/>
        </w:rPr>
        <w:t xml:space="preserve">, J. </w:t>
      </w:r>
    </w:p>
    <w:p w14:paraId="67011C96" w14:textId="77777777" w:rsidR="005F28D6" w:rsidRDefault="005F28D6" w:rsidP="750671CE">
      <w:pPr>
        <w:rPr>
          <w:rFonts w:ascii="Times New Roman" w:eastAsia="Times New Roman" w:hAnsi="Times New Roman" w:cs="Times New Roman"/>
          <w:color w:val="000000" w:themeColor="text1"/>
        </w:rPr>
      </w:pPr>
    </w:p>
    <w:p w14:paraId="5E06F640" w14:textId="3E33DF0F" w:rsidR="001F4A22" w:rsidRDefault="750671CE" w:rsidP="00F94B7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steamship Reynolds, owned by the defendant, was for the purpose of discharging her cargo on November 27, 1905, moored to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dock in Duluth. While the unloading of the boat was taking place a storm from the northeast developed, which at about 10 o</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536EF5" w:rsidRDefault="001F4A22" w:rsidP="001F4A22">
      <w:pPr>
        <w:rPr>
          <w:rFonts w:ascii="Times New Roman" w:eastAsia="Times New Roman" w:hAnsi="Times New Roman" w:cs="Times New Roman"/>
          <w:color w:val="000000"/>
        </w:rPr>
      </w:pPr>
    </w:p>
    <w:p w14:paraId="47CA9A43" w14:textId="4EB94E99" w:rsidR="001F4A22" w:rsidRPr="00536EF5"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 xml:space="preserve">We are satisfied that the character of the storm was such that it would have been highly imprudent for the master of the Reynolds to have attempted to leave the dock or to have permitted his vessel to drift a way from it. </w:t>
      </w:r>
      <w:r w:rsidR="00075719">
        <w:rPr>
          <w:rFonts w:ascii="Times New Roman" w:eastAsia="Times New Roman" w:hAnsi="Times New Roman" w:cs="Times New Roman"/>
          <w:color w:val="000000"/>
        </w:rPr>
        <w:t>. . .  [T]</w:t>
      </w:r>
      <w:r w:rsidRPr="00536EF5">
        <w:rPr>
          <w:rFonts w:ascii="Times New Roman" w:eastAsia="Times New Roman" w:hAnsi="Times New Roman" w:cs="Times New Roman"/>
          <w:color w:val="000000"/>
        </w:rPr>
        <w: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Default="00075719" w:rsidP="001F4A22">
      <w:pPr>
        <w:rPr>
          <w:rFonts w:ascii="Times New Roman" w:eastAsia="Times New Roman" w:hAnsi="Times New Roman" w:cs="Times New Roman"/>
          <w:color w:val="000000"/>
        </w:rPr>
      </w:pPr>
    </w:p>
    <w:p w14:paraId="428CC9AA" w14:textId="77777777" w:rsidR="001F4A2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It is claimed by the respondent that it was negligence to moor the boat at an exposed part of the wharf, and to continue in that position after it became apparent that </w:t>
      </w:r>
      <w:r w:rsidRPr="750671CE">
        <w:rPr>
          <w:rFonts w:ascii="Times New Roman" w:eastAsia="Times New Roman" w:hAnsi="Times New Roman" w:cs="Times New Roman"/>
          <w:color w:val="000000" w:themeColor="text1"/>
        </w:rPr>
        <w:lastRenderedPageBreak/>
        <w:t>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2E2169FB" w14:textId="77777777" w:rsidR="001F4A22" w:rsidRPr="00536EF5" w:rsidRDefault="001F4A22" w:rsidP="001F4A22">
      <w:pPr>
        <w:rPr>
          <w:rFonts w:ascii="Times New Roman" w:eastAsia="Times New Roman" w:hAnsi="Times New Roman" w:cs="Times New Roman"/>
          <w:color w:val="000000"/>
        </w:rPr>
      </w:pPr>
    </w:p>
    <w:p w14:paraId="52EB9940" w14:textId="77777777"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536EF5" w:rsidRDefault="001F4A22" w:rsidP="001F4A22">
      <w:pPr>
        <w:rPr>
          <w:rFonts w:ascii="Times New Roman" w:eastAsia="Times New Roman" w:hAnsi="Times New Roman" w:cs="Times New Roman"/>
          <w:color w:val="000000"/>
        </w:rPr>
      </w:pPr>
    </w:p>
    <w:p w14:paraId="794F2DA1" w14:textId="4305AAF3"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The situation was one in which the ordinary rules regulating properly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dock, the plaintiffs could not</w:t>
      </w:r>
      <w:r w:rsidR="00075719">
        <w:rPr>
          <w:rFonts w:ascii="Times New Roman" w:eastAsia="Times New Roman" w:hAnsi="Times New Roman" w:cs="Times New Roman"/>
          <w:color w:val="000000"/>
        </w:rPr>
        <w:t xml:space="preserve"> have recovered. Again, if while</w:t>
      </w:r>
      <w:r w:rsidRPr="00536EF5">
        <w:rPr>
          <w:rFonts w:ascii="Times New Roman" w:eastAsia="Times New Roman" w:hAnsi="Times New Roman" w:cs="Times New Roman"/>
          <w:color w:val="000000"/>
        </w:rPr>
        <w:t xml:space="preserv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536EF5" w:rsidRDefault="001F4A22" w:rsidP="001F4A22">
      <w:pPr>
        <w:rPr>
          <w:rFonts w:ascii="Times New Roman" w:eastAsia="Times New Roman" w:hAnsi="Times New Roman" w:cs="Times New Roman"/>
          <w:color w:val="000000"/>
        </w:rPr>
      </w:pPr>
    </w:p>
    <w:p w14:paraId="3CF5F905" w14:textId="727062A2"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 xml:space="preserve">In </w:t>
      </w:r>
      <w:r w:rsidRPr="750671CE">
        <w:rPr>
          <w:rFonts w:ascii="Times New Roman" w:eastAsia="Times New Roman" w:hAnsi="Times New Roman" w:cs="Times New Roman"/>
          <w:i/>
          <w:iCs/>
          <w:color w:val="000000"/>
        </w:rPr>
        <w:t>Depue v. Flatau</w:t>
      </w:r>
      <w:r w:rsidRPr="00536EF5">
        <w:rPr>
          <w:rFonts w:ascii="Times New Roman" w:eastAsia="Times New Roman" w:hAnsi="Times New Roman" w:cs="Times New Roman"/>
          <w:color w:val="000000"/>
        </w:rPr>
        <w:t>, 100 Minn. 299, 111 N. W. 1, 8 L. R. A. (N. S.) 485, this court held that where the plaintiff, while lawfully in the defendants</w:t>
      </w:r>
      <w:r w:rsidR="00B05F31">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house, became so ill that he was incapable of traveling with safety, the defendants were responsible to him in damages for compelling him to leave the premises. If, however, the owner of the premises had furnished the traveler with proper accommodations and medical attendance, would he have been able to defeat an action brought against him for their reasonable worth?</w:t>
      </w:r>
    </w:p>
    <w:p w14:paraId="435F02F7" w14:textId="77777777" w:rsidR="001F4A22" w:rsidRPr="00536EF5" w:rsidRDefault="001F4A22" w:rsidP="001F4A22">
      <w:pPr>
        <w:rPr>
          <w:rFonts w:ascii="Times New Roman" w:eastAsia="Times New Roman" w:hAnsi="Times New Roman" w:cs="Times New Roman"/>
          <w:color w:val="000000"/>
        </w:rPr>
      </w:pPr>
    </w:p>
    <w:p w14:paraId="2F01A8E1" w14:textId="77777777"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 xml:space="preserve">In </w:t>
      </w:r>
      <w:r w:rsidRPr="750671CE">
        <w:rPr>
          <w:rFonts w:ascii="Times New Roman" w:eastAsia="Times New Roman" w:hAnsi="Times New Roman" w:cs="Times New Roman"/>
          <w:i/>
          <w:iCs/>
          <w:color w:val="000000"/>
        </w:rPr>
        <w:t>Ploof v. Putnam</w:t>
      </w:r>
      <w:r w:rsidRPr="00536EF5">
        <w:rPr>
          <w:rFonts w:ascii="Times New Roman" w:eastAsia="Times New Roman" w:hAnsi="Times New Roman" w:cs="Times New Roman"/>
          <w:color w:val="000000"/>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6DB88FD6" w14:textId="77777777" w:rsidR="001F4A22" w:rsidRPr="00536EF5" w:rsidRDefault="001F4A22" w:rsidP="001F4A22">
      <w:pPr>
        <w:rPr>
          <w:rFonts w:ascii="Times New Roman" w:eastAsia="Times New Roman" w:hAnsi="Times New Roman" w:cs="Times New Roman"/>
          <w:color w:val="000000"/>
        </w:rPr>
      </w:pPr>
    </w:p>
    <w:p w14:paraId="5C72E540" w14:textId="77777777"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lastRenderedPageBreak/>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3ED1A04B" w14:textId="77777777" w:rsidR="001F4A22" w:rsidRPr="00536EF5" w:rsidRDefault="001F4A22" w:rsidP="001F4A22">
      <w:pPr>
        <w:rPr>
          <w:rFonts w:ascii="Times New Roman" w:eastAsia="Times New Roman" w:hAnsi="Times New Roman" w:cs="Times New Roman"/>
          <w:color w:val="000000"/>
        </w:rPr>
      </w:pPr>
    </w:p>
    <w:p w14:paraId="0AFF2122" w14:textId="77777777"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78A6DE8E" w14:textId="77777777" w:rsidR="001F4A22" w:rsidRPr="00536EF5" w:rsidRDefault="001F4A22" w:rsidP="001F4A22">
      <w:pPr>
        <w:rPr>
          <w:rFonts w:ascii="Times New Roman" w:eastAsia="Times New Roman" w:hAnsi="Times New Roman" w:cs="Times New Roman"/>
          <w:color w:val="000000"/>
        </w:rPr>
      </w:pPr>
    </w:p>
    <w:p w14:paraId="34B4D92F" w14:textId="6F7E760E"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w:t>
      </w:r>
      <w:r w:rsidR="00B05F31">
        <w:rPr>
          <w:rFonts w:ascii="Times New Roman" w:eastAsia="Times New Roman" w:hAnsi="Times New Roman" w:cs="Times New Roman"/>
          <w:color w:val="000000"/>
        </w:rPr>
        <w:t>’</w:t>
      </w:r>
      <w:r w:rsidRPr="00536EF5">
        <w:rPr>
          <w:rFonts w:ascii="Times New Roman" w:eastAsia="Times New Roman" w:hAnsi="Times New Roman" w:cs="Times New Roman"/>
          <w:color w:val="000000"/>
        </w:rPr>
        <w:t xml:space="preserve"> property for the purpose of preserving its own more valuable property, and the plaintiffs are entitled to compensation for the injury done.</w:t>
      </w:r>
    </w:p>
    <w:p w14:paraId="18FCB39F" w14:textId="77777777" w:rsidR="001F4A22" w:rsidRPr="00536EF5" w:rsidRDefault="001F4A22" w:rsidP="001F4A22">
      <w:pPr>
        <w:rPr>
          <w:rFonts w:ascii="Times New Roman" w:eastAsia="Times New Roman" w:hAnsi="Times New Roman" w:cs="Times New Roman"/>
          <w:color w:val="000000"/>
        </w:rPr>
      </w:pPr>
    </w:p>
    <w:p w14:paraId="3183A28B" w14:textId="77777777" w:rsidR="001F4A22" w:rsidRDefault="001F4A22" w:rsidP="750671CE">
      <w:pPr>
        <w:rPr>
          <w:rFonts w:ascii="Times New Roman" w:eastAsia="Times New Roman" w:hAnsi="Times New Roman" w:cs="Times New Roman"/>
          <w:color w:val="000000" w:themeColor="text1"/>
        </w:rPr>
      </w:pPr>
      <w:r w:rsidRPr="00536EF5">
        <w:rPr>
          <w:rFonts w:ascii="Times New Roman" w:eastAsia="Times New Roman" w:hAnsi="Times New Roman" w:cs="Times New Roman"/>
          <w:color w:val="000000"/>
        </w:rPr>
        <w:tab/>
        <w:t>Order affirmed.</w:t>
      </w:r>
    </w:p>
    <w:p w14:paraId="21FF88C9" w14:textId="77777777" w:rsidR="001F4A22" w:rsidRPr="00536EF5" w:rsidRDefault="001F4A22" w:rsidP="001F4A22">
      <w:pPr>
        <w:rPr>
          <w:rFonts w:ascii="Times New Roman" w:eastAsia="Times New Roman" w:hAnsi="Times New Roman" w:cs="Times New Roman"/>
          <w:color w:val="000000"/>
        </w:rPr>
      </w:pPr>
    </w:p>
    <w:p w14:paraId="30B2940A" w14:textId="63618A96" w:rsidR="005F28D6" w:rsidRDefault="750671CE" w:rsidP="750671CE">
      <w:pP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L</w:t>
      </w:r>
      <w:r w:rsidRPr="750671CE">
        <w:rPr>
          <w:rFonts w:ascii="Times New Roman" w:eastAsia="Times New Roman" w:hAnsi="Times New Roman" w:cs="Times New Roman"/>
          <w:smallCaps/>
          <w:color w:val="000000" w:themeColor="text1"/>
        </w:rPr>
        <w:t>ewis</w:t>
      </w:r>
      <w:r w:rsidRPr="750671CE">
        <w:rPr>
          <w:rFonts w:ascii="Times New Roman" w:eastAsia="Times New Roman" w:hAnsi="Times New Roman" w:cs="Times New Roman"/>
          <w:color w:val="000000" w:themeColor="text1"/>
        </w:rPr>
        <w:t>, J.</w:t>
      </w:r>
      <w:r w:rsidR="005F28D6">
        <w:rPr>
          <w:rFonts w:ascii="Times New Roman" w:eastAsia="Times New Roman" w:hAnsi="Times New Roman" w:cs="Times New Roman"/>
          <w:color w:val="000000" w:themeColor="text1"/>
        </w:rPr>
        <w:t>, dissenting.</w:t>
      </w:r>
      <w:r w:rsidRPr="750671CE">
        <w:rPr>
          <w:rFonts w:ascii="Times New Roman" w:eastAsia="Times New Roman" w:hAnsi="Times New Roman" w:cs="Times New Roman"/>
          <w:color w:val="000000" w:themeColor="text1"/>
        </w:rPr>
        <w:t xml:space="preserve"> </w:t>
      </w:r>
    </w:p>
    <w:p w14:paraId="0D7BD9DC" w14:textId="77777777" w:rsidR="005F28D6" w:rsidRDefault="005F28D6" w:rsidP="750671CE">
      <w:pPr>
        <w:rPr>
          <w:rFonts w:ascii="Times New Roman" w:eastAsia="Times New Roman" w:hAnsi="Times New Roman" w:cs="Times New Roman"/>
          <w:color w:val="000000" w:themeColor="text1"/>
        </w:rPr>
      </w:pPr>
    </w:p>
    <w:p w14:paraId="632F5C23" w14:textId="510CC400" w:rsidR="001F4A22" w:rsidRPr="00536EF5" w:rsidRDefault="750671CE" w:rsidP="00F94B7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 dissent. It was assumed on the trial before the lower court that appellant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Default="001F4A22" w:rsidP="001F4A22">
      <w:pPr>
        <w:rPr>
          <w:rFonts w:ascii="Times New Roman" w:eastAsia="Times New Roman" w:hAnsi="Times New Roman" w:cs="Times New Roman"/>
          <w:color w:val="000000"/>
        </w:rPr>
      </w:pPr>
      <w:r w:rsidRPr="00536EF5">
        <w:rPr>
          <w:rFonts w:ascii="Times New Roman" w:eastAsia="Times New Roman" w:hAnsi="Times New Roman" w:cs="Times New Roman"/>
          <w:color w:val="000000"/>
        </w:rPr>
        <w:tab/>
      </w:r>
    </w:p>
    <w:p w14:paraId="2AEE91BE" w14:textId="27ADE1AD" w:rsidR="001F4A2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 am of the opinion that one who constructs a dock to the navigable line of waters, and enters into contractual relations with the owner of a vessel to moor at the same, takes </w:t>
      </w:r>
      <w:r w:rsidRPr="750671CE">
        <w:rPr>
          <w:rFonts w:ascii="Times New Roman" w:eastAsia="Times New Roman" w:hAnsi="Times New Roman" w:cs="Times New Roman"/>
          <w:color w:val="000000" w:themeColor="text1"/>
        </w:rPr>
        <w:lastRenderedPageBreak/>
        <w:t>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536EF5" w:rsidRDefault="001F4A22" w:rsidP="001F4A22">
      <w:pPr>
        <w:rPr>
          <w:rFonts w:ascii="Times New Roman" w:eastAsia="Times New Roman" w:hAnsi="Times New Roman" w:cs="Times New Roman"/>
          <w:color w:val="000000"/>
        </w:rPr>
      </w:pPr>
    </w:p>
    <w:p w14:paraId="1F524320" w14:textId="77777777" w:rsidR="001F4A22" w:rsidRPr="00536EF5" w:rsidRDefault="750671CE">
      <w:pPr>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J</w:t>
      </w:r>
      <w:r w:rsidRPr="750671CE">
        <w:rPr>
          <w:rFonts w:ascii="Times New Roman" w:eastAsia="Times New Roman" w:hAnsi="Times New Roman" w:cs="Times New Roman"/>
          <w:smallCaps/>
          <w:color w:val="000000" w:themeColor="text1"/>
        </w:rPr>
        <w:t>aggard</w:t>
      </w:r>
      <w:r w:rsidRPr="750671CE">
        <w:rPr>
          <w:rFonts w:ascii="Times New Roman" w:eastAsia="Times New Roman" w:hAnsi="Times New Roman" w:cs="Times New Roman"/>
          <w:color w:val="000000" w:themeColor="text1"/>
        </w:rPr>
        <w:t>, J., concurs herein.</w:t>
      </w:r>
    </w:p>
    <w:p w14:paraId="31E5E610" w14:textId="77777777" w:rsidR="001F4A22" w:rsidRDefault="001F4A22" w:rsidP="007C1411">
      <w:pPr>
        <w:rPr>
          <w:rFonts w:ascii="Times New Roman" w:eastAsia="Times New Roman" w:hAnsi="Times New Roman" w:cs="Times New Roman"/>
          <w:color w:val="000000"/>
        </w:rPr>
      </w:pPr>
    </w:p>
    <w:p w14:paraId="0A8BD05B" w14:textId="77777777" w:rsidR="007C1411" w:rsidRPr="00536EF5" w:rsidRDefault="007C1411" w:rsidP="007C1411">
      <w:pPr>
        <w:rPr>
          <w:rFonts w:ascii="Times New Roman" w:eastAsia="Times New Roman" w:hAnsi="Times New Roman" w:cs="Times New Roman"/>
          <w:color w:val="000000"/>
        </w:rPr>
      </w:pPr>
    </w:p>
    <w:p w14:paraId="5BB7B992" w14:textId="77777777" w:rsidR="001F4A22" w:rsidRPr="00845FCF" w:rsidRDefault="001F4A22" w:rsidP="002502CC">
      <w:pPr>
        <w:pStyle w:val="Heading4"/>
      </w:pPr>
      <w:bookmarkStart w:id="125" w:name="_Toc364636062"/>
      <w:bookmarkStart w:id="126" w:name="_Toc518323225"/>
      <w:r>
        <w:t>Notes</w:t>
      </w:r>
      <w:bookmarkEnd w:id="125"/>
      <w:bookmarkEnd w:id="126"/>
    </w:p>
    <w:p w14:paraId="3256F400" w14:textId="77777777" w:rsidR="001F4A22" w:rsidRDefault="001F4A22" w:rsidP="001F4A22">
      <w:pPr>
        <w:ind w:firstLine="720"/>
        <w:rPr>
          <w:rFonts w:ascii="Times New Roman" w:eastAsia="Times New Roman" w:hAnsi="Times New Roman" w:cs="Times New Roman"/>
          <w:i/>
          <w:color w:val="000000"/>
        </w:rPr>
      </w:pPr>
    </w:p>
    <w:p w14:paraId="53613C4C" w14:textId="77777777" w:rsidR="006F1186" w:rsidRPr="00536EF5" w:rsidRDefault="006F1186" w:rsidP="001F4A22">
      <w:pPr>
        <w:ind w:firstLine="720"/>
        <w:rPr>
          <w:rFonts w:ascii="Times New Roman" w:eastAsia="Times New Roman" w:hAnsi="Times New Roman" w:cs="Times New Roman"/>
          <w:i/>
          <w:color w:val="000000"/>
        </w:rPr>
      </w:pPr>
    </w:p>
    <w:p w14:paraId="4CDB754C" w14:textId="24FE094D" w:rsidR="001F4A22" w:rsidRPr="00F94B7E" w:rsidRDefault="750671CE" w:rsidP="00F94B7E">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incomplete privilege of necessity</w:t>
      </w:r>
      <w:r w:rsidRPr="00F94B7E">
        <w:rPr>
          <w:rFonts w:ascii="Times New Roman" w:eastAsia="Times New Roman" w:hAnsi="Times New Roman" w:cs="Times New Roman"/>
        </w:rPr>
        <w:t>.  Under the privilege of necessity, a defendant is permitted to commit what would otherwise be an intentional tort to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rights in property or realty to protect a more valuable interest in property or an interest in bodily security or life.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262, 263 &amp; cmt. d (1965). Where the more valuable interest belongs to a large number of persons, for example, where a city must be saved from a fire, the privilege is one of public necessity, and the defendant owes no compensation.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 262 &amp; cm</w:t>
      </w:r>
      <w:r w:rsidR="00BB61E6" w:rsidRPr="00F94B7E">
        <w:rPr>
          <w:rFonts w:ascii="Times New Roman" w:eastAsia="Times New Roman" w:hAnsi="Times New Roman" w:cs="Times New Roman"/>
        </w:rPr>
        <w:t>t</w:t>
      </w:r>
      <w:r w:rsidRPr="00F94B7E">
        <w:rPr>
          <w:rFonts w:ascii="Times New Roman" w:eastAsia="Times New Roman" w:hAnsi="Times New Roman" w:cs="Times New Roman"/>
        </w:rPr>
        <w:t xml:space="preserve">. d. However, where the more valuable interest belongs only to the defendant or a small number of persons, the privilege is classified as a case of private necessity, and in suits by a party injured by the invasion, courts will require that the taker pay compensation for the harm caused by the invasion.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 263(2) &amp; cmt. e.  The privilege of private necessity is thus an incomplete privilege.  Note that even where the privilege is incomplete in this sense, the privilege to invade another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means that a property owner engaging in self-help to prevent the privileged invasion must pay for any damages resulting from her self-help.  </w:t>
      </w:r>
      <w:r w:rsidRPr="00F94B7E">
        <w:rPr>
          <w:rFonts w:ascii="Times New Roman" w:eastAsia="Times New Roman" w:hAnsi="Times New Roman" w:cs="Times New Roman"/>
          <w:i/>
          <w:iCs/>
        </w:rPr>
        <w:t>See id</w:t>
      </w:r>
      <w:r w:rsidRPr="00F94B7E">
        <w:rPr>
          <w:rFonts w:ascii="Times New Roman" w:eastAsia="Times New Roman" w:hAnsi="Times New Roman" w:cs="Times New Roman"/>
        </w:rPr>
        <w:t xml:space="preserve">. § 263 cmt. b. </w:t>
      </w:r>
    </w:p>
    <w:p w14:paraId="1A2FC186" w14:textId="77777777" w:rsidR="001F4A22" w:rsidRDefault="001F4A22" w:rsidP="001F4A22">
      <w:pPr>
        <w:rPr>
          <w:rFonts w:ascii="Times New Roman" w:hAnsi="Times New Roman" w:cs="Times New Roman"/>
        </w:rPr>
      </w:pPr>
    </w:p>
    <w:p w14:paraId="351FEE26" w14:textId="77777777" w:rsidR="001F4A22" w:rsidRDefault="001F4A22" w:rsidP="001F4A22">
      <w:pPr>
        <w:rPr>
          <w:rFonts w:ascii="Times New Roman" w:hAnsi="Times New Roman" w:cs="Times New Roman"/>
        </w:rPr>
      </w:pPr>
    </w:p>
    <w:p w14:paraId="09E7A42A" w14:textId="5FD7109D" w:rsidR="001F4A22" w:rsidRPr="00F94B7E" w:rsidRDefault="750671CE" w:rsidP="00F94B7E">
      <w:pPr>
        <w:pStyle w:val="ListParagraph"/>
        <w:widowControl w:val="0"/>
        <w:numPr>
          <w:ilvl w:val="0"/>
          <w:numId w:val="68"/>
        </w:numPr>
        <w:autoSpaceDE w:val="0"/>
        <w:autoSpaceDN w:val="0"/>
        <w:adjustRightInd w:val="0"/>
        <w:spacing w:after="24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A philosopher</w:t>
      </w:r>
      <w:r w:rsidR="00B05F31" w:rsidRPr="00F94B7E">
        <w:rPr>
          <w:rFonts w:ascii="Times New Roman" w:eastAsia="Times New Roman" w:hAnsi="Times New Roman" w:cs="Times New Roman"/>
          <w:i/>
          <w:iCs/>
          <w:color w:val="000000" w:themeColor="text1"/>
        </w:rPr>
        <w:t>’</w:t>
      </w:r>
      <w:r w:rsidRPr="00F94B7E">
        <w:rPr>
          <w:rFonts w:ascii="Times New Roman" w:eastAsia="Times New Roman" w:hAnsi="Times New Roman" w:cs="Times New Roman"/>
          <w:i/>
          <w:iCs/>
          <w:color w:val="000000" w:themeColor="text1"/>
        </w:rPr>
        <w:t xml:space="preserve">s view of </w:t>
      </w:r>
      <w:r w:rsidRPr="00F94B7E">
        <w:rPr>
          <w:rFonts w:ascii="Times New Roman" w:eastAsia="Times New Roman" w:hAnsi="Times New Roman" w:cs="Times New Roman"/>
          <w:iCs/>
          <w:color w:val="000000" w:themeColor="text1"/>
        </w:rPr>
        <w:t>Vincent</w:t>
      </w:r>
      <w:r w:rsidRPr="00F94B7E">
        <w:rPr>
          <w:rFonts w:ascii="Times New Roman" w:eastAsia="Times New Roman" w:hAnsi="Times New Roman" w:cs="Times New Roman"/>
          <w:color w:val="000000" w:themeColor="text1"/>
        </w:rPr>
        <w:t xml:space="preserve">.  Philosophers of tort law typically argue that the normative structure of tort law is organized around wrongs and obligations of repair.  But if that is so, </w:t>
      </w:r>
      <w:r w:rsidRPr="00F94B7E">
        <w:rPr>
          <w:rFonts w:ascii="Times New Roman" w:eastAsia="Times New Roman" w:hAnsi="Times New Roman" w:cs="Times New Roman"/>
        </w:rPr>
        <w:t xml:space="preserve">what was the wrong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Leading philosopher of tort law Jules Coleman offered an ingenious argument on this score:</w:t>
      </w:r>
    </w:p>
    <w:p w14:paraId="16918DB7" w14:textId="2F2389BD" w:rsidR="001F4A22" w:rsidRPr="00536EF5" w:rsidRDefault="750671CE" w:rsidP="00F94B7E">
      <w:pPr>
        <w:pStyle w:val="blockquote"/>
      </w:pPr>
      <w:r w:rsidRPr="750671CE">
        <w:t xml:space="preserve">There are three different ways in which </w:t>
      </w:r>
      <w:r w:rsidR="00B05F31">
        <w:t>“</w:t>
      </w:r>
      <w:r w:rsidRPr="750671CE">
        <w:t>wrongs</w:t>
      </w:r>
      <w:r w:rsidR="00B05F31">
        <w:t>”</w:t>
      </w:r>
      <w:r w:rsidRPr="750671CE">
        <w:t xml:space="preserve"> and </w:t>
      </w:r>
      <w:r w:rsidR="00B05F31">
        <w:t>“</w:t>
      </w:r>
      <w:r w:rsidRPr="750671CE">
        <w:t>compensation</w:t>
      </w:r>
      <w:r w:rsidR="00B05F31">
        <w:t>”</w:t>
      </w:r>
      <w:r w:rsidRPr="750671CE">
        <w:t xml:space="preserve">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68F670A2" w14:textId="77777777" w:rsidR="001F4A22" w:rsidRPr="00536EF5" w:rsidRDefault="001F4A22" w:rsidP="001F4A22">
      <w:pPr>
        <w:ind w:left="720"/>
        <w:rPr>
          <w:rFonts w:ascii="Times New Roman" w:hAnsi="Times New Roman" w:cs="Times New Roman"/>
        </w:rPr>
      </w:pPr>
      <w:r w:rsidRPr="00536EF5">
        <w:rPr>
          <w:rFonts w:ascii="Times New Roman" w:hAnsi="Times New Roman" w:cs="Times New Roman"/>
        </w:rPr>
        <w:tab/>
      </w:r>
    </w:p>
    <w:p w14:paraId="514BD7CF" w14:textId="289C608A"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Jules L. Coleman, </w:t>
      </w:r>
      <w:r w:rsidRPr="750671CE">
        <w:rPr>
          <w:rFonts w:ascii="Times New Roman" w:eastAsia="Times New Roman" w:hAnsi="Times New Roman" w:cs="Times New Roman"/>
          <w:i/>
          <w:iCs/>
        </w:rPr>
        <w:t>Some Reflections on Richard Brooks</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 xml:space="preserve">s </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Efficient Performance Hypothesis,</w:t>
      </w:r>
      <w:r w:rsidR="00B05F31">
        <w:rPr>
          <w:rFonts w:ascii="Times New Roman" w:eastAsia="Times New Roman" w:hAnsi="Times New Roman" w:cs="Times New Roman"/>
          <w:i/>
          <w:iCs/>
        </w:rPr>
        <w:t>”</w:t>
      </w:r>
      <w:r w:rsidRPr="750671CE">
        <w:rPr>
          <w:rFonts w:ascii="Times New Roman" w:eastAsia="Times New Roman" w:hAnsi="Times New Roman" w:cs="Times New Roman"/>
        </w:rPr>
        <w:t xml:space="preserve"> 116 </w:t>
      </w:r>
      <w:r w:rsidRPr="750671CE">
        <w:rPr>
          <w:rFonts w:ascii="Times New Roman" w:eastAsia="Times New Roman" w:hAnsi="Times New Roman" w:cs="Times New Roman"/>
          <w:smallCaps/>
        </w:rPr>
        <w:t>Yale L.J. Pocket Part</w:t>
      </w:r>
      <w:r w:rsidRPr="750671CE">
        <w:rPr>
          <w:rFonts w:ascii="Times New Roman" w:eastAsia="Times New Roman" w:hAnsi="Times New Roman" w:cs="Times New Roman"/>
        </w:rPr>
        <w:t xml:space="preserve"> 416 (2007).  Does the Coleman explanation offer an adequate explanation of why a law of civil wrongs would require compensation from the shipowner to the dockowner?</w:t>
      </w:r>
    </w:p>
    <w:p w14:paraId="65A2FBAF" w14:textId="77777777" w:rsidR="001F4A22" w:rsidRDefault="001F4A22" w:rsidP="001F4A22">
      <w:pPr>
        <w:rPr>
          <w:rFonts w:ascii="Times New Roman" w:hAnsi="Times New Roman" w:cs="Times New Roman"/>
        </w:rPr>
      </w:pPr>
    </w:p>
    <w:p w14:paraId="389E6076" w14:textId="77777777" w:rsidR="001F4A22" w:rsidRPr="00536EF5" w:rsidRDefault="001F4A22" w:rsidP="001F4A22">
      <w:pPr>
        <w:rPr>
          <w:rFonts w:ascii="Times New Roman" w:hAnsi="Times New Roman" w:cs="Times New Roman"/>
        </w:rPr>
      </w:pPr>
    </w:p>
    <w:p w14:paraId="2EE75A52" w14:textId="15E6C80B" w:rsidR="001F4A22" w:rsidRPr="00F94B7E" w:rsidRDefault="750671CE" w:rsidP="00F94B7E">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lastRenderedPageBreak/>
        <w:t>The paradigm of reciprocity</w:t>
      </w:r>
      <w:r w:rsidRPr="00F94B7E">
        <w:rPr>
          <w:rFonts w:ascii="Times New Roman" w:eastAsia="Times New Roman" w:hAnsi="Times New Roman" w:cs="Times New Roman"/>
        </w:rPr>
        <w:t xml:space="preserve">.  Perhaps the wrong that </w:t>
      </w:r>
      <w:r w:rsidR="00071B85">
        <w:rPr>
          <w:rFonts w:ascii="Times New Roman" w:eastAsia="Times New Roman" w:hAnsi="Times New Roman" w:cs="Times New Roman"/>
        </w:rPr>
        <w:t>corrective</w:t>
      </w:r>
      <w:r w:rsidR="00071B85"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justice theorists believe is present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can be cashed out in terms of fairness.  This is George Fletcher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w:t>
      </w:r>
      <w:r w:rsidR="00BB61E6" w:rsidRPr="00F94B7E">
        <w:rPr>
          <w:rFonts w:ascii="Times New Roman" w:eastAsia="Times New Roman" w:hAnsi="Times New Roman" w:cs="Times New Roman"/>
        </w:rPr>
        <w:t>—</w:t>
      </w:r>
      <w:r w:rsidRPr="00F94B7E">
        <w:rPr>
          <w:rFonts w:ascii="Times New Roman" w:eastAsia="Times New Roman" w:hAnsi="Times New Roman" w:cs="Times New Roman"/>
        </w:rPr>
        <w:t xml:space="preserve">namely, that an unexcused nonreciprocity of risk is what makes sense of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xml:space="preserve">.  </w:t>
      </w:r>
    </w:p>
    <w:p w14:paraId="7C80D241" w14:textId="77777777" w:rsidR="001F4A22" w:rsidRPr="00F310AD" w:rsidRDefault="001F4A22" w:rsidP="001F4A22">
      <w:pPr>
        <w:rPr>
          <w:rFonts w:ascii="Times New Roman" w:hAnsi="Times New Roman" w:cs="Times New Roman"/>
          <w:b/>
        </w:rPr>
      </w:pPr>
    </w:p>
    <w:p w14:paraId="750EF8FA" w14:textId="5194FDCD" w:rsidR="001F4A22" w:rsidRPr="00536EF5" w:rsidRDefault="750671CE" w:rsidP="00F94B7E">
      <w:pPr>
        <w:pStyle w:val="blockquote"/>
      </w:pPr>
      <w:r w:rsidRPr="750671CE">
        <w:t>The critical feature of [</w:t>
      </w:r>
      <w:r w:rsidRPr="750671CE">
        <w:rPr>
          <w:i/>
          <w:iCs/>
        </w:rPr>
        <w:t>Vincent</w:t>
      </w:r>
      <w:r w:rsidRPr="750671CE">
        <w:t xml:space="preserve">]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w:t>
      </w:r>
      <w:r w:rsidR="001D5F4F">
        <w:t>. . .</w:t>
      </w:r>
      <w:r w:rsidRPr="750671CE">
        <w:t xml:space="preserve"> of the paradigm of reciprocity . . . express[es] the same principle of fairness: all individuals in society have the right to roughly the same degree of security from risk. By analogy to John Rawls</w:t>
      </w:r>
      <w:r w:rsidR="00B05F31">
        <w:t>’</w:t>
      </w:r>
      <w:r w:rsidRPr="750671CE">
        <w:t xml:space="preserve">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w:t>
      </w:r>
      <w:r w:rsidR="00B05F31">
        <w:t>’</w:t>
      </w:r>
      <w:r w:rsidRPr="750671CE">
        <w:t>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5A728847" w14:textId="77777777" w:rsidR="001F4A22" w:rsidRPr="00536EF5" w:rsidRDefault="001F4A22" w:rsidP="001F4A22">
      <w:pPr>
        <w:rPr>
          <w:rFonts w:ascii="Times New Roman" w:hAnsi="Times New Roman" w:cs="Times New Roman"/>
        </w:rPr>
      </w:pPr>
    </w:p>
    <w:p w14:paraId="76E2F690" w14:textId="1D0F3AAB"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George P. Fletcher, </w:t>
      </w:r>
      <w:r w:rsidRPr="750671CE">
        <w:rPr>
          <w:rFonts w:ascii="Times New Roman" w:eastAsia="Times New Roman" w:hAnsi="Times New Roman" w:cs="Times New Roman"/>
          <w:i/>
          <w:iCs/>
        </w:rPr>
        <w:t>Fairness and Utility in Tort Theory</w:t>
      </w:r>
      <w:r w:rsidRPr="750671CE">
        <w:rPr>
          <w:rFonts w:ascii="Times New Roman" w:eastAsia="Times New Roman" w:hAnsi="Times New Roman" w:cs="Times New Roman"/>
        </w:rPr>
        <w:t xml:space="preserve">, 85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537 (1972).  Does Fletcher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view of </w:t>
      </w:r>
      <w:r w:rsidRPr="750671CE">
        <w:rPr>
          <w:rFonts w:ascii="Times New Roman" w:eastAsia="Times New Roman" w:hAnsi="Times New Roman" w:cs="Times New Roman"/>
          <w:i/>
          <w:iCs/>
        </w:rPr>
        <w:t>Vincent</w:t>
      </w:r>
      <w:r w:rsidRPr="750671CE">
        <w:rPr>
          <w:rFonts w:ascii="Times New Roman" w:eastAsia="Times New Roman" w:hAnsi="Times New Roman" w:cs="Times New Roman"/>
        </w:rPr>
        <w:t xml:space="preserve"> do a better job than Coleman</w:t>
      </w:r>
      <w:r w:rsidR="00B05F31">
        <w:rPr>
          <w:rFonts w:ascii="Times New Roman" w:eastAsia="Times New Roman" w:hAnsi="Times New Roman" w:cs="Times New Roman"/>
        </w:rPr>
        <w:t>’</w:t>
      </w:r>
      <w:r w:rsidRPr="750671CE">
        <w:rPr>
          <w:rFonts w:ascii="Times New Roman" w:eastAsia="Times New Roman" w:hAnsi="Times New Roman" w:cs="Times New Roman"/>
        </w:rPr>
        <w:t>s view of explaining the outcome of the case?  The question for any view based on reciprocity is how to identify the appropriate baseline from which reciprocity may be measured.  Fletcher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750671CE">
        <w:rPr>
          <w:rFonts w:ascii="Times New Roman" w:eastAsia="Times New Roman" w:hAnsi="Times New Roman" w:cs="Times New Roman"/>
          <w:i/>
          <w:iCs/>
        </w:rPr>
        <w:t>Vincent</w:t>
      </w:r>
      <w:r w:rsidRPr="750671CE">
        <w:rPr>
          <w:rFonts w:ascii="Times New Roman" w:eastAsia="Times New Roman" w:hAnsi="Times New Roman" w:cs="Times New Roman"/>
        </w:rPr>
        <w:t xml:space="preserve"> example, can we identify the risks as nonreciprocal without assuming that the plaintiff has a protectable entitlement in the dock? But isn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that what we are trying to decide?     </w:t>
      </w:r>
    </w:p>
    <w:p w14:paraId="7C19EC4B" w14:textId="77777777" w:rsidR="001F4A22" w:rsidRDefault="001F4A22" w:rsidP="001F4A22">
      <w:pPr>
        <w:rPr>
          <w:rFonts w:ascii="Times New Roman" w:eastAsia="Times New Roman" w:hAnsi="Times New Roman" w:cs="Times New Roman"/>
          <w:color w:val="000000"/>
        </w:rPr>
      </w:pPr>
    </w:p>
    <w:p w14:paraId="098AEE5D" w14:textId="77777777" w:rsidR="001F4A22" w:rsidRPr="00536EF5" w:rsidRDefault="001F4A22" w:rsidP="001F4A22">
      <w:pPr>
        <w:rPr>
          <w:rFonts w:ascii="Times New Roman" w:eastAsia="Times New Roman" w:hAnsi="Times New Roman" w:cs="Times New Roman"/>
          <w:color w:val="000000"/>
        </w:rPr>
      </w:pPr>
    </w:p>
    <w:p w14:paraId="31E715AA" w14:textId="5BD976F7" w:rsidR="001F4A22" w:rsidRPr="00F94B7E" w:rsidRDefault="750671CE" w:rsidP="00F94B7E">
      <w:pPr>
        <w:pStyle w:val="ListParagraph"/>
        <w:numPr>
          <w:ilvl w:val="0"/>
          <w:numId w:val="68"/>
        </w:numPr>
        <w:ind w:left="0" w:firstLine="360"/>
        <w:rPr>
          <w:rFonts w:ascii="Times New Roman" w:eastAsia="Times New Roman" w:hAnsi="Times New Roman" w:cs="Times New Roman"/>
        </w:rPr>
      </w:pPr>
      <w:r w:rsidRPr="00F94B7E">
        <w:rPr>
          <w:rFonts w:ascii="Times New Roman" w:eastAsia="Times New Roman" w:hAnsi="Times New Roman" w:cs="Times New Roman"/>
          <w:i/>
          <w:iCs/>
          <w:color w:val="000000" w:themeColor="text1"/>
        </w:rPr>
        <w:t>A civil recourse approach?</w:t>
      </w:r>
      <w:r w:rsidRPr="00F94B7E">
        <w:rPr>
          <w:rFonts w:ascii="Times New Roman" w:eastAsia="Times New Roman" w:hAnsi="Times New Roman" w:cs="Times New Roman"/>
          <w:b/>
          <w:bCs/>
          <w:color w:val="000000" w:themeColor="text1"/>
        </w:rPr>
        <w:t xml:space="preserve">  </w:t>
      </w:r>
      <w:r w:rsidRPr="00F94B7E">
        <w:rPr>
          <w:rFonts w:ascii="Times New Roman" w:eastAsia="Times New Roman" w:hAnsi="Times New Roman" w:cs="Times New Roman"/>
          <w:color w:val="000000" w:themeColor="text1"/>
        </w:rPr>
        <w:t xml:space="preserve">More recently, Goldberg and 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w:t>
      </w:r>
      <w:r w:rsidRPr="00F94B7E">
        <w:rPr>
          <w:rFonts w:ascii="Times New Roman" w:eastAsia="Times New Roman" w:hAnsi="Times New Roman" w:cs="Times New Roman"/>
          <w:color w:val="000000" w:themeColor="text1"/>
        </w:rPr>
        <w:lastRenderedPageBreak/>
        <w:t xml:space="preserve">tortfeasor.  Goldberg and Zipursky believe that their view of tort generates an explanation of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w:t>
      </w:r>
    </w:p>
    <w:p w14:paraId="0936F739" w14:textId="77777777" w:rsidR="001F4A22" w:rsidRDefault="001F4A22" w:rsidP="001F4A22">
      <w:pPr>
        <w:ind w:left="720" w:right="720"/>
        <w:rPr>
          <w:rFonts w:ascii="Times New Roman" w:hAnsi="Times New Roman" w:cs="Times New Roman"/>
        </w:rPr>
      </w:pPr>
    </w:p>
    <w:p w14:paraId="1CB6FEBB" w14:textId="185C7108" w:rsidR="001F4A22" w:rsidRDefault="750671CE" w:rsidP="00F94B7E">
      <w:pPr>
        <w:pStyle w:val="blockquote"/>
      </w:pPr>
      <w:r w:rsidRPr="750671CE">
        <w:t xml:space="preserve">Our own view of </w:t>
      </w:r>
      <w:r w:rsidRPr="750671CE">
        <w:rPr>
          <w:i/>
          <w:iCs/>
        </w:rPr>
        <w:t>Vincent</w:t>
      </w:r>
      <w:r w:rsidRPr="750671CE">
        <w:t xml:space="preserve"> is that . . . it deserves attention because it vividly demonstrates the distinctiveness of the wrong of trespass to land.  </w:t>
      </w:r>
      <w:r w:rsidRPr="750671CE">
        <w:rPr>
          <w:i/>
          <w:iCs/>
        </w:rPr>
        <w:t>Vincent</w:t>
      </w:r>
      <w:r w:rsidRPr="750671CE">
        <w:t>, we believe, is a plain-vanilla trespass case. The ship owner intentionally occupied the defendant</w:t>
      </w:r>
      <w:r w:rsidR="00B05F31">
        <w:t>’</w:t>
      </w:r>
      <w:r w:rsidRPr="750671CE">
        <w:t>s property (the dock) even after it was no longer permitted to do so.  It therefore committed a trespass for which compensation was owed.  Of course its decision to trespass was entirely reasonable.  However</w:t>
      </w:r>
      <w:r w:rsidR="00BB61E6" w:rsidRPr="00BB61E6">
        <w:t>—</w:t>
      </w:r>
      <w:r w:rsidRPr="750671CE">
        <w:t>as we have emphasized all along</w:t>
      </w:r>
      <w:r w:rsidR="00BB61E6" w:rsidRPr="00BB61E6">
        <w:t>—</w:t>
      </w:r>
      <w:r w:rsidRPr="750671CE">
        <w:t>the wrong of trespass, at least in the first instance, has nothing to do with whether the defendant behaved reasonably. . . .</w:t>
      </w:r>
    </w:p>
    <w:p w14:paraId="3357082D" w14:textId="77777777" w:rsidR="001F4A22" w:rsidRPr="00536EF5" w:rsidRDefault="001F4A22" w:rsidP="00F94B7E">
      <w:pPr>
        <w:pStyle w:val="blockquote"/>
      </w:pPr>
    </w:p>
    <w:p w14:paraId="2CE181B0" w14:textId="2D975294" w:rsidR="001F4A22" w:rsidRPr="00536EF5" w:rsidRDefault="750671CE" w:rsidP="00F94B7E">
      <w:pPr>
        <w:pStyle w:val="blockquote"/>
      </w:pPr>
      <w:r w:rsidRPr="750671CE">
        <w:t xml:space="preserve">Even though the reasonableness of the trespass in </w:t>
      </w:r>
      <w:r w:rsidRPr="750671CE">
        <w:rPr>
          <w:i/>
          <w:iCs/>
        </w:rPr>
        <w:t>Vincent</w:t>
      </w:r>
      <w:r w:rsidRPr="750671CE">
        <w:t xml:space="preserve"> does not prevent it from being a trespass, it does have </w:t>
      </w:r>
      <w:r w:rsidRPr="750671CE">
        <w:rPr>
          <w:i/>
          <w:iCs/>
        </w:rPr>
        <w:t>some</w:t>
      </w:r>
      <w:r w:rsidRPr="750671CE">
        <w:t xml:space="preserve"> significance on the outcome of the case. . . . [T]he same circumstances that explain why the captain</w:t>
      </w:r>
      <w:r w:rsidR="00B05F31">
        <w:t>’</w:t>
      </w:r>
      <w:r w:rsidRPr="750671CE">
        <w:t xml:space="preserve">s decision to stay put was entirely reasonable also explain why the dock owner in </w:t>
      </w:r>
      <w:r w:rsidRPr="750671CE">
        <w:rPr>
          <w:i/>
          <w:iCs/>
        </w:rPr>
        <w:t>Vincent</w:t>
      </w:r>
      <w:r w:rsidRPr="750671CE">
        <w:t xml:space="preserve">, like the dock owner in </w:t>
      </w:r>
      <w:r w:rsidRPr="750671CE">
        <w:rPr>
          <w:i/>
          <w:iCs/>
        </w:rPr>
        <w:t>Ploof</w:t>
      </w:r>
      <w:r w:rsidRPr="750671CE">
        <w:t xml:space="preserve">, would have faced liability if it had forcibly ejected the Reynolds from the dock, thereby causing it or its crew to suffer harm.  A property owner has a limited privilege to take measures to ward off trespassers [but] as we saw in </w:t>
      </w:r>
      <w:r w:rsidRPr="750671CE">
        <w:rPr>
          <w:i/>
          <w:iCs/>
        </w:rPr>
        <w:t>Katko v. Briney</w:t>
      </w:r>
      <w:r w:rsidRPr="750671CE">
        <w:t xml:space="preserve">, a property possessor cannot do just anything in response to trespasses.  </w:t>
      </w:r>
      <w:r w:rsidRPr="750671CE">
        <w:rPr>
          <w:i/>
          <w:iCs/>
        </w:rPr>
        <w:t>Ploof</w:t>
      </w:r>
      <w:r w:rsidRPr="750671CE">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62390085" w14:textId="77777777" w:rsidR="001F4A22" w:rsidRPr="00536EF5" w:rsidRDefault="001F4A22" w:rsidP="001F4A22">
      <w:pPr>
        <w:ind w:left="720"/>
        <w:rPr>
          <w:rFonts w:ascii="Times New Roman" w:hAnsi="Times New Roman" w:cs="Times New Roman"/>
        </w:rPr>
      </w:pPr>
    </w:p>
    <w:p w14:paraId="3FD5E860" w14:textId="2D68F867"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 xml:space="preserve">John C. P. Goldberg </w:t>
      </w:r>
      <w:r w:rsidR="00BB61E6">
        <w:rPr>
          <w:rFonts w:ascii="Times New Roman" w:eastAsia="Times New Roman" w:hAnsi="Times New Roman" w:cs="Times New Roman"/>
          <w:smallCaps/>
        </w:rPr>
        <w:t>&amp;</w:t>
      </w:r>
      <w:r w:rsidR="00BB61E6" w:rsidRPr="750671CE">
        <w:rPr>
          <w:rFonts w:ascii="Times New Roman" w:eastAsia="Times New Roman" w:hAnsi="Times New Roman" w:cs="Times New Roman"/>
          <w:smallCaps/>
        </w:rPr>
        <w:t xml:space="preserve"> </w:t>
      </w:r>
      <w:r w:rsidRPr="750671CE">
        <w:rPr>
          <w:rFonts w:ascii="Times New Roman" w:eastAsia="Times New Roman" w:hAnsi="Times New Roman" w:cs="Times New Roman"/>
          <w:smallCaps/>
        </w:rPr>
        <w:t>Benjamin C. Zipursky, The Oxford Introductions to U.S. Law: Torts</w:t>
      </w:r>
      <w:r w:rsidRPr="750671CE">
        <w:rPr>
          <w:rFonts w:ascii="Times New Roman" w:eastAsia="Times New Roman" w:hAnsi="Times New Roman" w:cs="Times New Roman"/>
        </w:rPr>
        <w:t xml:space="preserve"> (2010).  What, in Goldberg</w:t>
      </w:r>
      <w:r w:rsidR="00B05F31">
        <w:rPr>
          <w:rFonts w:ascii="Times New Roman" w:eastAsia="Times New Roman" w:hAnsi="Times New Roman" w:cs="Times New Roman"/>
        </w:rPr>
        <w:t>’</w:t>
      </w:r>
      <w:r w:rsidRPr="750671CE">
        <w:rPr>
          <w:rFonts w:ascii="Times New Roman" w:eastAsia="Times New Roman" w:hAnsi="Times New Roman" w:cs="Times New Roman"/>
        </w:rPr>
        <w:t>s and Zipursky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view, explains why the dockowner may not forcibly unmoor the shipowner?  Do Goldberg and Zipursky have an account of this feature of the legal structure, or does their theory beg the question of whence the privilege comes?  </w:t>
      </w:r>
    </w:p>
    <w:p w14:paraId="0C408099" w14:textId="77777777" w:rsidR="001F4A22" w:rsidRDefault="001F4A22" w:rsidP="001F4A22">
      <w:pPr>
        <w:rPr>
          <w:rFonts w:ascii="Times New Roman" w:hAnsi="Times New Roman" w:cs="Times New Roman"/>
        </w:rPr>
      </w:pPr>
    </w:p>
    <w:p w14:paraId="21921944" w14:textId="77777777" w:rsidR="001F4A22" w:rsidRPr="00536EF5" w:rsidRDefault="001F4A22" w:rsidP="001F4A22">
      <w:pPr>
        <w:rPr>
          <w:rFonts w:ascii="Times New Roman" w:hAnsi="Times New Roman" w:cs="Times New Roman"/>
        </w:rPr>
      </w:pPr>
    </w:p>
    <w:p w14:paraId="7CE01B91" w14:textId="2F0E5F9C" w:rsidR="001F4A22" w:rsidRPr="00F94B7E" w:rsidRDefault="750671CE" w:rsidP="00F94B7E">
      <w:pPr>
        <w:pStyle w:val="ListParagraph"/>
        <w:numPr>
          <w:ilvl w:val="0"/>
          <w:numId w:val="68"/>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 xml:space="preserve">The economic view of </w:t>
      </w:r>
      <w:r w:rsidRPr="00F94B7E">
        <w:rPr>
          <w:rFonts w:ascii="Times New Roman" w:eastAsia="Times New Roman" w:hAnsi="Times New Roman" w:cs="Times New Roman"/>
          <w:color w:val="000000" w:themeColor="text1"/>
        </w:rPr>
        <w:t xml:space="preserve">Vincent.  A very different set of accounts of tort law and of cases like </w:t>
      </w:r>
      <w:r w:rsidRPr="00F94B7E">
        <w:rPr>
          <w:rFonts w:ascii="Times New Roman" w:eastAsia="Times New Roman" w:hAnsi="Times New Roman" w:cs="Times New Roman"/>
          <w:i/>
          <w:iCs/>
          <w:color w:val="000000" w:themeColor="text1"/>
        </w:rPr>
        <w:t>Vincent</w:t>
      </w:r>
      <w:r w:rsidRPr="00F94B7E">
        <w:rPr>
          <w:rFonts w:ascii="Times New Roman" w:eastAsia="Times New Roman" w:hAnsi="Times New Roman" w:cs="Times New Roman"/>
          <w:color w:val="000000" w:themeColor="text1"/>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F94B7E">
        <w:rPr>
          <w:rFonts w:ascii="Times New Roman" w:eastAsia="Times New Roman" w:hAnsi="Times New Roman" w:cs="Times New Roman"/>
          <w:i/>
          <w:iCs/>
          <w:color w:val="000000" w:themeColor="text1"/>
        </w:rPr>
        <w:t>See</w:t>
      </w:r>
      <w:r w:rsidRPr="00F94B7E">
        <w:rPr>
          <w:rFonts w:ascii="Times New Roman" w:eastAsia="Times New Roman" w:hAnsi="Times New Roman" w:cs="Times New Roman"/>
          <w:color w:val="000000" w:themeColor="text1"/>
        </w:rPr>
        <w:t xml:space="preserve"> </w:t>
      </w:r>
      <w:r w:rsidRPr="00F94B7E">
        <w:rPr>
          <w:rFonts w:ascii="Times New Roman" w:eastAsia="Times New Roman" w:hAnsi="Times New Roman" w:cs="Times New Roman"/>
          <w:smallCaps/>
          <w:color w:val="000000" w:themeColor="text1"/>
        </w:rPr>
        <w:t>Guido Calabresi, The Costs of Accidents</w:t>
      </w:r>
      <w:r w:rsidRPr="00F94B7E">
        <w:rPr>
          <w:rFonts w:ascii="Times New Roman" w:eastAsia="Times New Roman" w:hAnsi="Times New Roman" w:cs="Times New Roman"/>
          <w:color w:val="000000" w:themeColor="text1"/>
        </w:rPr>
        <w:t xml:space="preserve"> (1970).</w:t>
      </w:r>
    </w:p>
    <w:p w14:paraId="3C8E9006" w14:textId="77777777" w:rsidR="001F4A22" w:rsidRDefault="001F4A22" w:rsidP="001F4A22">
      <w:pPr>
        <w:rPr>
          <w:rFonts w:ascii="Times New Roman" w:eastAsia="Times New Roman" w:hAnsi="Times New Roman" w:cs="Times New Roman"/>
          <w:color w:val="000000"/>
        </w:rPr>
      </w:pPr>
    </w:p>
    <w:p w14:paraId="443803E1" w14:textId="77777777" w:rsidR="001F4A2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Note, however, that cases like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-like damages in future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-like situations?  One might think so having just read the case.  But if we allow shipowners and </w:t>
      </w:r>
      <w:r w:rsidRPr="750671CE">
        <w:rPr>
          <w:rFonts w:ascii="Times New Roman" w:eastAsia="Times New Roman" w:hAnsi="Times New Roman" w:cs="Times New Roman"/>
          <w:color w:val="000000" w:themeColor="text1"/>
        </w:rPr>
        <w:lastRenderedPageBreak/>
        <w:t xml:space="preserve">dockowners to trade the risks before those risks come to fruition, we should expect to see the risk freely traded, even if the common law tort rule allocates it to ship owners as an initial matter.  </w:t>
      </w:r>
    </w:p>
    <w:p w14:paraId="33F9B671" w14:textId="77777777" w:rsidR="001F4A22" w:rsidRDefault="001F4A22" w:rsidP="001F4A22">
      <w:pPr>
        <w:rPr>
          <w:rFonts w:ascii="Times New Roman" w:eastAsia="Times New Roman" w:hAnsi="Times New Roman" w:cs="Times New Roman"/>
          <w:color w:val="000000"/>
        </w:rPr>
      </w:pPr>
    </w:p>
    <w:p w14:paraId="0DD8CF84" w14:textId="11E4D003"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color w:val="000000" w:themeColor="text1"/>
        </w:rPr>
        <w:t xml:space="preserve">This insight has made the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 decision a classic case for the discussion of what economists and lawyers call the Coase Theorem.  In a famous article, Nobel Prize-winning economist Ronald Coase contended</w:t>
      </w:r>
      <w:r w:rsidRPr="750671CE">
        <w:rPr>
          <w:rFonts w:ascii="Times New Roman" w:eastAsia="Times New Roman" w:hAnsi="Times New Roman" w:cs="Times New Roman"/>
        </w:rPr>
        <w:t xml:space="preserve">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a neighboring baker whose noisy machinery interfered with his medical practice.  The court had allocated the entitlement to the doctor, who thereafter had the power to stop the confectioner from using the loud machines.   But Coase observed that a rational doctor would have been willing to </w:t>
      </w:r>
    </w:p>
    <w:p w14:paraId="519DB2D9" w14:textId="77777777" w:rsidR="001F4A22" w:rsidRDefault="001F4A22" w:rsidP="001F4A22">
      <w:pPr>
        <w:ind w:firstLine="720"/>
        <w:rPr>
          <w:rFonts w:ascii="Times New Roman" w:hAnsi="Times New Roman" w:cs="Times New Roman"/>
        </w:rPr>
      </w:pPr>
    </w:p>
    <w:p w14:paraId="29E31C01" w14:textId="77777777" w:rsidR="001F4A22" w:rsidRDefault="750671CE" w:rsidP="00F94B7E">
      <w:pPr>
        <w:pStyle w:val="blockquote"/>
      </w:pPr>
      <w:r w:rsidRPr="750671CE">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08B61ECB" w14:textId="77777777" w:rsidR="001F4A22" w:rsidRDefault="001F4A22" w:rsidP="001F4A22">
      <w:pPr>
        <w:rPr>
          <w:rFonts w:ascii="Times New Roman" w:hAnsi="Times New Roman"/>
        </w:rPr>
      </w:pPr>
    </w:p>
    <w:p w14:paraId="4DC80FB6" w14:textId="45810DFC"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Ronald N. Coase, </w:t>
      </w:r>
      <w:r w:rsidRPr="750671CE">
        <w:rPr>
          <w:rFonts w:ascii="Times New Roman" w:eastAsia="Times New Roman" w:hAnsi="Times New Roman" w:cs="Times New Roman"/>
          <w:i/>
          <w:iCs/>
        </w:rPr>
        <w:t xml:space="preserve">The Problem of Social Cost, </w:t>
      </w:r>
      <w:r w:rsidRPr="750671CE">
        <w:rPr>
          <w:rFonts w:ascii="Times New Roman" w:eastAsia="Times New Roman" w:hAnsi="Times New Roman" w:cs="Times New Roman"/>
        </w:rPr>
        <w:t>3 J.L. &amp; E</w:t>
      </w:r>
      <w:r w:rsidRPr="750671CE">
        <w:rPr>
          <w:rFonts w:ascii="Times New Roman" w:eastAsia="Times New Roman" w:hAnsi="Times New Roman" w:cs="Times New Roman"/>
          <w:smallCaps/>
        </w:rPr>
        <w:t>con</w:t>
      </w:r>
      <w:r w:rsidRPr="750671CE">
        <w:rPr>
          <w:rFonts w:ascii="Times New Roman" w:eastAsia="Times New Roman" w:hAnsi="Times New Roman" w:cs="Times New Roman"/>
        </w:rPr>
        <w:t xml:space="preserve">. 1, 9 (1960).  In turn, the baker </w:t>
      </w:r>
      <w:r w:rsidR="00B05F31">
        <w:rPr>
          <w:rFonts w:ascii="Times New Roman" w:eastAsia="Times New Roman" w:hAnsi="Times New Roman" w:cs="Times New Roman"/>
        </w:rPr>
        <w:t>“</w:t>
      </w:r>
      <w:r w:rsidRPr="750671CE">
        <w:rPr>
          <w:rFonts w:ascii="Times New Roman" w:eastAsia="Times New Roman" w:hAnsi="Times New Roman" w:cs="Times New Roman"/>
        </w:rPr>
        <w:t>would have been willing to do this,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if and only if </w:t>
      </w:r>
      <w:r w:rsidR="00B05F31">
        <w:rPr>
          <w:rFonts w:ascii="Times New Roman" w:eastAsia="Times New Roman" w:hAnsi="Times New Roman" w:cs="Times New Roman"/>
        </w:rPr>
        <w:t>“</w:t>
      </w:r>
      <w:r w:rsidRPr="750671CE">
        <w:rPr>
          <w:rFonts w:ascii="Times New Roman" w:eastAsia="Times New Roman" w:hAnsi="Times New Roman" w:cs="Times New Roman"/>
        </w:rPr>
        <w:t>the amount he would have to pay the doctor was less than the fall in income he would suffer if he had to change his mode of operation at this location, abandon his operation or move his confectionery business to some other location.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w:t>
      </w:r>
    </w:p>
    <w:p w14:paraId="0F0F9B47" w14:textId="77777777" w:rsidR="001F4A22" w:rsidRDefault="001F4A22" w:rsidP="001F4A22">
      <w:pPr>
        <w:rPr>
          <w:rFonts w:ascii="Times New Roman" w:hAnsi="Times New Roman"/>
        </w:rPr>
      </w:pPr>
    </w:p>
    <w:p w14:paraId="64C4A452" w14:textId="5F76DF64"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The only real question, in Coase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account, was whether </w:t>
      </w:r>
      <w:r w:rsidR="00B05F31">
        <w:rPr>
          <w:rFonts w:ascii="Times New Roman" w:eastAsia="Times New Roman" w:hAnsi="Times New Roman" w:cs="Times New Roman"/>
        </w:rPr>
        <w:t>“</w:t>
      </w:r>
      <w:r w:rsidRPr="750671CE">
        <w:rPr>
          <w:rFonts w:ascii="Times New Roman" w:eastAsia="Times New Roman" w:hAnsi="Times New Roman" w:cs="Times New Roman"/>
        </w:rPr>
        <w:t>continued use of the machinery adds more to the confectioner</w:t>
      </w:r>
      <w:r w:rsidR="00B05F31">
        <w:rPr>
          <w:rFonts w:ascii="Times New Roman" w:eastAsia="Times New Roman" w:hAnsi="Times New Roman" w:cs="Times New Roman"/>
        </w:rPr>
        <w:t>’</w:t>
      </w:r>
      <w:r w:rsidRPr="750671CE">
        <w:rPr>
          <w:rFonts w:ascii="Times New Roman" w:eastAsia="Times New Roman" w:hAnsi="Times New Roman" w:cs="Times New Roman"/>
        </w:rPr>
        <w:t>s income that it subtracts from the doctor</w:t>
      </w:r>
      <w:r w:rsidR="00B05F31">
        <w:rPr>
          <w:rFonts w:ascii="Times New Roman" w:eastAsia="Times New Roman" w:hAnsi="Times New Roman" w:cs="Times New Roman"/>
        </w:rPr>
        <w:t>’</w:t>
      </w:r>
      <w:r w:rsidRPr="750671CE">
        <w:rPr>
          <w:rFonts w:ascii="Times New Roman" w:eastAsia="Times New Roman" w:hAnsi="Times New Roman" w:cs="Times New Roman"/>
        </w:rPr>
        <w: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If it did, then the baker would buy from the doctor the right to continue with the machinery.  Indeed, Coase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insight was that the same outcome would obtain no matter whether the court found for the doctor or the baker.  </w:t>
      </w:r>
    </w:p>
    <w:p w14:paraId="66E0BA19" w14:textId="77777777" w:rsidR="001F4A22" w:rsidRDefault="001F4A22" w:rsidP="001F4A22">
      <w:pPr>
        <w:rPr>
          <w:rFonts w:ascii="Times New Roman" w:hAnsi="Times New Roman"/>
        </w:rPr>
      </w:pPr>
    </w:p>
    <w:p w14:paraId="565048E4" w14:textId="77777777" w:rsidR="001F4A22" w:rsidRDefault="750671CE" w:rsidP="00F94B7E">
      <w:pPr>
        <w:pStyle w:val="blockquote"/>
      </w:pPr>
      <w:r w:rsidRPr="750671CE">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61093DAD" w14:textId="77777777" w:rsidR="001F4A22" w:rsidRPr="0012689B" w:rsidRDefault="001F4A22" w:rsidP="001F4A22">
      <w:pPr>
        <w:rPr>
          <w:rFonts w:ascii="Times New Roman" w:hAnsi="Times New Roman" w:cs="Times New Roman"/>
        </w:rPr>
      </w:pPr>
    </w:p>
    <w:p w14:paraId="3A8FF070" w14:textId="015CF104"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Just as in the first scenario in which the doctor won, the parties will trade the entitlement so that the party valuing it most ends up with it.  As Coase concludes: </w:t>
      </w:r>
      <w:r w:rsidR="00B05F31">
        <w:rPr>
          <w:rFonts w:ascii="Times New Roman" w:eastAsia="Times New Roman" w:hAnsi="Times New Roman" w:cs="Times New Roman"/>
        </w:rPr>
        <w:t>“</w:t>
      </w:r>
      <w:r w:rsidRPr="750671CE">
        <w:rPr>
          <w:rFonts w:ascii="Times New Roman" w:eastAsia="Times New Roman" w:hAnsi="Times New Roman" w:cs="Times New Roman"/>
        </w:rPr>
        <w:t>With costless market transactions, the decision of the courts concerning liability for damage would be without effect on the allocation of resources.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point is that where trading is possible, entitlements will tend to go to their highest value users.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9-10.  </w:t>
      </w:r>
    </w:p>
    <w:p w14:paraId="3F07C351" w14:textId="77777777" w:rsidR="001F4A22" w:rsidRDefault="001F4A22" w:rsidP="001F4A22">
      <w:pPr>
        <w:rPr>
          <w:rFonts w:ascii="Times New Roman" w:hAnsi="Times New Roman" w:cs="Times New Roman"/>
        </w:rPr>
      </w:pPr>
    </w:p>
    <w:p w14:paraId="27DCD0F8" w14:textId="77777777"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At around the same time Coase wrote </w:t>
      </w:r>
      <w:r w:rsidRPr="750671CE">
        <w:rPr>
          <w:rFonts w:ascii="Times New Roman" w:eastAsia="Times New Roman" w:hAnsi="Times New Roman" w:cs="Times New Roman"/>
          <w:i/>
          <w:iCs/>
        </w:rPr>
        <w:t>The Problem of Social Cost</w:t>
      </w:r>
      <w:r w:rsidRPr="750671CE">
        <w:rPr>
          <w:rFonts w:ascii="Times New Roman" w:eastAsia="Times New Roman" w:hAnsi="Times New Roman" w:cs="Times New Roman"/>
        </w:rPr>
        <w:t xml:space="preserve">, Guido Calabresi made a similar observation in a classic article, </w:t>
      </w:r>
      <w:r w:rsidRPr="750671CE">
        <w:rPr>
          <w:rFonts w:ascii="Times New Roman" w:eastAsia="Times New Roman" w:hAnsi="Times New Roman" w:cs="Times New Roman"/>
          <w:i/>
          <w:iCs/>
        </w:rPr>
        <w:t>The Decision for Accidents</w:t>
      </w:r>
      <w:r w:rsidRPr="750671CE">
        <w:rPr>
          <w:rFonts w:ascii="Times New Roman" w:eastAsia="Times New Roman" w:hAnsi="Times New Roman" w:cs="Times New Roman"/>
        </w:rPr>
        <w:t>:</w:t>
      </w:r>
    </w:p>
    <w:p w14:paraId="5D498C10" w14:textId="77777777" w:rsidR="001F4A22" w:rsidRDefault="001F4A22" w:rsidP="001F4A22">
      <w:pPr>
        <w:ind w:firstLine="720"/>
        <w:rPr>
          <w:rFonts w:ascii="Times New Roman" w:hAnsi="Times New Roman" w:cs="Times New Roman"/>
        </w:rPr>
      </w:pPr>
    </w:p>
    <w:p w14:paraId="698F3713" w14:textId="77777777" w:rsidR="001F4A22" w:rsidRDefault="750671CE" w:rsidP="00F94B7E">
      <w:pPr>
        <w:pStyle w:val="blockquote"/>
      </w:pPr>
      <w:r w:rsidRPr="750671CE">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Default="001F4A22" w:rsidP="001F4A22">
      <w:pPr>
        <w:rPr>
          <w:rFonts w:ascii="Times New Roman" w:hAnsi="Times New Roman" w:cs="Times New Roman"/>
        </w:rPr>
      </w:pPr>
    </w:p>
    <w:p w14:paraId="6BDFF1FA" w14:textId="77777777" w:rsidR="001F4A2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Guido Calabresi, </w:t>
      </w:r>
      <w:r w:rsidRPr="750671CE">
        <w:rPr>
          <w:rFonts w:ascii="Times New Roman" w:eastAsia="Times New Roman" w:hAnsi="Times New Roman" w:cs="Times New Roman"/>
          <w:i/>
          <w:iCs/>
        </w:rPr>
        <w:t>The Decision for Accidents</w:t>
      </w:r>
      <w:r w:rsidRPr="750671CE">
        <w:rPr>
          <w:rFonts w:ascii="Times New Roman" w:eastAsia="Times New Roman" w:hAnsi="Times New Roman" w:cs="Times New Roman"/>
        </w:rPr>
        <w:t xml:space="preserve">, 78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713, 732 (1965).  Calabresi emphasized the pervasiveness of transaction costs, where Coase emphasized the power of markets.  But together their insights have produced elaborate literatures in law and economics in the years since.  </w:t>
      </w:r>
    </w:p>
    <w:p w14:paraId="0952E814" w14:textId="77777777" w:rsidR="001F4A22" w:rsidRDefault="001F4A22" w:rsidP="001F4A22">
      <w:pPr>
        <w:rPr>
          <w:rFonts w:ascii="Times New Roman" w:hAnsi="Times New Roman" w:cs="Times New Roman"/>
        </w:rPr>
      </w:pPr>
    </w:p>
    <w:p w14:paraId="4C9DFC3D" w14:textId="461D8A19"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Some of the claims in the law and economics literature are quite contentious because they make strong assertions or assumptions about the efficiency of markets.  But the basic point</w:t>
      </w:r>
      <w:r w:rsidR="00BB61E6" w:rsidRPr="00BB61E6">
        <w:rPr>
          <w:rFonts w:ascii="Times New Roman" w:eastAsia="Times New Roman" w:hAnsi="Times New Roman" w:cs="Times New Roman"/>
        </w:rPr>
        <w:t>—</w:t>
      </w:r>
      <w:r w:rsidRPr="750671CE">
        <w:rPr>
          <w:rFonts w:ascii="Times New Roman" w:eastAsia="Times New Roman" w:hAnsi="Times New Roman" w:cs="Times New Roman"/>
        </w:rPr>
        <w:t>that common law adjudications are often not the final word on the allocation of an entitlement</w:t>
      </w:r>
      <w:r w:rsidR="00BB61E6" w:rsidRPr="00BB61E6">
        <w:rPr>
          <w:rFonts w:ascii="Times New Roman" w:eastAsia="Times New Roman" w:hAnsi="Times New Roman" w:cs="Times New Roman"/>
        </w:rPr>
        <w:t>—</w:t>
      </w:r>
      <w:r w:rsidRPr="750671CE">
        <w:rPr>
          <w:rFonts w:ascii="Times New Roman" w:eastAsia="Times New Roman" w:hAnsi="Times New Roman" w:cs="Times New Roman"/>
        </w:rPr>
        <w:t xml:space="preserve">is a straightforward, important, and widely accepted one.  </w:t>
      </w:r>
    </w:p>
    <w:p w14:paraId="63E29A1B" w14:textId="77777777" w:rsidR="001F4A22" w:rsidRDefault="001F4A22" w:rsidP="001F4A22">
      <w:pPr>
        <w:rPr>
          <w:rFonts w:ascii="Times New Roman" w:hAnsi="Times New Roman" w:cs="Times New Roman"/>
        </w:rPr>
      </w:pPr>
    </w:p>
    <w:p w14:paraId="073EF7DF" w14:textId="77777777" w:rsidR="001F4A2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15B7D55F" w14:textId="77777777" w:rsidR="001F4A22" w:rsidRDefault="001F4A22" w:rsidP="001F4A22">
      <w:pPr>
        <w:rPr>
          <w:rFonts w:ascii="Times New Roman" w:hAnsi="Times New Roman" w:cs="Times New Roman"/>
        </w:rPr>
      </w:pPr>
    </w:p>
    <w:p w14:paraId="48814932" w14:textId="232317C1" w:rsidR="001F4A2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rPr>
        <w:t xml:space="preserve">Now we can begin to see </w:t>
      </w:r>
      <w:r w:rsidRPr="750671CE">
        <w:rPr>
          <w:rFonts w:ascii="Times New Roman" w:eastAsia="Times New Roman" w:hAnsi="Times New Roman" w:cs="Times New Roman"/>
          <w:color w:val="000000" w:themeColor="text1"/>
        </w:rPr>
        <w:t>the implications of Coase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ideas about entitlements and transaction costs for risks like those present in </w:t>
      </w:r>
      <w:r w:rsidRPr="750671CE">
        <w:rPr>
          <w:rFonts w:ascii="Times New Roman" w:eastAsia="Times New Roman" w:hAnsi="Times New Roman" w:cs="Times New Roman"/>
          <w:i/>
          <w:iCs/>
          <w:color w:val="000000" w:themeColor="text1"/>
        </w:rPr>
        <w:t>Vincent v. Lake Erie Transportation</w:t>
      </w:r>
      <w:r w:rsidRPr="750671CE">
        <w:rPr>
          <w:rFonts w:ascii="Times New Roman" w:eastAsia="Times New Roman" w:hAnsi="Times New Roman" w:cs="Times New Roman"/>
          <w:color w:val="000000" w:themeColor="text1"/>
        </w:rPr>
        <w:t xml:space="preserve">.  Under what conditions will dock owners bear those risks, even if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a win-win!   Mooring contracts should allocate risks to shipowners when they are in a better position to bear those risks at minimum costs, and to dockowners when the situation is reversed.  Shipowners and dockowners would be foolish to do otherwise.  They would simply be leaving money on the table, or in the water, as the case may be.   </w:t>
      </w:r>
    </w:p>
    <w:p w14:paraId="22E1D909" w14:textId="77777777" w:rsidR="001F4A22" w:rsidRDefault="001F4A22" w:rsidP="001F4A22">
      <w:pPr>
        <w:rPr>
          <w:rFonts w:ascii="Times New Roman" w:eastAsia="Times New Roman" w:hAnsi="Times New Roman" w:cs="Times New Roman"/>
          <w:color w:val="000000"/>
        </w:rPr>
      </w:pPr>
    </w:p>
    <w:p w14:paraId="4D4FE7E4" w14:textId="77777777" w:rsidR="001F4A22" w:rsidRDefault="001F4A22" w:rsidP="001F4A22">
      <w:pPr>
        <w:rPr>
          <w:rFonts w:ascii="Times New Roman" w:eastAsia="Times New Roman" w:hAnsi="Times New Roman" w:cs="Times New Roman"/>
          <w:color w:val="000000"/>
        </w:rPr>
      </w:pPr>
    </w:p>
    <w:p w14:paraId="0D7FE375" w14:textId="3BA0C177" w:rsidR="001F4A22" w:rsidRPr="00F94B7E" w:rsidRDefault="750671CE" w:rsidP="00F94B7E">
      <w:pPr>
        <w:pStyle w:val="ListParagraph"/>
        <w:numPr>
          <w:ilvl w:val="0"/>
          <w:numId w:val="68"/>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What difference do legal rules make?</w:t>
      </w:r>
      <w:r w:rsidRPr="00F94B7E">
        <w:rPr>
          <w:rFonts w:ascii="Times New Roman" w:eastAsia="Times New Roman" w:hAnsi="Times New Roman" w:cs="Times New Roman"/>
          <w:color w:val="000000" w:themeColor="text1"/>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w:t>
      </w:r>
      <w:r w:rsidRPr="00F94B7E">
        <w:rPr>
          <w:rFonts w:ascii="Times New Roman" w:eastAsia="Times New Roman" w:hAnsi="Times New Roman" w:cs="Times New Roman"/>
          <w:color w:val="000000" w:themeColor="text1"/>
        </w:rPr>
        <w:lastRenderedPageBreak/>
        <w:t xml:space="preserve">ultimate allocation, the initial allocation does have a distributional or wealth effect.  Entitlement allocations have a positive wealth effect on the initial holder because it endows her with either the entitlement or the value received for transferring it to some other higher value holder. Risk allocations have a negative wealth effect because the initial allocatee will need to pay a cheaper cost bearer to take it off of her hands.  </w:t>
      </w:r>
    </w:p>
    <w:p w14:paraId="7E45B9DF" w14:textId="77777777" w:rsidR="001F4A22" w:rsidRDefault="001F4A22" w:rsidP="001F4A22">
      <w:pPr>
        <w:rPr>
          <w:rFonts w:ascii="Times New Roman" w:eastAsia="Times New Roman" w:hAnsi="Times New Roman" w:cs="Times New Roman"/>
          <w:color w:val="000000"/>
        </w:rPr>
      </w:pPr>
    </w:p>
    <w:p w14:paraId="53F88CF5" w14:textId="77777777" w:rsidR="001F4A22" w:rsidRDefault="001F4A22" w:rsidP="750671CE">
      <w:pPr>
        <w:rPr>
          <w:rFonts w:ascii="Times New Roman" w:eastAsia="Times New Roman" w:hAnsi="Times New Roman" w:cs="Times New Roman"/>
          <w:color w:val="000000" w:themeColor="text1"/>
        </w:rPr>
      </w:pPr>
      <w:r>
        <w:rPr>
          <w:rFonts w:ascii="Times New Roman" w:eastAsia="Times New Roman" w:hAnsi="Times New Roman" w:cs="Times New Roman"/>
          <w:color w:val="000000"/>
        </w:rPr>
        <w:tab/>
        <w:t xml:space="preserve">To see this in a real life setting, consider the </w:t>
      </w:r>
      <w:r w:rsidRPr="750671CE">
        <w:rPr>
          <w:rFonts w:ascii="Times New Roman" w:eastAsia="Times New Roman" w:hAnsi="Times New Roman" w:cs="Times New Roman"/>
          <w:i/>
          <w:iCs/>
          <w:color w:val="000000"/>
        </w:rPr>
        <w:t>Ploof</w:t>
      </w:r>
      <w:r>
        <w:rPr>
          <w:rFonts w:ascii="Times New Roman" w:eastAsia="Times New Roman" w:hAnsi="Times New Roman" w:cs="Times New Roman"/>
          <w:color w:val="000000"/>
        </w:rPr>
        <w:t xml:space="preserve"> case as an example.  By allocating the entitlement, or privilege, to boat owners, the court made the </w:t>
      </w:r>
      <w:r w:rsidRPr="00DC6396">
        <w:rPr>
          <w:rFonts w:ascii="Times New Roman" w:eastAsia="Times New Roman" w:hAnsi="Times New Roman" w:cs="Times New Roman"/>
          <w:color w:val="000000"/>
        </w:rPr>
        <w:t>Ploof</w:t>
      </w:r>
      <w:r>
        <w:rPr>
          <w:rFonts w:ascii="Times New Roman" w:eastAsia="Times New Roman" w:hAnsi="Times New Roman" w:cs="Times New Roman"/>
          <w:color w:val="000000"/>
        </w:rPr>
        <w:t xml:space="preserve"> family that much better off.  </w:t>
      </w:r>
    </w:p>
    <w:p w14:paraId="0144710B" w14:textId="77777777" w:rsidR="001F4A22" w:rsidRDefault="001F4A22" w:rsidP="001F4A22">
      <w:pPr>
        <w:rPr>
          <w:rFonts w:ascii="Times New Roman" w:eastAsia="Times New Roman" w:hAnsi="Times New Roman" w:cs="Times New Roman"/>
          <w:color w:val="000000"/>
        </w:rPr>
      </w:pPr>
    </w:p>
    <w:p w14:paraId="39B164E6" w14:textId="540F1367" w:rsidR="001F4A22" w:rsidRDefault="001F4A22" w:rsidP="750671CE">
      <w:pPr>
        <w:rPr>
          <w:rFonts w:ascii="Times New Roman" w:eastAsia="Times New Roman" w:hAnsi="Times New Roman" w:cs="Times New Roman"/>
          <w:color w:val="000000" w:themeColor="text1"/>
        </w:rPr>
      </w:pPr>
      <w:r>
        <w:rPr>
          <w:rFonts w:ascii="Times New Roman" w:eastAsia="Times New Roman" w:hAnsi="Times New Roman" w:cs="Times New Roman"/>
          <w:color w:val="000000"/>
        </w:rPr>
        <w:tab/>
        <w:t xml:space="preserve">In contractual settings, however, there is a wrinkle.  The privilege in </w:t>
      </w:r>
      <w:r w:rsidRPr="750671CE">
        <w:rPr>
          <w:rFonts w:ascii="Times New Roman" w:eastAsia="Times New Roman" w:hAnsi="Times New Roman" w:cs="Times New Roman"/>
          <w:i/>
          <w:iCs/>
          <w:color w:val="000000"/>
        </w:rPr>
        <w:t>Ploof</w:t>
      </w:r>
      <w:r>
        <w:rPr>
          <w:rFonts w:ascii="Times New Roman" w:eastAsia="Times New Roman" w:hAnsi="Times New Roman" w:cs="Times New Roman"/>
          <w:color w:val="000000"/>
        </w:rPr>
        <w:t xml:space="preserve"> settings exists for all boaters moving forward, whether or not dock owners agree.  That is the pro-boater wealth effect of the initial entitlement.  Similarly, in the </w:t>
      </w:r>
      <w:r w:rsidRPr="750671CE">
        <w:rPr>
          <w:rFonts w:ascii="Times New Roman" w:eastAsia="Times New Roman" w:hAnsi="Times New Roman" w:cs="Times New Roman"/>
          <w:i/>
          <w:iCs/>
          <w:color w:val="000000"/>
        </w:rPr>
        <w:t>Vincent</w:t>
      </w:r>
      <w:r>
        <w:rPr>
          <w:rFonts w:ascii="Times New Roman" w:eastAsia="Times New Roman" w:hAnsi="Times New Roman" w:cs="Times New Roman"/>
          <w:color w:val="000000"/>
        </w:rPr>
        <w:t xml:space="preserve"> case the decision of the Minnesota Supreme Court benefitted the dockowner at the expense of the shipowner.  But prospectively, the rule allocating the privilege as between shipowners and dockowners who come together in consensual docking agreements</w:t>
      </w:r>
      <w:r w:rsidR="00893DEE" w:rsidRPr="00893DEE">
        <w:rPr>
          <w:rFonts w:ascii="Times New Roman" w:eastAsia="Times New Roman" w:hAnsi="Times New Roman" w:cs="Times New Roman"/>
          <w:color w:val="000000"/>
        </w:rPr>
        <w:t>—</w:t>
      </w:r>
      <w:r>
        <w:rPr>
          <w:rFonts w:ascii="Times New Roman" w:eastAsia="Times New Roman" w:hAnsi="Times New Roman" w:cs="Times New Roman"/>
          <w:color w:val="000000"/>
        </w:rPr>
        <w:t xml:space="preserve">as in </w:t>
      </w:r>
      <w:r w:rsidRPr="750671CE">
        <w:rPr>
          <w:rFonts w:ascii="Times New Roman" w:eastAsia="Times New Roman" w:hAnsi="Times New Roman" w:cs="Times New Roman"/>
          <w:i/>
          <w:iCs/>
          <w:color w:val="000000"/>
        </w:rPr>
        <w:t>Vincent v. Lake Erie</w:t>
      </w:r>
      <w:r>
        <w:rPr>
          <w:rFonts w:ascii="Times New Roman" w:eastAsia="Times New Roman" w:hAnsi="Times New Roman" w:cs="Times New Roman"/>
          <w:color w:val="000000"/>
        </w:rPr>
        <w:t>-like settings</w:t>
      </w:r>
      <w:r w:rsidR="00893DEE" w:rsidRPr="00893DEE">
        <w:rPr>
          <w:rFonts w:ascii="Times New Roman" w:eastAsia="Times New Roman" w:hAnsi="Times New Roman" w:cs="Times New Roman"/>
          <w:color w:val="000000"/>
        </w:rPr>
        <w:t>—</w:t>
      </w:r>
      <w:r>
        <w:rPr>
          <w:rFonts w:ascii="Times New Roman" w:eastAsia="Times New Roman" w:hAnsi="Times New Roman" w:cs="Times New Roman"/>
          <w:color w:val="000000"/>
        </w:rPr>
        <w:t xml:space="preserve">is a different kind of animal.  Rather than allocating an initial entitlement as in </w:t>
      </w:r>
      <w:r w:rsidRPr="750671CE">
        <w:rPr>
          <w:rFonts w:ascii="Times New Roman" w:eastAsia="Times New Roman" w:hAnsi="Times New Roman" w:cs="Times New Roman"/>
          <w:i/>
          <w:iCs/>
          <w:color w:val="000000"/>
        </w:rPr>
        <w:t>Ploof</w:t>
      </w:r>
      <w:r>
        <w:rPr>
          <w:rFonts w:ascii="Times New Roman" w:eastAsia="Times New Roman" w:hAnsi="Times New Roman" w:cs="Times New Roman"/>
          <w:color w:val="000000"/>
        </w:rPr>
        <w:t xml:space="preserve">, the </w:t>
      </w:r>
      <w:r w:rsidRPr="750671CE">
        <w:rPr>
          <w:rFonts w:ascii="Times New Roman" w:eastAsia="Times New Roman" w:hAnsi="Times New Roman" w:cs="Times New Roman"/>
          <w:i/>
          <w:iCs/>
          <w:color w:val="000000"/>
        </w:rPr>
        <w:t>Vincent</w:t>
      </w:r>
      <w:r>
        <w:rPr>
          <w:rFonts w:ascii="Times New Roman" w:eastAsia="Times New Roman" w:hAnsi="Times New Roman" w:cs="Times New Roman"/>
          <w:color w:val="000000"/>
        </w:rPr>
        <w:t xml:space="preserve"> rule is better thought of as setting a default rule or a contract presumption.  Moving forward, the allocation of this risk is subject to rearrangement by the parties if they see fit to alter the presumptive or default term of the mooring contract.  In future </w:t>
      </w:r>
      <w:r w:rsidRPr="750671CE">
        <w:rPr>
          <w:rFonts w:ascii="Times New Roman" w:eastAsia="Times New Roman" w:hAnsi="Times New Roman" w:cs="Times New Roman"/>
          <w:i/>
          <w:iCs/>
          <w:color w:val="000000"/>
        </w:rPr>
        <w:t>Vincent v. Lake Erie</w:t>
      </w:r>
      <w:r>
        <w:rPr>
          <w:rFonts w:ascii="Times New Roman" w:eastAsia="Times New Roman" w:hAnsi="Times New Roman" w:cs="Times New Roman"/>
          <w:color w:val="000000"/>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w:t>
      </w:r>
      <w:r w:rsidR="00893DEE" w:rsidRPr="00893DEE">
        <w:rPr>
          <w:rFonts w:ascii="Times New Roman" w:eastAsia="Times New Roman" w:hAnsi="Times New Roman" w:cs="Times New Roman"/>
          <w:color w:val="000000"/>
        </w:rPr>
        <w:t>—</w:t>
      </w:r>
      <w:r>
        <w:rPr>
          <w:rFonts w:ascii="Times New Roman" w:eastAsia="Times New Roman" w:hAnsi="Times New Roman" w:cs="Times New Roman"/>
          <w:color w:val="000000"/>
        </w:rPr>
        <w:t xml:space="preserve">at least not in any obvious way.  As Stewart Schwab puts it, </w:t>
      </w:r>
      <w:r w:rsidR="00B05F31">
        <w:rPr>
          <w:rFonts w:ascii="Times New Roman" w:eastAsia="Times New Roman" w:hAnsi="Times New Roman" w:cs="Times New Roman"/>
          <w:color w:val="000000"/>
        </w:rPr>
        <w:t>“</w:t>
      </w:r>
      <w:r>
        <w:rPr>
          <w:rFonts w:ascii="Times New Roman" w:eastAsia="Times New Roman" w:hAnsi="Times New Roman" w:cs="Times New Roman"/>
          <w:color w:val="000000"/>
        </w:rPr>
        <w:t>because both sides to a contract simultaneously agree to create and distribute wealth, the distributive effect of contract rules is muted.</w:t>
      </w:r>
      <w:r w:rsidR="00B05F31">
        <w:rPr>
          <w:rFonts w:ascii="Times New Roman" w:eastAsia="Times New Roman" w:hAnsi="Times New Roman" w:cs="Times New Roman"/>
          <w:color w:val="000000"/>
        </w:rPr>
        <w:t>”</w:t>
      </w:r>
      <w:r>
        <w:rPr>
          <w:rFonts w:ascii="Times New Roman" w:eastAsia="Times New Roman" w:hAnsi="Times New Roman" w:cs="Times New Roman"/>
          <w:color w:val="000000"/>
        </w:rPr>
        <w:t xml:space="preserve">  Stewart Schwab, </w:t>
      </w:r>
      <w:r w:rsidRPr="750671CE">
        <w:rPr>
          <w:rFonts w:ascii="Times New Roman" w:eastAsia="Times New Roman" w:hAnsi="Times New Roman" w:cs="Times New Roman"/>
          <w:i/>
          <w:iCs/>
          <w:color w:val="000000"/>
        </w:rPr>
        <w:t>A Coasean Experiment on Contract Presumptions</w:t>
      </w:r>
      <w:r>
        <w:rPr>
          <w:rFonts w:ascii="Times New Roman" w:eastAsia="Times New Roman" w:hAnsi="Times New Roman" w:cs="Times New Roman"/>
          <w:color w:val="000000"/>
        </w:rPr>
        <w:t xml:space="preserve">, 17 </w:t>
      </w:r>
      <w:r w:rsidRPr="00D2346A">
        <w:rPr>
          <w:rFonts w:ascii="Times New Roman" w:eastAsia="Times New Roman" w:hAnsi="Times New Roman" w:cs="Times New Roman"/>
          <w:smallCaps/>
          <w:color w:val="000000"/>
        </w:rPr>
        <w:t>J. Legal Stud</w:t>
      </w:r>
      <w:r>
        <w:rPr>
          <w:rFonts w:ascii="Times New Roman" w:eastAsia="Times New Roman" w:hAnsi="Times New Roman" w:cs="Times New Roman"/>
          <w:color w:val="000000"/>
        </w:rPr>
        <w:t xml:space="preserve">. 237, 239 (1988).  </w:t>
      </w:r>
    </w:p>
    <w:p w14:paraId="6578A458" w14:textId="77777777" w:rsidR="001F4A22" w:rsidRPr="008915EB" w:rsidRDefault="001F4A22" w:rsidP="001F4A22">
      <w:pPr>
        <w:rPr>
          <w:rFonts w:ascii="Times New Roman" w:eastAsia="Times New Roman" w:hAnsi="Times New Roman" w:cs="Times New Roman"/>
          <w:i/>
          <w:color w:val="000000"/>
        </w:rPr>
      </w:pPr>
      <w:r>
        <w:rPr>
          <w:rFonts w:ascii="Times New Roman" w:eastAsia="Times New Roman" w:hAnsi="Times New Roman" w:cs="Times New Roman"/>
          <w:color w:val="000000"/>
        </w:rPr>
        <w:tab/>
      </w:r>
    </w:p>
    <w:p w14:paraId="6045B2A3" w14:textId="77777777" w:rsidR="001F4A22" w:rsidRPr="00536EF5" w:rsidRDefault="001F4A22" w:rsidP="001F4A22">
      <w:pPr>
        <w:rPr>
          <w:rFonts w:ascii="Times New Roman" w:hAnsi="Times New Roman" w:cs="Times New Roman"/>
        </w:rPr>
      </w:pPr>
    </w:p>
    <w:p w14:paraId="6CE2FBEB" w14:textId="61682FA8" w:rsidR="001F4A22" w:rsidRPr="00F94B7E" w:rsidRDefault="750671CE" w:rsidP="00F94B7E">
      <w:pPr>
        <w:pStyle w:val="ListParagraph"/>
        <w:numPr>
          <w:ilvl w:val="0"/>
          <w:numId w:val="68"/>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Transaction costs</w:t>
      </w:r>
      <w:r w:rsidRPr="00F94B7E">
        <w:rPr>
          <w:rFonts w:ascii="Times New Roman" w:eastAsia="Times New Roman" w:hAnsi="Times New Roman" w:cs="Times New Roman"/>
          <w:color w:val="000000" w:themeColor="text1"/>
        </w:rPr>
        <w:t>.  Real-world bargaining is not seamless, of course.  The real world involves transaction costs, and when these costs are included in the analysis</w:t>
      </w:r>
      <w:r w:rsidR="00071B85">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 xml:space="preserve"> it turns out that parties may not be able to enter into jointly advantageous arrangements.  In some situations</w:t>
      </w:r>
      <w:r w:rsidR="00071B85">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 xml:space="preserve"> there simply isn</w:t>
      </w:r>
      <w:r w:rsidR="00B05F31" w:rsidRPr="00F94B7E">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 xml:space="preserve">t an opportunity to bargain.  The parties creating risks for one another, for example, may be strangers hurtling down a highway toward one another.  Or perhaps they are in a </w:t>
      </w:r>
      <w:r w:rsidRPr="00F94B7E">
        <w:rPr>
          <w:rFonts w:ascii="Times New Roman" w:eastAsia="Times New Roman" w:hAnsi="Times New Roman" w:cs="Times New Roman"/>
          <w:i/>
          <w:iCs/>
          <w:color w:val="000000" w:themeColor="text1"/>
        </w:rPr>
        <w:t>Ploof</w:t>
      </w:r>
      <w:r w:rsidRPr="00F94B7E">
        <w:rPr>
          <w:rFonts w:ascii="Times New Roman" w:eastAsia="Times New Roman" w:hAnsi="Times New Roman" w:cs="Times New Roman"/>
          <w:color w:val="000000" w:themeColor="text1"/>
        </w:rPr>
        <w:t>-like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w:t>
      </w:r>
      <w:r w:rsidR="00071B85">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 xml:space="preserve"> in many other settings</w:t>
      </w:r>
      <w:r w:rsidR="00071B85">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 xml:space="preserve"> transaction costs may be prohibitive.  </w:t>
      </w:r>
    </w:p>
    <w:p w14:paraId="5AE74501" w14:textId="77777777" w:rsidR="001F4A22" w:rsidRDefault="001F4A22" w:rsidP="001F4A22">
      <w:pPr>
        <w:rPr>
          <w:rFonts w:ascii="Times New Roman" w:eastAsia="Times New Roman" w:hAnsi="Times New Roman" w:cs="Times New Roman"/>
          <w:color w:val="000000"/>
        </w:rPr>
      </w:pPr>
    </w:p>
    <w:p w14:paraId="754F2116" w14:textId="77777777" w:rsidR="001F4A22" w:rsidRPr="00B74C6D"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Ian Ayres and Jack Balkin argue that in high-transaction-costs settings the privilege regime of </w:t>
      </w:r>
      <w:r w:rsidRPr="750671CE">
        <w:rPr>
          <w:rFonts w:ascii="Times New Roman" w:eastAsia="Times New Roman" w:hAnsi="Times New Roman" w:cs="Times New Roman"/>
          <w:i/>
          <w:iCs/>
          <w:color w:val="000000" w:themeColor="text1"/>
        </w:rPr>
        <w:t>Ploof</w:t>
      </w:r>
      <w:r w:rsidRPr="750671CE">
        <w:rPr>
          <w:rFonts w:ascii="Times New Roman" w:eastAsia="Times New Roman" w:hAnsi="Times New Roman" w:cs="Times New Roman"/>
          <w:color w:val="000000" w:themeColor="text1"/>
        </w:rPr>
        <w:t xml:space="preserve"> and </w:t>
      </w:r>
      <w:r w:rsidRPr="750671CE">
        <w:rPr>
          <w:rFonts w:ascii="Times New Roman" w:eastAsia="Times New Roman" w:hAnsi="Times New Roman" w:cs="Times New Roman"/>
          <w:i/>
          <w:iCs/>
          <w:color w:val="000000" w:themeColor="text1"/>
        </w:rPr>
        <w:t>Vincent</w:t>
      </w:r>
      <w:r w:rsidRPr="750671CE">
        <w:rPr>
          <w:rFonts w:ascii="Times New Roman" w:eastAsia="Times New Roman" w:hAnsi="Times New Roman" w:cs="Times New Roman"/>
          <w:color w:val="000000" w:themeColor="text1"/>
        </w:rPr>
        <w:t xml:space="preserve"> creates ersatz auctions in which a sequence of unilateral actions by the parties may reproduce the effect of a market without transaction costs.</w:t>
      </w:r>
    </w:p>
    <w:p w14:paraId="77B52E24" w14:textId="77777777" w:rsidR="001F4A22" w:rsidRPr="00536EF5" w:rsidRDefault="001F4A22" w:rsidP="001F4A22">
      <w:pPr>
        <w:ind w:left="720"/>
        <w:rPr>
          <w:rFonts w:ascii="Times New Roman" w:hAnsi="Times New Roman" w:cs="Times New Roman"/>
        </w:rPr>
      </w:pPr>
    </w:p>
    <w:p w14:paraId="7CB823AB" w14:textId="0C750553" w:rsidR="001F4A22" w:rsidRDefault="750671CE" w:rsidP="00F94B7E">
      <w:pPr>
        <w:pStyle w:val="blockquote"/>
      </w:pPr>
      <w:r w:rsidRPr="750671CE">
        <w:t xml:space="preserve">Viewing entitlements as auctions implies that after one party exercises its option to take nonconsensually, the other has an option to </w:t>
      </w:r>
      <w:r w:rsidR="00B05F31">
        <w:t>“</w:t>
      </w:r>
      <w:r w:rsidRPr="750671CE">
        <w:t>take back,</w:t>
      </w:r>
      <w:r w:rsidR="00B05F31">
        <w:t>”</w:t>
      </w:r>
      <w:r w:rsidRPr="750671CE">
        <w:t xml:space="preserve">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F3D5C6B" w14:textId="77777777" w:rsidR="001F4A22" w:rsidRDefault="001F4A22" w:rsidP="001F4A22">
      <w:pPr>
        <w:ind w:left="720" w:right="720"/>
        <w:rPr>
          <w:rFonts w:ascii="Times New Roman" w:hAnsi="Times New Roman" w:cs="Times New Roman"/>
        </w:rPr>
      </w:pPr>
    </w:p>
    <w:p w14:paraId="300F541B" w14:textId="154DDB92" w:rsidR="001F4A22" w:rsidRPr="00B74C6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w:t>
      </w:r>
      <w:r w:rsidR="00B05F31">
        <w:rPr>
          <w:rFonts w:ascii="Times New Roman" w:eastAsia="Times New Roman" w:hAnsi="Times New Roman" w:cs="Times New Roman"/>
        </w:rPr>
        <w:t>’</w:t>
      </w:r>
      <w:r w:rsidRPr="750671CE">
        <w:rPr>
          <w:rFonts w:ascii="Times New Roman" w:eastAsia="Times New Roman" w:hAnsi="Times New Roman" w:cs="Times New Roman"/>
        </w:rPr>
        <w:t>s his opening bid, and it flushes new information into the open: namely, that the shipowner</w:t>
      </w:r>
      <w:r w:rsidR="00B05F31">
        <w:rPr>
          <w:rFonts w:ascii="Times New Roman" w:eastAsia="Times New Roman" w:hAnsi="Times New Roman" w:cs="Times New Roman"/>
        </w:rPr>
        <w:t>’</w:t>
      </w:r>
      <w:r w:rsidRPr="750671CE">
        <w:rPr>
          <w:rFonts w:ascii="Times New Roman" w:eastAsia="Times New Roman" w:hAnsi="Times New Roman" w:cs="Times New Roman"/>
        </w:rPr>
        <w:t>s willingness to pay to save his vessel (his reserve price, in the parlance of auctions) is greater than what he takes the value of the dock to be.  With this new information, the dockowner, in turn, has the opportunity to unmoor.  That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market transaction ever takes place.  As Ayres and Balkin explain, </w:t>
      </w:r>
      <w:r w:rsidR="00B05F31">
        <w:rPr>
          <w:rFonts w:ascii="Times New Roman" w:eastAsia="Times New Roman" w:hAnsi="Times New Roman" w:cs="Times New Roman"/>
        </w:rPr>
        <w:t>“</w:t>
      </w:r>
      <w:r w:rsidRPr="750671CE">
        <w:rPr>
          <w:rFonts w:ascii="Times New Roman" w:eastAsia="Times New Roman" w:hAnsi="Times New Roman" w:cs="Times New Roman"/>
        </w:rPr>
        <w:t>[t]he more rounds we add to an internal auction, the more it appears to mimic bargaining between the participants.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Ian Ayres </w:t>
      </w:r>
      <w:r w:rsidR="00C8663D">
        <w:rPr>
          <w:rFonts w:ascii="Times New Roman" w:eastAsia="Times New Roman" w:hAnsi="Times New Roman" w:cs="Times New Roman"/>
        </w:rPr>
        <w:t>&amp;</w:t>
      </w:r>
      <w:r w:rsidR="00C8663D" w:rsidRPr="750671CE">
        <w:rPr>
          <w:rFonts w:ascii="Times New Roman" w:eastAsia="Times New Roman" w:hAnsi="Times New Roman" w:cs="Times New Roman"/>
        </w:rPr>
        <w:t xml:space="preserve"> </w:t>
      </w:r>
      <w:r w:rsidRPr="750671CE">
        <w:rPr>
          <w:rFonts w:ascii="Times New Roman" w:eastAsia="Times New Roman" w:hAnsi="Times New Roman" w:cs="Times New Roman"/>
        </w:rPr>
        <w:t>J.</w:t>
      </w:r>
      <w:r w:rsidR="00C8663D">
        <w:rPr>
          <w:rFonts w:ascii="Times New Roman" w:eastAsia="Times New Roman" w:hAnsi="Times New Roman" w:cs="Times New Roman"/>
        </w:rPr>
        <w:t xml:space="preserve"> </w:t>
      </w:r>
      <w:r w:rsidRPr="750671CE">
        <w:rPr>
          <w:rFonts w:ascii="Times New Roman" w:eastAsia="Times New Roman" w:hAnsi="Times New Roman" w:cs="Times New Roman"/>
        </w:rPr>
        <w:t xml:space="preserve">M. Balkin, </w:t>
      </w:r>
      <w:r w:rsidRPr="750671CE">
        <w:rPr>
          <w:rFonts w:ascii="Times New Roman" w:eastAsia="Times New Roman" w:hAnsi="Times New Roman" w:cs="Times New Roman"/>
          <w:i/>
          <w:iCs/>
        </w:rPr>
        <w:t>Legal Entitlements as Auctions: Property Rules, Liability Rules, and Beyond</w:t>
      </w:r>
      <w:r w:rsidRPr="750671CE">
        <w:rPr>
          <w:rFonts w:ascii="Times New Roman" w:eastAsia="Times New Roman" w:hAnsi="Times New Roman" w:cs="Times New Roman"/>
        </w:rPr>
        <w:t xml:space="preserve">, 106 </w:t>
      </w:r>
      <w:r w:rsidRPr="750671CE">
        <w:rPr>
          <w:rFonts w:ascii="Times New Roman" w:eastAsia="Times New Roman" w:hAnsi="Times New Roman" w:cs="Times New Roman"/>
          <w:smallCaps/>
        </w:rPr>
        <w:t xml:space="preserve">Yale L.J. </w:t>
      </w:r>
      <w:r w:rsidRPr="750671CE">
        <w:rPr>
          <w:rFonts w:ascii="Times New Roman" w:eastAsia="Times New Roman" w:hAnsi="Times New Roman" w:cs="Times New Roman"/>
        </w:rPr>
        <w:t>703 (1997).</w:t>
      </w:r>
    </w:p>
    <w:p w14:paraId="571A647A" w14:textId="77777777" w:rsidR="001F4A22" w:rsidRDefault="001F4A22" w:rsidP="001F4A22">
      <w:pPr>
        <w:rPr>
          <w:rFonts w:ascii="Times New Roman" w:hAnsi="Times New Roman" w:cs="Times New Roman"/>
        </w:rPr>
      </w:pPr>
    </w:p>
    <w:p w14:paraId="117083C2" w14:textId="77777777" w:rsidR="001F4A22" w:rsidRDefault="001F4A22" w:rsidP="001F4A22">
      <w:pPr>
        <w:rPr>
          <w:rFonts w:ascii="Times New Roman" w:hAnsi="Times New Roman" w:cs="Times New Roman"/>
        </w:rPr>
      </w:pPr>
    </w:p>
    <w:p w14:paraId="01786B6B" w14:textId="14B1FCC5" w:rsidR="00B71846" w:rsidRPr="0082336D" w:rsidRDefault="00B71846" w:rsidP="00B71846">
      <w:pPr>
        <w:pStyle w:val="Heading2"/>
      </w:pPr>
      <w:bookmarkStart w:id="127" w:name="_Toc364636063"/>
      <w:bookmarkStart w:id="128" w:name="_Toc518323226"/>
      <w:r>
        <w:t>C</w:t>
      </w:r>
      <w:r w:rsidRPr="0082336D">
        <w:t xml:space="preserve">.  </w:t>
      </w:r>
      <w:r w:rsidRPr="00D2346A">
        <w:t>Emotional and Dignitary Harms: The Example of Assault</w:t>
      </w:r>
      <w:bookmarkEnd w:id="127"/>
      <w:bookmarkEnd w:id="128"/>
    </w:p>
    <w:p w14:paraId="54530C38" w14:textId="77777777" w:rsidR="006F1186" w:rsidRPr="00B71846" w:rsidRDefault="006F1186" w:rsidP="001F4A22">
      <w:pPr>
        <w:widowControl w:val="0"/>
        <w:autoSpaceDE w:val="0"/>
        <w:autoSpaceDN w:val="0"/>
        <w:adjustRightInd w:val="0"/>
        <w:rPr>
          <w:rFonts w:ascii="Times New Roman" w:hAnsi="Times New Roman" w:cs="Times New Roman"/>
        </w:rPr>
      </w:pPr>
    </w:p>
    <w:p w14:paraId="7C7B0B57" w14:textId="77777777" w:rsidR="00B71846" w:rsidRPr="00F94B7E" w:rsidRDefault="00B71846" w:rsidP="00F94B7E">
      <w:pPr>
        <w:rPr>
          <w:rFonts w:ascii="Times New Roman" w:hAnsi="Times New Roman" w:cs="Times New Roman"/>
        </w:rPr>
      </w:pPr>
    </w:p>
    <w:p w14:paraId="189CC26A" w14:textId="55B8CB0D" w:rsidR="005F28D6" w:rsidRPr="00F94B7E" w:rsidRDefault="001F4A22" w:rsidP="00F94B7E">
      <w:pPr>
        <w:rPr>
          <w:rFonts w:ascii="Times New Roman" w:hAnsi="Times New Roman" w:cs="Times New Roman"/>
          <w:b/>
        </w:rPr>
      </w:pPr>
      <w:bookmarkStart w:id="129" w:name="_Toc518323227"/>
      <w:r w:rsidRPr="005C6046">
        <w:rPr>
          <w:rStyle w:val="Heading4Char"/>
        </w:rPr>
        <w:t>I. de S. &amp; Wife v. W. de S.</w:t>
      </w:r>
      <w:r w:rsidR="005F28D6" w:rsidRPr="005C6046">
        <w:rPr>
          <w:rStyle w:val="Heading4Char"/>
        </w:rPr>
        <w:t xml:space="preserve"> </w:t>
      </w:r>
      <w:r w:rsidRPr="005C6046">
        <w:rPr>
          <w:rStyle w:val="Heading4Char"/>
        </w:rPr>
        <w:t>Assizes</w:t>
      </w:r>
      <w:bookmarkEnd w:id="129"/>
      <w:r w:rsidRPr="00F94B7E">
        <w:rPr>
          <w:rFonts w:ascii="Times New Roman" w:hAnsi="Times New Roman" w:cs="Times New Roman"/>
          <w:b/>
        </w:rPr>
        <w:t>, 1348 or 1349,</w:t>
      </w:r>
      <w:r w:rsidR="005F28D6" w:rsidRPr="00F94B7E">
        <w:rPr>
          <w:rStyle w:val="FootnoteReference"/>
          <w:rFonts w:ascii="Times New Roman" w:eastAsia="Times New Roman" w:hAnsi="Times New Roman" w:cs="Times New Roman"/>
          <w:b/>
          <w:bCs/>
        </w:rPr>
        <w:footnoteReference w:id="2"/>
      </w:r>
    </w:p>
    <w:p w14:paraId="7F74030B" w14:textId="77777777" w:rsidR="005F28D6" w:rsidRPr="00F94B7E" w:rsidRDefault="005F28D6" w:rsidP="00F94B7E">
      <w:pPr>
        <w:rPr>
          <w:rFonts w:ascii="Times New Roman" w:hAnsi="Times New Roman" w:cs="Times New Roman"/>
        </w:rPr>
      </w:pPr>
    </w:p>
    <w:p w14:paraId="537B7654" w14:textId="5B13FBB5" w:rsidR="001F4A22" w:rsidRPr="00F94B7E" w:rsidRDefault="001F4A22" w:rsidP="00F94B7E">
      <w:pPr>
        <w:rPr>
          <w:rFonts w:ascii="Times New Roman" w:hAnsi="Times New Roman" w:cs="Times New Roman"/>
        </w:rPr>
      </w:pPr>
      <w:r w:rsidRPr="00F94B7E">
        <w:rPr>
          <w:rFonts w:ascii="Times New Roman" w:hAnsi="Times New Roman" w:cs="Times New Roman"/>
          <w:smallCaps/>
        </w:rPr>
        <w:t>Thorpe</w:t>
      </w:r>
      <w:r w:rsidRPr="00F94B7E">
        <w:rPr>
          <w:rFonts w:ascii="Times New Roman" w:hAnsi="Times New Roman" w:cs="Times New Roman"/>
        </w:rPr>
        <w:t>, C.J.</w:t>
      </w:r>
      <w:r w:rsidRPr="00F94B7E">
        <w:rPr>
          <w:rStyle w:val="FootnoteReference"/>
          <w:rFonts w:ascii="Times New Roman" w:eastAsia="Times New Roman" w:hAnsi="Times New Roman" w:cs="Times New Roman"/>
        </w:rPr>
        <w:t xml:space="preserve"> </w:t>
      </w:r>
    </w:p>
    <w:p w14:paraId="427755C6" w14:textId="77777777" w:rsidR="001F4A22" w:rsidRPr="00B71846" w:rsidRDefault="001F4A22" w:rsidP="001F4A22">
      <w:pPr>
        <w:widowControl w:val="0"/>
        <w:autoSpaceDE w:val="0"/>
        <w:autoSpaceDN w:val="0"/>
        <w:adjustRightInd w:val="0"/>
        <w:rPr>
          <w:rFonts w:ascii="Times New Roman" w:hAnsi="Times New Roman" w:cs="Times New Roman"/>
        </w:rPr>
      </w:pPr>
    </w:p>
    <w:p w14:paraId="77225DED" w14:textId="28AC3A6D" w:rsidR="001F4A22" w:rsidRPr="00536EF5" w:rsidRDefault="750671CE" w:rsidP="00F94B7E">
      <w:pPr>
        <w:widowControl w:val="0"/>
        <w:autoSpaceDE w:val="0"/>
        <w:autoSpaceDN w:val="0"/>
        <w:adjustRightInd w:val="0"/>
        <w:ind w:firstLine="720"/>
        <w:rPr>
          <w:rFonts w:ascii="Times New Roman" w:eastAsia="Times New Roman" w:hAnsi="Times New Roman" w:cs="Times New Roman"/>
        </w:rPr>
      </w:pPr>
      <w:r w:rsidRPr="00B71846">
        <w:rPr>
          <w:rFonts w:ascii="Times New Roman" w:eastAsia="Times New Roman" w:hAnsi="Times New Roman" w:cs="Times New Roman"/>
        </w:rPr>
        <w:t xml:space="preserve">I de </w:t>
      </w:r>
      <w:r w:rsidRPr="750671CE">
        <w:rPr>
          <w:rFonts w:ascii="Times New Roman" w:eastAsia="Times New Roman" w:hAnsi="Times New Roman" w:cs="Times New Roman"/>
        </w:rPr>
        <w:t>S and M, his wife, complain of W de S concerning this that the said W, in the year etc., with force and arms [</w:t>
      </w:r>
      <w:r w:rsidRPr="750671CE">
        <w:rPr>
          <w:rFonts w:ascii="Times New Roman" w:eastAsia="Times New Roman" w:hAnsi="Times New Roman" w:cs="Times New Roman"/>
          <w:i/>
          <w:iCs/>
        </w:rPr>
        <w:t>vi et armis</w:t>
      </w:r>
      <w:r w:rsidRPr="750671CE">
        <w:rPr>
          <w:rFonts w:ascii="Times New Roman" w:eastAsia="Times New Roman" w:hAnsi="Times New Roman" w:cs="Times New Roman"/>
        </w:rPr>
        <w:t xml:space="preserve">] did make an assault upon the said M at S and beat her. And W. pleaded not guilty. 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Whereupon the inquest said that it seemed to them that there was no trespass, since there was no harm </w:t>
      </w:r>
      <w:r w:rsidRPr="750671CE">
        <w:rPr>
          <w:rFonts w:ascii="Times New Roman" w:eastAsia="Times New Roman" w:hAnsi="Times New Roman" w:cs="Times New Roman"/>
        </w:rPr>
        <w:lastRenderedPageBreak/>
        <w:t>done. T</w:t>
      </w:r>
      <w:r w:rsidRPr="750671CE">
        <w:rPr>
          <w:rFonts w:ascii="Times New Roman" w:eastAsia="Times New Roman" w:hAnsi="Times New Roman" w:cs="Times New Roman"/>
          <w:smallCaps/>
        </w:rPr>
        <w:t>horp,</w:t>
      </w:r>
      <w:r w:rsidRPr="750671CE">
        <w:rPr>
          <w:rFonts w:ascii="Times New Roman" w:eastAsia="Times New Roman" w:hAnsi="Times New Roman" w:cs="Times New Roman"/>
        </w:rPr>
        <w:t xml:space="preserve"> C. J. There is harm done, and a trespass for which they shall recover damages, since he made an assault upon the woman, as it is found, although he did no other harm. Wherefore tax his damages, &amp;c. And they taxed the damages at half a mark. T</w:t>
      </w:r>
      <w:r w:rsidRPr="750671CE">
        <w:rPr>
          <w:rFonts w:ascii="Times New Roman" w:eastAsia="Times New Roman" w:hAnsi="Times New Roman" w:cs="Times New Roman"/>
          <w:smallCaps/>
        </w:rPr>
        <w:t>horp</w:t>
      </w:r>
      <w:r w:rsidRPr="750671CE">
        <w:rPr>
          <w:rFonts w:ascii="Times New Roman" w:eastAsia="Times New Roman" w:hAnsi="Times New Roman" w:cs="Times New Roman"/>
        </w:rPr>
        <w:t>, C.J., awarded that they should recover their damages, &amp;c., and that the other should be taken. Et sic nota, that for an assault one shall recover damages, &amp;C.</w:t>
      </w:r>
    </w:p>
    <w:p w14:paraId="7C7A347F" w14:textId="77777777" w:rsidR="001F4A22" w:rsidRDefault="001F4A22">
      <w:pPr>
        <w:rPr>
          <w:rFonts w:ascii="Times New Roman" w:hAnsi="Times New Roman" w:cs="Times New Roman"/>
        </w:rPr>
      </w:pPr>
    </w:p>
    <w:p w14:paraId="773CDF73" w14:textId="77777777" w:rsidR="001F4A22" w:rsidRDefault="001F4A22">
      <w:pPr>
        <w:rPr>
          <w:rFonts w:ascii="Times New Roman" w:hAnsi="Times New Roman" w:cs="Times New Roman"/>
        </w:rPr>
      </w:pPr>
    </w:p>
    <w:p w14:paraId="75552D98" w14:textId="77777777" w:rsidR="001F4A22" w:rsidRPr="00EE77FB" w:rsidRDefault="001F4A22" w:rsidP="002502CC">
      <w:pPr>
        <w:pStyle w:val="Heading4"/>
      </w:pPr>
      <w:bookmarkStart w:id="130" w:name="_Toc364636064"/>
      <w:bookmarkStart w:id="131" w:name="_Toc518323228"/>
      <w:r w:rsidRPr="00EE77FB">
        <w:t>Notes</w:t>
      </w:r>
      <w:bookmarkEnd w:id="130"/>
      <w:bookmarkEnd w:id="131"/>
    </w:p>
    <w:p w14:paraId="5FC312EF" w14:textId="77777777" w:rsidR="001F4A22" w:rsidRDefault="001F4A22" w:rsidP="001F4A22">
      <w:pPr>
        <w:rPr>
          <w:rFonts w:ascii="Times New Roman" w:hAnsi="Times New Roman" w:cs="Times New Roman"/>
        </w:rPr>
      </w:pPr>
    </w:p>
    <w:p w14:paraId="1FB5B381" w14:textId="77777777" w:rsidR="007C1411" w:rsidRDefault="007C1411" w:rsidP="001F4A22">
      <w:pPr>
        <w:rPr>
          <w:rFonts w:ascii="Times New Roman" w:hAnsi="Times New Roman" w:cs="Times New Roman"/>
        </w:rPr>
      </w:pPr>
    </w:p>
    <w:p w14:paraId="59BA3842" w14:textId="25D71633" w:rsidR="001F4A22" w:rsidRPr="00F94B7E" w:rsidRDefault="750671CE" w:rsidP="00F94B7E">
      <w:pPr>
        <w:pStyle w:val="ListParagraph"/>
        <w:numPr>
          <w:ilvl w:val="0"/>
          <w:numId w:val="6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action for assault.</w:t>
      </w:r>
      <w:r w:rsidRPr="00F94B7E">
        <w:rPr>
          <w:rFonts w:ascii="Times New Roman" w:eastAsia="Times New Roman" w:hAnsi="Times New Roman" w:cs="Times New Roman"/>
        </w:rPr>
        <w:t xml:space="preserve">  The case of </w:t>
      </w:r>
      <w:r w:rsidRPr="00F94B7E">
        <w:rPr>
          <w:rFonts w:ascii="Times New Roman" w:eastAsia="Times New Roman" w:hAnsi="Times New Roman" w:cs="Times New Roman"/>
          <w:i/>
          <w:iCs/>
        </w:rPr>
        <w:t>I. de S.</w:t>
      </w:r>
      <w:r w:rsidRPr="00F94B7E">
        <w:rPr>
          <w:rFonts w:ascii="Times New Roman" w:eastAsia="Times New Roman" w:hAnsi="Times New Roman" w:cs="Times New Roman"/>
        </w:rPr>
        <w:t xml:space="preserve"> is an early recognition of legally protectable interests in an emotional state</w:t>
      </w:r>
      <w:r w:rsidR="00893DEE"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 emotional state of being free of certain kinds of fright.  Prosser described the assault action as recourse for unlawful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touching of the mind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t>
      </w:r>
    </w:p>
    <w:p w14:paraId="580D2939" w14:textId="77777777" w:rsidR="001F4A22" w:rsidRPr="00483885" w:rsidRDefault="001F4A22" w:rsidP="001F4A22">
      <w:pPr>
        <w:rPr>
          <w:rFonts w:ascii="Times New Roman" w:hAnsi="Times New Roman" w:cs="Times New Roman"/>
        </w:rPr>
      </w:pPr>
    </w:p>
    <w:p w14:paraId="0BF3431B" w14:textId="1168D5C8" w:rsidR="001F4A22" w:rsidRDefault="750671CE" w:rsidP="00F94B7E">
      <w:pPr>
        <w:pStyle w:val="blockquote"/>
      </w:pPr>
      <w:r w:rsidRPr="750671CE">
        <w:t xml:space="preserve">The interest in freedom from apprehension of a harmful or offensive contact with the person, as distinguished from the contact itself, is protected by an action for the tort known as assault. No actual contact is necessary to it, and the plaintiff is protected against a purely mental disturbance of this distinctive kind. This action, which developed very early as a form of trespass, is the first recognition of a mental, as distinct from a physical, injury. There is a </w:t>
      </w:r>
      <w:r w:rsidR="00B05F31">
        <w:t>“</w:t>
      </w:r>
      <w:r w:rsidRPr="750671CE">
        <w:t>touching of the mind, if not of the body.</w:t>
      </w:r>
      <w:r w:rsidR="00B05F31">
        <w:t>”</w:t>
      </w:r>
    </w:p>
    <w:p w14:paraId="22786893" w14:textId="77777777" w:rsidR="00C8663D" w:rsidRDefault="00C8663D" w:rsidP="00F94B7E">
      <w:pPr>
        <w:pStyle w:val="blockquote"/>
      </w:pPr>
    </w:p>
    <w:p w14:paraId="0E621CA8" w14:textId="2D2D740E" w:rsidR="001F4A22" w:rsidRDefault="750671CE" w:rsidP="750671CE">
      <w:pPr>
        <w:widowControl w:val="0"/>
        <w:tabs>
          <w:tab w:val="left" w:pos="0"/>
        </w:tabs>
        <w:spacing w:after="240"/>
        <w:ind w:right="-720"/>
        <w:rPr>
          <w:rFonts w:ascii="Times New Roman" w:eastAsia="Times New Roman" w:hAnsi="Times New Roman" w:cs="Times New Roman"/>
        </w:rPr>
      </w:pPr>
      <w:r w:rsidRPr="750671CE">
        <w:rPr>
          <w:rFonts w:ascii="Times New Roman" w:eastAsia="Times New Roman" w:hAnsi="Times New Roman" w:cs="Times New Roman"/>
          <w:smallCaps/>
        </w:rPr>
        <w:t>W. Page Keeton</w:t>
      </w:r>
      <w:r w:rsidR="00071B85">
        <w:rPr>
          <w:rFonts w:ascii="Times New Roman" w:eastAsia="Times New Roman" w:hAnsi="Times New Roman" w:cs="Times New Roman"/>
          <w:smallCaps/>
        </w:rPr>
        <w:t>,</w:t>
      </w:r>
      <w:r w:rsidR="00071B85" w:rsidRPr="004A029A">
        <w:rPr>
          <w:rFonts w:ascii="Times New Roman" w:eastAsia="Times New Roman" w:hAnsi="Times New Roman" w:cs="Times New Roman"/>
          <w:smallCaps/>
        </w:rPr>
        <w:t xml:space="preserve"> Dan B. Dobbs, Robert E. Keeton &amp; David G. Owen</w:t>
      </w:r>
      <w:r w:rsidRPr="750671CE">
        <w:rPr>
          <w:rFonts w:ascii="Times New Roman" w:eastAsia="Times New Roman" w:hAnsi="Times New Roman" w:cs="Times New Roman"/>
          <w:smallCaps/>
        </w:rPr>
        <w:t xml:space="preserve">, Prosser and Keeton on The Law of Torts </w:t>
      </w:r>
      <w:r w:rsidRPr="750671CE">
        <w:rPr>
          <w:rFonts w:ascii="Times New Roman" w:eastAsia="Times New Roman" w:hAnsi="Times New Roman" w:cs="Times New Roman"/>
        </w:rPr>
        <w:t>§ 10, at 43 (5</w:t>
      </w:r>
      <w:r w:rsidR="00893DEE">
        <w:rPr>
          <w:rFonts w:ascii="Times New Roman" w:eastAsia="Times New Roman" w:hAnsi="Times New Roman" w:cs="Times New Roman"/>
        </w:rPr>
        <w:t>th</w:t>
      </w:r>
      <w:r w:rsidRPr="750671CE">
        <w:rPr>
          <w:rFonts w:ascii="Times New Roman" w:eastAsia="Times New Roman" w:hAnsi="Times New Roman" w:cs="Times New Roman"/>
        </w:rPr>
        <w:t xml:space="preserve"> ed. 1984).</w:t>
      </w:r>
    </w:p>
    <w:p w14:paraId="3CC03C8B" w14:textId="382C72CF" w:rsidR="00476ACE" w:rsidRDefault="750671CE" w:rsidP="00F94B7E">
      <w:pPr>
        <w:pStyle w:val="ListParagraph"/>
        <w:widowControl w:val="0"/>
        <w:numPr>
          <w:ilvl w:val="0"/>
          <w:numId w:val="69"/>
        </w:numPr>
        <w:tabs>
          <w:tab w:val="left" w:pos="0"/>
        </w:tabs>
        <w:ind w:left="0" w:firstLine="360"/>
        <w:rPr>
          <w:rFonts w:ascii="Times New Roman" w:eastAsia="Times New Roman" w:hAnsi="Times New Roman" w:cs="Times New Roman"/>
          <w:color w:val="252525"/>
        </w:rPr>
      </w:pPr>
      <w:r w:rsidRPr="00F94B7E">
        <w:rPr>
          <w:rFonts w:ascii="Times New Roman" w:eastAsia="Times New Roman" w:hAnsi="Times New Roman" w:cs="Times New Roman"/>
          <w:i/>
          <w:iCs/>
        </w:rPr>
        <w:t>Everyday frictions?</w:t>
      </w:r>
      <w:r w:rsidRPr="00F94B7E">
        <w:rPr>
          <w:rFonts w:ascii="Times New Roman" w:eastAsia="Times New Roman" w:hAnsi="Times New Roman" w:cs="Times New Roman"/>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In </w:t>
      </w:r>
      <w:r w:rsidRPr="00F94B7E">
        <w:rPr>
          <w:rFonts w:ascii="Times New Roman" w:eastAsia="Times New Roman" w:hAnsi="Times New Roman" w:cs="Times New Roman"/>
          <w:i/>
          <w:iCs/>
        </w:rPr>
        <w:t>Bollaert v. Witter</w:t>
      </w:r>
      <w:r w:rsidRPr="00F94B7E">
        <w:rPr>
          <w:rFonts w:ascii="Times New Roman" w:eastAsia="Times New Roman" w:hAnsi="Times New Roman" w:cs="Times New Roman"/>
        </w:rPr>
        <w:t>, 792 P.2d 465 (Or. App. 1990), for example, an Oregon State appellate court ruled against a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claims of assault in a home boundary dispute where an angry neighbor yelled: </w:t>
      </w:r>
      <w:r w:rsidR="00B05F31" w:rsidRPr="00F94B7E">
        <w:rPr>
          <w:rFonts w:ascii="Times New Roman" w:eastAsia="Times New Roman" w:hAnsi="Times New Roman" w:cs="Times New Roman"/>
        </w:rPr>
        <w:t>“</w:t>
      </w:r>
      <w:r w:rsidR="00071B85">
        <w:rPr>
          <w:rFonts w:ascii="Times New Roman" w:eastAsia="Times New Roman" w:hAnsi="Times New Roman" w:cs="Times New Roman"/>
        </w:rPr>
        <w:t>L</w:t>
      </w:r>
      <w:r w:rsidRPr="00F94B7E">
        <w:rPr>
          <w:rFonts w:ascii="Times New Roman" w:eastAsia="Times New Roman" w:hAnsi="Times New Roman" w:cs="Times New Roman"/>
        </w:rPr>
        <w:t>et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duke it out </w:t>
      </w:r>
      <w:r w:rsidR="00C8663D" w:rsidRPr="00F94B7E">
        <w:rPr>
          <w:rFonts w:ascii="Times New Roman" w:eastAsia="Times New Roman" w:hAnsi="Times New Roman" w:cs="Times New Roman"/>
        </w:rPr>
        <w:t>.</w:t>
      </w:r>
      <w:r w:rsidRPr="00F94B7E">
        <w:rPr>
          <w:rFonts w:ascii="Times New Roman" w:eastAsia="Times New Roman" w:hAnsi="Times New Roman" w:cs="Times New Roman"/>
        </w:rPr>
        <w:t xml:space="preserve"> . . . 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 a Vietnam vet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 wouldn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 be surprised if my wife—if, while you</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 working on the fence, my wife took a gun and shot you.</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Similarly, in </w:t>
      </w:r>
      <w:r w:rsidRPr="00F94B7E">
        <w:rPr>
          <w:rFonts w:ascii="Times New Roman" w:eastAsia="Times New Roman" w:hAnsi="Times New Roman" w:cs="Times New Roman"/>
          <w:i/>
          <w:iCs/>
        </w:rPr>
        <w:t>Groff v. Sw. Beverage Co.</w:t>
      </w:r>
      <w:r w:rsidRPr="00F94B7E">
        <w:rPr>
          <w:rFonts w:ascii="Times New Roman" w:eastAsia="Times New Roman" w:hAnsi="Times New Roman" w:cs="Times New Roman"/>
        </w:rPr>
        <w:t xml:space="preserve">, Inc., 997 So. 2d 782 (La. 2008), a Louisiana court dismissed the assault claims of an employee who sued his employer for </w:t>
      </w:r>
      <w:r w:rsidRPr="00F94B7E">
        <w:rPr>
          <w:rFonts w:ascii="Times New Roman" w:eastAsia="Times New Roman" w:hAnsi="Times New Roman" w:cs="Times New Roman"/>
          <w:color w:val="252525"/>
        </w:rPr>
        <w:t xml:space="preserve">yelling, </w:t>
      </w:r>
      <w:r w:rsidR="00B05F31" w:rsidRPr="00F94B7E">
        <w:rPr>
          <w:rFonts w:ascii="Times New Roman" w:eastAsia="Times New Roman" w:hAnsi="Times New Roman" w:cs="Times New Roman"/>
          <w:color w:val="252525"/>
        </w:rPr>
        <w:t>“</w:t>
      </w:r>
      <w:r w:rsidRPr="00F94B7E">
        <w:rPr>
          <w:rFonts w:ascii="Times New Roman" w:eastAsia="Times New Roman" w:hAnsi="Times New Roman" w:cs="Times New Roman"/>
          <w:color w:val="252525"/>
        </w:rPr>
        <w:t>using numerous profanities,</w:t>
      </w:r>
      <w:r w:rsidR="00B05F31" w:rsidRPr="00F94B7E">
        <w:rPr>
          <w:rFonts w:ascii="Times New Roman" w:eastAsia="Times New Roman" w:hAnsi="Times New Roman" w:cs="Times New Roman"/>
          <w:color w:val="252525"/>
        </w:rPr>
        <w:t>”</w:t>
      </w:r>
      <w:r w:rsidRPr="00F94B7E">
        <w:rPr>
          <w:rFonts w:ascii="Times New Roman" w:eastAsia="Times New Roman" w:hAnsi="Times New Roman" w:cs="Times New Roman"/>
          <w:color w:val="252525"/>
        </w:rPr>
        <w:t xml:space="preserve"> and </w:t>
      </w:r>
      <w:r w:rsidR="00B05F31" w:rsidRPr="00F94B7E">
        <w:rPr>
          <w:rFonts w:ascii="Times New Roman" w:eastAsia="Times New Roman" w:hAnsi="Times New Roman" w:cs="Times New Roman"/>
          <w:color w:val="252525"/>
        </w:rPr>
        <w:t>“</w:t>
      </w:r>
      <w:r w:rsidRPr="00F94B7E">
        <w:rPr>
          <w:rFonts w:ascii="Times New Roman" w:eastAsia="Times New Roman" w:hAnsi="Times New Roman" w:cs="Times New Roman"/>
          <w:color w:val="252525"/>
        </w:rPr>
        <w:t>hitting the desk with his hand.</w:t>
      </w:r>
      <w:r w:rsidR="00B05F31" w:rsidRPr="00F94B7E">
        <w:rPr>
          <w:rFonts w:ascii="Times New Roman" w:eastAsia="Times New Roman" w:hAnsi="Times New Roman" w:cs="Times New Roman"/>
          <w:color w:val="252525"/>
        </w:rPr>
        <w:t>”</w:t>
      </w:r>
      <w:r w:rsidRPr="00F94B7E">
        <w:rPr>
          <w:rFonts w:ascii="Times New Roman" w:eastAsia="Times New Roman" w:hAnsi="Times New Roman" w:cs="Times New Roman"/>
          <w:color w:val="252525"/>
        </w:rPr>
        <w:t xml:space="preserve">  These are the sorts of unpleasant encounters that the common law of torts requires people to bear on their own.</w:t>
      </w:r>
    </w:p>
    <w:p w14:paraId="5E6FB8C5" w14:textId="77777777" w:rsidR="00476ACE" w:rsidRDefault="00476ACE" w:rsidP="00F94B7E">
      <w:pPr>
        <w:widowControl w:val="0"/>
        <w:tabs>
          <w:tab w:val="left" w:pos="0"/>
        </w:tabs>
        <w:rPr>
          <w:rFonts w:ascii="Times New Roman" w:eastAsia="Times New Roman" w:hAnsi="Times New Roman" w:cs="Times New Roman"/>
          <w:color w:val="252525"/>
        </w:rPr>
      </w:pPr>
    </w:p>
    <w:p w14:paraId="1108ADAB" w14:textId="77777777" w:rsidR="006F1186" w:rsidRPr="00F94B7E" w:rsidRDefault="006F1186" w:rsidP="00F94B7E">
      <w:pPr>
        <w:widowControl w:val="0"/>
        <w:tabs>
          <w:tab w:val="left" w:pos="0"/>
        </w:tabs>
        <w:rPr>
          <w:rFonts w:ascii="Times New Roman" w:eastAsia="Times New Roman" w:hAnsi="Times New Roman" w:cs="Times New Roman"/>
          <w:color w:val="252525"/>
        </w:rPr>
      </w:pPr>
    </w:p>
    <w:p w14:paraId="362419E6" w14:textId="1C3D4033" w:rsidR="001F4A22" w:rsidRPr="00F94B7E" w:rsidRDefault="750671CE" w:rsidP="00F94B7E">
      <w:pPr>
        <w:pStyle w:val="ListParagraph"/>
        <w:widowControl w:val="0"/>
        <w:numPr>
          <w:ilvl w:val="0"/>
          <w:numId w:val="69"/>
        </w:numPr>
        <w:tabs>
          <w:tab w:val="left" w:pos="0"/>
        </w:tabs>
        <w:ind w:left="0" w:firstLine="360"/>
        <w:rPr>
          <w:rFonts w:ascii="Times New Roman" w:eastAsia="Times New Roman" w:hAnsi="Times New Roman" w:cs="Times New Roman"/>
          <w:smallCaps/>
        </w:rPr>
      </w:pPr>
      <w:r w:rsidRPr="00F94B7E">
        <w:rPr>
          <w:rFonts w:ascii="Times New Roman" w:eastAsia="Times New Roman" w:hAnsi="Times New Roman" w:cs="Times New Roman"/>
          <w:i/>
          <w:iCs/>
        </w:rPr>
        <w:t xml:space="preserve">Threats of future harm? </w:t>
      </w:r>
      <w:r w:rsidRPr="00F94B7E">
        <w:rPr>
          <w:rFonts w:ascii="Times New Roman" w:eastAsia="Times New Roman" w:hAnsi="Times New Roman" w:cs="Times New Roman"/>
        </w:rPr>
        <w:t xml:space="preserve"> Nor is it sufficient to allege threats of future harm.  Consider the opinion in </w:t>
      </w:r>
      <w:r w:rsidRPr="00F94B7E">
        <w:rPr>
          <w:rFonts w:ascii="Times New Roman" w:eastAsia="Times New Roman" w:hAnsi="Times New Roman" w:cs="Times New Roman"/>
          <w:i/>
          <w:iCs/>
        </w:rPr>
        <w:t>Kijonka v. Seitzinger</w:t>
      </w:r>
      <w:r w:rsidRPr="00F94B7E">
        <w:rPr>
          <w:rFonts w:ascii="Times New Roman" w:eastAsia="Times New Roman" w:hAnsi="Times New Roman" w:cs="Times New Roman"/>
        </w:rPr>
        <w:t xml:space="preserve">, written by Judge Richard Posner of the U.S. Court of Appeals for the Seventh Circuit. </w:t>
      </w:r>
      <w:r w:rsidRPr="00F94B7E">
        <w:rPr>
          <w:rFonts w:ascii="Times New Roman" w:eastAsia="Times New Roman" w:hAnsi="Times New Roman" w:cs="Times New Roman"/>
          <w:color w:val="252525"/>
        </w:rPr>
        <w:t>Appellant</w:t>
      </w:r>
      <w:r w:rsidRPr="00F94B7E">
        <w:rPr>
          <w:rFonts w:ascii="Times New Roman" w:eastAsia="Times New Roman" w:hAnsi="Times New Roman" w:cs="Times New Roman"/>
        </w:rPr>
        <w:t xml:space="preserve"> Kijonka was a former small-town mayor who during his term had fired the town dog-catcher, one Berle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Peanut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Shoulders, Jr., after reports of corruption and narcotics dealing. Shoulders then stalked Kijonka for some time in a threatening manner.  Some time later the two men spotted one another </w:t>
      </w:r>
      <w:r w:rsidRPr="00F94B7E">
        <w:rPr>
          <w:rFonts w:ascii="Times New Roman" w:eastAsia="Times New Roman" w:hAnsi="Times New Roman" w:cs="Times New Roman"/>
        </w:rPr>
        <w:lastRenderedPageBreak/>
        <w:t xml:space="preserve">while driving.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[A]ccording to Shoulders, Kijonka rolled down his car window, gave Shoulders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dirty look,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said: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You have a nice day and your ass is mine you son of a bitch and I will get you.</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Judge Posner held that the exchange did not constitute an assault:</w:t>
      </w:r>
    </w:p>
    <w:p w14:paraId="724EEF62" w14:textId="77777777" w:rsidR="006F1186" w:rsidRPr="00F94B7E" w:rsidRDefault="006F1186" w:rsidP="00F94B7E">
      <w:pPr>
        <w:pStyle w:val="ListParagraph"/>
        <w:widowControl w:val="0"/>
        <w:tabs>
          <w:tab w:val="left" w:pos="0"/>
        </w:tabs>
        <w:ind w:left="360"/>
        <w:rPr>
          <w:rFonts w:ascii="Times New Roman" w:eastAsia="Times New Roman" w:hAnsi="Times New Roman" w:cs="Times New Roman"/>
          <w:smallCaps/>
        </w:rPr>
      </w:pPr>
    </w:p>
    <w:p w14:paraId="22025443" w14:textId="4B33AAEB" w:rsidR="001F4A22" w:rsidRPr="00ED52CA" w:rsidRDefault="750671CE" w:rsidP="00F94B7E">
      <w:pPr>
        <w:pStyle w:val="blockquote"/>
      </w:pPr>
      <w:r w:rsidRPr="750671CE">
        <w:t xml:space="preserve">Ever since the fourteenth century, assault whether civil or criminal has involved (1) a threatening </w:t>
      </w:r>
      <w:r w:rsidRPr="750671CE">
        <w:rPr>
          <w:i/>
          <w:iCs/>
        </w:rPr>
        <w:t>gesture,</w:t>
      </w:r>
      <w:r w:rsidRPr="750671CE">
        <w:t xml:space="preserve"> or an otherwise innocent gesture made threatening by the accompanying words, that (2) creates a reasonable apprehension of an </w:t>
      </w:r>
      <w:r w:rsidRPr="750671CE">
        <w:rPr>
          <w:i/>
          <w:iCs/>
        </w:rPr>
        <w:t>imminent</w:t>
      </w:r>
      <w:r w:rsidRPr="750671CE">
        <w:t xml:space="preserve"> battery. . . .  A merely verbal threat of indefinite action in the indefinite future is not an assault. . . .  It is missing two elements: gesture and imminence. . . . Kijonka</w:t>
      </w:r>
      <w:r w:rsidR="00B05F31">
        <w:t>’</w:t>
      </w:r>
      <w:r w:rsidRPr="750671CE">
        <w:t>s rolling down his car window was not a threatening gesture . . . . There was no threatening gesture, nor even a present threat. It</w:t>
      </w:r>
      <w:r w:rsidR="00B05F31">
        <w:t>’</w:t>
      </w:r>
      <w:r w:rsidRPr="750671CE">
        <w:t xml:space="preserve">s not as if Kijonka had said, </w:t>
      </w:r>
      <w:r w:rsidR="00B05F31">
        <w:t>“</w:t>
      </w:r>
      <w:r w:rsidRPr="750671CE">
        <w:t>I have a gun in my glove compartment and I</w:t>
      </w:r>
      <w:r w:rsidR="00B05F31">
        <w:t>’</w:t>
      </w:r>
      <w:r w:rsidRPr="750671CE">
        <w:t>m going to reach in and get it and shoot you, you son of a bitch.</w:t>
      </w:r>
      <w:r w:rsidR="00B05F31">
        <w:t>”</w:t>
      </w:r>
      <w:r w:rsidRPr="750671CE">
        <w:t xml:space="preserve"> Even that would have been a threat rather than an assault until he actually reached toward the glove compartment. . . . </w:t>
      </w:r>
    </w:p>
    <w:p w14:paraId="4E6761A9" w14:textId="77777777" w:rsidR="001F4A22" w:rsidRPr="00536EF5" w:rsidRDefault="750671CE" w:rsidP="00F94B7E">
      <w:pPr>
        <w:pStyle w:val="blockquote"/>
      </w:pPr>
      <w:r w:rsidRPr="750671CE">
        <w:t> </w:t>
      </w:r>
    </w:p>
    <w:p w14:paraId="6F1A69A2" w14:textId="1E71B162" w:rsidR="001F4A22" w:rsidRPr="00536EF5" w:rsidRDefault="750671CE" w:rsidP="00F94B7E">
      <w:pPr>
        <w:pStyle w:val="blockquote"/>
      </w:pPr>
      <w:r w:rsidRPr="750671CE">
        <w:t>Shoulders, given his history of stalking Kijonka, may have feared that the day of retribution had arrived (though this is doubtful, given the presence at the scene of a policeman). But a victim</w:t>
      </w:r>
      <w:r w:rsidR="00B05F31">
        <w:t>’</w:t>
      </w:r>
      <w:r w:rsidRPr="750671CE">
        <w:t xml:space="preserve">s fear . . . cannot transform a remote threat into an assault. </w:t>
      </w:r>
    </w:p>
    <w:p w14:paraId="63535280" w14:textId="77777777" w:rsidR="001F4A22" w:rsidRPr="00536EF5" w:rsidRDefault="001F4A22" w:rsidP="001F4A22">
      <w:pPr>
        <w:widowControl w:val="0"/>
        <w:autoSpaceDE w:val="0"/>
        <w:autoSpaceDN w:val="0"/>
        <w:adjustRightInd w:val="0"/>
        <w:rPr>
          <w:rFonts w:ascii="Times New Roman" w:hAnsi="Times New Roman" w:cs="Times New Roman"/>
        </w:rPr>
      </w:pPr>
    </w:p>
    <w:p w14:paraId="0E90F303" w14:textId="74D4A590" w:rsidR="001F4A22" w:rsidRPr="00B607B3" w:rsidRDefault="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364 F.3d 645 (7</w:t>
      </w:r>
      <w:r w:rsidR="00893DEE">
        <w:rPr>
          <w:rFonts w:ascii="Times New Roman" w:eastAsia="Times New Roman" w:hAnsi="Times New Roman" w:cs="Times New Roman"/>
        </w:rPr>
        <w:t>th</w:t>
      </w:r>
      <w:r w:rsidRPr="750671CE">
        <w:rPr>
          <w:rFonts w:ascii="Times New Roman" w:eastAsia="Times New Roman" w:hAnsi="Times New Roman" w:cs="Times New Roman"/>
        </w:rPr>
        <w:t xml:space="preserve"> Cir. 2004).  Why should the common law not make such behavior actionable?  Is there anything socially valuable in the kind of behavior at issue here?</w:t>
      </w:r>
    </w:p>
    <w:p w14:paraId="69C76CE4" w14:textId="77777777" w:rsidR="001F4A22" w:rsidRDefault="001F4A22" w:rsidP="00F94B7E">
      <w:pPr>
        <w:widowControl w:val="0"/>
        <w:tabs>
          <w:tab w:val="left" w:pos="0"/>
        </w:tabs>
        <w:ind w:right="-720"/>
        <w:rPr>
          <w:rFonts w:ascii="Times New Roman" w:hAnsi="Times New Roman" w:cs="Times New Roman"/>
          <w:smallCaps/>
        </w:rPr>
      </w:pPr>
    </w:p>
    <w:p w14:paraId="1662BBC4" w14:textId="77777777" w:rsidR="006F1186" w:rsidRDefault="006F1186" w:rsidP="00F94B7E">
      <w:pPr>
        <w:widowControl w:val="0"/>
        <w:tabs>
          <w:tab w:val="left" w:pos="0"/>
        </w:tabs>
        <w:ind w:right="-720"/>
        <w:rPr>
          <w:rFonts w:ascii="Times New Roman" w:hAnsi="Times New Roman" w:cs="Times New Roman"/>
          <w:smallCaps/>
        </w:rPr>
      </w:pPr>
    </w:p>
    <w:p w14:paraId="22A94683" w14:textId="5EDF9031" w:rsidR="001F4A22" w:rsidRDefault="00476ACE" w:rsidP="00F94B7E">
      <w:pPr>
        <w:widowControl w:val="0"/>
        <w:tabs>
          <w:tab w:val="left" w:pos="0"/>
        </w:tabs>
        <w:ind w:firstLine="360"/>
        <w:rPr>
          <w:rFonts w:ascii="Times New Roman" w:eastAsia="Times New Roman" w:hAnsi="Times New Roman" w:cs="Times New Roman"/>
          <w:color w:val="000000" w:themeColor="text1"/>
        </w:rPr>
      </w:pPr>
      <w:r>
        <w:rPr>
          <w:rFonts w:ascii="Times New Roman" w:eastAsia="Times New Roman" w:hAnsi="Times New Roman" w:cs="Times New Roman"/>
          <w:iCs/>
        </w:rPr>
        <w:t>4.</w:t>
      </w:r>
      <w:r>
        <w:rPr>
          <w:rFonts w:ascii="Times New Roman" w:eastAsia="Times New Roman" w:hAnsi="Times New Roman" w:cs="Times New Roman"/>
          <w:iCs/>
        </w:rPr>
        <w:tab/>
      </w:r>
      <w:r w:rsidR="750671CE" w:rsidRPr="750671CE">
        <w:rPr>
          <w:rFonts w:ascii="Times New Roman" w:eastAsia="Times New Roman" w:hAnsi="Times New Roman" w:cs="Times New Roman"/>
          <w:i/>
          <w:iCs/>
        </w:rPr>
        <w:t xml:space="preserve">Threats of </w:t>
      </w:r>
      <w:r w:rsidR="00C8663D">
        <w:rPr>
          <w:rFonts w:ascii="Times New Roman" w:eastAsia="Times New Roman" w:hAnsi="Times New Roman" w:cs="Times New Roman"/>
          <w:i/>
          <w:iCs/>
        </w:rPr>
        <w:t>d</w:t>
      </w:r>
      <w:r w:rsidR="750671CE" w:rsidRPr="750671CE">
        <w:rPr>
          <w:rFonts w:ascii="Times New Roman" w:eastAsia="Times New Roman" w:hAnsi="Times New Roman" w:cs="Times New Roman"/>
          <w:i/>
          <w:iCs/>
        </w:rPr>
        <w:t xml:space="preserve">istant </w:t>
      </w:r>
      <w:r w:rsidR="00C8663D">
        <w:rPr>
          <w:rFonts w:ascii="Times New Roman" w:eastAsia="Times New Roman" w:hAnsi="Times New Roman" w:cs="Times New Roman"/>
          <w:i/>
          <w:iCs/>
        </w:rPr>
        <w:t>h</w:t>
      </w:r>
      <w:r w:rsidR="750671CE" w:rsidRPr="750671CE">
        <w:rPr>
          <w:rFonts w:ascii="Times New Roman" w:eastAsia="Times New Roman" w:hAnsi="Times New Roman" w:cs="Times New Roman"/>
          <w:i/>
          <w:iCs/>
        </w:rPr>
        <w:t>arm</w:t>
      </w:r>
      <w:r w:rsidR="750671CE" w:rsidRPr="750671CE">
        <w:rPr>
          <w:rFonts w:ascii="Times New Roman" w:eastAsia="Times New Roman" w:hAnsi="Times New Roman" w:cs="Times New Roman"/>
        </w:rPr>
        <w:t xml:space="preserve">.  Distance in space will vitiate an assault action just as surely as distance in time.  The canonical case is </w:t>
      </w:r>
      <w:r w:rsidR="750671CE" w:rsidRPr="750671CE">
        <w:rPr>
          <w:rFonts w:ascii="Times New Roman" w:eastAsia="Times New Roman" w:hAnsi="Times New Roman" w:cs="Times New Roman"/>
          <w:i/>
          <w:iCs/>
        </w:rPr>
        <w:t>Smith v. Newsam</w:t>
      </w:r>
      <w:r w:rsidR="750671CE" w:rsidRPr="750671CE">
        <w:rPr>
          <w:rFonts w:ascii="Times New Roman" w:eastAsia="Times New Roman" w:hAnsi="Times New Roman" w:cs="Times New Roman"/>
        </w:rPr>
        <w:t xml:space="preserve">, 84 E. R. 722 (K.B. 1673), where </w:t>
      </w:r>
      <w:r w:rsidR="750671CE" w:rsidRPr="750671CE">
        <w:rPr>
          <w:rFonts w:ascii="Times New Roman" w:eastAsia="Times New Roman" w:hAnsi="Times New Roman" w:cs="Times New Roman"/>
          <w:color w:val="000000" w:themeColor="text1"/>
        </w:rPr>
        <w:t xml:space="preserve">the court per Chief Justice Hale rejected a claim of assault in which plaintiff complained that the defendant had shaken </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a sword against the plaintiff in a cutlers shop, being on the other side the street.</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  Mere words or gestures will not constitute an assault absent the imminent apprehension of contact.</w:t>
      </w:r>
    </w:p>
    <w:p w14:paraId="64C9FF47" w14:textId="77777777" w:rsidR="006F1186" w:rsidRDefault="006F1186" w:rsidP="00F94B7E">
      <w:pPr>
        <w:widowControl w:val="0"/>
        <w:tabs>
          <w:tab w:val="left" w:pos="0"/>
        </w:tabs>
        <w:ind w:firstLine="360"/>
        <w:rPr>
          <w:rFonts w:ascii="Times New Roman" w:eastAsia="Times New Roman" w:hAnsi="Times New Roman" w:cs="Times New Roman"/>
          <w:color w:val="000000" w:themeColor="text1"/>
        </w:rPr>
      </w:pPr>
    </w:p>
    <w:p w14:paraId="4D7ED512" w14:textId="77777777" w:rsidR="006F1186" w:rsidRPr="0021344E" w:rsidRDefault="006F1186" w:rsidP="00F94B7E">
      <w:pPr>
        <w:widowControl w:val="0"/>
        <w:tabs>
          <w:tab w:val="left" w:pos="0"/>
        </w:tabs>
        <w:ind w:firstLine="360"/>
        <w:rPr>
          <w:rFonts w:ascii="Times New Roman" w:eastAsia="Times New Roman" w:hAnsi="Times New Roman" w:cs="Times New Roman"/>
          <w:color w:val="000000" w:themeColor="text1"/>
        </w:rPr>
      </w:pPr>
    </w:p>
    <w:p w14:paraId="5302E7B4" w14:textId="6B150832" w:rsidR="001F4A22" w:rsidRDefault="00476ACE" w:rsidP="00476ACE">
      <w:pPr>
        <w:widowControl w:val="0"/>
        <w:tabs>
          <w:tab w:val="left" w:pos="0"/>
        </w:tabs>
        <w:spacing w:after="240"/>
        <w:ind w:right="-720" w:firstLine="360"/>
        <w:rPr>
          <w:rFonts w:ascii="Times New Roman" w:eastAsia="Times New Roman" w:hAnsi="Times New Roman" w:cs="Times New Roman"/>
          <w:color w:val="000000" w:themeColor="text1"/>
        </w:rPr>
      </w:pPr>
      <w:r>
        <w:rPr>
          <w:rFonts w:ascii="Times New Roman" w:eastAsia="Times New Roman" w:hAnsi="Times New Roman" w:cs="Times New Roman"/>
          <w:iCs/>
        </w:rPr>
        <w:t xml:space="preserve">5. </w:t>
      </w:r>
      <w:r>
        <w:rPr>
          <w:rFonts w:ascii="Times New Roman" w:eastAsia="Times New Roman" w:hAnsi="Times New Roman" w:cs="Times New Roman"/>
          <w:iCs/>
        </w:rPr>
        <w:tab/>
      </w:r>
      <w:r w:rsidR="750671CE" w:rsidRPr="750671CE">
        <w:rPr>
          <w:rFonts w:ascii="Times New Roman" w:eastAsia="Times New Roman" w:hAnsi="Times New Roman" w:cs="Times New Roman"/>
          <w:i/>
          <w:iCs/>
        </w:rPr>
        <w:t xml:space="preserve">Conditional </w:t>
      </w:r>
      <w:r w:rsidR="00C8663D">
        <w:rPr>
          <w:rFonts w:ascii="Times New Roman" w:eastAsia="Times New Roman" w:hAnsi="Times New Roman" w:cs="Times New Roman"/>
          <w:i/>
          <w:iCs/>
        </w:rPr>
        <w:t>t</w:t>
      </w:r>
      <w:r w:rsidR="750671CE" w:rsidRPr="750671CE">
        <w:rPr>
          <w:rFonts w:ascii="Times New Roman" w:eastAsia="Times New Roman" w:hAnsi="Times New Roman" w:cs="Times New Roman"/>
          <w:i/>
          <w:iCs/>
        </w:rPr>
        <w:t xml:space="preserve">hreats. </w:t>
      </w:r>
      <w:r w:rsidR="750671CE" w:rsidRPr="750671CE">
        <w:rPr>
          <w:rFonts w:ascii="Times New Roman" w:eastAsia="Times New Roman" w:hAnsi="Times New Roman" w:cs="Times New Roman"/>
        </w:rPr>
        <w:t xml:space="preserve"> The same principle renders conditional threats inactionable.  In the classic English case </w:t>
      </w:r>
      <w:r w:rsidR="750671CE" w:rsidRPr="750671CE">
        <w:rPr>
          <w:rFonts w:ascii="Times New Roman" w:eastAsia="Times New Roman" w:hAnsi="Times New Roman" w:cs="Times New Roman"/>
          <w:i/>
          <w:iCs/>
          <w:color w:val="000000" w:themeColor="text1"/>
        </w:rPr>
        <w:t>Tuberville v. Savage</w:t>
      </w:r>
      <w:r w:rsidR="750671CE" w:rsidRPr="750671CE">
        <w:rPr>
          <w:rFonts w:ascii="Times New Roman" w:eastAsia="Times New Roman" w:hAnsi="Times New Roman" w:cs="Times New Roman"/>
          <w:color w:val="000000" w:themeColor="text1"/>
        </w:rPr>
        <w:t xml:space="preserve">, the </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evidence to prove a provocation was, that the plaintiff put his hand upon his sword and said, </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If it were not assize-time, I would not take such language from you.</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  Assize-time was when the king</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s judges arrived to deliver justice in the English countryside.  With the array of royal officials present, it would have been a singularly bad time for one person to attack another.  And so the court concluded that the plaintiff</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s evidence was insufficient to make out an assault:</w:t>
      </w:r>
    </w:p>
    <w:p w14:paraId="317FD59C" w14:textId="20E863AC" w:rsidR="001F4A22" w:rsidRDefault="0065560A" w:rsidP="00F94B7E">
      <w:pPr>
        <w:pStyle w:val="blockquote"/>
      </w:pPr>
      <w:r>
        <w:t>[T]</w:t>
      </w:r>
      <w:r w:rsidR="750671CE" w:rsidRPr="750671CE">
        <w:t xml:space="preserve">he declaration of the plaintiff was that he would not assault him, the judges being in town; and the intention as well as the act makes an assault. Therefore, if one strike another upon the hand or arm or breast in discourse, it is no assault, there being no intention to assault; but if one, intending to assault, strike at another and miss him, this is an assault: so if </w:t>
      </w:r>
      <w:r w:rsidR="750671CE" w:rsidRPr="750671CE">
        <w:lastRenderedPageBreak/>
        <w:t>he hold up his hand against another in a threatening manner and say nothing, it is an assault.</w:t>
      </w:r>
    </w:p>
    <w:p w14:paraId="1521E9A3" w14:textId="77777777" w:rsidR="00893DEE" w:rsidRDefault="00893DEE" w:rsidP="00F94B7E">
      <w:pPr>
        <w:pStyle w:val="blockquote"/>
      </w:pPr>
    </w:p>
    <w:p w14:paraId="103286C2" w14:textId="77777777" w:rsidR="001F4A22" w:rsidRPr="00536EF5" w:rsidRDefault="750671CE" w:rsidP="00F94B7E">
      <w:pPr>
        <w:widowControl w:val="0"/>
        <w:tabs>
          <w:tab w:val="left" w:pos="0"/>
        </w:tabs>
        <w:ind w:right="-720"/>
        <w:rPr>
          <w:rFonts w:ascii="Times New Roman" w:eastAsia="Times New Roman" w:hAnsi="Times New Roman" w:cs="Times New Roman"/>
          <w:color w:val="000000" w:themeColor="text1"/>
        </w:rPr>
      </w:pPr>
      <w:r w:rsidRPr="750671CE">
        <w:rPr>
          <w:rFonts w:ascii="Times New Roman" w:eastAsia="Times New Roman" w:hAnsi="Times New Roman" w:cs="Times New Roman"/>
          <w:i/>
          <w:iCs/>
          <w:color w:val="000000" w:themeColor="text1"/>
        </w:rPr>
        <w:t>Tuberville v. Savage</w:t>
      </w:r>
      <w:r w:rsidRPr="750671CE">
        <w:rPr>
          <w:rFonts w:ascii="Times New Roman" w:eastAsia="Times New Roman" w:hAnsi="Times New Roman" w:cs="Times New Roman"/>
          <w:color w:val="000000" w:themeColor="text1"/>
        </w:rPr>
        <w:t>, 86 Eng. Rep. 684 (K.B. 1669).</w:t>
      </w:r>
    </w:p>
    <w:p w14:paraId="7D688615" w14:textId="77777777" w:rsidR="001F4A22" w:rsidRDefault="001F4A22" w:rsidP="00F94B7E">
      <w:pPr>
        <w:pStyle w:val="ListParagraph"/>
        <w:widowControl w:val="0"/>
        <w:tabs>
          <w:tab w:val="left" w:pos="0"/>
        </w:tabs>
        <w:ind w:right="-720"/>
        <w:rPr>
          <w:rFonts w:ascii="Times New Roman" w:hAnsi="Times New Roman" w:cs="Times New Roman"/>
          <w:smallCaps/>
        </w:rPr>
      </w:pPr>
    </w:p>
    <w:p w14:paraId="21AEC8E6" w14:textId="77777777" w:rsidR="006F1186" w:rsidRPr="00536EF5" w:rsidRDefault="006F1186" w:rsidP="00F94B7E">
      <w:pPr>
        <w:pStyle w:val="ListParagraph"/>
        <w:widowControl w:val="0"/>
        <w:tabs>
          <w:tab w:val="left" w:pos="0"/>
        </w:tabs>
        <w:ind w:right="-720"/>
        <w:rPr>
          <w:rFonts w:ascii="Times New Roman" w:hAnsi="Times New Roman" w:cs="Times New Roman"/>
          <w:smallCaps/>
        </w:rPr>
      </w:pPr>
    </w:p>
    <w:p w14:paraId="2DECCA04" w14:textId="741E4E7C" w:rsidR="001F4A22" w:rsidRDefault="750671CE" w:rsidP="00F94B7E">
      <w:pPr>
        <w:pStyle w:val="ListParagraph"/>
        <w:widowControl w:val="0"/>
        <w:numPr>
          <w:ilvl w:val="0"/>
          <w:numId w:val="70"/>
        </w:numPr>
        <w:tabs>
          <w:tab w:val="left" w:pos="0"/>
        </w:tabs>
        <w:ind w:right="-720"/>
        <w:rPr>
          <w:rFonts w:ascii="Times New Roman" w:eastAsia="Times New Roman" w:hAnsi="Times New Roman" w:cs="Times New Roman"/>
        </w:rPr>
      </w:pPr>
      <w:r w:rsidRPr="00F94B7E">
        <w:rPr>
          <w:rFonts w:ascii="Times New Roman" w:eastAsia="Times New Roman" w:hAnsi="Times New Roman" w:cs="Times New Roman"/>
          <w:i/>
          <w:iCs/>
        </w:rPr>
        <w:t xml:space="preserve">The Restatement </w:t>
      </w:r>
      <w:r w:rsidR="00C8663D" w:rsidRPr="00F94B7E">
        <w:rPr>
          <w:rFonts w:ascii="Times New Roman" w:eastAsia="Times New Roman" w:hAnsi="Times New Roman" w:cs="Times New Roman"/>
          <w:i/>
          <w:iCs/>
        </w:rPr>
        <w:t>a</w:t>
      </w:r>
      <w:r w:rsidRPr="00F94B7E">
        <w:rPr>
          <w:rFonts w:ascii="Times New Roman" w:eastAsia="Times New Roman" w:hAnsi="Times New Roman" w:cs="Times New Roman"/>
          <w:i/>
          <w:iCs/>
        </w:rPr>
        <w:t>pproach</w:t>
      </w:r>
      <w:r w:rsidRPr="00F94B7E">
        <w:rPr>
          <w:rFonts w:ascii="Times New Roman" w:eastAsia="Times New Roman" w:hAnsi="Times New Roman" w:cs="Times New Roman"/>
        </w:rPr>
        <w:t xml:space="preserve">.  The Restatement view is that an actor may be liable for assault to another if (1) the actor either intended to cause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harmful or offensive contact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the other person or to a third party, or to 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imminent apprehension of such contact,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(2) the other person is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thereby put in such imminent apprehension.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Merely imposing an unreasonable risk of harmful or offensive contacts, without the intent to cause such contacts or imminent apprehension thereof, may give rise to liability for negligence, but does not constitute the tort of assault.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21 (1965).</w:t>
      </w:r>
    </w:p>
    <w:p w14:paraId="700ED4FD" w14:textId="77777777" w:rsidR="001F4A22" w:rsidRPr="00071B85" w:rsidRDefault="001F4A22" w:rsidP="00F94B7E">
      <w:pPr>
        <w:widowControl w:val="0"/>
        <w:autoSpaceDE w:val="0"/>
        <w:autoSpaceDN w:val="0"/>
        <w:adjustRightInd w:val="0"/>
        <w:ind w:right="100"/>
        <w:rPr>
          <w:rFonts w:ascii="Times New Roman" w:hAnsi="Times New Roman" w:cs="Times New Roman"/>
          <w:smallCaps/>
        </w:rPr>
      </w:pPr>
    </w:p>
    <w:p w14:paraId="261E2E27" w14:textId="77777777" w:rsidR="006F1186" w:rsidRPr="0065560A" w:rsidRDefault="006F1186" w:rsidP="00F94B7E">
      <w:pPr>
        <w:widowControl w:val="0"/>
        <w:autoSpaceDE w:val="0"/>
        <w:autoSpaceDN w:val="0"/>
        <w:adjustRightInd w:val="0"/>
        <w:ind w:right="100"/>
        <w:rPr>
          <w:rFonts w:ascii="Times New Roman" w:hAnsi="Times New Roman" w:cs="Times New Roman"/>
          <w:smallCaps/>
        </w:rPr>
      </w:pPr>
    </w:p>
    <w:p w14:paraId="25CDBC5A" w14:textId="151783B0" w:rsidR="001F4A22" w:rsidRPr="004D0B12" w:rsidRDefault="001F4A22" w:rsidP="005C6046">
      <w:bookmarkStart w:id="132" w:name="_Toc518323229"/>
      <w:bookmarkStart w:id="133" w:name="_Toc364636065"/>
      <w:r w:rsidRPr="005C6046">
        <w:rPr>
          <w:rStyle w:val="Heading4Char"/>
        </w:rPr>
        <w:t>Speicher v. Rajitora</w:t>
      </w:r>
      <w:bookmarkEnd w:id="132"/>
      <w:r w:rsidR="00476ACE" w:rsidRPr="005C6046">
        <w:rPr>
          <w:rFonts w:ascii="Times New Roman" w:hAnsi="Times New Roman" w:cs="Times New Roman"/>
          <w:b/>
        </w:rPr>
        <w:t>,</w:t>
      </w:r>
      <w:bookmarkEnd w:id="133"/>
      <w:r w:rsidR="00476ACE" w:rsidRPr="005C6046">
        <w:rPr>
          <w:rFonts w:ascii="Times New Roman" w:hAnsi="Times New Roman" w:cs="Times New Roman"/>
          <w:b/>
        </w:rPr>
        <w:t xml:space="preserve"> </w:t>
      </w:r>
      <w:bookmarkStart w:id="134" w:name="_Toc364636066"/>
      <w:r w:rsidRPr="005C6046">
        <w:rPr>
          <w:rFonts w:ascii="Times New Roman" w:hAnsi="Times New Roman" w:cs="Times New Roman"/>
          <w:b/>
        </w:rPr>
        <w:t>766 N.W.2d 649 (Iowa App. 2009)</w:t>
      </w:r>
      <w:bookmarkStart w:id="135" w:name="co_anchor_Idb49578f602511e38578f7ccc38dc"/>
      <w:bookmarkEnd w:id="134"/>
      <w:bookmarkEnd w:id="135"/>
    </w:p>
    <w:p w14:paraId="4B52B665" w14:textId="77777777" w:rsidR="00476ACE" w:rsidRPr="00F94B7E" w:rsidRDefault="00476ACE" w:rsidP="00F94B7E">
      <w:pPr>
        <w:rPr>
          <w:rFonts w:ascii="Times New Roman" w:hAnsi="Times New Roman" w:cs="Times New Roman"/>
        </w:rPr>
      </w:pPr>
    </w:p>
    <w:p w14:paraId="16416A47" w14:textId="77777777" w:rsidR="00476ACE" w:rsidRPr="0065560A" w:rsidRDefault="001F4A22" w:rsidP="750671CE">
      <w:pPr>
        <w:widowControl w:val="0"/>
        <w:autoSpaceDE w:val="0"/>
        <w:autoSpaceDN w:val="0"/>
        <w:adjustRightInd w:val="0"/>
        <w:rPr>
          <w:rFonts w:ascii="Times New Roman" w:eastAsia="Times New Roman" w:hAnsi="Times New Roman" w:cs="Times New Roman"/>
          <w:color w:val="000000"/>
        </w:rPr>
      </w:pPr>
      <w:bookmarkStart w:id="136" w:name="co_pp_sp_999_1_1"/>
      <w:bookmarkEnd w:id="136"/>
      <w:r w:rsidRPr="00071B85">
        <w:rPr>
          <w:rFonts w:ascii="Times New Roman" w:eastAsia="Times New Roman" w:hAnsi="Times New Roman" w:cs="Times New Roman"/>
          <w:smallCaps/>
          <w:color w:val="000000"/>
        </w:rPr>
        <w:t>Eisenhauer, J.</w:t>
      </w:r>
      <w:r w:rsidRPr="0065560A">
        <w:rPr>
          <w:rFonts w:ascii="Times New Roman" w:eastAsia="Times New Roman" w:hAnsi="Times New Roman" w:cs="Times New Roman"/>
          <w:color w:val="000000"/>
        </w:rPr>
        <w:t xml:space="preserve">  </w:t>
      </w:r>
    </w:p>
    <w:p w14:paraId="4498780C" w14:textId="77777777" w:rsidR="00476ACE" w:rsidRDefault="00476ACE" w:rsidP="750671CE">
      <w:pPr>
        <w:widowControl w:val="0"/>
        <w:autoSpaceDE w:val="0"/>
        <w:autoSpaceDN w:val="0"/>
        <w:adjustRightInd w:val="0"/>
        <w:rPr>
          <w:rFonts w:ascii="Times New Roman" w:eastAsia="Times New Roman" w:hAnsi="Times New Roman" w:cs="Times New Roman"/>
          <w:color w:val="000000"/>
        </w:rPr>
      </w:pPr>
    </w:p>
    <w:p w14:paraId="60BF7CFE" w14:textId="6696DC90" w:rsidR="001F4A22" w:rsidRDefault="001F4A22" w:rsidP="00F94B7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Daniel Rajtora and Kendra Speicher are the parents of an eight-year-old daughter. Although they never married, the parties have resided with one another on various occasions. Daniel appeals a civil domestic abuse protective order issued in favor of Kendra. He argues the district court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finding he committed domestic abuse assault is not supported by a preponderance of the evidence. He specifically maintains there was insufficient evidence he acted in a manner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intended to place another in fear of immediate physical contact which will be painful, injurious, insulting, or offensive, coupled with the apparent ability to execute the act.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w:t>
      </w:r>
      <w:r w:rsidRPr="750671CE">
        <w:rPr>
          <w:rFonts w:ascii="Times New Roman" w:eastAsia="Times New Roman" w:hAnsi="Times New Roman" w:cs="Times New Roman"/>
          <w:i/>
          <w:iCs/>
          <w:color w:val="000000"/>
        </w:rPr>
        <w:t>See</w:t>
      </w:r>
      <w:r w:rsidRPr="750671CE">
        <w:rPr>
          <w:rFonts w:ascii="Times New Roman" w:eastAsia="Times New Roman" w:hAnsi="Times New Roman" w:cs="Times New Roman"/>
          <w:color w:val="000000"/>
        </w:rPr>
        <w:t xml:space="preserve"> Iowa Code §§ 239.2(2), </w:t>
      </w:r>
      <w:hyperlink r:id="rId38" w:history="1">
        <w:r w:rsidRPr="750671CE">
          <w:rPr>
            <w:rFonts w:ascii="Times New Roman" w:eastAsia="Times New Roman" w:hAnsi="Times New Roman" w:cs="Times New Roman"/>
            <w:color w:val="000000"/>
          </w:rPr>
          <w:t>708.1(2) (2007)</w:t>
        </w:r>
      </w:hyperlink>
      <w:r w:rsidRPr="750671CE">
        <w:rPr>
          <w:rFonts w:ascii="Times New Roman" w:eastAsia="Times New Roman" w:hAnsi="Times New Roman" w:cs="Times New Roman"/>
          <w:color w:val="000000"/>
        </w:rPr>
        <w:t>. . . .</w:t>
      </w:r>
    </w:p>
    <w:p w14:paraId="2D2B143C" w14:textId="77777777" w:rsidR="001F4A22" w:rsidRPr="00536EF5" w:rsidRDefault="001F4A22" w:rsidP="001F4A22">
      <w:pPr>
        <w:widowControl w:val="0"/>
        <w:autoSpaceDE w:val="0"/>
        <w:autoSpaceDN w:val="0"/>
        <w:adjustRightInd w:val="0"/>
        <w:rPr>
          <w:rFonts w:ascii="Times New Roman" w:hAnsi="Times New Roman" w:cs="Times New Roman"/>
          <w:color w:val="000000"/>
        </w:rPr>
      </w:pPr>
    </w:p>
    <w:p w14:paraId="68B41437" w14:textId="4C2C2EB9" w:rsidR="001F4A22" w:rsidRPr="00536EF5"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On March 30, 2008, Daniel returned their daughter to Kendra</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residence after a visitation. Daniel did not see Kendra at any time on March 30, and did not speak to her at the drop-off. Kendra testified she called Daniel about five minutes later using a new cell phone Daniel had just purchased for their daughter. Kendra asked Daniel to prevent their daughter from taking her new cell phone to church or school. Kendra testified Daniel threatened her by replying: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Shut the f* * * up. Don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t worry about it and shut the f* * * up before I come over there and beat both your asses.</w:t>
      </w:r>
      <w:r w:rsidR="00B05F31">
        <w:rPr>
          <w:rFonts w:ascii="Times New Roman" w:eastAsia="Times New Roman" w:hAnsi="Times New Roman" w:cs="Times New Roman"/>
          <w:color w:val="000000" w:themeColor="text1"/>
        </w:rPr>
        <w:t>”</w:t>
      </w:r>
    </w:p>
    <w:p w14:paraId="5F787AB0"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2C07A3AE" w14:textId="1F57D6D8" w:rsidR="001F4A22" w:rsidRPr="00536EF5"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Kendra stated she placed the call to Daniel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cell phone and he did not say where he was located. However, she believed he had returned to a friend</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house one to two miles away. At the hearing, Daniel admitted swearing, but denied making a threat. Daniel was at his friend</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house during the call.</w:t>
      </w:r>
    </w:p>
    <w:p w14:paraId="3C1F19B6"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102A2A3F" w14:textId="4686C314" w:rsidR="001F4A22" w:rsidRPr="00536EF5" w:rsidRDefault="750671CE" w:rsidP="00F94B7E">
      <w:pPr>
        <w:pStyle w:val="blockquote"/>
      </w:pPr>
      <w:r w:rsidRPr="750671CE">
        <w:t xml:space="preserve">Even assuming Daniel made the alleged threat, we are compelled to find insufficient evidence of assault . . . .  Assault requires </w:t>
      </w:r>
      <w:r w:rsidR="00B05F31">
        <w:t>“</w:t>
      </w:r>
      <w:r w:rsidRPr="750671CE">
        <w:t>fear of immediate physical contact</w:t>
      </w:r>
      <w:r w:rsidR="00B05F31">
        <w:t>”</w:t>
      </w:r>
      <w:r w:rsidRPr="750671CE">
        <w:t xml:space="preserve"> coupled with </w:t>
      </w:r>
      <w:r w:rsidR="00B05F31">
        <w:t>“</w:t>
      </w:r>
      <w:r w:rsidRPr="750671CE">
        <w:t>the apparent ability to execute</w:t>
      </w:r>
      <w:r w:rsidR="00B05F31">
        <w:t>”</w:t>
      </w:r>
      <w:r w:rsidRPr="750671CE">
        <w:t xml:space="preserve"> the assault.  </w:t>
      </w:r>
      <w:r w:rsidRPr="750671CE">
        <w:lastRenderedPageBreak/>
        <w:t>The record does not establish Daniel</w:t>
      </w:r>
      <w:r w:rsidR="00B05F31">
        <w:t>’</w:t>
      </w:r>
      <w:r w:rsidRPr="750671CE">
        <w:t>s apparent ability to execute the threat at the time the threat was made. The testimony only established Kendra</w:t>
      </w:r>
      <w:r w:rsidR="00B05F31">
        <w:t>’</w:t>
      </w:r>
      <w:r w:rsidRPr="750671CE">
        <w:t>s belief Daniel had a future ability to return from a distance and execute the threat.</w:t>
      </w:r>
    </w:p>
    <w:p w14:paraId="3CA35F2B" w14:textId="77777777" w:rsidR="001F4A22" w:rsidRPr="00536E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6286DBDF" w14:textId="77777777" w:rsidR="001F4A22" w:rsidRPr="00536EF5"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We find insufficient evidence to support the assault element of domestic abuse assault. We reverse and remand for dismissal of the protective order.</w:t>
      </w:r>
    </w:p>
    <w:p w14:paraId="6AADDF63" w14:textId="77777777" w:rsidR="001F4A22" w:rsidRDefault="750671CE" w:rsidP="006F1186">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6A62CAD0" w14:textId="77777777" w:rsidR="006F1186" w:rsidRDefault="006F1186" w:rsidP="006F1186">
      <w:pPr>
        <w:widowControl w:val="0"/>
        <w:autoSpaceDE w:val="0"/>
        <w:autoSpaceDN w:val="0"/>
        <w:adjustRightInd w:val="0"/>
        <w:rPr>
          <w:rFonts w:ascii="Times New Roman" w:eastAsia="Times New Roman" w:hAnsi="Times New Roman" w:cs="Times New Roman"/>
          <w:color w:val="000000" w:themeColor="text1"/>
        </w:rPr>
      </w:pPr>
    </w:p>
    <w:p w14:paraId="2B5FCFF4" w14:textId="77777777" w:rsidR="001F4A22" w:rsidRPr="00734E3E" w:rsidRDefault="001F4A22" w:rsidP="002502CC">
      <w:pPr>
        <w:pStyle w:val="Heading4"/>
      </w:pPr>
      <w:bookmarkStart w:id="137" w:name="_Toc364636067"/>
      <w:bookmarkStart w:id="138" w:name="_Toc518323230"/>
      <w:r w:rsidRPr="00734E3E">
        <w:t>Note</w:t>
      </w:r>
      <w:bookmarkEnd w:id="137"/>
      <w:bookmarkEnd w:id="138"/>
    </w:p>
    <w:p w14:paraId="15B98834" w14:textId="77777777" w:rsidR="001F4A22" w:rsidRDefault="001F4A22">
      <w:pPr>
        <w:widowControl w:val="0"/>
        <w:autoSpaceDE w:val="0"/>
        <w:autoSpaceDN w:val="0"/>
        <w:adjustRightInd w:val="0"/>
        <w:rPr>
          <w:rFonts w:ascii="Times New Roman" w:hAnsi="Times New Roman" w:cs="Times New Roman"/>
          <w:color w:val="000000"/>
        </w:rPr>
      </w:pPr>
    </w:p>
    <w:p w14:paraId="6B0B7363" w14:textId="77777777" w:rsidR="006F1186" w:rsidRPr="0067537E" w:rsidRDefault="006F1186" w:rsidP="006F1186">
      <w:pPr>
        <w:widowControl w:val="0"/>
        <w:autoSpaceDE w:val="0"/>
        <w:autoSpaceDN w:val="0"/>
        <w:adjustRightInd w:val="0"/>
        <w:rPr>
          <w:rFonts w:ascii="Times New Roman" w:hAnsi="Times New Roman" w:cs="Times New Roman"/>
          <w:color w:val="000000"/>
        </w:rPr>
      </w:pPr>
    </w:p>
    <w:p w14:paraId="2B906F4D" w14:textId="2BE1F740" w:rsidR="00A810E4" w:rsidRPr="00F94B7E" w:rsidRDefault="006F1186" w:rsidP="00F94B7E">
      <w:pPr>
        <w:widowControl w:val="0"/>
        <w:tabs>
          <w:tab w:val="left" w:pos="0"/>
        </w:tabs>
        <w:spacing w:after="240"/>
        <w:rPr>
          <w:rFonts w:ascii="Times New Roman" w:eastAsia="Times New Roman" w:hAnsi="Times New Roman" w:cs="Times New Roman"/>
        </w:rPr>
      </w:pPr>
      <w:r>
        <w:rPr>
          <w:rFonts w:ascii="Times New Roman" w:eastAsia="Times New Roman" w:hAnsi="Times New Roman" w:cs="Times New Roman"/>
          <w:i/>
          <w:iCs/>
        </w:rPr>
        <w:tab/>
      </w:r>
      <w:r w:rsidR="750671CE" w:rsidRPr="00F94B7E">
        <w:rPr>
          <w:rFonts w:ascii="Times New Roman" w:eastAsia="Times New Roman" w:hAnsi="Times New Roman" w:cs="Times New Roman"/>
          <w:i/>
          <w:iCs/>
        </w:rPr>
        <w:t>Torts and domestic abuse.</w:t>
      </w:r>
      <w:r w:rsidR="750671CE" w:rsidRPr="00F94B7E">
        <w:rPr>
          <w:rFonts w:ascii="Times New Roman" w:eastAsia="Times New Roman" w:hAnsi="Times New Roman" w:cs="Times New Roman"/>
        </w:rPr>
        <w:t xml:space="preserve"> It is one thing to deny a remedy for ordinary everyday frictions, for distant threats, or for medieval bluster.  But what about the all-too-ordinary verbal attacks that are characteristic of abusive domestic relations?  Do the limits of the assault cause of action prevent the law from dealing with domestic violence?  What about stalking?  Would a more robust assault action empower otherwise disempowered people to resist private threats or acts of violence? Put bluntly: does tort law do anything about this grave social problem?</w:t>
      </w:r>
    </w:p>
    <w:p w14:paraId="2C74B2BB" w14:textId="77777777" w:rsidR="00FF20BE" w:rsidRDefault="00FF20BE" w:rsidP="00296689">
      <w:pPr>
        <w:pStyle w:val="Heading1"/>
        <w:sectPr w:rsidR="00FF20BE" w:rsidSect="00CF5414">
          <w:headerReference w:type="default" r:id="rId39"/>
          <w:pgSz w:w="12240" w:h="15840"/>
          <w:pgMar w:top="1440" w:right="1800" w:bottom="1440" w:left="1800" w:header="720" w:footer="720" w:gutter="0"/>
          <w:cols w:space="720"/>
          <w:noEndnote/>
          <w:titlePg/>
        </w:sectPr>
      </w:pPr>
    </w:p>
    <w:p w14:paraId="13C6E070" w14:textId="44813901" w:rsidR="00A810E4" w:rsidRPr="00A810E4" w:rsidRDefault="750671CE" w:rsidP="00296689">
      <w:pPr>
        <w:pStyle w:val="Heading1"/>
      </w:pPr>
      <w:bookmarkStart w:id="139" w:name="_Toc364636068"/>
      <w:bookmarkStart w:id="140" w:name="_Toc518323231"/>
      <w:r>
        <w:lastRenderedPageBreak/>
        <w:t>CHAPTER 3. STRICT LIABILITY AND NEGLIGENCE: HISTORY AND INTRODUCTION</w:t>
      </w:r>
      <w:bookmarkEnd w:id="139"/>
      <w:bookmarkEnd w:id="140"/>
    </w:p>
    <w:p w14:paraId="4E7DB707" w14:textId="77777777" w:rsidR="00A810E4" w:rsidRPr="00A810E4" w:rsidRDefault="00A810E4" w:rsidP="00A810E4">
      <w:pPr>
        <w:rPr>
          <w:rFonts w:ascii="Times New Roman" w:hAnsi="Times New Roman" w:cs="Times New Roman"/>
        </w:rPr>
      </w:pPr>
    </w:p>
    <w:p w14:paraId="47E355C5" w14:textId="27FBF82F"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So far in this book we have been studying torts arising out of intentionally inflicted harms.  But the great majority of torts cases in the court system </w:t>
      </w:r>
      <w:r w:rsidR="00A9261A">
        <w:rPr>
          <w:rFonts w:ascii="Times New Roman" w:eastAsia="Times New Roman" w:hAnsi="Times New Roman" w:cs="Times New Roman"/>
        </w:rPr>
        <w:t>– and the great majority of the hard cases – arise not</w:t>
      </w:r>
      <w:r w:rsidR="00A9261A" w:rsidRPr="750671CE">
        <w:rPr>
          <w:rFonts w:ascii="Times New Roman" w:eastAsia="Times New Roman" w:hAnsi="Times New Roman" w:cs="Times New Roman"/>
        </w:rPr>
        <w:t xml:space="preserve"> </w:t>
      </w:r>
      <w:r w:rsidR="00A9261A">
        <w:rPr>
          <w:rFonts w:ascii="Times New Roman" w:eastAsia="Times New Roman" w:hAnsi="Times New Roman" w:cs="Times New Roman"/>
        </w:rPr>
        <w:t>out of</w:t>
      </w:r>
      <w:r w:rsidR="00A9261A"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intentional </w:t>
      </w:r>
      <w:r w:rsidR="00A9261A">
        <w:rPr>
          <w:rFonts w:ascii="Times New Roman" w:eastAsia="Times New Roman" w:hAnsi="Times New Roman" w:cs="Times New Roman"/>
        </w:rPr>
        <w:t>contacts but out of unintentional contacts.</w:t>
      </w:r>
      <w:r w:rsidRPr="750671CE">
        <w:rPr>
          <w:rFonts w:ascii="Times New Roman" w:eastAsia="Times New Roman" w:hAnsi="Times New Roman" w:cs="Times New Roman"/>
        </w:rPr>
        <w:t xml:space="preserve">  They are unintentionally inflicted harms.  In other words, they are accidents.  </w:t>
      </w:r>
      <w:r w:rsidR="00A9261A">
        <w:rPr>
          <w:rFonts w:ascii="Times New Roman" w:eastAsia="Times New Roman" w:hAnsi="Times New Roman" w:cs="Times New Roman"/>
        </w:rPr>
        <w:t>I</w:t>
      </w:r>
      <w:r w:rsidRPr="750671CE">
        <w:rPr>
          <w:rFonts w:ascii="Times New Roman" w:eastAsia="Times New Roman" w:hAnsi="Times New Roman" w:cs="Times New Roman"/>
        </w:rPr>
        <w:t>f a defendant does not intend an injury, ought she be obligated to compensate the plaintiff for it?  If so, what kinds of unintentional injuries produce such obligations to compensate?  These are the central questions for the law of unintentional torts, and we turn to them now through the development of the com</w:t>
      </w:r>
      <w:r w:rsidR="001D0B11">
        <w:rPr>
          <w:rFonts w:ascii="Times New Roman" w:eastAsia="Times New Roman" w:hAnsi="Times New Roman" w:cs="Times New Roman"/>
        </w:rPr>
        <w:t>mo</w:t>
      </w:r>
      <w:r w:rsidRPr="750671CE">
        <w:rPr>
          <w:rFonts w:ascii="Times New Roman" w:eastAsia="Times New Roman" w:hAnsi="Times New Roman" w:cs="Times New Roman"/>
        </w:rPr>
        <w:t>n law of torts.</w:t>
      </w:r>
    </w:p>
    <w:p w14:paraId="73BD3FC3" w14:textId="77777777" w:rsidR="00A810E4" w:rsidRPr="00A810E4" w:rsidRDefault="00A810E4" w:rsidP="00A810E4">
      <w:pPr>
        <w:rPr>
          <w:rFonts w:ascii="Times New Roman" w:hAnsi="Times New Roman" w:cs="Times New Roman"/>
        </w:rPr>
      </w:pPr>
    </w:p>
    <w:p w14:paraId="3E44233C" w14:textId="77777777" w:rsidR="00A810E4" w:rsidRPr="00A810E4" w:rsidRDefault="00A810E4" w:rsidP="00A810E4">
      <w:pPr>
        <w:rPr>
          <w:rFonts w:ascii="Times New Roman" w:hAnsi="Times New Roman" w:cs="Times New Roman"/>
        </w:rPr>
      </w:pPr>
    </w:p>
    <w:p w14:paraId="57089754" w14:textId="77777777" w:rsidR="00A810E4" w:rsidRPr="00A810E4" w:rsidRDefault="00A810E4" w:rsidP="00D615BC">
      <w:pPr>
        <w:pStyle w:val="Heading2"/>
      </w:pPr>
      <w:bookmarkStart w:id="141" w:name="_Toc364636069"/>
      <w:bookmarkStart w:id="142" w:name="_Toc518323232"/>
      <w:r w:rsidRPr="00A810E4">
        <w:t>A.  Common Law Beginnings</w:t>
      </w:r>
      <w:bookmarkEnd w:id="141"/>
      <w:bookmarkEnd w:id="142"/>
    </w:p>
    <w:p w14:paraId="7FA245E2" w14:textId="77777777" w:rsidR="00A810E4" w:rsidRDefault="00A810E4" w:rsidP="00A810E4">
      <w:pPr>
        <w:rPr>
          <w:rFonts w:ascii="Times New Roman" w:hAnsi="Times New Roman" w:cs="Times New Roman"/>
        </w:rPr>
      </w:pPr>
    </w:p>
    <w:p w14:paraId="1DD076B6" w14:textId="77777777" w:rsidR="006F1186" w:rsidRPr="00A810E4" w:rsidRDefault="006F1186" w:rsidP="00A810E4">
      <w:pPr>
        <w:rPr>
          <w:rFonts w:ascii="Times New Roman" w:hAnsi="Times New Roman" w:cs="Times New Roman"/>
        </w:rPr>
      </w:pPr>
    </w:p>
    <w:p w14:paraId="0F5FDD2D" w14:textId="67F8001B"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In the first several centuries after the Norman Conquest, the Norman kings left the resolution of many disputes to the local or church courts that were scattered choc-a-bloc across the English landscape.  Parties seeking the king</w:t>
      </w:r>
      <w:r w:rsidR="00B05F31">
        <w:rPr>
          <w:rFonts w:ascii="Times New Roman" w:eastAsia="Times New Roman" w:hAnsi="Times New Roman" w:cs="Times New Roman"/>
        </w:rPr>
        <w:t>’</w:t>
      </w:r>
      <w:r w:rsidRPr="750671CE">
        <w:rPr>
          <w:rFonts w:ascii="Times New Roman" w:eastAsia="Times New Roman" w:hAnsi="Times New Roman" w:cs="Times New Roman"/>
        </w:rPr>
        <w:t>s justice in disputes involving real property or interpersonal violence, however, could seek out the king</w:t>
      </w:r>
      <w:r w:rsidR="00B05F31">
        <w:rPr>
          <w:rFonts w:ascii="Times New Roman" w:eastAsia="Times New Roman" w:hAnsi="Times New Roman" w:cs="Times New Roman"/>
        </w:rPr>
        <w:t>’</w:t>
      </w:r>
      <w:r w:rsidRPr="750671CE">
        <w:rPr>
          <w:rFonts w:ascii="Times New Roman" w:eastAsia="Times New Roman" w:hAnsi="Times New Roman" w:cs="Times New Roman"/>
        </w:rPr>
        <w:t>s justice.  A petition to the king</w:t>
      </w:r>
      <w:r w:rsidR="00B05F31">
        <w:rPr>
          <w:rFonts w:ascii="Times New Roman" w:eastAsia="Times New Roman" w:hAnsi="Times New Roman" w:cs="Times New Roman"/>
        </w:rPr>
        <w:t>’</w:t>
      </w:r>
      <w:r w:rsidRPr="750671CE">
        <w:rPr>
          <w:rFonts w:ascii="Times New Roman" w:eastAsia="Times New Roman" w:hAnsi="Times New Roman" w:cs="Times New Roman"/>
        </w:rPr>
        <w:t>s chancellor could prod</w:t>
      </w:r>
      <w:r w:rsidR="005C302C">
        <w:rPr>
          <w:rFonts w:ascii="Times New Roman" w:eastAsia="Times New Roman" w:hAnsi="Times New Roman" w:cs="Times New Roman"/>
        </w:rPr>
        <w:t>uce powerful royal intervention—</w:t>
      </w:r>
      <w:r w:rsidRPr="750671CE">
        <w:rPr>
          <w:rFonts w:ascii="Times New Roman" w:eastAsia="Times New Roman" w:hAnsi="Times New Roman" w:cs="Times New Roman"/>
        </w:rPr>
        <w:t>but only if the chancellor determined that it was the kind of dispute into which the king ought to intervene.  Over time, as the number of petitions grew, the chancellor came to recognize certain categories of dispute as entitled to royal justice.  Such disputes</w:t>
      </w:r>
      <w:r w:rsidR="005C302C">
        <w:rPr>
          <w:rFonts w:ascii="Times New Roman" w:eastAsia="Times New Roman" w:hAnsi="Times New Roman" w:cs="Times New Roman"/>
        </w:rPr>
        <w:t xml:space="preserve"> were causes for royal action—</w:t>
      </w:r>
      <w:r w:rsidRPr="750671CE">
        <w:rPr>
          <w:rFonts w:ascii="Times New Roman" w:eastAsia="Times New Roman" w:hAnsi="Times New Roman" w:cs="Times New Roman"/>
        </w:rPr>
        <w:t>or</w:t>
      </w:r>
      <w:r w:rsidR="005C302C">
        <w:rPr>
          <w:rFonts w:ascii="Times New Roman" w:eastAsia="Times New Roman" w:hAnsi="Times New Roman" w:cs="Times New Roman"/>
        </w:rPr>
        <w:t xml:space="preserve"> </w:t>
      </w:r>
      <w:r w:rsidRPr="750671CE">
        <w:rPr>
          <w:rFonts w:ascii="Times New Roman" w:eastAsia="Times New Roman" w:hAnsi="Times New Roman" w:cs="Times New Roman"/>
        </w:rPr>
        <w:t xml:space="preserve">causes of action, as we know them today.  A petition alleging the kinds of facts that constituted one of these stereotyped disputes would produce a letter, or </w:t>
      </w:r>
      <w:r w:rsidR="00B05F31">
        <w:rPr>
          <w:rFonts w:ascii="Times New Roman" w:eastAsia="Times New Roman" w:hAnsi="Times New Roman" w:cs="Times New Roman"/>
        </w:rPr>
        <w:t>“</w:t>
      </w:r>
      <w:r w:rsidRPr="750671CE">
        <w:rPr>
          <w:rFonts w:ascii="Times New Roman" w:eastAsia="Times New Roman" w:hAnsi="Times New Roman" w:cs="Times New Roman"/>
        </w:rPr>
        <w:t>writ,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from the chancellor to a local official ordering him to take steps toward resolving the dispute in question. </w:t>
      </w:r>
    </w:p>
    <w:p w14:paraId="6BB4B461" w14:textId="77777777" w:rsidR="00A810E4" w:rsidRPr="00A810E4" w:rsidRDefault="00A810E4" w:rsidP="00A810E4">
      <w:pPr>
        <w:rPr>
          <w:rFonts w:ascii="Times New Roman" w:hAnsi="Times New Roman" w:cs="Times New Roman"/>
        </w:rPr>
      </w:pPr>
    </w:p>
    <w:p w14:paraId="0E78CD73" w14:textId="27782C03"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Thus was born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writ system,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which formed the basis for the law common to the king</w:t>
      </w:r>
      <w:r w:rsidR="00B05F31">
        <w:rPr>
          <w:rFonts w:ascii="Times New Roman" w:eastAsia="Times New Roman" w:hAnsi="Times New Roman" w:cs="Times New Roman"/>
        </w:rPr>
        <w:t>’</w:t>
      </w:r>
      <w:r w:rsidRPr="750671CE">
        <w:rPr>
          <w:rFonts w:ascii="Times New Roman" w:eastAsia="Times New Roman" w:hAnsi="Times New Roman" w:cs="Times New Roman"/>
        </w:rPr>
        <w:t>s courts</w:t>
      </w:r>
      <w:r w:rsidR="005C302C">
        <w:rPr>
          <w:rFonts w:ascii="Times New Roman" w:eastAsia="Times New Roman" w:hAnsi="Times New Roman" w:cs="Times New Roman"/>
        </w:rPr>
        <w:t>—</w:t>
      </w:r>
      <w:r w:rsidRPr="750671CE">
        <w:rPr>
          <w:rFonts w:ascii="Times New Roman" w:eastAsia="Times New Roman" w:hAnsi="Times New Roman" w:cs="Times New Roman"/>
        </w:rPr>
        <w:t>the</w:t>
      </w:r>
      <w:r w:rsidR="005C302C">
        <w:rPr>
          <w:rFonts w:ascii="Times New Roman" w:eastAsia="Times New Roman" w:hAnsi="Times New Roman" w:cs="Times New Roman"/>
        </w:rPr>
        <w:t xml:space="preserve"> </w:t>
      </w:r>
      <w:r w:rsidRPr="750671CE">
        <w:rPr>
          <w:rFonts w:ascii="Times New Roman" w:eastAsia="Times New Roman" w:hAnsi="Times New Roman" w:cs="Times New Roman"/>
        </w:rPr>
        <w:t>English common law</w:t>
      </w:r>
      <w:r w:rsidR="005C302C">
        <w:rPr>
          <w:rFonts w:ascii="Times New Roman" w:eastAsia="Times New Roman" w:hAnsi="Times New Roman" w:cs="Times New Roman"/>
        </w:rPr>
        <w:t>—</w:t>
      </w:r>
      <w:r w:rsidRPr="750671CE">
        <w:rPr>
          <w:rFonts w:ascii="Times New Roman" w:eastAsia="Times New Roman" w:hAnsi="Times New Roman" w:cs="Times New Roman"/>
        </w:rPr>
        <w:t>for</w:t>
      </w:r>
      <w:r w:rsidR="005C302C">
        <w:rPr>
          <w:rFonts w:ascii="Times New Roman" w:eastAsia="Times New Roman" w:hAnsi="Times New Roman" w:cs="Times New Roman"/>
        </w:rPr>
        <w:t xml:space="preserve"> </w:t>
      </w:r>
      <w:r w:rsidRPr="750671CE">
        <w:rPr>
          <w:rFonts w:ascii="Times New Roman" w:eastAsia="Times New Roman" w:hAnsi="Times New Roman" w:cs="Times New Roman"/>
        </w:rPr>
        <w:t>nearly a thousand years.  The chancellors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categories hardened into particularized forms of action, which offered specific procedures and remedies for complaints stated in terms of the stereotyped factual allegations that followed the pattern of the chancellor</w:t>
      </w:r>
      <w:r w:rsidR="00B05F31">
        <w:rPr>
          <w:rFonts w:ascii="Times New Roman" w:eastAsia="Times New Roman" w:hAnsi="Times New Roman" w:cs="Times New Roman"/>
        </w:rPr>
        <w:t>’</w:t>
      </w:r>
      <w:r w:rsidRPr="750671CE">
        <w:rPr>
          <w:rFonts w:ascii="Times New Roman" w:eastAsia="Times New Roman" w:hAnsi="Times New Roman" w:cs="Times New Roman"/>
        </w:rPr>
        <w:t>s category.  From time to time, under pressure from parties seeking the king</w:t>
      </w:r>
      <w:r w:rsidR="00B05F31">
        <w:rPr>
          <w:rFonts w:ascii="Times New Roman" w:eastAsia="Times New Roman" w:hAnsi="Times New Roman" w:cs="Times New Roman"/>
        </w:rPr>
        <w:t>’</w:t>
      </w:r>
      <w:r w:rsidRPr="750671CE">
        <w:rPr>
          <w:rFonts w:ascii="Times New Roman" w:eastAsia="Times New Roman" w:hAnsi="Times New Roman" w:cs="Times New Roman"/>
        </w:rPr>
        <w:t>s justice, the chancellor slowly recognized new forms of action to address new kinds of disputes.  Moreover, parties seeking the advantages of the king</w:t>
      </w:r>
      <w:r w:rsidR="00B05F31">
        <w:rPr>
          <w:rFonts w:ascii="Times New Roman" w:eastAsia="Times New Roman" w:hAnsi="Times New Roman" w:cs="Times New Roman"/>
        </w:rPr>
        <w:t>’</w:t>
      </w:r>
      <w:r w:rsidRPr="750671CE">
        <w:rPr>
          <w:rFonts w:ascii="Times New Roman" w:eastAsia="Times New Roman" w:hAnsi="Times New Roman" w:cs="Times New Roman"/>
        </w:rPr>
        <w:t>s justice often sought to fit their disputes within the preexisting categories of the forms of action.  And as the king</w:t>
      </w:r>
      <w:r w:rsidR="00B05F31">
        <w:rPr>
          <w:rFonts w:ascii="Times New Roman" w:eastAsia="Times New Roman" w:hAnsi="Times New Roman" w:cs="Times New Roman"/>
        </w:rPr>
        <w:t>’</w:t>
      </w:r>
      <w:r w:rsidRPr="750671CE">
        <w:rPr>
          <w:rFonts w:ascii="Times New Roman" w:eastAsia="Times New Roman" w:hAnsi="Times New Roman" w:cs="Times New Roman"/>
        </w:rPr>
        <w:t>s representatives recognized these expansions of the existing forms of action, the writ system grew and expanded to meet new kinds of disputes.</w:t>
      </w:r>
    </w:p>
    <w:p w14:paraId="4B6E70F2" w14:textId="77777777" w:rsidR="00A810E4" w:rsidRPr="00A810E4" w:rsidRDefault="00A810E4" w:rsidP="00A810E4">
      <w:pPr>
        <w:rPr>
          <w:rFonts w:ascii="Times New Roman" w:hAnsi="Times New Roman" w:cs="Times New Roman"/>
        </w:rPr>
      </w:pPr>
    </w:p>
    <w:p w14:paraId="66EFC848" w14:textId="4223AAB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 evolution of the writ system explains the common law beginnings of the law of unintentional torts.  The writ of trespass was first recognized in the twelfth century; it offered a remedy in the king</w:t>
      </w:r>
      <w:r w:rsidR="00B05F31">
        <w:rPr>
          <w:rFonts w:ascii="Times New Roman" w:eastAsia="Times New Roman" w:hAnsi="Times New Roman" w:cs="Times New Roman"/>
        </w:rPr>
        <w:t>’</w:t>
      </w:r>
      <w:r w:rsidRPr="750671CE">
        <w:rPr>
          <w:rFonts w:ascii="Times New Roman" w:eastAsia="Times New Roman" w:hAnsi="Times New Roman" w:cs="Times New Roman"/>
        </w:rPr>
        <w:t>s courts for intentional breaches of the k</w:t>
      </w:r>
      <w:r w:rsidR="005C302C">
        <w:rPr>
          <w:rFonts w:ascii="Times New Roman" w:eastAsia="Times New Roman" w:hAnsi="Times New Roman" w:cs="Times New Roman"/>
        </w:rPr>
        <w:t>ing</w:t>
      </w:r>
      <w:r w:rsidR="00B05F31">
        <w:rPr>
          <w:rFonts w:ascii="Times New Roman" w:eastAsia="Times New Roman" w:hAnsi="Times New Roman" w:cs="Times New Roman"/>
        </w:rPr>
        <w:t>’</w:t>
      </w:r>
      <w:r w:rsidR="005C302C">
        <w:rPr>
          <w:rFonts w:ascii="Times New Roman" w:eastAsia="Times New Roman" w:hAnsi="Times New Roman" w:cs="Times New Roman"/>
        </w:rPr>
        <w:t>s peace by force and arms—</w:t>
      </w:r>
      <w:r w:rsidRPr="00F94B7E">
        <w:rPr>
          <w:rFonts w:ascii="Times New Roman" w:eastAsia="Times New Roman" w:hAnsi="Times New Roman" w:cs="Times New Roman"/>
          <w:i/>
        </w:rPr>
        <w:t>vi</w:t>
      </w:r>
      <w:r w:rsidR="005C302C" w:rsidRPr="00F94B7E">
        <w:rPr>
          <w:rFonts w:ascii="Times New Roman" w:eastAsia="Times New Roman" w:hAnsi="Times New Roman" w:cs="Times New Roman"/>
          <w:i/>
        </w:rPr>
        <w:t xml:space="preserve"> </w:t>
      </w:r>
      <w:r w:rsidRPr="00F94B7E">
        <w:rPr>
          <w:rFonts w:ascii="Times New Roman" w:eastAsia="Times New Roman" w:hAnsi="Times New Roman" w:cs="Times New Roman"/>
          <w:i/>
        </w:rPr>
        <w:t>et armis</w:t>
      </w:r>
      <w:r w:rsidRPr="750671CE">
        <w:rPr>
          <w:rFonts w:ascii="Times New Roman" w:eastAsia="Times New Roman" w:hAnsi="Times New Roman" w:cs="Times New Roman"/>
        </w:rPr>
        <w:t xml:space="preserve"> in the Latin.  (Recall the recitations of </w:t>
      </w:r>
      <w:r w:rsidR="00B05F31">
        <w:rPr>
          <w:rFonts w:ascii="Times New Roman" w:eastAsia="Times New Roman" w:hAnsi="Times New Roman" w:cs="Times New Roman"/>
        </w:rPr>
        <w:t>“</w:t>
      </w:r>
      <w:r w:rsidRPr="750671CE">
        <w:rPr>
          <w:rFonts w:ascii="Times New Roman" w:eastAsia="Times New Roman" w:hAnsi="Times New Roman" w:cs="Times New Roman"/>
        </w:rPr>
        <w:t>force and arms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action for trespass in </w:t>
      </w:r>
      <w:r w:rsidRPr="005C302C">
        <w:rPr>
          <w:rFonts w:ascii="Times New Roman" w:eastAsia="Times New Roman" w:hAnsi="Times New Roman" w:cs="Times New Roman"/>
          <w:i/>
        </w:rPr>
        <w:t>Ploof v. Putnam</w:t>
      </w:r>
      <w:r w:rsidRPr="750671CE">
        <w:rPr>
          <w:rFonts w:ascii="Times New Roman" w:eastAsia="Times New Roman" w:hAnsi="Times New Roman" w:cs="Times New Roman"/>
        </w:rPr>
        <w:t xml:space="preserve"> and the action for assault in </w:t>
      </w:r>
      <w:r w:rsidRPr="005C302C">
        <w:rPr>
          <w:rFonts w:ascii="Times New Roman" w:eastAsia="Times New Roman" w:hAnsi="Times New Roman" w:cs="Times New Roman"/>
          <w:i/>
        </w:rPr>
        <w:t>I de S v. W de S</w:t>
      </w:r>
      <w:r w:rsidRPr="750671CE">
        <w:rPr>
          <w:rFonts w:ascii="Times New Roman" w:eastAsia="Times New Roman" w:hAnsi="Times New Roman" w:cs="Times New Roman"/>
        </w:rPr>
        <w:t xml:space="preserve"> in </w:t>
      </w:r>
      <w:r w:rsidR="00C21D6E">
        <w:rPr>
          <w:rFonts w:ascii="Times New Roman" w:eastAsia="Times New Roman" w:hAnsi="Times New Roman" w:cs="Times New Roman"/>
        </w:rPr>
        <w:lastRenderedPageBreak/>
        <w:t>C</w:t>
      </w:r>
      <w:r w:rsidRPr="750671CE">
        <w:rPr>
          <w:rFonts w:ascii="Times New Roman" w:eastAsia="Times New Roman" w:hAnsi="Times New Roman" w:cs="Times New Roman"/>
        </w:rPr>
        <w:t xml:space="preserve">hapter 2.)  Over time, the recitation of the key phrase </w:t>
      </w:r>
      <w:r w:rsidR="00B05F31">
        <w:rPr>
          <w:rFonts w:ascii="Times New Roman" w:eastAsia="Times New Roman" w:hAnsi="Times New Roman" w:cs="Times New Roman"/>
        </w:rPr>
        <w:t>“</w:t>
      </w:r>
      <w:r w:rsidRPr="750671CE">
        <w:rPr>
          <w:rFonts w:ascii="Times New Roman" w:eastAsia="Times New Roman" w:hAnsi="Times New Roman" w:cs="Times New Roman"/>
        </w:rPr>
        <w:t>force and arms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complaints initiating a cause of action for trespass became a mere fiction; the terms were used solely because they were necessary to invoke the procedures of royal justice, even where there was no real allegation that force or arms had </w:t>
      </w:r>
      <w:r w:rsidR="005C302C">
        <w:rPr>
          <w:rFonts w:ascii="Times New Roman" w:eastAsia="Times New Roman" w:hAnsi="Times New Roman" w:cs="Times New Roman"/>
        </w:rPr>
        <w:t>been used at all.  In the late thirteenth century and fourteen</w:t>
      </w:r>
      <w:r w:rsidRPr="750671CE">
        <w:rPr>
          <w:rFonts w:ascii="Times New Roman" w:eastAsia="Times New Roman" w:hAnsi="Times New Roman" w:cs="Times New Roman"/>
        </w:rPr>
        <w:t xml:space="preserve">th century, the clerks of the Chancery began to authorize a subsidiary form of action as well, a writ known as the writ of trespass on the case.  Trespass on the case, or simply </w:t>
      </w:r>
      <w:r w:rsidR="00B05F31">
        <w:rPr>
          <w:rFonts w:ascii="Times New Roman" w:eastAsia="Times New Roman" w:hAnsi="Times New Roman" w:cs="Times New Roman"/>
        </w:rPr>
        <w:t>“</w:t>
      </w:r>
      <w:r w:rsidRPr="750671CE">
        <w:rPr>
          <w:rFonts w:ascii="Times New Roman" w:eastAsia="Times New Roman" w:hAnsi="Times New Roman" w:cs="Times New Roman"/>
        </w:rPr>
        <w:t>case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it was sometimes known, dropped the recitation of force and arms and supplied a cause of action for the kinds of harms that seemed too indirect to be characterized as trespasses by force and arms.</w:t>
      </w:r>
    </w:p>
    <w:p w14:paraId="17E3603B" w14:textId="77777777" w:rsidR="00A810E4" w:rsidRPr="00A810E4" w:rsidRDefault="00A810E4" w:rsidP="00A810E4">
      <w:pPr>
        <w:rPr>
          <w:rFonts w:ascii="Times New Roman" w:hAnsi="Times New Roman" w:cs="Times New Roman"/>
        </w:rPr>
      </w:pPr>
    </w:p>
    <w:p w14:paraId="08EF6465" w14:textId="0EA07959"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All this may seem quite mysterious, but it is relatively simple once one drops the unfamiliar language.  The forms of action were simply the causes for which the king</w:t>
      </w:r>
      <w:r w:rsidR="00B05F31">
        <w:rPr>
          <w:rFonts w:ascii="Times New Roman" w:eastAsia="Times New Roman" w:hAnsi="Times New Roman" w:cs="Times New Roman"/>
        </w:rPr>
        <w:t>’</w:t>
      </w:r>
      <w:r w:rsidRPr="750671CE">
        <w:rPr>
          <w:rFonts w:ascii="Times New Roman" w:eastAsia="Times New Roman" w:hAnsi="Times New Roman" w:cs="Times New Roman"/>
        </w:rPr>
        <w:t>s justice might be invoked.  The king</w:t>
      </w:r>
      <w:r w:rsidR="00B05F31">
        <w:rPr>
          <w:rFonts w:ascii="Times New Roman" w:eastAsia="Times New Roman" w:hAnsi="Times New Roman" w:cs="Times New Roman"/>
        </w:rPr>
        <w:t>’</w:t>
      </w:r>
      <w:r w:rsidRPr="750671CE">
        <w:rPr>
          <w:rFonts w:ascii="Times New Roman" w:eastAsia="Times New Roman" w:hAnsi="Times New Roman" w:cs="Times New Roman"/>
        </w:rPr>
        <w:t>s writs were simply his orders to lower officials to commence the process by which the cause in question might be redressed.  A typical writ issued by the Chancellor upon a complaint of trespass would have looked something like this one:</w:t>
      </w:r>
    </w:p>
    <w:p w14:paraId="62EB2991" w14:textId="77777777" w:rsidR="00A810E4" w:rsidRPr="00A810E4" w:rsidRDefault="00A810E4" w:rsidP="00A810E4">
      <w:pPr>
        <w:rPr>
          <w:rFonts w:ascii="Times New Roman" w:hAnsi="Times New Roman" w:cs="Times New Roman"/>
        </w:rPr>
      </w:pPr>
    </w:p>
    <w:p w14:paraId="72A68653" w14:textId="0C87A5AB" w:rsidR="00A810E4" w:rsidRPr="00A810E4" w:rsidRDefault="750671CE" w:rsidP="00A14D5F">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King to the sheriff of S., greeting. If A. shall give you security for pursuing his claim, then put by gage and safe pledges B. that he be before us on the octave of Michaelmas, wheresoever we shall then be in England [i.e., in the King</w:t>
      </w:r>
      <w:r w:rsidR="00B05F31">
        <w:rPr>
          <w:rFonts w:ascii="Times New Roman" w:eastAsia="Times New Roman" w:hAnsi="Times New Roman" w:cs="Times New Roman"/>
        </w:rPr>
        <w:t>’</w:t>
      </w:r>
      <w:r w:rsidRPr="750671CE">
        <w:rPr>
          <w:rFonts w:ascii="Times New Roman" w:eastAsia="Times New Roman" w:hAnsi="Times New Roman" w:cs="Times New Roman"/>
        </w:rPr>
        <w:t>s Bench], to show why [ostensurus quare] with force and arms [vi et armis] he made assault on the selfsame A. at N., and beat, wounded and ill treated him so that his life was despaired of, and offered other outrages against him, to the grave damage of the selfsame A. and against our peace. And have there the names of the pledges, and this writ. Witness etc.</w:t>
      </w:r>
    </w:p>
    <w:p w14:paraId="797C1882" w14:textId="77777777" w:rsidR="00A810E4" w:rsidRPr="00A810E4" w:rsidRDefault="00A810E4" w:rsidP="00A810E4">
      <w:pPr>
        <w:rPr>
          <w:rFonts w:ascii="Times New Roman" w:hAnsi="Times New Roman" w:cs="Times New Roman"/>
        </w:rPr>
      </w:pPr>
    </w:p>
    <w:p w14:paraId="28C524E5" w14:textId="36E0ED0A" w:rsidR="00A810E4" w:rsidRPr="00A810E4" w:rsidRDefault="750671CE" w:rsidP="00B0233A">
      <w:pPr>
        <w:rPr>
          <w:rFonts w:ascii="Times New Roman" w:eastAsia="Times New Roman" w:hAnsi="Times New Roman" w:cs="Times New Roman"/>
        </w:rPr>
      </w:pPr>
      <w:r w:rsidRPr="00B66C7F">
        <w:rPr>
          <w:rFonts w:ascii="Times New Roman" w:eastAsia="Times New Roman" w:hAnsi="Times New Roman" w:cs="Times New Roman"/>
          <w:smallCaps/>
        </w:rPr>
        <w:t>J.H. B</w:t>
      </w:r>
      <w:r w:rsidR="00B66C7F" w:rsidRPr="00B66C7F">
        <w:rPr>
          <w:rFonts w:ascii="Times New Roman" w:eastAsia="Times New Roman" w:hAnsi="Times New Roman" w:cs="Times New Roman"/>
          <w:smallCaps/>
        </w:rPr>
        <w:t>aker, An Introduction to English Legal History</w:t>
      </w:r>
      <w:r w:rsidRPr="750671CE">
        <w:rPr>
          <w:rFonts w:ascii="Times New Roman" w:eastAsia="Times New Roman" w:hAnsi="Times New Roman" w:cs="Times New Roman"/>
        </w:rPr>
        <w:t xml:space="preserve"> 545 (4th ed. 2002).  To translate: </w:t>
      </w:r>
      <w:r w:rsidR="00B05F31">
        <w:rPr>
          <w:rFonts w:ascii="Times New Roman" w:eastAsia="Times New Roman" w:hAnsi="Times New Roman" w:cs="Times New Roman"/>
        </w:rPr>
        <w:t>“</w:t>
      </w:r>
      <w:r w:rsidRPr="750671CE">
        <w:rPr>
          <w:rFonts w:ascii="Times New Roman" w:eastAsia="Times New Roman" w:hAnsi="Times New Roman" w:cs="Times New Roman"/>
        </w:rPr>
        <w:t>Dear Sheriff, Hello!  If A is willing to put up a bond, then please order B to put up a bond of his own and to find men who will vouch for him and agree to offer their own assets to guarantee that he will appear at the fall term of the court to answer A</w:t>
      </w:r>
      <w:r w:rsidR="00B05F31">
        <w:rPr>
          <w:rFonts w:ascii="Times New Roman" w:eastAsia="Times New Roman" w:hAnsi="Times New Roman" w:cs="Times New Roman"/>
        </w:rPr>
        <w:t>’</w:t>
      </w:r>
      <w:r w:rsidRPr="750671CE">
        <w:rPr>
          <w:rFonts w:ascii="Times New Roman" w:eastAsia="Times New Roman" w:hAnsi="Times New Roman" w:cs="Times New Roman"/>
        </w:rPr>
        <w:t>s allegations. Yours as ever, King.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Thus would a medieval or early modern tort case begin.</w:t>
      </w:r>
    </w:p>
    <w:p w14:paraId="2E252DCC" w14:textId="77777777" w:rsidR="00A810E4" w:rsidRPr="00A810E4" w:rsidRDefault="00A810E4" w:rsidP="00A810E4">
      <w:pPr>
        <w:rPr>
          <w:rFonts w:ascii="Times New Roman" w:hAnsi="Times New Roman" w:cs="Times New Roman"/>
        </w:rPr>
      </w:pPr>
    </w:p>
    <w:p w14:paraId="635AC552" w14:textId="258E44B2"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With the establishment of the writs of trespass and case, the basic building blocks of early modern tort law were in place.  But key questions remain unresolved in our account thus far.  The most important for our purposes is to determine the kinds of unintentional harm for which the writs of trespass and case would offer remedies.  As far as we can tell, this question first arose in round-about fashion as part of a fifteenth-century case.  The late medieval report of the case appears below.  As you will quickly see, the dispute was not really about unintentional torts at all.  Yet as the parties argued the case in the royal court, they arranged for part of the case to turn on the answer to the question of whether the defendant had committed an unintentional wrong.  The lawyers for the parties and the judges then weighed in with a startling variety of possible answers to our central question: when is an actor liable for unintentional harms?</w:t>
      </w:r>
    </w:p>
    <w:p w14:paraId="2C50CF4E" w14:textId="77777777" w:rsidR="00A810E4" w:rsidRDefault="00A810E4" w:rsidP="00A810E4">
      <w:pPr>
        <w:rPr>
          <w:rFonts w:ascii="Times New Roman" w:hAnsi="Times New Roman" w:cs="Times New Roman"/>
        </w:rPr>
      </w:pPr>
    </w:p>
    <w:p w14:paraId="6166E53A" w14:textId="77777777" w:rsidR="006F1186" w:rsidRPr="00A810E4" w:rsidRDefault="006F1186" w:rsidP="00A810E4">
      <w:pPr>
        <w:rPr>
          <w:rFonts w:ascii="Times New Roman" w:hAnsi="Times New Roman" w:cs="Times New Roman"/>
        </w:rPr>
      </w:pPr>
    </w:p>
    <w:p w14:paraId="43B112EE" w14:textId="77777777" w:rsidR="00A810E4" w:rsidRPr="00DD6115" w:rsidRDefault="00A810E4" w:rsidP="001B0F83">
      <w:pPr>
        <w:pStyle w:val="Heading3"/>
      </w:pPr>
      <w:bookmarkStart w:id="143" w:name="_Toc518323233"/>
      <w:r w:rsidRPr="00404CF7">
        <w:rPr>
          <w:rStyle w:val="Heading3Char"/>
          <w:i/>
        </w:rPr>
        <w:t>Hulle v. Orynge (The Case of the Thorns)</w:t>
      </w:r>
      <w:r w:rsidRPr="005C6046">
        <w:rPr>
          <w:rStyle w:val="Heading3Char"/>
          <w:b/>
        </w:rPr>
        <w:t>,</w:t>
      </w:r>
      <w:bookmarkEnd w:id="143"/>
      <w:r w:rsidRPr="005C6046">
        <w:t xml:space="preserve"> </w:t>
      </w:r>
      <w:r w:rsidRPr="00404CF7">
        <w:t>Y. B. Mich. 6 Ed. IV, fo. 7, pl. 18 (1466)</w:t>
      </w:r>
      <w:r w:rsidRPr="00DD6115">
        <w:t xml:space="preserve"> </w:t>
      </w:r>
    </w:p>
    <w:p w14:paraId="7B300C80" w14:textId="77777777" w:rsidR="00A810E4" w:rsidRPr="00A810E4" w:rsidRDefault="00A810E4" w:rsidP="00A810E4">
      <w:pPr>
        <w:rPr>
          <w:rFonts w:ascii="Times New Roman" w:hAnsi="Times New Roman" w:cs="Times New Roman"/>
        </w:rPr>
      </w:pPr>
    </w:p>
    <w:p w14:paraId="7D5C74BF" w14:textId="16FCE6ED"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Hulle brought a writ of trespass against defendant Orynge for breaking into his close with force and arms (</w:t>
      </w:r>
      <w:r w:rsidR="00B05F31">
        <w:rPr>
          <w:rFonts w:ascii="Times New Roman" w:eastAsia="Times New Roman" w:hAnsi="Times New Roman" w:cs="Times New Roman"/>
        </w:rPr>
        <w:t>“</w:t>
      </w:r>
      <w:r w:rsidRPr="006A7125">
        <w:rPr>
          <w:rFonts w:ascii="Times New Roman" w:eastAsia="Times New Roman" w:hAnsi="Times New Roman" w:cs="Times New Roman"/>
          <w:i/>
        </w:rPr>
        <w:t>quare vi &amp; armis clausum fregit</w:t>
      </w:r>
      <w:r w:rsidR="00B05F31">
        <w:rPr>
          <w:rFonts w:ascii="Times New Roman" w:eastAsia="Times New Roman" w:hAnsi="Times New Roman" w:cs="Times New Roman"/>
        </w:rPr>
        <w:t>”</w:t>
      </w:r>
      <w:r w:rsidRPr="750671CE">
        <w:rPr>
          <w:rFonts w:ascii="Times New Roman" w:eastAsia="Times New Roman" w:hAnsi="Times New Roman" w:cs="Times New Roman"/>
        </w:rPr>
        <w:t>) and consuming and trampling his grass and crops on six acres of land in Devon.  Defendant Orynge pleaded that he owned one acre adjoining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that while cutting thorns there from a thorn hedge on his property, the thorns fell onto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by their own will (</w:t>
      </w:r>
      <w:r w:rsidR="00B05F31">
        <w:rPr>
          <w:rFonts w:ascii="Times New Roman" w:eastAsia="Times New Roman" w:hAnsi="Times New Roman" w:cs="Times New Roman"/>
        </w:rPr>
        <w:t>“</w:t>
      </w:r>
      <w:r w:rsidRPr="006A7125">
        <w:rPr>
          <w:rFonts w:ascii="Times New Roman" w:eastAsia="Times New Roman" w:hAnsi="Times New Roman" w:cs="Times New Roman"/>
          <w:i/>
        </w:rPr>
        <w:t xml:space="preserve">ipso </w:t>
      </w:r>
      <w:r w:rsidR="006A7125" w:rsidRPr="006A7125">
        <w:rPr>
          <w:rFonts w:ascii="Times New Roman" w:eastAsia="Times New Roman" w:hAnsi="Times New Roman" w:cs="Times New Roman"/>
          <w:i/>
        </w:rPr>
        <w:t>invito</w:t>
      </w:r>
      <w:r w:rsidR="00B05F31">
        <w:rPr>
          <w:rFonts w:ascii="Times New Roman" w:eastAsia="Times New Roman" w:hAnsi="Times New Roman" w:cs="Times New Roman"/>
        </w:rPr>
        <w:t>”</w:t>
      </w:r>
      <w:r w:rsidRPr="750671CE">
        <w:rPr>
          <w:rFonts w:ascii="Times New Roman" w:eastAsia="Times New Roman" w:hAnsi="Times New Roman" w:cs="Times New Roman"/>
        </w:rPr>
        <w:t>), that he had gone immediately onto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to recover the thorns, and that this was the trespass of which the plaintiff complained.  The plaintiff demurred.  The report, translated from Law French, is taken from a medieval Year-Book during the reign of King Edward IV.]</w:t>
      </w:r>
    </w:p>
    <w:p w14:paraId="5EF7B31A" w14:textId="77777777" w:rsidR="00A810E4" w:rsidRPr="00A810E4" w:rsidRDefault="00A810E4" w:rsidP="00A810E4">
      <w:pPr>
        <w:rPr>
          <w:rFonts w:ascii="Times New Roman" w:hAnsi="Times New Roman" w:cs="Times New Roman"/>
        </w:rPr>
      </w:pPr>
    </w:p>
    <w:p w14:paraId="5F9EE60D" w14:textId="2C81A32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And Catesby said, Sir, it has been argued that if a man acts whereby injury and damage are done to another person against his will, even though the act is lawful, nonetheless he shall be punished if he could by some means have avoided the damage.  Sir, to me the truth seems contrary.  As I understand, if a man acts in a lawful fashion, and damage occurs to another against his will, he will not be punished.  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  No more here, because the cutting was lawful and the falling onto your land was against my will, and therefore the taking back was good and permissible.  And Sir, I put it that if I cut my trees, and a bough fell on a man, and killed him, in this case I will not be attainted of a felony, because my cutting was permissible, and the falling on the man was against my will.  No more here.</w:t>
      </w:r>
    </w:p>
    <w:p w14:paraId="6DEC795B" w14:textId="77777777" w:rsidR="00A810E4" w:rsidRPr="00A810E4" w:rsidRDefault="00A810E4" w:rsidP="00A810E4">
      <w:pPr>
        <w:rPr>
          <w:rFonts w:ascii="Times New Roman" w:hAnsi="Times New Roman" w:cs="Times New Roman"/>
        </w:rPr>
      </w:pPr>
    </w:p>
    <w:p w14:paraId="23F882D5" w14:textId="6CD67AB1"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Fairfax.  To me it seems the contrary.  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w:t>
      </w:r>
      <w:r w:rsidRPr="00F94B7E">
        <w:rPr>
          <w:rFonts w:ascii="Times New Roman" w:eastAsia="Times New Roman" w:hAnsi="Times New Roman" w:cs="Times New Roman"/>
          <w:i/>
        </w:rPr>
        <w:t>no animo felonico</w:t>
      </w:r>
      <w:r w:rsidRPr="750671CE">
        <w:rPr>
          <w:rFonts w:ascii="Times New Roman" w:eastAsia="Times New Roman" w:hAnsi="Times New Roman" w:cs="Times New Roman"/>
        </w:rPr>
        <w:t>.  But if someone cuts his plantings and a bough fell on a man and injured him, in this case there will be an action of trespass. Also, sir, if a man shoots at the butts and his bow turns in his hand and kills a man at its own invitation [i.e., against the shooter</w:t>
      </w:r>
      <w:r w:rsidR="00B05F31">
        <w:rPr>
          <w:rFonts w:ascii="Times New Roman" w:eastAsia="Times New Roman" w:hAnsi="Times New Roman" w:cs="Times New Roman"/>
        </w:rPr>
        <w:t>’</w:t>
      </w:r>
      <w:r w:rsidRPr="750671CE">
        <w:rPr>
          <w:rFonts w:ascii="Times New Roman" w:eastAsia="Times New Roman" w:hAnsi="Times New Roman" w:cs="Times New Roman"/>
        </w:rPr>
        <w:t>s will], it is not a felony, as has been said.  But if he injures a man by his shooting, he will have a good action of trespass against him, even if the shooting was lawful, and the injury to the other was against his will.  Also here.</w:t>
      </w:r>
    </w:p>
    <w:p w14:paraId="0FBFF914" w14:textId="77777777" w:rsidR="00A810E4" w:rsidRPr="00A810E4" w:rsidRDefault="00A810E4" w:rsidP="00A810E4">
      <w:pPr>
        <w:rPr>
          <w:rFonts w:ascii="Times New Roman" w:hAnsi="Times New Roman" w:cs="Times New Roman"/>
        </w:rPr>
      </w:pPr>
    </w:p>
    <w:p w14:paraId="52C3239F"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Pigot.  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tough the cutting was lawful and the falling was against your will. . . . </w:t>
      </w:r>
    </w:p>
    <w:p w14:paraId="233A5CCF" w14:textId="77777777" w:rsidR="00A810E4" w:rsidRPr="00A810E4" w:rsidRDefault="00A810E4" w:rsidP="00A810E4">
      <w:pPr>
        <w:rPr>
          <w:rFonts w:ascii="Times New Roman" w:hAnsi="Times New Roman" w:cs="Times New Roman"/>
        </w:rPr>
      </w:pPr>
    </w:p>
    <w:p w14:paraId="11074712" w14:textId="277EAE22"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Yonge.  It seems to me the opposite.  In this case you have damnum absque injuria [damage without legal injury].  In this case you will have no action, because if there is no wrong [tort] there will be no reason for him to recover damages.  So it was here where he went into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  Notwithstanding that the plaintiff was injured, he has done no wrong [tort].</w:t>
      </w:r>
    </w:p>
    <w:p w14:paraId="5F3E3728" w14:textId="77777777" w:rsidR="00A810E4" w:rsidRPr="00A810E4" w:rsidRDefault="00A810E4" w:rsidP="00A810E4">
      <w:pPr>
        <w:rPr>
          <w:rFonts w:ascii="Times New Roman" w:hAnsi="Times New Roman" w:cs="Times New Roman"/>
        </w:rPr>
      </w:pPr>
    </w:p>
    <w:p w14:paraId="70D6ED85"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Brian.  To me it seems the opposite.  My idea is that when a man acts he is bound to do it in such a manner that by his act neither prejudice nor damage is done to others.  In a case where I build my house and a timber falls on the house of my neighbor and damages his house, he has a good action, even though building my house was lawful and the timber fell against my will.  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  The same is true here. </w:t>
      </w:r>
    </w:p>
    <w:p w14:paraId="0062E80E" w14:textId="77777777" w:rsidR="00A810E4" w:rsidRPr="00A810E4" w:rsidRDefault="00A810E4" w:rsidP="00A810E4">
      <w:pPr>
        <w:rPr>
          <w:rFonts w:ascii="Times New Roman" w:hAnsi="Times New Roman" w:cs="Times New Roman"/>
        </w:rPr>
      </w:pPr>
    </w:p>
    <w:p w14:paraId="6D6D0161" w14:textId="6D58F5A9"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L</w:t>
      </w:r>
      <w:r w:rsidR="00C8663D">
        <w:rPr>
          <w:rFonts w:ascii="Times New Roman" w:eastAsia="Times New Roman" w:hAnsi="Times New Roman" w:cs="Times New Roman"/>
          <w:smallCaps/>
        </w:rPr>
        <w:t>ittleton</w:t>
      </w:r>
      <w:r w:rsidRPr="750671CE">
        <w:rPr>
          <w:rFonts w:ascii="Times New Roman" w:eastAsia="Times New Roman" w:hAnsi="Times New Roman" w:cs="Times New Roman"/>
        </w:rPr>
        <w:t>, J.  In my view, if a man is damaged that is reason that he should be recompensed.  To my understanding, the case that Catesby has put is not the law, because if your cattle comes onto my land and consumes my plantings, then even if you immediately come and 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  Nor here, because the law is the same for big things and small, and he will make amends according to the size of the trespass.</w:t>
      </w:r>
    </w:p>
    <w:p w14:paraId="09DACB19" w14:textId="77777777" w:rsidR="00A810E4" w:rsidRPr="00A810E4" w:rsidRDefault="00A810E4" w:rsidP="00A810E4">
      <w:pPr>
        <w:rPr>
          <w:rFonts w:ascii="Times New Roman" w:hAnsi="Times New Roman" w:cs="Times New Roman"/>
        </w:rPr>
      </w:pPr>
    </w:p>
    <w:p w14:paraId="29AE2C51" w14:textId="08D543AB" w:rsidR="00A810E4" w:rsidRPr="00A810E4" w:rsidRDefault="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C</w:t>
      </w:r>
      <w:r w:rsidR="00C8663D" w:rsidRPr="00F94B7E">
        <w:rPr>
          <w:rFonts w:ascii="Times New Roman" w:eastAsia="Times New Roman" w:hAnsi="Times New Roman" w:cs="Times New Roman"/>
          <w:smallCaps/>
        </w:rPr>
        <w:t>hok</w:t>
      </w:r>
      <w:r w:rsidR="00C8663D">
        <w:rPr>
          <w:rFonts w:ascii="Times New Roman" w:eastAsia="Times New Roman" w:hAnsi="Times New Roman" w:cs="Times New Roman"/>
          <w:smallCaps/>
        </w:rPr>
        <w:t>e</w:t>
      </w:r>
      <w:r w:rsidRPr="750671CE">
        <w:rPr>
          <w:rFonts w:ascii="Times New Roman" w:eastAsia="Times New Roman" w:hAnsi="Times New Roman" w:cs="Times New Roman"/>
        </w:rPr>
        <w:t>, J.  This resembles my view, because where the principal thing was not lawful, then the thing that depends on it will not be lawful.  When the defendant cut the thorns and they fell, this falling was unlawful and therefore his coming to take them was unlawful.  As to what has been said about their falling against his will, that is no plea, but it obliges him to say that he could not have acted in any other way, or that he did all that he could to keep them out, otherwise he will render the damages.  And Sir, if the thorns or a large tree had fallen onto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land by wind, in this case he would have been able to go to take them, because the falling would not have been his act, but that of the wind. </w:t>
      </w:r>
    </w:p>
    <w:p w14:paraId="19E6D5AD" w14:textId="77777777" w:rsidR="00A810E4" w:rsidRPr="00A810E4" w:rsidRDefault="00A810E4">
      <w:pPr>
        <w:rPr>
          <w:rFonts w:ascii="Times New Roman" w:hAnsi="Times New Roman" w:cs="Times New Roman"/>
        </w:rPr>
      </w:pPr>
    </w:p>
    <w:p w14:paraId="47A014CE" w14:textId="77777777" w:rsidR="00A810E4" w:rsidRPr="00A810E4" w:rsidRDefault="00A810E4">
      <w:pPr>
        <w:rPr>
          <w:rFonts w:ascii="Times New Roman" w:hAnsi="Times New Roman" w:cs="Times New Roman"/>
        </w:rPr>
      </w:pPr>
    </w:p>
    <w:p w14:paraId="634AFD33" w14:textId="77777777" w:rsidR="00A810E4" w:rsidRPr="00A810E4" w:rsidRDefault="00A810E4" w:rsidP="002502CC">
      <w:pPr>
        <w:pStyle w:val="Heading4"/>
      </w:pPr>
      <w:bookmarkStart w:id="144" w:name="_Toc364636070"/>
      <w:bookmarkStart w:id="145" w:name="_Toc518323234"/>
      <w:r w:rsidRPr="00A810E4">
        <w:t>Notes</w:t>
      </w:r>
      <w:bookmarkEnd w:id="144"/>
      <w:bookmarkEnd w:id="145"/>
    </w:p>
    <w:p w14:paraId="4EE0699D" w14:textId="77777777" w:rsidR="00A810E4" w:rsidRDefault="00A810E4">
      <w:pPr>
        <w:rPr>
          <w:rFonts w:ascii="Times New Roman" w:hAnsi="Times New Roman" w:cs="Times New Roman"/>
        </w:rPr>
      </w:pPr>
    </w:p>
    <w:p w14:paraId="18B420F3" w14:textId="77777777" w:rsidR="007C1411" w:rsidRPr="00A810E4" w:rsidRDefault="007C1411" w:rsidP="00A810E4">
      <w:pPr>
        <w:rPr>
          <w:rFonts w:ascii="Times New Roman" w:hAnsi="Times New Roman" w:cs="Times New Roman"/>
        </w:rPr>
      </w:pPr>
    </w:p>
    <w:p w14:paraId="12408EF2" w14:textId="7891A08E" w:rsidR="00A810E4" w:rsidRPr="00F94B7E" w:rsidRDefault="750671CE" w:rsidP="00F94B7E">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liability standard for unintentional torts.</w:t>
      </w:r>
      <w:r w:rsidRPr="00F94B7E">
        <w:rPr>
          <w:rFonts w:ascii="Times New Roman" w:eastAsia="Times New Roman" w:hAnsi="Times New Roman" w:cs="Times New Roman"/>
        </w:rPr>
        <w:t xml:space="preserve">  How many different positions on the liability threshold in unintentional torts are articulated by the lawyers and the judges </w:t>
      </w:r>
      <w:r w:rsidRPr="00F94B7E">
        <w:rPr>
          <w:rFonts w:ascii="Times New Roman" w:eastAsia="Times New Roman" w:hAnsi="Times New Roman" w:cs="Times New Roman"/>
        </w:rPr>
        <w:lastRenderedPageBreak/>
        <w:t xml:space="preserve">in </w:t>
      </w:r>
      <w:r w:rsidRPr="00F94B7E">
        <w:rPr>
          <w:rFonts w:ascii="Times New Roman" w:eastAsia="Times New Roman" w:hAnsi="Times New Roman" w:cs="Times New Roman"/>
          <w:i/>
        </w:rPr>
        <w:t>The Case of the Thorns</w:t>
      </w:r>
      <w:r w:rsidRPr="00F94B7E">
        <w:rPr>
          <w:rFonts w:ascii="Times New Roman" w:eastAsia="Times New Roman" w:hAnsi="Times New Roman" w:cs="Times New Roman"/>
        </w:rPr>
        <w:t>?  Are there arguments to be made on behalf of some or all of these views?  Are there still further possible positions the law might adopt?</w:t>
      </w:r>
    </w:p>
    <w:p w14:paraId="51B88466" w14:textId="77777777" w:rsidR="00A810E4" w:rsidRPr="00A810E4" w:rsidRDefault="00A810E4" w:rsidP="00A810E4">
      <w:pPr>
        <w:rPr>
          <w:rFonts w:ascii="Times New Roman" w:hAnsi="Times New Roman" w:cs="Times New Roman"/>
        </w:rPr>
      </w:pPr>
    </w:p>
    <w:p w14:paraId="2EBC1685" w14:textId="05C95296" w:rsidR="00A810E4" w:rsidRPr="00F94B7E" w:rsidRDefault="750671CE" w:rsidP="00F94B7E">
      <w:pPr>
        <w:pStyle w:val="ListParagraph"/>
        <w:numPr>
          <w:ilvl w:val="0"/>
          <w:numId w:val="73"/>
        </w:numPr>
        <w:ind w:left="0" w:firstLine="360"/>
        <w:rPr>
          <w:rFonts w:ascii="Times New Roman" w:eastAsia="Times New Roman" w:hAnsi="Times New Roman" w:cs="Times New Roman"/>
        </w:rPr>
      </w:pPr>
      <w:r w:rsidRPr="00F94B7E">
        <w:rPr>
          <w:rFonts w:ascii="Times New Roman" w:eastAsia="Times New Roman" w:hAnsi="Times New Roman" w:cs="Times New Roman"/>
          <w:i/>
        </w:rPr>
        <w:t>Why so few cases?</w:t>
      </w:r>
      <w:r w:rsidRPr="00F94B7E">
        <w:rPr>
          <w:rFonts w:ascii="Times New Roman" w:eastAsia="Times New Roman" w:hAnsi="Times New Roman" w:cs="Times New Roman"/>
        </w:rPr>
        <w:t xml:space="preserve">  One striking feature of the Thorns case is that it poses the question of what the liability standard ought </w:t>
      </w:r>
      <w:r w:rsidR="006A7125" w:rsidRPr="00F94B7E">
        <w:rPr>
          <w:rFonts w:ascii="Times New Roman" w:eastAsia="Times New Roman" w:hAnsi="Times New Roman" w:cs="Times New Roman"/>
        </w:rPr>
        <w:t>to be for unintentional torts—</w:t>
      </w:r>
      <w:r w:rsidRPr="00F94B7E">
        <w:rPr>
          <w:rFonts w:ascii="Times New Roman" w:eastAsia="Times New Roman" w:hAnsi="Times New Roman" w:cs="Times New Roman"/>
        </w:rPr>
        <w:t xml:space="preserve">but it does so in the context of an intentional tort dispute.  We rely on the case as a way of identifying the liability standard for unintentional torts in the early modern period because torts cases were few and far between prior to the nineteenth century.  Why so few torts cases until then?  Professor Norma Landau suggests one explanation: seventeenth- and eighteenth-century plaintiffs often took advantage of the now-long-abandoned system of private prosecution to initiate criminal processes against those who injured them. </w:t>
      </w:r>
      <w:r w:rsidRPr="00F94B7E">
        <w:rPr>
          <w:rFonts w:ascii="Times New Roman" w:eastAsia="Times New Roman" w:hAnsi="Times New Roman" w:cs="Times New Roman"/>
          <w:i/>
        </w:rPr>
        <w:t xml:space="preserve">See </w:t>
      </w:r>
      <w:r w:rsidRPr="00F94B7E">
        <w:rPr>
          <w:rFonts w:ascii="Times New Roman" w:eastAsia="Times New Roman" w:hAnsi="Times New Roman" w:cs="Times New Roman"/>
        </w:rPr>
        <w:t xml:space="preserve">Norma Landau, </w:t>
      </w:r>
      <w:r w:rsidRPr="00F94B7E">
        <w:rPr>
          <w:rFonts w:ascii="Times New Roman" w:eastAsia="Times New Roman" w:hAnsi="Times New Roman" w:cs="Times New Roman"/>
          <w:i/>
        </w:rPr>
        <w:t>Indictment for Fun and Profit: A Prosecutor</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Reward at Eighteenth-Century Quarter Sessions</w:t>
      </w:r>
      <w:r w:rsidRPr="00F94B7E">
        <w:rPr>
          <w:rFonts w:ascii="Times New Roman" w:eastAsia="Times New Roman" w:hAnsi="Times New Roman" w:cs="Times New Roman"/>
        </w:rPr>
        <w:t xml:space="preserve">, 17 </w:t>
      </w:r>
      <w:r w:rsidRPr="00F94B7E">
        <w:rPr>
          <w:rFonts w:ascii="Times New Roman" w:eastAsia="Times New Roman" w:hAnsi="Times New Roman" w:cs="Times New Roman"/>
          <w:smallCaps/>
        </w:rPr>
        <w:t>Law &amp; Hist. Rev</w:t>
      </w:r>
      <w:r w:rsidRPr="00F94B7E">
        <w:rPr>
          <w:rFonts w:ascii="Times New Roman" w:eastAsia="Times New Roman" w:hAnsi="Times New Roman" w:cs="Times New Roman"/>
        </w:rPr>
        <w:t xml:space="preserve">. 507 (1999). Professor Landau notes that plaintiffs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were not really interested in bringing defendants before [a]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punishment.</w:t>
      </w:r>
      <w:r w:rsidR="00C922AC"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Instead, plaintiffs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were interested . . . in obtaining compensation for the offense.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rPr>
        <w:t>Id.</w:t>
      </w:r>
      <w:r w:rsidRPr="00F94B7E">
        <w:rPr>
          <w:rFonts w:ascii="Times New Roman" w:eastAsia="Times New Roman" w:hAnsi="Times New Roman" w:cs="Times New Roman"/>
        </w:rPr>
        <w:t xml:space="preserve"> at 529.  The threat of criminal punishments must surely have been a very powerful club with which to induce settlement from the accused.  The rise of the modern system of public prosecution in the early nineteenth century, however, eliminated this criminal process option and helped bring about the rise of tort law.</w:t>
      </w:r>
    </w:p>
    <w:p w14:paraId="00B8C184" w14:textId="77777777" w:rsidR="00A810E4" w:rsidRPr="00A810E4" w:rsidRDefault="00A810E4" w:rsidP="00A810E4">
      <w:pPr>
        <w:rPr>
          <w:rFonts w:ascii="Times New Roman" w:hAnsi="Times New Roman" w:cs="Times New Roman"/>
        </w:rPr>
      </w:pPr>
    </w:p>
    <w:p w14:paraId="4AE48639" w14:textId="77777777" w:rsidR="00A810E4" w:rsidRPr="00A810E4" w:rsidRDefault="00A810E4" w:rsidP="00A810E4">
      <w:pPr>
        <w:rPr>
          <w:rFonts w:ascii="Times New Roman" w:hAnsi="Times New Roman" w:cs="Times New Roman"/>
        </w:rPr>
      </w:pPr>
    </w:p>
    <w:p w14:paraId="1B14F947" w14:textId="0C761D6C" w:rsidR="00A810E4" w:rsidRPr="00F94B7E" w:rsidRDefault="750671CE" w:rsidP="00F94B7E">
      <w:pPr>
        <w:pStyle w:val="ListParagraph"/>
        <w:numPr>
          <w:ilvl w:val="0"/>
          <w:numId w:val="73"/>
        </w:numPr>
        <w:ind w:left="0" w:firstLine="360"/>
        <w:rPr>
          <w:rFonts w:ascii="Times New Roman" w:hAnsi="Times New Roman" w:cs="Times New Roman"/>
        </w:rPr>
      </w:pPr>
      <w:r w:rsidRPr="00F94B7E">
        <w:rPr>
          <w:rFonts w:ascii="Times New Roman" w:eastAsia="Times New Roman" w:hAnsi="Times New Roman" w:cs="Times New Roman"/>
        </w:rPr>
        <w:t>Over a hundred years later, the English Court of Common Pleas weighed in with another ruling on the question of what sorts of unintentional injuries created a legal obligation of compensation, this time when an injury arose out of a soldiers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skirmish in London.</w:t>
      </w:r>
    </w:p>
    <w:p w14:paraId="0EABD0B1" w14:textId="77777777" w:rsidR="00A810E4" w:rsidRPr="00A810E4" w:rsidRDefault="00A810E4" w:rsidP="00A810E4">
      <w:pPr>
        <w:rPr>
          <w:rFonts w:ascii="Times New Roman" w:hAnsi="Times New Roman" w:cs="Times New Roman"/>
        </w:rPr>
      </w:pPr>
    </w:p>
    <w:p w14:paraId="7071DD1B" w14:textId="77777777" w:rsidR="00A810E4" w:rsidRPr="00A810E4" w:rsidRDefault="00A810E4" w:rsidP="00A810E4">
      <w:pPr>
        <w:rPr>
          <w:rFonts w:ascii="Times New Roman" w:hAnsi="Times New Roman" w:cs="Times New Roman"/>
        </w:rPr>
      </w:pPr>
    </w:p>
    <w:p w14:paraId="5B3C4799" w14:textId="7B8CEC05" w:rsidR="00A810E4" w:rsidRPr="00A810E4" w:rsidRDefault="00A810E4" w:rsidP="750671CE">
      <w:pPr>
        <w:rPr>
          <w:rFonts w:ascii="Times New Roman" w:eastAsia="Times New Roman" w:hAnsi="Times New Roman" w:cs="Times New Roman"/>
        </w:rPr>
      </w:pPr>
      <w:bookmarkStart w:id="146" w:name="_Toc518323235"/>
      <w:r w:rsidRPr="00441E5D">
        <w:rPr>
          <w:rStyle w:val="Heading3Char"/>
          <w:i/>
        </w:rPr>
        <w:t>Weaver v. Ward</w:t>
      </w:r>
      <w:bookmarkEnd w:id="146"/>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80 Eng. Rep. 284 (C.P. 1616)</w:t>
      </w:r>
    </w:p>
    <w:p w14:paraId="32939CEA" w14:textId="77777777" w:rsidR="00A810E4" w:rsidRPr="00A810E4" w:rsidRDefault="00A810E4" w:rsidP="00A810E4">
      <w:pPr>
        <w:rPr>
          <w:rFonts w:ascii="Times New Roman" w:hAnsi="Times New Roman" w:cs="Times New Roman"/>
        </w:rPr>
      </w:pPr>
    </w:p>
    <w:p w14:paraId="63F778CC" w14:textId="2A53692A"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Weaver brought an action of trespass of assault and battery against Ward.  The defendant pleaded, that he was amongst others by the commandment of the Lords of the Council a trained soldier in London, of the band of one Andrews captain; and so was the plaintiff, and that they were skirmishing with their musquets charged with powder for their exercise </w:t>
      </w:r>
      <w:r w:rsidRPr="009804BC">
        <w:rPr>
          <w:rFonts w:ascii="Times New Roman" w:eastAsia="Times New Roman" w:hAnsi="Times New Roman" w:cs="Times New Roman"/>
          <w:i/>
        </w:rPr>
        <w:t>in re militari</w:t>
      </w:r>
      <w:r w:rsidRPr="750671CE">
        <w:rPr>
          <w:rFonts w:ascii="Times New Roman" w:eastAsia="Times New Roman" w:hAnsi="Times New Roman" w:cs="Times New Roman"/>
        </w:rPr>
        <w:t xml:space="preserve">, against another captain and his band; and as they were so skirmishing, the defendant </w:t>
      </w:r>
      <w:r w:rsidRPr="00C922AC">
        <w:rPr>
          <w:rFonts w:ascii="Times New Roman" w:eastAsia="Times New Roman" w:hAnsi="Times New Roman" w:cs="Times New Roman"/>
          <w:i/>
        </w:rPr>
        <w:t xml:space="preserve">casualiter &amp; per infortunium &amp; contra voluntatem  suam </w:t>
      </w:r>
      <w:r w:rsidRPr="750671CE">
        <w:rPr>
          <w:rFonts w:ascii="Times New Roman" w:eastAsia="Times New Roman" w:hAnsi="Times New Roman" w:cs="Times New Roman"/>
        </w:rPr>
        <w:t xml:space="preserve">[accidentally and by misfortune and against his will], in discharging of his piece did hurt and wound the plaintiff . . . .   </w:t>
      </w:r>
    </w:p>
    <w:p w14:paraId="27E2285E" w14:textId="77777777" w:rsidR="00A810E4" w:rsidRPr="00A810E4" w:rsidRDefault="00A810E4" w:rsidP="00A810E4">
      <w:pPr>
        <w:rPr>
          <w:rFonts w:ascii="Times New Roman" w:hAnsi="Times New Roman" w:cs="Times New Roman"/>
        </w:rPr>
      </w:pPr>
    </w:p>
    <w:p w14:paraId="2A335419" w14:textId="75BA6282"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And upon demurrer by the plaintiff, judgment was given for him; for though it were agreed, that if men tilt or tourney in the presence of the King, or if two masters of defence [i.e., prize-fighters] playing [for] their prizes kill one another, </w:t>
      </w:r>
      <w:r w:rsidR="009804BC">
        <w:rPr>
          <w:rFonts w:ascii="Times New Roman" w:eastAsia="Times New Roman" w:hAnsi="Times New Roman" w:cs="Times New Roman"/>
        </w:rPr>
        <w:t>that this shall be no felony—</w:t>
      </w:r>
      <w:r w:rsidRPr="750671CE">
        <w:rPr>
          <w:rFonts w:ascii="Times New Roman" w:eastAsia="Times New Roman" w:hAnsi="Times New Roman" w:cs="Times New Roman"/>
        </w:rPr>
        <w:t>or</w:t>
      </w:r>
      <w:r w:rsidR="009804BC">
        <w:rPr>
          <w:rFonts w:ascii="Times New Roman" w:eastAsia="Times New Roman" w:hAnsi="Times New Roman" w:cs="Times New Roman"/>
        </w:rPr>
        <w:t xml:space="preserve"> </w:t>
      </w:r>
      <w:r w:rsidRPr="750671CE">
        <w:rPr>
          <w:rFonts w:ascii="Times New Roman" w:eastAsia="Times New Roman" w:hAnsi="Times New Roman" w:cs="Times New Roman"/>
        </w:rPr>
        <w:t>if a luna</w:t>
      </w:r>
      <w:r w:rsidR="009804BC">
        <w:rPr>
          <w:rFonts w:ascii="Times New Roman" w:eastAsia="Times New Roman" w:hAnsi="Times New Roman" w:cs="Times New Roman"/>
        </w:rPr>
        <w:t>tick kill a man, or the like—</w:t>
      </w:r>
      <w:r w:rsidRPr="750671CE">
        <w:rPr>
          <w:rFonts w:ascii="Times New Roman" w:eastAsia="Times New Roman" w:hAnsi="Times New Roman" w:cs="Times New Roman"/>
        </w:rPr>
        <w:t>because</w:t>
      </w:r>
      <w:r w:rsidR="009804BC">
        <w:rPr>
          <w:rFonts w:ascii="Times New Roman" w:eastAsia="Times New Roman" w:hAnsi="Times New Roman" w:cs="Times New Roman"/>
        </w:rPr>
        <w:t xml:space="preserve"> </w:t>
      </w:r>
      <w:r w:rsidRPr="750671CE">
        <w:rPr>
          <w:rFonts w:ascii="Times New Roman" w:eastAsia="Times New Roman" w:hAnsi="Times New Roman" w:cs="Times New Roman"/>
        </w:rPr>
        <w:t xml:space="preserve">felony must be done </w:t>
      </w:r>
      <w:r w:rsidRPr="009804BC">
        <w:rPr>
          <w:rFonts w:ascii="Times New Roman" w:eastAsia="Times New Roman" w:hAnsi="Times New Roman" w:cs="Times New Roman"/>
          <w:i/>
        </w:rPr>
        <w:t>animo felonico</w:t>
      </w:r>
      <w:r w:rsidRPr="750671CE">
        <w:rPr>
          <w:rFonts w:ascii="Times New Roman" w:eastAsia="Times New Roman" w:hAnsi="Times New Roman" w:cs="Times New Roman"/>
        </w:rPr>
        <w:t>; yet in trespass, which tends only to give damages according to hurt or loss, it is not so.  And therefore if a lunatick hurt a man, he shall be answerable in trespass.  And therefore no man shall be excused of a trespass (for this is the nature of an excuse, and not of a justification . . .) except it may be judged utterly without his fault.</w:t>
      </w:r>
    </w:p>
    <w:p w14:paraId="0E2E1488" w14:textId="77777777" w:rsidR="00A810E4" w:rsidRPr="00A810E4" w:rsidRDefault="00A810E4" w:rsidP="00A810E4">
      <w:pPr>
        <w:rPr>
          <w:rFonts w:ascii="Times New Roman" w:hAnsi="Times New Roman" w:cs="Times New Roman"/>
        </w:rPr>
      </w:pPr>
    </w:p>
    <w:p w14:paraId="18D669E5"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A810E4" w:rsidRDefault="00A810E4">
      <w:pPr>
        <w:rPr>
          <w:rFonts w:ascii="Times New Roman" w:hAnsi="Times New Roman" w:cs="Times New Roman"/>
        </w:rPr>
      </w:pPr>
    </w:p>
    <w:p w14:paraId="18CD1581" w14:textId="77777777" w:rsidR="00A810E4" w:rsidRPr="00A810E4" w:rsidRDefault="00A810E4">
      <w:pPr>
        <w:rPr>
          <w:rFonts w:ascii="Times New Roman" w:hAnsi="Times New Roman" w:cs="Times New Roman"/>
        </w:rPr>
      </w:pPr>
    </w:p>
    <w:p w14:paraId="0EBEA60C" w14:textId="77777777" w:rsidR="00A810E4" w:rsidRPr="00A810E4" w:rsidRDefault="00A810E4" w:rsidP="002502CC">
      <w:pPr>
        <w:pStyle w:val="Heading4"/>
      </w:pPr>
      <w:bookmarkStart w:id="147" w:name="_Toc364636071"/>
      <w:bookmarkStart w:id="148" w:name="_Toc518323236"/>
      <w:r w:rsidRPr="00A810E4">
        <w:t>Notes</w:t>
      </w:r>
      <w:bookmarkEnd w:id="147"/>
      <w:bookmarkEnd w:id="148"/>
    </w:p>
    <w:p w14:paraId="42F4C5F8" w14:textId="77777777" w:rsidR="00A810E4" w:rsidRDefault="00A810E4" w:rsidP="006F1186">
      <w:pPr>
        <w:rPr>
          <w:rFonts w:ascii="Times New Roman" w:hAnsi="Times New Roman" w:cs="Times New Roman"/>
        </w:rPr>
      </w:pPr>
      <w:r w:rsidRPr="00A810E4">
        <w:rPr>
          <w:rFonts w:ascii="Times New Roman" w:hAnsi="Times New Roman" w:cs="Times New Roman"/>
        </w:rPr>
        <w:tab/>
      </w:r>
    </w:p>
    <w:p w14:paraId="29EFBE3C" w14:textId="77777777" w:rsidR="006F1186" w:rsidRPr="00A810E4" w:rsidRDefault="006F1186" w:rsidP="006F1186">
      <w:pPr>
        <w:rPr>
          <w:rFonts w:ascii="Times New Roman" w:hAnsi="Times New Roman" w:cs="Times New Roman"/>
        </w:rPr>
      </w:pPr>
    </w:p>
    <w:p w14:paraId="435B89FE" w14:textId="5CF63B2F" w:rsidR="00A810E4" w:rsidRPr="00F94B7E" w:rsidRDefault="750671CE" w:rsidP="00F94B7E">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Ward</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defense</w:t>
      </w:r>
      <w:r w:rsidRPr="00F94B7E">
        <w:rPr>
          <w:rFonts w:ascii="Times New Roman" w:eastAsia="Times New Roman" w:hAnsi="Times New Roman" w:cs="Times New Roman"/>
        </w:rPr>
        <w:t>.  What is Ward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and why is it insufficient as a plea in defense against Weaver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trespass action?</w:t>
      </w:r>
    </w:p>
    <w:p w14:paraId="29C9B961" w14:textId="77777777" w:rsidR="00A810E4" w:rsidRPr="00A810E4" w:rsidRDefault="00A810E4" w:rsidP="00A810E4">
      <w:pPr>
        <w:rPr>
          <w:rFonts w:ascii="Times New Roman" w:hAnsi="Times New Roman" w:cs="Times New Roman"/>
        </w:rPr>
      </w:pPr>
    </w:p>
    <w:p w14:paraId="3AD98B7D" w14:textId="77777777" w:rsidR="00A810E4" w:rsidRPr="00A810E4" w:rsidRDefault="00A810E4" w:rsidP="00A810E4">
      <w:pPr>
        <w:rPr>
          <w:rFonts w:ascii="Times New Roman" w:hAnsi="Times New Roman" w:cs="Times New Roman"/>
        </w:rPr>
      </w:pPr>
    </w:p>
    <w:p w14:paraId="46C91EAA" w14:textId="6D496C7D" w:rsidR="00A810E4" w:rsidRPr="00F94B7E" w:rsidRDefault="750671CE" w:rsidP="00F94B7E">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Stories that worked, stories that didn</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t.</w:t>
      </w:r>
      <w:r w:rsidRPr="00F94B7E">
        <w:rPr>
          <w:rFonts w:ascii="Times New Roman" w:eastAsia="Times New Roman" w:hAnsi="Times New Roman" w:cs="Times New Roman"/>
        </w:rPr>
        <w:t xml:space="preserve"> The court gives examples of stories the defendant could have offered that would have satisfied its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utterly without fault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standard.  It also offers the story of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lunatick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illustrate an injury for which a defendant will be held answerable in trespass.  And it offers at least a couple of ways of articulating the principle explaining which stories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meaning which stories make up a case for the plaintiff at the pleading stage, and which stories do not.  Can we develop a sense of the landscape of early modern common law liability for unintentional harms, at least in trespass cases, from the report of </w:t>
      </w:r>
      <w:r w:rsidRPr="00F94B7E">
        <w:rPr>
          <w:rFonts w:ascii="Times New Roman" w:eastAsia="Times New Roman" w:hAnsi="Times New Roman" w:cs="Times New Roman"/>
          <w:i/>
        </w:rPr>
        <w:t>Weaver v. Ward</w:t>
      </w:r>
      <w:r w:rsidRPr="00F94B7E">
        <w:rPr>
          <w:rFonts w:ascii="Times New Roman" w:eastAsia="Times New Roman" w:hAnsi="Times New Roman" w:cs="Times New Roman"/>
        </w:rPr>
        <w:t>?</w:t>
      </w:r>
    </w:p>
    <w:p w14:paraId="2CAA3AF2" w14:textId="77777777" w:rsidR="00A810E4" w:rsidRPr="00A810E4" w:rsidRDefault="00A810E4" w:rsidP="00A810E4">
      <w:pPr>
        <w:rPr>
          <w:rFonts w:ascii="Times New Roman" w:hAnsi="Times New Roman" w:cs="Times New Roman"/>
        </w:rPr>
      </w:pPr>
    </w:p>
    <w:p w14:paraId="19A431EE" w14:textId="77777777" w:rsidR="00A810E4" w:rsidRPr="00A810E4" w:rsidRDefault="00A810E4" w:rsidP="00A810E4">
      <w:pPr>
        <w:rPr>
          <w:rFonts w:ascii="Times New Roman" w:hAnsi="Times New Roman" w:cs="Times New Roman"/>
        </w:rPr>
      </w:pPr>
    </w:p>
    <w:p w14:paraId="4B1C2D09" w14:textId="34D3DF43" w:rsidR="00A810E4" w:rsidRPr="00F94B7E" w:rsidRDefault="750671CE" w:rsidP="00F94B7E">
      <w:pPr>
        <w:pStyle w:val="ListParagraph"/>
        <w:numPr>
          <w:ilvl w:val="0"/>
          <w:numId w:val="75"/>
        </w:numPr>
        <w:ind w:left="0" w:firstLine="360"/>
        <w:rPr>
          <w:rFonts w:ascii="Times New Roman" w:eastAsia="Times New Roman" w:hAnsi="Times New Roman" w:cs="Times New Roman"/>
        </w:rPr>
      </w:pPr>
      <w:r w:rsidRPr="00F94B7E">
        <w:rPr>
          <w:rFonts w:ascii="Times New Roman" w:eastAsia="Times New Roman" w:hAnsi="Times New Roman" w:cs="Times New Roman"/>
          <w:i/>
        </w:rPr>
        <w:t>Attenuated causation?</w:t>
      </w:r>
      <w:r w:rsidRPr="00F94B7E">
        <w:rPr>
          <w:rFonts w:ascii="Times New Roman" w:eastAsia="Times New Roman" w:hAnsi="Times New Roman" w:cs="Times New Roman"/>
        </w:rPr>
        <w:t xml:space="preserve">  One question that the Weaver case does not explicitly address is what might have happened had the causal connection between plaintiff Weaver and defendant Ward been considerably more attenuated?  In the actual event, as the court at the time understood, the plaintiff had been the man nearest in the ranks to the defendant.   But what if Weaver had been on the far side of the soldiers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infantry square as they skirmished? Or what if Weaver was injured by a panic and stampede among the skirmishers after Ward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musket went off unexpectedly?  Recall from the introduction to this section that the writ of trespass was associated with relatively direct injuries, whereas the writ of trespass on the case was associated with indirect injuries like the trampling incident we have hypothesized here.</w:t>
      </w:r>
    </w:p>
    <w:p w14:paraId="12F8873E" w14:textId="77777777" w:rsidR="00A810E4" w:rsidRPr="00A810E4" w:rsidRDefault="00A810E4" w:rsidP="00A810E4">
      <w:pPr>
        <w:rPr>
          <w:rFonts w:ascii="Times New Roman" w:hAnsi="Times New Roman" w:cs="Times New Roman"/>
        </w:rPr>
      </w:pPr>
    </w:p>
    <w:p w14:paraId="63690840" w14:textId="4F616AFA"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Judge Fortescue of the King</w:t>
      </w:r>
      <w:r w:rsidR="00B05F31">
        <w:rPr>
          <w:rFonts w:ascii="Times New Roman" w:eastAsia="Times New Roman" w:hAnsi="Times New Roman" w:cs="Times New Roman"/>
        </w:rPr>
        <w:t>’</w:t>
      </w:r>
      <w:r w:rsidRPr="750671CE">
        <w:rPr>
          <w:rFonts w:ascii="Times New Roman" w:eastAsia="Times New Roman" w:hAnsi="Times New Roman" w:cs="Times New Roman"/>
        </w:rPr>
        <w:t>s Bench gave the classic statement of the distinction between trespass and case in 1726:</w:t>
      </w:r>
    </w:p>
    <w:p w14:paraId="4F6E57F7" w14:textId="77777777" w:rsidR="00A810E4" w:rsidRPr="00A810E4" w:rsidRDefault="00A810E4" w:rsidP="00A810E4">
      <w:pPr>
        <w:rPr>
          <w:rFonts w:ascii="Times New Roman" w:hAnsi="Times New Roman" w:cs="Times New Roman"/>
        </w:rPr>
      </w:pPr>
    </w:p>
    <w:p w14:paraId="57317AF7" w14:textId="77777777" w:rsidR="00A810E4" w:rsidRPr="00A810E4" w:rsidRDefault="750671CE" w:rsidP="009804BC">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armis] I could have no action at all.</w:t>
      </w:r>
    </w:p>
    <w:p w14:paraId="20474693" w14:textId="77777777" w:rsidR="00A810E4" w:rsidRPr="00A810E4" w:rsidRDefault="00A810E4" w:rsidP="00A810E4">
      <w:pPr>
        <w:rPr>
          <w:rFonts w:ascii="Times New Roman" w:hAnsi="Times New Roman" w:cs="Times New Roman"/>
        </w:rPr>
      </w:pPr>
    </w:p>
    <w:p w14:paraId="696B3E01" w14:textId="77777777" w:rsidR="00A810E4" w:rsidRPr="00A810E4" w:rsidRDefault="750671CE" w:rsidP="750671CE">
      <w:pPr>
        <w:rPr>
          <w:rFonts w:ascii="Times New Roman" w:eastAsia="Times New Roman" w:hAnsi="Times New Roman" w:cs="Times New Roman"/>
        </w:rPr>
      </w:pPr>
      <w:r w:rsidRPr="00F94B7E">
        <w:rPr>
          <w:rFonts w:ascii="Times New Roman" w:eastAsia="Times New Roman" w:hAnsi="Times New Roman" w:cs="Times New Roman"/>
          <w:i/>
        </w:rPr>
        <w:t>Reynolds v. Clarke</w:t>
      </w:r>
      <w:r w:rsidRPr="750671CE">
        <w:rPr>
          <w:rFonts w:ascii="Times New Roman" w:eastAsia="Times New Roman" w:hAnsi="Times New Roman" w:cs="Times New Roman"/>
        </w:rPr>
        <w:t xml:space="preserve">, 92 Eng. Rep. 410 (K.B. 1726).  The neat distinction offered by Fortescue, however, soon gave way to great difficulty.  The next case gives us a sense of </w:t>
      </w:r>
      <w:r w:rsidRPr="750671CE">
        <w:rPr>
          <w:rFonts w:ascii="Times New Roman" w:eastAsia="Times New Roman" w:hAnsi="Times New Roman" w:cs="Times New Roman"/>
        </w:rPr>
        <w:lastRenderedPageBreak/>
        <w:t xml:space="preserve">how the early modern common law tried to resolve the problem of indirect injuries.  The underlying problem of indirect injuries is especially important because it raises general considerations that are with us still today.     </w:t>
      </w:r>
    </w:p>
    <w:p w14:paraId="5236ACF0" w14:textId="77777777" w:rsidR="00A810E4" w:rsidRPr="00A810E4" w:rsidRDefault="00A810E4" w:rsidP="00A810E4">
      <w:pPr>
        <w:rPr>
          <w:rFonts w:ascii="Times New Roman" w:hAnsi="Times New Roman" w:cs="Times New Roman"/>
        </w:rPr>
      </w:pPr>
    </w:p>
    <w:p w14:paraId="169567B4" w14:textId="77777777" w:rsidR="00A810E4" w:rsidRPr="00A810E4" w:rsidRDefault="00A810E4" w:rsidP="00A810E4">
      <w:pPr>
        <w:rPr>
          <w:rFonts w:ascii="Times New Roman" w:hAnsi="Times New Roman" w:cs="Times New Roman"/>
        </w:rPr>
      </w:pPr>
    </w:p>
    <w:p w14:paraId="7CB8292C" w14:textId="77777777" w:rsidR="00A810E4" w:rsidRPr="00A810E4" w:rsidRDefault="00A810E4" w:rsidP="750671CE">
      <w:pPr>
        <w:rPr>
          <w:rFonts w:ascii="Times New Roman" w:eastAsia="Times New Roman" w:hAnsi="Times New Roman" w:cs="Times New Roman"/>
        </w:rPr>
      </w:pPr>
      <w:bookmarkStart w:id="149" w:name="_Toc518323237"/>
      <w:r w:rsidRPr="00441E5D">
        <w:rPr>
          <w:rStyle w:val="Heading3Char"/>
          <w:i/>
        </w:rPr>
        <w:t>Scott v. Shepherd</w:t>
      </w:r>
      <w:bookmarkEnd w:id="149"/>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96 Eng. Rep. 525 (K.B., 1773)</w:t>
      </w:r>
    </w:p>
    <w:p w14:paraId="40107372" w14:textId="77777777" w:rsidR="00A810E4" w:rsidRPr="00A810E4" w:rsidRDefault="00A810E4" w:rsidP="00A810E4">
      <w:pPr>
        <w:rPr>
          <w:rFonts w:ascii="Times New Roman" w:hAnsi="Times New Roman" w:cs="Times New Roman"/>
        </w:rPr>
      </w:pPr>
    </w:p>
    <w:p w14:paraId="5229BCFF" w14:textId="77777777"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Trespass and assault for throwing, casting, and tossing a lighted squib at and against the plaintiff, and striking him therewith on the face, and so burning one of his eyes, that he lost the sight of it . . . .</w:t>
      </w:r>
    </w:p>
    <w:p w14:paraId="264461A6" w14:textId="77777777" w:rsidR="00A810E4" w:rsidRPr="00A810E4" w:rsidRDefault="00A810E4" w:rsidP="00A810E4">
      <w:pPr>
        <w:rPr>
          <w:rFonts w:ascii="Times New Roman" w:hAnsi="Times New Roman" w:cs="Times New Roman"/>
        </w:rPr>
      </w:pPr>
    </w:p>
    <w:p w14:paraId="2862DD12" w14:textId="3F28DDE3"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[T]he cause came on  to  be  tried  before Nares,  J., last  Summer Assizes, at Bridgwater, when the jury found a verdict for the plaintiff with £100 damages, subject to the opinion of the Court on this case: On the evening of the fair-day at Milborne Port,   28th October, 1770, the  defendant   threw a  lighted  squib, made of gun-powder </w:t>
      </w:r>
      <w:r w:rsidR="0026352C">
        <w:rPr>
          <w:rFonts w:ascii="Times New Roman" w:eastAsia="Times New Roman" w:hAnsi="Times New Roman" w:cs="Times New Roman"/>
        </w:rPr>
        <w:t xml:space="preserve">. . . </w:t>
      </w:r>
      <w:r w:rsidRPr="750671CE">
        <w:rPr>
          <w:rFonts w:ascii="Times New Roman" w:eastAsia="Times New Roman" w:hAnsi="Times New Roman" w:cs="Times New Roman"/>
        </w:rPr>
        <w:t>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sidRPr="750671CE">
        <w:rPr>
          <w:rFonts w:ascii="Times New Roman" w:eastAsia="Times New Roman" w:hAnsi="Times New Roman" w:cs="Times New Roman"/>
        </w:rPr>
        <w:t xml:space="preserve"> matter then bursting, put out </w:t>
      </w:r>
      <w:r w:rsidRPr="750671CE">
        <w:rPr>
          <w:rFonts w:ascii="Times New Roman" w:eastAsia="Times New Roman" w:hAnsi="Times New Roman" w:cs="Times New Roman"/>
        </w:rPr>
        <w:t>one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eyes. . . .</w:t>
      </w:r>
    </w:p>
    <w:p w14:paraId="73C7C51E" w14:textId="77777777" w:rsidR="00A810E4" w:rsidRPr="00A810E4" w:rsidRDefault="00A810E4" w:rsidP="00A810E4">
      <w:pPr>
        <w:rPr>
          <w:rFonts w:ascii="Times New Roman" w:hAnsi="Times New Roman" w:cs="Times New Roman"/>
        </w:rPr>
      </w:pPr>
    </w:p>
    <w:p w14:paraId="51E1F7F9" w14:textId="3CFE74AD"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N</w:t>
      </w:r>
      <w:r w:rsidR="00206CBF" w:rsidRPr="00F94B7E">
        <w:rPr>
          <w:rFonts w:ascii="Times New Roman" w:eastAsia="Times New Roman" w:hAnsi="Times New Roman" w:cs="Times New Roman"/>
          <w:smallCaps/>
        </w:rPr>
        <w:t>ares</w:t>
      </w:r>
      <w:r w:rsidR="00206CBF">
        <w:rPr>
          <w:rFonts w:ascii="Times New Roman" w:eastAsia="Times New Roman" w:hAnsi="Times New Roman" w:cs="Times New Roman"/>
        </w:rPr>
        <w:t>,</w:t>
      </w:r>
      <w:r w:rsidRPr="750671CE">
        <w:rPr>
          <w:rFonts w:ascii="Times New Roman" w:eastAsia="Times New Roman" w:hAnsi="Times New Roman" w:cs="Times New Roman"/>
        </w:rPr>
        <w:t xml:space="preserve"> J., was of opinion, that trespass would well lie in the present case.  That the natural and probable consequence of the act done by the defendant was injury to somebody, and therefore the act was illegal at common law.  And the throwing of squibs has by statute . . . been since made a nuisance.  Being therefore unlawful, the defendant was liable to answer for the consequences, be the injury mediate or immediate. . . .  The principle I go upon is . . . that if the act in the first instance be unlawful, trespass will lie. Wherever therefore an act is unlawful at first, trespass will lie for the consequences of it.  So, in . . . . [</w:t>
      </w:r>
      <w:r w:rsidRPr="750671CE">
        <w:rPr>
          <w:rFonts w:ascii="Times New Roman" w:eastAsia="Times New Roman" w:hAnsi="Times New Roman" w:cs="Times New Roman"/>
          <w:i/>
          <w:iCs/>
        </w:rPr>
        <w:t>The Case of the Thorns</w:t>
      </w:r>
      <w:r w:rsidRPr="750671CE">
        <w:rPr>
          <w:rFonts w:ascii="Times New Roman" w:eastAsia="Times New Roman" w:hAnsi="Times New Roman" w:cs="Times New Roman"/>
        </w:rPr>
        <w:t>,] for going upon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to take the boughs off which had fallen thereon in lopping. . . .  I do not think it necessary, to maintain trespass, that the defendant should personally touch the plaintiff. . . .  He is the person, who, in the present case, gave the mischievous faculty to the squib.  That mischievous faculty remained in it till the explosion. . . . The intermediate acts of Willis and Ryal will not purge the original tort in the defendant.  But he who does the first wrong is answerable for all the consequential damages. . . .</w:t>
      </w:r>
    </w:p>
    <w:p w14:paraId="64F2F0D5" w14:textId="77777777" w:rsidR="00A810E4" w:rsidRPr="00A810E4" w:rsidRDefault="00A810E4" w:rsidP="00A810E4">
      <w:pPr>
        <w:rPr>
          <w:rFonts w:ascii="Times New Roman" w:hAnsi="Times New Roman" w:cs="Times New Roman"/>
        </w:rPr>
      </w:pPr>
    </w:p>
    <w:p w14:paraId="570E125D" w14:textId="66B55622"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B</w:t>
      </w:r>
      <w:r w:rsidR="00206CBF" w:rsidRPr="00F94B7E">
        <w:rPr>
          <w:rFonts w:ascii="Times New Roman" w:eastAsia="Times New Roman" w:hAnsi="Times New Roman" w:cs="Times New Roman"/>
          <w:smallCaps/>
        </w:rPr>
        <w:t>lackstone</w:t>
      </w:r>
      <w:r w:rsidRPr="750671CE">
        <w:rPr>
          <w:rFonts w:ascii="Times New Roman" w:eastAsia="Times New Roman" w:hAnsi="Times New Roman" w:cs="Times New Roman"/>
        </w:rPr>
        <w:t xml:space="preserve">, J., was of opinion that an action of trespass did not lie for Scott against Shepherd upon this case.  He took the settled distinction to be, that where the injury is immediate, an action of trespass will lie; where it is only consequential, it must </w:t>
      </w:r>
      <w:r w:rsidRPr="750671CE">
        <w:rPr>
          <w:rFonts w:ascii="Times New Roman" w:eastAsia="Times New Roman" w:hAnsi="Times New Roman" w:cs="Times New Roman"/>
        </w:rPr>
        <w:lastRenderedPageBreak/>
        <w:t xml:space="preserve">be an action on the case </w:t>
      </w:r>
      <w:r w:rsidR="00206CBF">
        <w:rPr>
          <w:rFonts w:ascii="Times New Roman" w:eastAsia="Times New Roman" w:hAnsi="Times New Roman" w:cs="Times New Roman"/>
        </w:rPr>
        <w:t>. . .</w:t>
      </w:r>
      <w:r w:rsidR="00E17192">
        <w:rPr>
          <w:rFonts w:ascii="Times New Roman" w:eastAsia="Times New Roman" w:hAnsi="Times New Roman" w:cs="Times New Roman"/>
        </w:rPr>
        <w:t xml:space="preserve"> </w:t>
      </w:r>
      <w:r w:rsidRPr="750671CE">
        <w:rPr>
          <w:rFonts w:ascii="Times New Roman" w:eastAsia="Times New Roman" w:hAnsi="Times New Roman" w:cs="Times New Roman"/>
        </w:rPr>
        <w:t>.  The lawfulness or unlawfulness of the original act is not the criterion. . . .  [T]his cannot be the general rule; for it is held by the Court . . . that if I throw a log of timber into the highway, (which is an unlawful  act), and  another man tumbles over it, and is hurt, an action on the case only lies, it  being a consequential damage; but if in throwing it I hit another man, he may bring trespass, because it is an immediate wrong.</w:t>
      </w:r>
      <w:r w:rsidR="00E17192">
        <w:rPr>
          <w:rFonts w:ascii="Times New Roman" w:eastAsia="Times New Roman" w:hAnsi="Times New Roman" w:cs="Times New Roman"/>
        </w:rPr>
        <w:t xml:space="preserve"> </w:t>
      </w:r>
      <w:r w:rsidRPr="750671CE">
        <w:rPr>
          <w:rFonts w:ascii="Times New Roman" w:eastAsia="Times New Roman" w:hAnsi="Times New Roman" w:cs="Times New Roman"/>
        </w:rPr>
        <w:t xml:space="preserve"> Trespass may sometimes lie for the consequences of a lawful act.  If in lopping my own trees a bough accidentally falls on my neighbour</w:t>
      </w:r>
      <w:r w:rsidR="00B05F31">
        <w:rPr>
          <w:rFonts w:ascii="Times New Roman" w:eastAsia="Times New Roman" w:hAnsi="Times New Roman" w:cs="Times New Roman"/>
        </w:rPr>
        <w:t>’</w:t>
      </w:r>
      <w:r w:rsidRPr="750671CE">
        <w:rPr>
          <w:rFonts w:ascii="Times New Roman" w:eastAsia="Times New Roman" w:hAnsi="Times New Roman" w:cs="Times New Roman"/>
        </w:rPr>
        <w:t>s ground, and I go thereon to fetch it, trespass lies.  This is the case cited from 6 Edw.  IV, 7 [</w:t>
      </w:r>
      <w:r w:rsidRPr="000C713D">
        <w:rPr>
          <w:rFonts w:ascii="Times New Roman" w:eastAsia="Times New Roman" w:hAnsi="Times New Roman" w:cs="Times New Roman"/>
          <w:i/>
        </w:rPr>
        <w:t>The Case of the Thorns</w:t>
      </w:r>
      <w:r w:rsidRPr="750671CE">
        <w:rPr>
          <w:rFonts w:ascii="Times New Roman" w:eastAsia="Times New Roman" w:hAnsi="Times New Roman" w:cs="Times New Roman"/>
        </w:rPr>
        <w:t>].  But then the entry is of itself an immediate wrong.  And case will sometimes lie for the consequence of an unlawful act. If by false imprisonment I have a special damage, as if I forfeit my recognizance thereby, I shall have an action on the case . . . .</w:t>
      </w:r>
      <w:r w:rsidR="00E17192">
        <w:rPr>
          <w:rFonts w:ascii="Times New Roman" w:eastAsia="Times New Roman" w:hAnsi="Times New Roman" w:cs="Times New Roman"/>
        </w:rPr>
        <w:t xml:space="preserve"> </w:t>
      </w:r>
      <w:r w:rsidRPr="750671CE">
        <w:rPr>
          <w:rFonts w:ascii="Times New Roman" w:eastAsia="Times New Roman" w:hAnsi="Times New Roman" w:cs="Times New Roman"/>
        </w:rPr>
        <w:t xml:space="preserve">yet here the original act was unlawful, and  in  the  nature of  trespass.  So that lawful or unlawful is quite out of the case. </w:t>
      </w:r>
    </w:p>
    <w:p w14:paraId="51E364B5" w14:textId="77777777" w:rsidR="00A810E4" w:rsidRPr="00A810E4" w:rsidRDefault="00A810E4" w:rsidP="00A810E4">
      <w:pPr>
        <w:rPr>
          <w:rFonts w:ascii="Times New Roman" w:hAnsi="Times New Roman" w:cs="Times New Roman"/>
        </w:rPr>
      </w:pPr>
    </w:p>
    <w:p w14:paraId="1B9B5550" w14:textId="3984355B"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solid distinction is between direct or immediate injuries, on the one hand, and   mediate or consequential, on the other.  And trespass never lay for the latter.  If this be so, the only question will be, whether the injury which the plaintiff suffered was immediate, or consequential only; and I hold it to be the latter.  The original act was, as against Yates, a trespass; not as against Ryal, or Scott.  The tortious act was complete when the squib lay at rest upon Yates</w:t>
      </w:r>
      <w:r w:rsidR="00B05F31">
        <w:rPr>
          <w:rFonts w:ascii="Times New Roman" w:eastAsia="Times New Roman" w:hAnsi="Times New Roman" w:cs="Times New Roman"/>
        </w:rPr>
        <w:t>’</w:t>
      </w:r>
      <w:r w:rsidRPr="750671CE">
        <w:rPr>
          <w:rFonts w:ascii="Times New Roman" w:eastAsia="Times New Roman" w:hAnsi="Times New Roman" w:cs="Times New Roman"/>
        </w:rPr>
        <w:t>s stall.  He, or any bystander, had, I allow, a right to protect themselves by removing the squib, but should have taken care to do it in such a manner as not to endamage others.  But Shepherd, I think, is not answerable in an action of trespass and assault for the mischief done by the squib in the new mot</w:t>
      </w:r>
      <w:r w:rsidR="000C713D">
        <w:rPr>
          <w:rFonts w:ascii="Times New Roman" w:eastAsia="Times New Roman" w:hAnsi="Times New Roman" w:cs="Times New Roman"/>
        </w:rPr>
        <w:t xml:space="preserve">ion impressed upon it, and the new direction given </w:t>
      </w:r>
      <w:r w:rsidRPr="750671CE">
        <w:rPr>
          <w:rFonts w:ascii="Times New Roman" w:eastAsia="Times New Roman" w:hAnsi="Times New Roman" w:cs="Times New Roman"/>
        </w:rPr>
        <w:t>it, by either Willis or Ryal; who both were free agents, and acted upon their own judgment.  This differs it from the cases put of turning loose a wild beast or a madman. They are only instruments in the band of the first agent.  Nor is it like diverting the course of an enraged ox, or of a stone thrown, or an arrow glancing against a tree; because there the original motion . . . is continued, though diverted.  Here the instrument of mischief was at rest, till a new impetus and a new direction are given it, not once only, but by two successive rational agents.  But it is said that the act is not complete, nor the squib at rest, till after it is spent or exploded. It certainly has a power of doing fresh mischief, and so has a stone that has been thrown against my windows, and now lies still.  Yet if any person gives that stone a new motion, and does farther mischief with it, trespass will not lie for that against the original thrower.</w:t>
      </w:r>
    </w:p>
    <w:p w14:paraId="3124A492" w14:textId="77777777" w:rsidR="00A810E4" w:rsidRPr="00A810E4" w:rsidRDefault="00A810E4" w:rsidP="00A810E4">
      <w:pPr>
        <w:rPr>
          <w:rFonts w:ascii="Times New Roman" w:hAnsi="Times New Roman" w:cs="Times New Roman"/>
        </w:rPr>
      </w:pPr>
    </w:p>
    <w:p w14:paraId="65CA4BF4" w14:textId="333D85C3"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 doubt but Yates may maintain trespass against Shepherd.  And, according to the doctrine contended for, so may Ryal and Scott.  Three actions for one single act! Nay, it may be extended in infinitum. If a man tosses a football into the street, and, after being kicked about by one hundred people, it at last breaks a tradesman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windows; shall he have trespass against the man who first produced it?  Surely only against the man who gave it that mischievous direction.  But it is said, if Scott has no action against Shepherd, against whom must he seek his remedy?  I give no opinion whether case would lie against Shepherd for the consequential damage, though, as at present advised, I think . . . it would.     But I think, in strictness of law, trespass would lie against Ryal, the immediate actor in this unhappy business.  Both he and Willis have exceeded the bounds of self-defence, and not used sufficient circumspection in removing the danger from themselves.  The </w:t>
      </w:r>
      <w:r w:rsidRPr="750671CE">
        <w:rPr>
          <w:rFonts w:ascii="Times New Roman" w:eastAsia="Times New Roman" w:hAnsi="Times New Roman" w:cs="Times New Roman"/>
        </w:rPr>
        <w:lastRenderedPageBreak/>
        <w:t>throwing it across the market-house, instead of brushing it down, or throwing [it] out of the open sides into the street, (if it was not meant to continue the sport, as it is called), was at least an unnecessary and incautious act.  Not even menaces from others are sufficient to justify a trespass against a third person; much less a fear of danger to ei</w:t>
      </w:r>
      <w:r w:rsidR="000C713D">
        <w:rPr>
          <w:rFonts w:ascii="Times New Roman" w:eastAsia="Times New Roman" w:hAnsi="Times New Roman" w:cs="Times New Roman"/>
        </w:rPr>
        <w:t>ther his goods or his person—</w:t>
      </w:r>
      <w:r w:rsidRPr="750671CE">
        <w:rPr>
          <w:rFonts w:ascii="Times New Roman" w:eastAsia="Times New Roman" w:hAnsi="Times New Roman" w:cs="Times New Roman"/>
        </w:rPr>
        <w:t xml:space="preserve">nothing but inevitable necessity. Weaver and Ward. </w:t>
      </w:r>
    </w:p>
    <w:p w14:paraId="1CD0C475" w14:textId="77777777" w:rsidR="00A810E4" w:rsidRPr="00A810E4" w:rsidRDefault="00A810E4" w:rsidP="00A810E4">
      <w:pPr>
        <w:rPr>
          <w:rFonts w:ascii="Times New Roman" w:hAnsi="Times New Roman" w:cs="Times New Roman"/>
        </w:rPr>
      </w:pPr>
    </w:p>
    <w:p w14:paraId="100D76CD" w14:textId="3152F029" w:rsidR="00A810E4" w:rsidRPr="00A810E4" w:rsidRDefault="00A810E4"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 admit that the defendant is answerable in trespass for all the direct and inevitable effects caused by his own immediate act.  But what is his own immediate act?  The throwing [of] the squib to Yates</w:t>
      </w:r>
      <w:r w:rsidR="00B05F31">
        <w:rPr>
          <w:rFonts w:ascii="Times New Roman" w:eastAsia="Times New Roman" w:hAnsi="Times New Roman" w:cs="Times New Roman"/>
        </w:rPr>
        <w:t>’</w:t>
      </w:r>
      <w:r w:rsidRPr="750671CE">
        <w:rPr>
          <w:rFonts w:ascii="Times New Roman" w:eastAsia="Times New Roman" w:hAnsi="Times New Roman" w:cs="Times New Roman"/>
        </w:rPr>
        <w:t>s stall.  Had Yates</w:t>
      </w:r>
      <w:r w:rsidR="00B05F31">
        <w:rPr>
          <w:rFonts w:ascii="Times New Roman" w:eastAsia="Times New Roman" w:hAnsi="Times New Roman" w:cs="Times New Roman"/>
        </w:rPr>
        <w:t>’</w:t>
      </w:r>
      <w:r w:rsidRPr="750671CE">
        <w:rPr>
          <w:rFonts w:ascii="Times New Roman" w:eastAsia="Times New Roman" w:hAnsi="Times New Roman" w:cs="Times New Roman"/>
        </w:rPr>
        <w:t>s goods been burnt, or his person   injured, Shepherd must have been responsible in trespass.  But he is not responsible for the acts of other men. . . . [I]f I bring trespass for an immediate injury, and prove at most only a consequential damage, judgmen</w:t>
      </w:r>
      <w:r w:rsidR="0019237D">
        <w:rPr>
          <w:rFonts w:ascii="Times New Roman" w:eastAsia="Times New Roman" w:hAnsi="Times New Roman" w:cs="Times New Roman"/>
        </w:rPr>
        <w:t xml:space="preserve">t must be for the defendant </w:t>
      </w:r>
      <w:r w:rsidR="0026352C">
        <w:rPr>
          <w:rFonts w:ascii="Times New Roman" w:eastAsia="Times New Roman" w:hAnsi="Times New Roman" w:cs="Times New Roman"/>
        </w:rPr>
        <w:t xml:space="preserve">. . . </w:t>
      </w:r>
      <w:r w:rsidR="0019237D">
        <w:rPr>
          <w:rFonts w:ascii="Times New Roman" w:eastAsia="Times New Roman" w:hAnsi="Times New Roman" w:cs="Times New Roman"/>
        </w:rPr>
        <w:t xml:space="preserve">.  </w:t>
      </w:r>
      <w:r w:rsidRPr="750671CE">
        <w:rPr>
          <w:rFonts w:ascii="Times New Roman" w:eastAsia="Times New Roman" w:hAnsi="Times New Roman" w:cs="Times New Roman"/>
        </w:rPr>
        <w:t xml:space="preserve">It is said by Lord Raymond, and very justly, . . . </w:t>
      </w:r>
      <w:r w:rsidR="00B05F31">
        <w:rPr>
          <w:rFonts w:ascii="Times New Roman" w:eastAsia="Times New Roman" w:hAnsi="Times New Roman" w:cs="Times New Roman"/>
        </w:rPr>
        <w:t>“</w:t>
      </w:r>
      <w:r w:rsidRPr="750671CE">
        <w:rPr>
          <w:rFonts w:ascii="Times New Roman" w:eastAsia="Times New Roman" w:hAnsi="Times New Roman" w:cs="Times New Roman"/>
        </w:rPr>
        <w:t>we must keep up the boundaries of actions, otherwise we shall introduce the utmost confusion.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I therefore think no immediate injury passed from the defendant to the plaintiff . . . I am of opinion, that in this action judgment ought to be for the defendant.</w:t>
      </w:r>
    </w:p>
    <w:p w14:paraId="6F935616" w14:textId="77777777" w:rsidR="00A810E4" w:rsidRPr="00A810E4" w:rsidRDefault="00A810E4" w:rsidP="00A810E4">
      <w:pPr>
        <w:rPr>
          <w:rFonts w:ascii="Times New Roman" w:hAnsi="Times New Roman" w:cs="Times New Roman"/>
        </w:rPr>
      </w:pPr>
    </w:p>
    <w:p w14:paraId="025A6C01" w14:textId="55D412B6"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G</w:t>
      </w:r>
      <w:r w:rsidR="00206CBF" w:rsidRPr="00F94B7E">
        <w:rPr>
          <w:rFonts w:ascii="Times New Roman" w:eastAsia="Times New Roman" w:hAnsi="Times New Roman" w:cs="Times New Roman"/>
          <w:smallCaps/>
        </w:rPr>
        <w:t>ould</w:t>
      </w:r>
      <w:r w:rsidRPr="750671CE">
        <w:rPr>
          <w:rFonts w:ascii="Times New Roman" w:eastAsia="Times New Roman" w:hAnsi="Times New Roman" w:cs="Times New Roman"/>
        </w:rPr>
        <w:t>, J., was of the same opinion with Nares, J., that this action was well maintainable.  The whole difficulty lies in the form of the action, and not in the substance of the remedy.  The line is very nice between case and trespass upon these occasions:</w:t>
      </w:r>
    </w:p>
    <w:p w14:paraId="61EE05F4" w14:textId="43DEA456"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 am persuaded there are many instances wherein both or either will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face. The terror impressed upon Willis and Ryal excited self-defence, and deprived them of the power of recollection.  What they did was therefore the inevitable consequence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unlawful act.  Had the squib been thrown into a coach full of company, the person throwing it out again would not have been answerable for the consequences.  What Willis and Ryal did was by necessity, and the defendant imposed that necessity upon them. . . . </w:t>
      </w:r>
    </w:p>
    <w:p w14:paraId="03674633" w14:textId="77777777" w:rsidR="00A810E4" w:rsidRPr="00A810E4" w:rsidRDefault="00A810E4" w:rsidP="00A810E4">
      <w:pPr>
        <w:rPr>
          <w:rFonts w:ascii="Times New Roman" w:hAnsi="Times New Roman" w:cs="Times New Roman"/>
        </w:rPr>
      </w:pPr>
    </w:p>
    <w:p w14:paraId="2BFCD3DE" w14:textId="4B4BD970"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D</w:t>
      </w:r>
      <w:r w:rsidR="00206CBF" w:rsidRPr="00F94B7E">
        <w:rPr>
          <w:rFonts w:ascii="Times New Roman" w:eastAsia="Times New Roman" w:hAnsi="Times New Roman" w:cs="Times New Roman"/>
          <w:smallCaps/>
        </w:rPr>
        <w:t>e Grey</w:t>
      </w:r>
      <w:r w:rsidR="00206CBF">
        <w:rPr>
          <w:rFonts w:ascii="Times New Roman" w:eastAsia="Times New Roman" w:hAnsi="Times New Roman" w:cs="Times New Roman"/>
        </w:rPr>
        <w:t>,</w:t>
      </w:r>
      <w:r w:rsidRPr="750671CE">
        <w:rPr>
          <w:rFonts w:ascii="Times New Roman" w:eastAsia="Times New Roman" w:hAnsi="Times New Roman" w:cs="Times New Roman"/>
        </w:rPr>
        <w:t xml:space="preserve"> C.J.  This case is one of those wherein the line drawn by the law between actions on the case and actions of trespass is very nice and delicate.  Trespass is an injury accompanied with force, for which an action of trespass </w:t>
      </w:r>
      <w:r w:rsidRPr="00C8143A">
        <w:rPr>
          <w:rFonts w:ascii="Times New Roman" w:eastAsia="Times New Roman" w:hAnsi="Times New Roman" w:cs="Times New Roman"/>
          <w:i/>
        </w:rPr>
        <w:t>vi et armis</w:t>
      </w:r>
      <w:r w:rsidRPr="750671CE">
        <w:rPr>
          <w:rFonts w:ascii="Times New Roman" w:eastAsia="Times New Roman" w:hAnsi="Times New Roman" w:cs="Times New Roman"/>
        </w:rPr>
        <w:t xml:space="preserve"> lies against the person from whom it is received.  The question here is, whether the injury received by the plaintiff arises from the force of the original act of the defendant, or from a new force by a third person.  I agree with my brother Blackstone as to the principles he has laid down, but not in his application of those principles to the present case.  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etc.  They may also not lie for the consequences even of illegal acts, as that of casting a log in the highway.  But the true question is, whether the injury is the direct and immediate act of the defendant, and I am of opinion, that in this case it is.  The throwing [of] the squib was an act unlawful and tending to affright the bystanders.  So far, mischief was originally intended; not any particular mischief, but </w:t>
      </w:r>
      <w:r w:rsidRPr="750671CE">
        <w:rPr>
          <w:rFonts w:ascii="Times New Roman" w:eastAsia="Times New Roman" w:hAnsi="Times New Roman" w:cs="Times New Roman"/>
        </w:rPr>
        <w:lastRenderedPageBreak/>
        <w:t>mischief indiscriminate and wanton.  Whatever mischief therefore follows, he is the author of it. . . .  I look upon all that was done subsequent to the original throwing as a continuation of the first force and first act, which will continue till the squib was spent by bursting.  And I think that any innocent person removing the danger from himself to another is justifiable; the blame lights upon the first thrower.  The new direction and new force flow out of the first force, and are not a new trespass. . . .   On these reasons I concur with Brothers Gould and Nares, that the present action is maintainable.</w:t>
      </w:r>
    </w:p>
    <w:p w14:paraId="1D58AE1D" w14:textId="77777777" w:rsidR="00A810E4" w:rsidRPr="00A810E4" w:rsidRDefault="00A810E4">
      <w:pPr>
        <w:rPr>
          <w:rFonts w:ascii="Times New Roman" w:hAnsi="Times New Roman" w:cs="Times New Roman"/>
        </w:rPr>
      </w:pPr>
    </w:p>
    <w:p w14:paraId="6E1C466E" w14:textId="77777777" w:rsidR="00A810E4" w:rsidRPr="00A810E4" w:rsidRDefault="00A810E4">
      <w:pPr>
        <w:rPr>
          <w:rFonts w:ascii="Times New Roman" w:hAnsi="Times New Roman" w:cs="Times New Roman"/>
        </w:rPr>
      </w:pPr>
    </w:p>
    <w:p w14:paraId="4DC6D722" w14:textId="77777777" w:rsidR="00A810E4" w:rsidRPr="00A810E4" w:rsidRDefault="00A810E4" w:rsidP="002502CC">
      <w:pPr>
        <w:pStyle w:val="Heading4"/>
      </w:pPr>
      <w:bookmarkStart w:id="150" w:name="_Toc364636072"/>
      <w:bookmarkStart w:id="151" w:name="_Toc518323238"/>
      <w:r w:rsidRPr="00A810E4">
        <w:t>Notes</w:t>
      </w:r>
      <w:bookmarkEnd w:id="150"/>
      <w:bookmarkEnd w:id="151"/>
    </w:p>
    <w:p w14:paraId="6037FFDA" w14:textId="77777777" w:rsidR="00A810E4" w:rsidRDefault="00A810E4" w:rsidP="006F1186">
      <w:pPr>
        <w:rPr>
          <w:rFonts w:ascii="Times New Roman" w:hAnsi="Times New Roman" w:cs="Times New Roman"/>
        </w:rPr>
      </w:pPr>
    </w:p>
    <w:p w14:paraId="7E8F7F49" w14:textId="77777777" w:rsidR="006F1186" w:rsidRPr="00A810E4" w:rsidRDefault="006F1186" w:rsidP="006F1186">
      <w:pPr>
        <w:rPr>
          <w:rFonts w:ascii="Times New Roman" w:hAnsi="Times New Roman" w:cs="Times New Roman"/>
        </w:rPr>
      </w:pPr>
    </w:p>
    <w:p w14:paraId="5F5F397E" w14:textId="337C2739" w:rsidR="00A810E4" w:rsidRPr="00F94B7E" w:rsidRDefault="750671CE" w:rsidP="00F94B7E">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Direct and indirect.</w:t>
      </w:r>
      <w:r w:rsidRPr="00F94B7E">
        <w:rPr>
          <w:rFonts w:ascii="Times New Roman" w:eastAsia="Times New Roman" w:hAnsi="Times New Roman" w:cs="Times New Roman"/>
        </w:rPr>
        <w:t xml:space="preserve">  Given the liability standard set out in </w:t>
      </w:r>
      <w:r w:rsidR="003A38FD" w:rsidRPr="003A38FD">
        <w:rPr>
          <w:rFonts w:ascii="Times New Roman" w:eastAsia="Times New Roman" w:hAnsi="Times New Roman" w:cs="Times New Roman"/>
          <w:i/>
        </w:rPr>
        <w:t>T</w:t>
      </w:r>
      <w:r w:rsidRPr="003A38FD">
        <w:rPr>
          <w:rFonts w:ascii="Times New Roman" w:eastAsia="Times New Roman" w:hAnsi="Times New Roman" w:cs="Times New Roman"/>
          <w:i/>
        </w:rPr>
        <w:t>he Case of the Thorns</w:t>
      </w:r>
      <w:r w:rsidRPr="00F94B7E">
        <w:rPr>
          <w:rFonts w:ascii="Times New Roman" w:eastAsia="Times New Roman" w:hAnsi="Times New Roman" w:cs="Times New Roman"/>
        </w:rPr>
        <w:t xml:space="preserve"> and in </w:t>
      </w:r>
      <w:r w:rsidRPr="00F94B7E">
        <w:rPr>
          <w:rFonts w:ascii="Times New Roman" w:eastAsia="Times New Roman" w:hAnsi="Times New Roman" w:cs="Times New Roman"/>
          <w:i/>
          <w:iCs/>
        </w:rPr>
        <w:t>Weaver v. Ward</w:t>
      </w:r>
      <w:r w:rsidRPr="00F94B7E">
        <w:rPr>
          <w:rFonts w:ascii="Times New Roman" w:eastAsia="Times New Roman" w:hAnsi="Times New Roman" w:cs="Times New Roman"/>
        </w:rPr>
        <w:t>, it seems vital to Blackstone that the writ of trespass be restricted to direct rather than indirect consequences.  The football (soccer!) example he offers illustrates his concern.  Do Nares or Gould have a good answer?  On the other hand, is Blackstone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distinction between direct and indirect distinction sustainable?  What about De Grey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idea that directness follows from the relevant agent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intentions rather than from the path of the object in question?  What about Gould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idea that Willis and Ryal were not agents in the right way?</w:t>
      </w:r>
    </w:p>
    <w:p w14:paraId="632D74CE" w14:textId="77777777" w:rsidR="00A810E4" w:rsidRPr="00A810E4" w:rsidRDefault="00A810E4" w:rsidP="00A810E4">
      <w:pPr>
        <w:rPr>
          <w:rFonts w:ascii="Times New Roman" w:hAnsi="Times New Roman" w:cs="Times New Roman"/>
        </w:rPr>
      </w:pPr>
    </w:p>
    <w:p w14:paraId="61E70177" w14:textId="77777777" w:rsidR="00A810E4" w:rsidRPr="00A810E4" w:rsidRDefault="00A810E4" w:rsidP="00A810E4">
      <w:pPr>
        <w:rPr>
          <w:rFonts w:ascii="Times New Roman" w:hAnsi="Times New Roman" w:cs="Times New Roman"/>
        </w:rPr>
      </w:pPr>
    </w:p>
    <w:p w14:paraId="76300B04" w14:textId="5F7F8A0B" w:rsidR="00A810E4" w:rsidRPr="00F94B7E" w:rsidRDefault="750671CE" w:rsidP="00F94B7E">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The great William Blackstone. </w:t>
      </w:r>
      <w:r w:rsidRPr="00F94B7E">
        <w:rPr>
          <w:rFonts w:ascii="Times New Roman" w:eastAsia="Times New Roman" w:hAnsi="Times New Roman" w:cs="Times New Roman"/>
        </w:rPr>
        <w:t xml:space="preserve"> Blackstone, whose opinion failed to carry the day in </w:t>
      </w:r>
      <w:r w:rsidRPr="00F94B7E">
        <w:rPr>
          <w:rFonts w:ascii="Times New Roman" w:eastAsia="Times New Roman" w:hAnsi="Times New Roman" w:cs="Times New Roman"/>
          <w:i/>
          <w:iCs/>
        </w:rPr>
        <w:t>Scott v. Shepherd</w:t>
      </w:r>
      <w:r w:rsidRPr="00F94B7E">
        <w:rPr>
          <w:rFonts w:ascii="Times New Roman" w:eastAsia="Times New Roman" w:hAnsi="Times New Roman" w:cs="Times New Roman"/>
        </w:rPr>
        <w:t xml:space="preserve">, was one of the most important jurists in the history of the common law.  As the first holder of the Vinerian Chair of English Law at Oxford University, Blackstone was responsible for turning the common law into a subject worthy of university study.  His </w:t>
      </w:r>
      <w:r w:rsidRPr="00F94B7E">
        <w:rPr>
          <w:rFonts w:ascii="Times New Roman" w:eastAsia="Times New Roman" w:hAnsi="Times New Roman" w:cs="Times New Roman"/>
          <w:i/>
        </w:rPr>
        <w:t>Commentaries on the Laws of England</w:t>
      </w:r>
      <w:r w:rsidRPr="00F94B7E">
        <w:rPr>
          <w:rFonts w:ascii="Times New Roman" w:eastAsia="Times New Roman" w:hAnsi="Times New Roman" w:cs="Times New Roman"/>
        </w:rPr>
        <w:t>, published in four volumes between 1765 and 1769, aimed to take the accumulated forms of action in the common law and make sense of them as a body of law founded on rational principles with coherence and integrity.  Given that the common law had accumulated in ad hoc fashion for over seven hundred years by the time he began to write, this was no small feat.  Blackstone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effort was so successful that virtually every American law student for the next century learned the law by reading American editions of the Vinerian Professor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great text.  And unlike contemporary common law works such as digests and practice manuals, which functioned even in their time as reference books, the four volumes of Blackstone remain readable as a classic text to this day.</w:t>
      </w:r>
    </w:p>
    <w:p w14:paraId="2C23A206" w14:textId="77777777" w:rsidR="00A810E4" w:rsidRPr="00A810E4" w:rsidRDefault="00A810E4" w:rsidP="00A810E4">
      <w:pPr>
        <w:rPr>
          <w:rFonts w:ascii="Times New Roman" w:hAnsi="Times New Roman" w:cs="Times New Roman"/>
        </w:rPr>
      </w:pPr>
    </w:p>
    <w:p w14:paraId="6E0B8689" w14:textId="2FDD659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Does Blackstone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commitment to reason and the rule of law as a body of principles help us understand his view in </w:t>
      </w:r>
      <w:r w:rsidRPr="750671CE">
        <w:rPr>
          <w:rFonts w:ascii="Times New Roman" w:eastAsia="Times New Roman" w:hAnsi="Times New Roman" w:cs="Times New Roman"/>
          <w:i/>
          <w:iCs/>
        </w:rPr>
        <w:t>Scott v. Shepherd</w:t>
      </w:r>
      <w:r w:rsidRPr="750671CE">
        <w:rPr>
          <w:rFonts w:ascii="Times New Roman" w:eastAsia="Times New Roman" w:hAnsi="Times New Roman" w:cs="Times New Roman"/>
        </w:rPr>
        <w:t>?  To be sure, the great jurist</w:t>
      </w:r>
      <w:r w:rsidR="00B05F31">
        <w:rPr>
          <w:rFonts w:ascii="Times New Roman" w:eastAsia="Times New Roman" w:hAnsi="Times New Roman" w:cs="Times New Roman"/>
        </w:rPr>
        <w:t>’</w:t>
      </w:r>
      <w:r w:rsidRPr="750671CE">
        <w:rPr>
          <w:rFonts w:ascii="Times New Roman" w:eastAsia="Times New Roman" w:hAnsi="Times New Roman" w:cs="Times New Roman"/>
        </w:rPr>
        <w:t>s distinction between direct and indirect injuries will be very difficult to maintain in practice.  But what mechanisms are his fellow judges likely to try to invoke in order hold off the problem that Blackstone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soccer example identifies?  At the heart of </w:t>
      </w:r>
      <w:r w:rsidRPr="750671CE">
        <w:rPr>
          <w:rFonts w:ascii="Times New Roman" w:eastAsia="Times New Roman" w:hAnsi="Times New Roman" w:cs="Times New Roman"/>
          <w:i/>
          <w:iCs/>
        </w:rPr>
        <w:t>Scott v. Shepherd</w:t>
      </w:r>
      <w:r w:rsidRPr="750671CE">
        <w:rPr>
          <w:rFonts w:ascii="Times New Roman" w:eastAsia="Times New Roman" w:hAnsi="Times New Roman" w:cs="Times New Roman"/>
        </w:rPr>
        <w:t>, then, is a deep problem in legal theory.  Law aims to articulate principles of general application that can resolve future disputes.  But the multifariousness of human behavior and social life and the limits of reason make it exceedingly hard to exclude human discretion from the operation of the law.</w:t>
      </w:r>
    </w:p>
    <w:p w14:paraId="4B35251D" w14:textId="77777777" w:rsidR="00A810E4" w:rsidRPr="00A810E4" w:rsidRDefault="00A810E4" w:rsidP="00A810E4">
      <w:pPr>
        <w:rPr>
          <w:rFonts w:ascii="Times New Roman" w:hAnsi="Times New Roman" w:cs="Times New Roman"/>
        </w:rPr>
      </w:pPr>
    </w:p>
    <w:p w14:paraId="50DDA060" w14:textId="77777777" w:rsidR="00A810E4" w:rsidRPr="00A810E4" w:rsidRDefault="00A810E4" w:rsidP="00A810E4">
      <w:pPr>
        <w:rPr>
          <w:rFonts w:ascii="Times New Roman" w:hAnsi="Times New Roman" w:cs="Times New Roman"/>
        </w:rPr>
      </w:pPr>
    </w:p>
    <w:p w14:paraId="615E70B8" w14:textId="5B8F1045" w:rsidR="00A810E4" w:rsidRPr="00F94B7E" w:rsidRDefault="750671CE" w:rsidP="00F94B7E">
      <w:pPr>
        <w:pStyle w:val="ListParagraph"/>
        <w:numPr>
          <w:ilvl w:val="0"/>
          <w:numId w:val="76"/>
        </w:numPr>
        <w:ind w:left="0" w:firstLine="360"/>
        <w:rPr>
          <w:rFonts w:ascii="Times New Roman" w:eastAsia="Times New Roman" w:hAnsi="Times New Roman" w:cs="Times New Roman"/>
        </w:rPr>
      </w:pPr>
      <w:r w:rsidRPr="00F94B7E">
        <w:rPr>
          <w:rFonts w:ascii="Times New Roman" w:eastAsia="Times New Roman" w:hAnsi="Times New Roman" w:cs="Times New Roman"/>
          <w:i/>
        </w:rPr>
        <w:t>Whose act?</w:t>
      </w:r>
      <w:r w:rsidRPr="00F94B7E">
        <w:rPr>
          <w:rFonts w:ascii="Times New Roman" w:eastAsia="Times New Roman" w:hAnsi="Times New Roman" w:cs="Times New Roman"/>
        </w:rPr>
        <w:t xml:space="preserve">  The action on the case was more appealing to Blackstone in </w:t>
      </w:r>
      <w:r w:rsidRPr="00F94B7E">
        <w:rPr>
          <w:rFonts w:ascii="Times New Roman" w:eastAsia="Times New Roman" w:hAnsi="Times New Roman" w:cs="Times New Roman"/>
          <w:i/>
          <w:iCs/>
        </w:rPr>
        <w:t>Scott v. Shepherd</w:t>
      </w:r>
      <w:r w:rsidRPr="00F94B7E">
        <w:rPr>
          <w:rFonts w:ascii="Times New Roman" w:eastAsia="Times New Roman" w:hAnsi="Times New Roman" w:cs="Times New Roman"/>
        </w:rPr>
        <w:t xml:space="preserve"> because of its association with a heightened liability standard of negligence.  Plaintiffs in actions on the case typically only recovered damages if they could show that 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negligent or otherwise wrongful act caused the injury in question.  This meant that the innocent kicker of a soccer ball would not be stuck with liability for the damage done by the same soccer ball at some later time, where the later damage would not have occurred but for the initial innocent kick.  Only a negligent or otherwise wrongful initial act would raise the possibility of the actor being held liable for such downstream damages.  </w:t>
      </w:r>
    </w:p>
    <w:p w14:paraId="7F17279E" w14:textId="77777777" w:rsidR="00A810E4" w:rsidRPr="00A810E4" w:rsidRDefault="00A810E4" w:rsidP="00A810E4">
      <w:pPr>
        <w:rPr>
          <w:rFonts w:ascii="Times New Roman" w:hAnsi="Times New Roman" w:cs="Times New Roman"/>
        </w:rPr>
      </w:pPr>
    </w:p>
    <w:p w14:paraId="3657E45E" w14:textId="154774C4"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And yet a puzzle persists about the liability standard for trespass actions in the seventeenth and eighteenth centuries.  If the court in </w:t>
      </w:r>
      <w:r w:rsidRPr="00F172B5">
        <w:rPr>
          <w:rFonts w:ascii="Times New Roman" w:eastAsia="Times New Roman" w:hAnsi="Times New Roman" w:cs="Times New Roman"/>
          <w:i/>
        </w:rPr>
        <w:t>Weaver v. Ward</w:t>
      </w:r>
      <w:r w:rsidRPr="750671CE">
        <w:rPr>
          <w:rFonts w:ascii="Times New Roman" w:eastAsia="Times New Roman" w:hAnsi="Times New Roman" w:cs="Times New Roman"/>
        </w:rPr>
        <w:t xml:space="preserve"> really meant to say that a defendant may be held liable without regard to fault, how were courts to know which </w:t>
      </w:r>
      <w:r w:rsidR="00F172B5">
        <w:rPr>
          <w:rFonts w:ascii="Times New Roman" w:eastAsia="Times New Roman" w:hAnsi="Times New Roman" w:cs="Times New Roman"/>
        </w:rPr>
        <w:t>of the two actors before them—</w:t>
      </w:r>
      <w:r w:rsidRPr="750671CE">
        <w:rPr>
          <w:rFonts w:ascii="Times New Roman" w:eastAsia="Times New Roman" w:hAnsi="Times New Roman" w:cs="Times New Roman"/>
        </w:rPr>
        <w:t>plaintiff</w:t>
      </w:r>
      <w:r w:rsidR="00F172B5">
        <w:rPr>
          <w:rFonts w:ascii="Times New Roman" w:eastAsia="Times New Roman" w:hAnsi="Times New Roman" w:cs="Times New Roman"/>
        </w:rPr>
        <w:t xml:space="preserve"> and defendant—</w:t>
      </w:r>
      <w:r w:rsidRPr="750671CE">
        <w:rPr>
          <w:rFonts w:ascii="Times New Roman" w:eastAsia="Times New Roman" w:hAnsi="Times New Roman" w:cs="Times New Roman"/>
        </w:rPr>
        <w:t>was responsible for the injury in question in the relevant way?  To put this a different way, when the Weaver court said that a defendant might plead that the injury was the result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act instead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how was a court to decide which act was the responsible act?  Both parties will inevitably have acted.  What seems to be needed is some further basis for distinguishing the conduct of the two parties.  But the early modern common law does not seem to have offered</w:t>
      </w:r>
      <w:r w:rsidR="00F172B5">
        <w:rPr>
          <w:rFonts w:ascii="Times New Roman" w:eastAsia="Times New Roman" w:hAnsi="Times New Roman" w:cs="Times New Roman"/>
        </w:rPr>
        <w:t xml:space="preserve"> much by way of such a basis—</w:t>
      </w:r>
      <w:r w:rsidRPr="750671CE">
        <w:rPr>
          <w:rFonts w:ascii="Times New Roman" w:eastAsia="Times New Roman" w:hAnsi="Times New Roman" w:cs="Times New Roman"/>
        </w:rPr>
        <w:t xml:space="preserve">not at the pleading stage, at least.  </w:t>
      </w:r>
    </w:p>
    <w:p w14:paraId="64E0A950" w14:textId="77777777" w:rsidR="00A810E4" w:rsidRPr="00A810E4" w:rsidRDefault="00A810E4" w:rsidP="00A810E4">
      <w:pPr>
        <w:rPr>
          <w:rFonts w:ascii="Times New Roman" w:hAnsi="Times New Roman" w:cs="Times New Roman"/>
        </w:rPr>
      </w:pPr>
    </w:p>
    <w:p w14:paraId="19CC40A0" w14:textId="0CC0579A"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But if the pleadings offered no basis for distinguishing injuries attributable to plaintiff</w:t>
      </w:r>
      <w:r w:rsidR="00B05F31">
        <w:rPr>
          <w:rFonts w:ascii="Times New Roman" w:eastAsia="Times New Roman" w:hAnsi="Times New Roman" w:cs="Times New Roman"/>
        </w:rPr>
        <w:t>’</w:t>
      </w:r>
      <w:r w:rsidRPr="750671CE">
        <w:rPr>
          <w:rFonts w:ascii="Times New Roman" w:eastAsia="Times New Roman" w:hAnsi="Times New Roman" w:cs="Times New Roman"/>
        </w:rPr>
        <w:t>s actions from those attributable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acts, a basis for allocating the liability between plaintiff and defendant may have emerged at the trial stage.  If the parties joined issue on some allegation of fact, the king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judges sent causes of action out into the countryside for a trial by jury.  The next case suggests that despite the suggestion of </w:t>
      </w:r>
      <w:r w:rsidRPr="000A18DE">
        <w:rPr>
          <w:rFonts w:ascii="Times New Roman" w:eastAsia="Times New Roman" w:hAnsi="Times New Roman" w:cs="Times New Roman"/>
          <w:i/>
        </w:rPr>
        <w:t>The Case of the Thorns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Weaver v. Ward</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Scott v. Shepherd</w:t>
      </w:r>
      <w:r w:rsidRPr="750671CE">
        <w:rPr>
          <w:rFonts w:ascii="Times New Roman" w:eastAsia="Times New Roman" w:hAnsi="Times New Roman" w:cs="Times New Roman"/>
        </w:rPr>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A810E4" w:rsidRDefault="00A810E4" w:rsidP="00A810E4">
      <w:pPr>
        <w:rPr>
          <w:rFonts w:ascii="Times New Roman" w:hAnsi="Times New Roman" w:cs="Times New Roman"/>
        </w:rPr>
      </w:pPr>
    </w:p>
    <w:p w14:paraId="37162F5C" w14:textId="77777777" w:rsidR="00A810E4" w:rsidRPr="00A810E4" w:rsidRDefault="00A810E4" w:rsidP="00A810E4">
      <w:pPr>
        <w:rPr>
          <w:rFonts w:ascii="Times New Roman" w:hAnsi="Times New Roman" w:cs="Times New Roman"/>
        </w:rPr>
      </w:pPr>
    </w:p>
    <w:p w14:paraId="69239BE2" w14:textId="77777777" w:rsidR="00A810E4" w:rsidRPr="00A810E4" w:rsidRDefault="00A810E4" w:rsidP="750671CE">
      <w:pPr>
        <w:rPr>
          <w:rFonts w:ascii="Times New Roman" w:eastAsia="Times New Roman" w:hAnsi="Times New Roman" w:cs="Times New Roman"/>
        </w:rPr>
      </w:pPr>
      <w:bookmarkStart w:id="152" w:name="_Toc518323239"/>
      <w:r w:rsidRPr="00441E5D">
        <w:rPr>
          <w:rStyle w:val="Heading3Char"/>
          <w:i/>
        </w:rPr>
        <w:t>Gibbons v. Pepper</w:t>
      </w:r>
      <w:bookmarkEnd w:id="152"/>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91 Eng. Rep. 922 (K.B. 1695)</w:t>
      </w:r>
    </w:p>
    <w:p w14:paraId="1620278A" w14:textId="77777777" w:rsidR="00A810E4" w:rsidRPr="00A810E4" w:rsidRDefault="00A810E4" w:rsidP="00A810E4">
      <w:pPr>
        <w:rPr>
          <w:rFonts w:ascii="Times New Roman" w:hAnsi="Times New Roman" w:cs="Times New Roman"/>
        </w:rPr>
      </w:pPr>
    </w:p>
    <w:p w14:paraId="6A9984F7" w14:textId="3587DBFD"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Trespass, assault and battery.  The defendant pleads, that he rode upon a horse in the King</w:t>
      </w:r>
      <w:r w:rsidR="00B05F31">
        <w:rPr>
          <w:rFonts w:ascii="Times New Roman" w:eastAsia="Times New Roman" w:hAnsi="Times New Roman" w:cs="Times New Roman"/>
        </w:rPr>
        <w:t>’</w:t>
      </w:r>
      <w:r w:rsidRPr="750671CE">
        <w:rPr>
          <w:rFonts w:ascii="Times New Roman" w:eastAsia="Times New Roman" w:hAnsi="Times New Roman" w:cs="Times New Roman"/>
        </w:rPr>
        <w:t>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horse ran over the plaintiff against the will of the defendant . . . .  The plaintiff demurred.  And Serjeant Darnall for the defendant argued, that if the defendant in his justification shows that the accident was inevitable, and that the negligence of the defendant did not cause it, judg</w:t>
      </w:r>
      <w:r w:rsidR="00496CE7">
        <w:rPr>
          <w:rFonts w:ascii="Times New Roman" w:eastAsia="Times New Roman" w:hAnsi="Times New Roman" w:cs="Times New Roman"/>
        </w:rPr>
        <w:t xml:space="preserve">ment shall be given for him.  </w:t>
      </w:r>
      <w:r w:rsidRPr="750671CE">
        <w:rPr>
          <w:rFonts w:ascii="Times New Roman" w:eastAsia="Times New Roman" w:hAnsi="Times New Roman" w:cs="Times New Roman"/>
        </w:rPr>
        <w:t>To prove which he cited [cases].</w:t>
      </w:r>
    </w:p>
    <w:p w14:paraId="1E8EDB8A" w14:textId="77777777" w:rsidR="00A810E4" w:rsidRPr="00A810E4" w:rsidRDefault="00A810E4" w:rsidP="00A810E4">
      <w:pPr>
        <w:rPr>
          <w:rFonts w:ascii="Times New Roman" w:hAnsi="Times New Roman" w:cs="Times New Roman"/>
        </w:rPr>
      </w:pPr>
    </w:p>
    <w:p w14:paraId="6988EE82" w14:textId="140BF16C"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Northey for the plaintiff said, that in all these cases the defendant confessed a battery, which he afterwards justified; but in this case he justified a battery, which is no battery.  Of which opinion was the whole Court; for if I ride upon a horse, and J. S. whips the horse, so that he runs away with me and runs over any other person, he who whipped the horse is guilty of the battery, and not me.  But if I by spurring was the cause of such accident, then I am guilty.  In the same manner, if A. takes the hand of B. and with it strikes C., A.  is the t</w:t>
      </w:r>
      <w:r w:rsidR="00496CE7">
        <w:rPr>
          <w:rFonts w:ascii="Times New Roman" w:eastAsia="Times New Roman" w:hAnsi="Times New Roman" w:cs="Times New Roman"/>
        </w:rPr>
        <w:t>respasser, and not B. And, per c</w:t>
      </w:r>
      <w:r w:rsidRPr="750671CE">
        <w:rPr>
          <w:rFonts w:ascii="Times New Roman" w:eastAsia="Times New Roman" w:hAnsi="Times New Roman" w:cs="Times New Roman"/>
        </w:rPr>
        <w:t>uriam, the defendant might have given [his] justification in evidence, upon the general issue pleaded.  And therefore judgment was given for the plaintiff.</w:t>
      </w:r>
    </w:p>
    <w:p w14:paraId="4532E5F7" w14:textId="77777777" w:rsidR="00A810E4" w:rsidRPr="00A810E4" w:rsidRDefault="00A810E4" w:rsidP="00A810E4">
      <w:pPr>
        <w:rPr>
          <w:rFonts w:ascii="Times New Roman" w:hAnsi="Times New Roman" w:cs="Times New Roman"/>
        </w:rPr>
      </w:pPr>
    </w:p>
    <w:p w14:paraId="4CAD0E6B" w14:textId="77777777" w:rsidR="00A810E4" w:rsidRPr="00A810E4" w:rsidRDefault="00A810E4">
      <w:pPr>
        <w:rPr>
          <w:rFonts w:ascii="Times New Roman" w:hAnsi="Times New Roman" w:cs="Times New Roman"/>
        </w:rPr>
      </w:pPr>
    </w:p>
    <w:p w14:paraId="260F08F9" w14:textId="77777777" w:rsidR="00A810E4" w:rsidRPr="00A810E4" w:rsidRDefault="00A810E4" w:rsidP="002502CC">
      <w:pPr>
        <w:pStyle w:val="Heading4"/>
      </w:pPr>
      <w:bookmarkStart w:id="153" w:name="_Toc364636073"/>
      <w:bookmarkStart w:id="154" w:name="_Toc518323240"/>
      <w:r w:rsidRPr="00A810E4">
        <w:t>Notes</w:t>
      </w:r>
      <w:bookmarkEnd w:id="153"/>
      <w:bookmarkEnd w:id="154"/>
    </w:p>
    <w:p w14:paraId="29D7F3BA" w14:textId="77777777" w:rsidR="00A810E4" w:rsidRDefault="00A810E4" w:rsidP="006F1186">
      <w:pPr>
        <w:rPr>
          <w:rFonts w:ascii="Times New Roman" w:hAnsi="Times New Roman" w:cs="Times New Roman"/>
        </w:rPr>
      </w:pPr>
    </w:p>
    <w:p w14:paraId="1941A912" w14:textId="77777777" w:rsidR="006F1186" w:rsidRPr="00A810E4" w:rsidRDefault="006F1186" w:rsidP="006F1186">
      <w:pPr>
        <w:rPr>
          <w:rFonts w:ascii="Times New Roman" w:hAnsi="Times New Roman" w:cs="Times New Roman"/>
        </w:rPr>
      </w:pPr>
    </w:p>
    <w:p w14:paraId="5CADF40B" w14:textId="1A700CAC" w:rsidR="00A810E4" w:rsidRPr="00F94B7E" w:rsidRDefault="750671CE" w:rsidP="00F94B7E">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rPr>
        <w:t>Early modern common law pleading and procedural imperatives.</w:t>
      </w:r>
      <w:r w:rsidRPr="00F94B7E">
        <w:rPr>
          <w:rFonts w:ascii="Times New Roman" w:eastAsia="Times New Roman" w:hAnsi="Times New Roman" w:cs="Times New Roman"/>
        </w:rPr>
        <w:t xml:space="preserve">  To understand </w:t>
      </w:r>
      <w:r w:rsidRPr="00F94B7E">
        <w:rPr>
          <w:rFonts w:ascii="Times New Roman" w:eastAsia="Times New Roman" w:hAnsi="Times New Roman" w:cs="Times New Roman"/>
          <w:i/>
          <w:iCs/>
        </w:rPr>
        <w:t>Gibbons v. Pepper</w:t>
      </w:r>
      <w:r w:rsidRPr="00F94B7E">
        <w:rPr>
          <w:rFonts w:ascii="Times New Roman" w:eastAsia="Times New Roman" w:hAnsi="Times New Roman" w:cs="Times New Roman"/>
        </w:rPr>
        <w:t>, one has to know a little bit about the pleading system of the early modern common law courts.  Once the plaintiff had selected his writ, the defendant was put to a choice before the king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judges at Westminster.  He could issue a general denial (plead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general issue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he could enter a special plea (plead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special issue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confessing the validity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allegation but asserting some justification.  The former plea sent the cause of action to a trial by jury on the truth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a trial that was usually held in the vicinity of the acts complained of.  The latter plea put the plaintiff to a choice.  Now the plaintiff could either issue a general denial of the facts alleged in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special plea in justification, which would produce a jury trial on the limited question of whether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story was true, or issue a special plea of his own.  Typically, the special plea at this stage would be a demurrer, asserting that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justification, even if true, was not sufficient as a matter of law.</w:t>
      </w:r>
    </w:p>
    <w:p w14:paraId="18784328" w14:textId="77777777" w:rsidR="00A810E4" w:rsidRPr="00A810E4" w:rsidRDefault="00A810E4" w:rsidP="00A810E4">
      <w:pPr>
        <w:rPr>
          <w:rFonts w:ascii="Times New Roman" w:hAnsi="Times New Roman" w:cs="Times New Roman"/>
        </w:rPr>
      </w:pPr>
    </w:p>
    <w:p w14:paraId="58B5245B" w14:textId="03A3CC8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lawyer in </w:t>
      </w:r>
      <w:r w:rsidRPr="750671CE">
        <w:rPr>
          <w:rFonts w:ascii="Times New Roman" w:eastAsia="Times New Roman" w:hAnsi="Times New Roman" w:cs="Times New Roman"/>
          <w:i/>
          <w:iCs/>
        </w:rPr>
        <w:t>Gibbons</w:t>
      </w:r>
      <w:r w:rsidRPr="750671CE">
        <w:rPr>
          <w:rFonts w:ascii="Times New Roman" w:eastAsia="Times New Roman" w:hAnsi="Times New Roman" w:cs="Times New Roman"/>
        </w:rPr>
        <w:t xml:space="preserve"> adopted this latter strategy and demurred to the de</w:t>
      </w:r>
      <w:r w:rsidR="007963F2">
        <w:rPr>
          <w:rFonts w:ascii="Times New Roman" w:eastAsia="Times New Roman" w:hAnsi="Times New Roman" w:cs="Times New Roman"/>
        </w:rPr>
        <w:t>fendant</w:t>
      </w:r>
      <w:r w:rsidR="00B05F31">
        <w:rPr>
          <w:rFonts w:ascii="Times New Roman" w:eastAsia="Times New Roman" w:hAnsi="Times New Roman" w:cs="Times New Roman"/>
        </w:rPr>
        <w:t>’</w:t>
      </w:r>
      <w:r w:rsidR="007963F2">
        <w:rPr>
          <w:rFonts w:ascii="Times New Roman" w:eastAsia="Times New Roman" w:hAnsi="Times New Roman" w:cs="Times New Roman"/>
        </w:rPr>
        <w:t>s plea.  Northey says—</w:t>
      </w:r>
      <w:r w:rsidRPr="750671CE">
        <w:rPr>
          <w:rFonts w:ascii="Times New Roman" w:eastAsia="Times New Roman" w:hAnsi="Times New Roman" w:cs="Times New Roman"/>
        </w:rPr>
        <w:t>and the judges of t</w:t>
      </w:r>
      <w:r w:rsidR="007963F2">
        <w:rPr>
          <w:rFonts w:ascii="Times New Roman" w:eastAsia="Times New Roman" w:hAnsi="Times New Roman" w:cs="Times New Roman"/>
        </w:rPr>
        <w:t>he King</w:t>
      </w:r>
      <w:r w:rsidR="00B05F31">
        <w:rPr>
          <w:rFonts w:ascii="Times New Roman" w:eastAsia="Times New Roman" w:hAnsi="Times New Roman" w:cs="Times New Roman"/>
        </w:rPr>
        <w:t>’</w:t>
      </w:r>
      <w:r w:rsidR="007963F2">
        <w:rPr>
          <w:rFonts w:ascii="Times New Roman" w:eastAsia="Times New Roman" w:hAnsi="Times New Roman" w:cs="Times New Roman"/>
        </w:rPr>
        <w:t>s Bench seem to agree—</w:t>
      </w:r>
      <w:r w:rsidRPr="750671CE">
        <w:rPr>
          <w:rFonts w:ascii="Times New Roman" w:eastAsia="Times New Roman" w:hAnsi="Times New Roman" w:cs="Times New Roman"/>
        </w:rPr>
        <w:t xml:space="preserve">that it would be a good special plea for a defendant in a trespass action to confess the trespass but justify it some way.  The defendant might, for example, say that the injury was inevitable in the sense suggested in </w:t>
      </w:r>
      <w:r w:rsidRPr="750671CE">
        <w:rPr>
          <w:rFonts w:ascii="Times New Roman" w:eastAsia="Times New Roman" w:hAnsi="Times New Roman" w:cs="Times New Roman"/>
          <w:i/>
          <w:iCs/>
        </w:rPr>
        <w:t>Weaver v. Ward</w:t>
      </w:r>
      <w:r w:rsidRPr="750671CE">
        <w:rPr>
          <w:rFonts w:ascii="Times New Roman" w:eastAsia="Times New Roman" w:hAnsi="Times New Roman" w:cs="Times New Roman"/>
        </w:rPr>
        <w:t>.  It would also have been permissible for the defendant to enter a general denial and assert that there was no tort at all because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acts were not the relevant cause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injury.  But this defendant, Northey claims, wants to have it both ways: to say that the relevant cause was the fright given to the horse, not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and that the injury was inevitable.  Northey</w:t>
      </w:r>
      <w:r w:rsidR="00B05F31">
        <w:rPr>
          <w:rFonts w:ascii="Times New Roman" w:eastAsia="Times New Roman" w:hAnsi="Times New Roman" w:cs="Times New Roman"/>
        </w:rPr>
        <w:t>’</w:t>
      </w:r>
      <w:r w:rsidRPr="750671CE">
        <w:rPr>
          <w:rFonts w:ascii="Times New Roman" w:eastAsia="Times New Roman" w:hAnsi="Times New Roman" w:cs="Times New Roman"/>
        </w:rPr>
        <w:t>s response is to</w:t>
      </w:r>
      <w:r w:rsidR="00130A1C">
        <w:rPr>
          <w:rFonts w:ascii="Times New Roman" w:eastAsia="Times New Roman" w:hAnsi="Times New Roman" w:cs="Times New Roman"/>
        </w:rPr>
        <w:t xml:space="preserve"> say that this is a bad plea—</w:t>
      </w:r>
      <w:r w:rsidRPr="750671CE">
        <w:rPr>
          <w:rFonts w:ascii="Times New Roman" w:eastAsia="Times New Roman" w:hAnsi="Times New Roman" w:cs="Times New Roman"/>
        </w:rPr>
        <w:t>that the defendant may not plead both ways but must instead choose one plea or another. And the court agrees.</w:t>
      </w:r>
    </w:p>
    <w:p w14:paraId="38409432" w14:textId="77777777" w:rsidR="00A810E4" w:rsidRPr="00A810E4" w:rsidRDefault="00A810E4" w:rsidP="00A810E4">
      <w:pPr>
        <w:rPr>
          <w:rFonts w:ascii="Times New Roman" w:hAnsi="Times New Roman" w:cs="Times New Roman"/>
        </w:rPr>
      </w:pPr>
    </w:p>
    <w:p w14:paraId="2082138A" w14:textId="776E949A"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might wonder at the fairness of this: why put the defendant to the burden of specifying so precisely the kind of plea he means to enter?  Over time, the demanding and highly particular procedures of the common law became objects of derision and scorn.  It would seem the domain of pettifogging lawyers drawing obscure distinctions and laying traps for the unwary and untrained.  Our modern procedural system, since at </w:t>
      </w:r>
      <w:r w:rsidRPr="750671CE">
        <w:rPr>
          <w:rFonts w:ascii="Times New Roman" w:eastAsia="Times New Roman" w:hAnsi="Times New Roman" w:cs="Times New Roman"/>
        </w:rPr>
        <w:lastRenderedPageBreak/>
        <w:t>least the middle of the nineteenth century, has dropped the elaborate pleading requirements from the front end of civil actions.</w:t>
      </w:r>
    </w:p>
    <w:p w14:paraId="393452A6" w14:textId="77777777" w:rsidR="00A810E4" w:rsidRPr="00A810E4" w:rsidRDefault="00A810E4" w:rsidP="00A810E4">
      <w:pPr>
        <w:rPr>
          <w:rFonts w:ascii="Times New Roman" w:hAnsi="Times New Roman" w:cs="Times New Roman"/>
        </w:rPr>
      </w:pPr>
    </w:p>
    <w:p w14:paraId="27538904" w14:textId="62A5503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But the early modern system was not merely a device for generating fine distinctions and procedural niceties.  People rarely create arbitrary and capricious systems; we create institutions for reasons, and here the reason was that it served an important function.  The common law trial had no discovery stage: there was no sharing of information between the parties in advance of the trial.  The result was that the factual issues on which the jury would decide had to be narrowed by the pleadings lest one or both of the litigants risk being completely taken by surprise by his adversary</w:t>
      </w:r>
      <w:r w:rsidR="00B05F31">
        <w:rPr>
          <w:rFonts w:ascii="Times New Roman" w:eastAsia="Times New Roman" w:hAnsi="Times New Roman" w:cs="Times New Roman"/>
        </w:rPr>
        <w:t>’</w:t>
      </w:r>
      <w:r w:rsidRPr="750671CE">
        <w:rPr>
          <w:rFonts w:ascii="Times New Roman" w:eastAsia="Times New Roman" w:hAnsi="Times New Roman" w:cs="Times New Roman"/>
        </w:rPr>
        <w:t>s trial strategy and not have prepared witnesses or other evidence on the relevant story.  (Consider Serjeant Darnall</w:t>
      </w:r>
      <w:r w:rsidR="00B05F31">
        <w:rPr>
          <w:rFonts w:ascii="Times New Roman" w:eastAsia="Times New Roman" w:hAnsi="Times New Roman" w:cs="Times New Roman"/>
        </w:rPr>
        <w:t>’</w:t>
      </w:r>
      <w:r w:rsidRPr="750671CE">
        <w:rPr>
          <w:rFonts w:ascii="Times New Roman" w:eastAsia="Times New Roman" w:hAnsi="Times New Roman" w:cs="Times New Roman"/>
        </w:rPr>
        <w:t>s plea for the defendant in Gibbons: it impermissibly presented not one but two different factual defenses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complaint, first that the horse had been frightened by some third party or some other agency, and second that the injury was inevitable in the sense suggested by the court in </w:t>
      </w:r>
      <w:r w:rsidRPr="750671CE">
        <w:rPr>
          <w:rFonts w:ascii="Times New Roman" w:eastAsia="Times New Roman" w:hAnsi="Times New Roman" w:cs="Times New Roman"/>
          <w:i/>
          <w:iCs/>
        </w:rPr>
        <w:t>Weaver v. Ward</w:t>
      </w:r>
      <w:r w:rsidRPr="750671CE">
        <w:rPr>
          <w:rFonts w:ascii="Times New Roman" w:eastAsia="Times New Roman" w:hAnsi="Times New Roman" w:cs="Times New Roman"/>
        </w:rPr>
        <w:t>.)  The common law courts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insistence on extremely specific pleading was an effort to focus the proceedings on as narrow an issue as possible. </w:t>
      </w:r>
    </w:p>
    <w:p w14:paraId="4ABC28B5" w14:textId="77777777" w:rsidR="00A810E4" w:rsidRPr="00A810E4" w:rsidRDefault="00A810E4" w:rsidP="00A810E4">
      <w:pPr>
        <w:rPr>
          <w:rFonts w:ascii="Times New Roman" w:hAnsi="Times New Roman" w:cs="Times New Roman"/>
        </w:rPr>
      </w:pPr>
    </w:p>
    <w:p w14:paraId="2F7281D2" w14:textId="1EB77BD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Note that although to our eyes the common law</w:t>
      </w:r>
      <w:r w:rsidR="00B05F31">
        <w:rPr>
          <w:rFonts w:ascii="Times New Roman" w:eastAsia="Times New Roman" w:hAnsi="Times New Roman" w:cs="Times New Roman"/>
        </w:rPr>
        <w:t>’</w:t>
      </w:r>
      <w:r w:rsidRPr="750671CE">
        <w:rPr>
          <w:rFonts w:ascii="Times New Roman" w:eastAsia="Times New Roman" w:hAnsi="Times New Roman" w:cs="Times New Roman"/>
        </w:rPr>
        <w:t>s early pleading system may seem unappealing, our own procedural alternative is hardly free of dysfunction.  Recall first how incredibly expensive our system is.  The pretrial process by which parties share information with one another</w:t>
      </w:r>
      <w:r w:rsidR="00E17192">
        <w:rPr>
          <w:rFonts w:ascii="Times New Roman" w:eastAsia="Times New Roman" w:hAnsi="Times New Roman" w:cs="Times New Roman"/>
        </w:rPr>
        <w:t>—</w:t>
      </w:r>
      <w:r w:rsidRPr="750671CE">
        <w:rPr>
          <w:rFonts w:ascii="Times New Roman" w:eastAsia="Times New Roman" w:hAnsi="Times New Roman" w:cs="Times New Roman"/>
        </w:rPr>
        <w:t>discovery and depositions</w:t>
      </w:r>
      <w:r w:rsidR="00E17192">
        <w:rPr>
          <w:rFonts w:ascii="Times New Roman" w:eastAsia="Times New Roman" w:hAnsi="Times New Roman" w:cs="Times New Roman"/>
        </w:rPr>
        <w:t>—</w:t>
      </w:r>
      <w:r w:rsidRPr="750671CE">
        <w:rPr>
          <w:rFonts w:ascii="Times New Roman" w:eastAsia="Times New Roman" w:hAnsi="Times New Roman" w:cs="Times New Roman"/>
        </w:rPr>
        <w:t xml:space="preserve">is so overwhelmingly costly that many kinds of cases simply cannot be brought at all, at least not in an economical matter.  Recall also that our system has essentially brought an end to the civil trial altogether, since virtually all cases that do get brought settle in advance of trial.  Both of these characteristics of our system of trials may be traced directly to the reform of the common law pleading system.  The advent of elaborate pretrial processes like discovery became necessary once the common law pleading had been abolished.  In turn, discovery has turned out to be so expensive and to produce so much information at the pretrial stage that it has in most cases led the parties to settle rather than litigate to trial.  For more on this point, see John H. Langbein, </w:t>
      </w:r>
      <w:r w:rsidRPr="00C05AF5">
        <w:rPr>
          <w:rFonts w:ascii="Times New Roman" w:eastAsia="Times New Roman" w:hAnsi="Times New Roman" w:cs="Times New Roman"/>
          <w:i/>
        </w:rPr>
        <w:t>The Disappearance of Civil Trial in the United States</w:t>
      </w:r>
      <w:r w:rsidR="00C05AF5">
        <w:rPr>
          <w:rFonts w:ascii="Times New Roman" w:eastAsia="Times New Roman" w:hAnsi="Times New Roman" w:cs="Times New Roman"/>
        </w:rPr>
        <w:t>, 122 Y</w:t>
      </w:r>
      <w:r w:rsidR="00C05AF5" w:rsidRPr="00C05AF5">
        <w:rPr>
          <w:rFonts w:ascii="Times New Roman" w:eastAsia="Times New Roman" w:hAnsi="Times New Roman" w:cs="Times New Roman"/>
          <w:smallCaps/>
        </w:rPr>
        <w:t>ale</w:t>
      </w:r>
      <w:r w:rsidRPr="750671CE">
        <w:rPr>
          <w:rFonts w:ascii="Times New Roman" w:eastAsia="Times New Roman" w:hAnsi="Times New Roman" w:cs="Times New Roman"/>
        </w:rPr>
        <w:t xml:space="preserve"> L.J. 522 (2012).</w:t>
      </w:r>
    </w:p>
    <w:p w14:paraId="56EB1580" w14:textId="77777777" w:rsidR="00A810E4" w:rsidRPr="00A810E4" w:rsidRDefault="00A810E4" w:rsidP="00A810E4">
      <w:pPr>
        <w:rPr>
          <w:rFonts w:ascii="Times New Roman" w:hAnsi="Times New Roman" w:cs="Times New Roman"/>
        </w:rPr>
      </w:pPr>
    </w:p>
    <w:p w14:paraId="13A4C2E5" w14:textId="77777777" w:rsidR="00A810E4" w:rsidRPr="00A810E4" w:rsidRDefault="00A810E4" w:rsidP="00A810E4">
      <w:pPr>
        <w:rPr>
          <w:rFonts w:ascii="Times New Roman" w:hAnsi="Times New Roman" w:cs="Times New Roman"/>
        </w:rPr>
      </w:pPr>
    </w:p>
    <w:p w14:paraId="32D5742E" w14:textId="0017AFF8" w:rsidR="00A810E4" w:rsidRPr="00F94B7E" w:rsidRDefault="750671CE" w:rsidP="00F94B7E">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rPr>
        <w:t>Common law juries and the fault standard.</w:t>
      </w:r>
      <w:r w:rsidRPr="00F94B7E">
        <w:rPr>
          <w:rFonts w:ascii="Times New Roman" w:eastAsia="Times New Roman" w:hAnsi="Times New Roman" w:cs="Times New Roman"/>
        </w:rPr>
        <w:t xml:space="preserve">  Gibbons is important to us not only because the case illustrates the choices to be made in designing a procedural system, but also because it reveals more about the liability standard at common law for unintentional injuries.  The judges of King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Bench emphasize the centrality for the law of trespass of identifying the relevant actor.  To act and cause injury is to have committed a trespass. </w:t>
      </w:r>
    </w:p>
    <w:p w14:paraId="41D6C9E6" w14:textId="77777777" w:rsidR="00A810E4" w:rsidRPr="00A810E4" w:rsidRDefault="00A810E4" w:rsidP="00A810E4">
      <w:pPr>
        <w:rPr>
          <w:rFonts w:ascii="Times New Roman" w:hAnsi="Times New Roman" w:cs="Times New Roman"/>
        </w:rPr>
      </w:pPr>
    </w:p>
    <w:p w14:paraId="680C5771" w14:textId="6EC6C226"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But the penultimate line of G</w:t>
      </w:r>
      <w:r w:rsidR="00C05AF5">
        <w:rPr>
          <w:rFonts w:ascii="Times New Roman" w:eastAsia="Times New Roman" w:hAnsi="Times New Roman" w:cs="Times New Roman"/>
        </w:rPr>
        <w:t>ibbons suggests something more—</w:t>
      </w:r>
      <w:r w:rsidRPr="750671CE">
        <w:rPr>
          <w:rFonts w:ascii="Times New Roman" w:eastAsia="Times New Roman" w:hAnsi="Times New Roman" w:cs="Times New Roman"/>
        </w:rPr>
        <w:t xml:space="preserve">it indicates that at least some of the kinds of justifications and excuses that the defendant sought to offer could have been raised and litigated at the jury trial stage of the proceedings.  We have much less information about the jury trials in the early common law than we do about the pleadings that took place at Westminster.  Trial transcripts do not exist.  But the </w:t>
      </w:r>
      <w:r w:rsidRPr="750671CE">
        <w:rPr>
          <w:rFonts w:ascii="Times New Roman" w:eastAsia="Times New Roman" w:hAnsi="Times New Roman" w:cs="Times New Roman"/>
        </w:rPr>
        <w:lastRenderedPageBreak/>
        <w:t xml:space="preserve">suggestion of </w:t>
      </w:r>
      <w:r w:rsidRPr="750671CE">
        <w:rPr>
          <w:rFonts w:ascii="Times New Roman" w:eastAsia="Times New Roman" w:hAnsi="Times New Roman" w:cs="Times New Roman"/>
          <w:i/>
          <w:iCs/>
        </w:rPr>
        <w:t>Gibbons</w:t>
      </w:r>
      <w:r w:rsidRPr="750671CE">
        <w:rPr>
          <w:rFonts w:ascii="Times New Roman" w:eastAsia="Times New Roman" w:hAnsi="Times New Roman" w:cs="Times New Roman"/>
        </w:rPr>
        <w:t xml:space="preserve"> is that juries may have been making distinctions between the parties that were subtler than the relatively crude pleading categories.   </w:t>
      </w:r>
    </w:p>
    <w:p w14:paraId="3C83708E"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 </w:t>
      </w:r>
    </w:p>
    <w:p w14:paraId="1981BDA6" w14:textId="77777777" w:rsidR="00A810E4" w:rsidRPr="00A810E4" w:rsidRDefault="00A810E4" w:rsidP="00A810E4">
      <w:pPr>
        <w:rPr>
          <w:rFonts w:ascii="Times New Roman" w:hAnsi="Times New Roman" w:cs="Times New Roman"/>
        </w:rPr>
      </w:pPr>
    </w:p>
    <w:p w14:paraId="2155366A" w14:textId="041E341A" w:rsidR="00A810E4" w:rsidRPr="00F94B7E" w:rsidRDefault="750671CE" w:rsidP="00F94B7E">
      <w:pPr>
        <w:pStyle w:val="ListParagraph"/>
        <w:numPr>
          <w:ilvl w:val="0"/>
          <w:numId w:val="7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Gibbons</w:t>
      </w:r>
      <w:r w:rsidRPr="00F94B7E">
        <w:rPr>
          <w:rFonts w:ascii="Times New Roman" w:eastAsia="Times New Roman" w:hAnsi="Times New Roman" w:cs="Times New Roman"/>
        </w:rPr>
        <w:t xml:space="preserve"> foreshadowed a crisis for the rigid forms of the common law writ system.  The crisis was especially apparent in highway cases, particularly in carriage accidents.  The difficulty appeared in the following case:  </w:t>
      </w:r>
    </w:p>
    <w:p w14:paraId="5D154152" w14:textId="77777777" w:rsidR="00A810E4" w:rsidRPr="00A810E4" w:rsidRDefault="00A810E4" w:rsidP="00A810E4">
      <w:pPr>
        <w:rPr>
          <w:rFonts w:ascii="Times New Roman" w:hAnsi="Times New Roman" w:cs="Times New Roman"/>
        </w:rPr>
      </w:pPr>
    </w:p>
    <w:p w14:paraId="1377C534" w14:textId="77777777" w:rsidR="00A810E4" w:rsidRPr="00A810E4" w:rsidRDefault="00A810E4" w:rsidP="00A810E4">
      <w:pPr>
        <w:rPr>
          <w:rFonts w:ascii="Times New Roman" w:hAnsi="Times New Roman" w:cs="Times New Roman"/>
        </w:rPr>
      </w:pPr>
    </w:p>
    <w:p w14:paraId="74D50A45" w14:textId="77777777" w:rsidR="00A810E4" w:rsidRPr="00D615BC" w:rsidRDefault="00A810E4" w:rsidP="750671CE">
      <w:pPr>
        <w:rPr>
          <w:rFonts w:ascii="Times New Roman" w:eastAsia="Times New Roman" w:hAnsi="Times New Roman" w:cs="Times New Roman"/>
          <w:b/>
          <w:bCs/>
        </w:rPr>
      </w:pPr>
      <w:bookmarkStart w:id="155" w:name="_Toc518323241"/>
      <w:r w:rsidRPr="00441E5D">
        <w:rPr>
          <w:rStyle w:val="Heading3Char"/>
          <w:i/>
        </w:rPr>
        <w:t>Leame v. Bray</w:t>
      </w:r>
      <w:bookmarkEnd w:id="155"/>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 xml:space="preserve">102 Eng. Rep. 724 (K.B. 1803) </w:t>
      </w:r>
    </w:p>
    <w:p w14:paraId="2BF7E39E" w14:textId="77777777" w:rsidR="00A810E4" w:rsidRPr="00A810E4" w:rsidRDefault="00A810E4" w:rsidP="00A810E4">
      <w:pPr>
        <w:rPr>
          <w:rFonts w:ascii="Times New Roman" w:hAnsi="Times New Roman" w:cs="Times New Roman"/>
        </w:rPr>
      </w:pPr>
    </w:p>
    <w:p w14:paraId="5FE3E343" w14:textId="56567ED2"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[In a trespass action</w:t>
      </w:r>
      <w:r w:rsidR="00E17192">
        <w:rPr>
          <w:rFonts w:ascii="Times New Roman" w:eastAsia="Times New Roman" w:hAnsi="Times New Roman" w:cs="Times New Roman"/>
        </w:rPr>
        <w:t>,</w:t>
      </w:r>
      <w:r w:rsidRPr="750671CE">
        <w:rPr>
          <w:rFonts w:ascii="Times New Roman" w:eastAsia="Times New Roman" w:hAnsi="Times New Roman" w:cs="Times New Roman"/>
        </w:rPr>
        <w:t xml:space="preserve"> plaintiff declared that the defendant </w:t>
      </w:r>
      <w:r w:rsidR="00B05F31">
        <w:rPr>
          <w:rFonts w:ascii="Times New Roman" w:eastAsia="Times New Roman" w:hAnsi="Times New Roman" w:cs="Times New Roman"/>
        </w:rPr>
        <w:t>“</w:t>
      </w:r>
      <w:r w:rsidRPr="750671CE">
        <w:rPr>
          <w:rFonts w:ascii="Times New Roman" w:eastAsia="Times New Roman" w:hAnsi="Times New Roman" w:cs="Times New Roman"/>
        </w:rPr>
        <w:t>with force and arms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drove </w:t>
      </w:r>
      <w:r w:rsidR="00B05F31">
        <w:rPr>
          <w:rFonts w:ascii="Times New Roman" w:eastAsia="Times New Roman" w:hAnsi="Times New Roman" w:cs="Times New Roman"/>
        </w:rPr>
        <w:t>“</w:t>
      </w:r>
      <w:r w:rsidRPr="750671CE">
        <w:rPr>
          <w:rFonts w:ascii="Times New Roman" w:eastAsia="Times New Roman" w:hAnsi="Times New Roman" w:cs="Times New Roman"/>
        </w:rPr>
        <w:t>along the King</w:t>
      </w:r>
      <w:r w:rsidR="00B05F31">
        <w:rPr>
          <w:rFonts w:ascii="Times New Roman" w:eastAsia="Times New Roman" w:hAnsi="Times New Roman" w:cs="Times New Roman"/>
        </w:rPr>
        <w:t>’</w:t>
      </w:r>
      <w:r w:rsidRPr="750671CE">
        <w:rPr>
          <w:rFonts w:ascii="Times New Roman" w:eastAsia="Times New Roman" w:hAnsi="Times New Roman" w:cs="Times New Roman"/>
        </w:rPr>
        <w:t>s highway with such great force and violence upon and against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curricle drawn by two horses,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servant was thrown to the ground and plaintiff himself leapt to the ground and was injured as his horses fled in fright, fracturing his collar bone.  Defendant pleaded not guilty</w:t>
      </w:r>
      <w:r w:rsidR="00E17192">
        <w:rPr>
          <w:rFonts w:ascii="Times New Roman" w:eastAsia="Times New Roman" w:hAnsi="Times New Roman" w:cs="Times New Roman"/>
        </w:rPr>
        <w:t>,</w:t>
      </w:r>
      <w:r w:rsidRPr="750671CE">
        <w:rPr>
          <w:rFonts w:ascii="Times New Roman" w:eastAsia="Times New Roman" w:hAnsi="Times New Roman" w:cs="Times New Roman"/>
        </w:rPr>
        <w:t xml:space="preserve"> and the case went to trial where it appeared in evidence at trial before Lord Ellenborough</w:t>
      </w:r>
      <w:r w:rsidR="00C05AF5">
        <w:rPr>
          <w:rFonts w:ascii="Times New Roman" w:eastAsia="Times New Roman" w:hAnsi="Times New Roman" w:cs="Times New Roman"/>
        </w:rPr>
        <w:t>,</w:t>
      </w:r>
      <w:r w:rsidRPr="750671CE">
        <w:rPr>
          <w:rFonts w:ascii="Times New Roman" w:eastAsia="Times New Roman" w:hAnsi="Times New Roman" w:cs="Times New Roman"/>
        </w:rPr>
        <w:t xml:space="preserve"> C.J. that the accident occurred because the defendant drove his carriage on the wrong side of the road on a dark night.  The defendant objected that </w:t>
      </w:r>
      <w:r w:rsidR="00B05F31">
        <w:rPr>
          <w:rFonts w:ascii="Times New Roman" w:eastAsia="Times New Roman" w:hAnsi="Times New Roman" w:cs="Times New Roman"/>
        </w:rPr>
        <w:t>“</w:t>
      </w:r>
      <w:r w:rsidRPr="750671CE">
        <w:rPr>
          <w:rFonts w:ascii="Times New Roman" w:eastAsia="Times New Roman" w:hAnsi="Times New Roman" w:cs="Times New Roman"/>
        </w:rPr>
        <w:t>the injury having happened from negligence, and not wilfully, the proper remedy was by an action on the case and not of trespass vi et armis.  The trial judge dismissed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case as having been brought under the wrong writ.]</w:t>
      </w:r>
    </w:p>
    <w:p w14:paraId="44926A64" w14:textId="77777777" w:rsidR="00A810E4" w:rsidRPr="00A810E4" w:rsidRDefault="00A810E4" w:rsidP="00A810E4">
      <w:pPr>
        <w:rPr>
          <w:rFonts w:ascii="Times New Roman" w:hAnsi="Times New Roman" w:cs="Times New Roman"/>
        </w:rPr>
      </w:pPr>
    </w:p>
    <w:p w14:paraId="40084B21"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Gibbs and Park [for the defendant-respondent] now shewed cause against a rule for setting aside the nonsuit, and admitted that there were many precedents of trespass vi et armis for an injury immediately proceeding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ab/>
      </w:r>
    </w:p>
    <w:p w14:paraId="70B28CA8" w14:textId="2E4B8E89"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Erskine and Hovell [for the plaintiff-appellant] in support of the rule.  The distinction which was taken in Reynolds v. Clarke has been adopted in all the subsequent cases that where the immediate act itself occasions a prejudice or is an injury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person &amp;c. there trespass vi et armis will lie:  but where the act itself is not an injury, but a consequence from that act is prejudicial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person, &amp;c., there trespass vi et armis will not lie, but the proper remedy is by an action on the case. . . .  In none of the cases is it laid down as a branch of the distinction that the act done must be either wilful, or illegal, or violent, in order to maintain trespass: the only question is, whether the injury from it be immediate.</w:t>
      </w:r>
    </w:p>
    <w:p w14:paraId="0CCB0929" w14:textId="77777777" w:rsidR="00A810E4" w:rsidRPr="00A810E4" w:rsidRDefault="00A810E4" w:rsidP="00A810E4">
      <w:pPr>
        <w:rPr>
          <w:rFonts w:ascii="Times New Roman" w:hAnsi="Times New Roman" w:cs="Times New Roman"/>
        </w:rPr>
      </w:pPr>
    </w:p>
    <w:p w14:paraId="17BEFD63" w14:textId="15C184CB"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00F94B7E">
        <w:rPr>
          <w:rFonts w:ascii="Times New Roman" w:eastAsia="Times New Roman" w:hAnsi="Times New Roman" w:cs="Times New Roman"/>
          <w:smallCaps/>
        </w:rPr>
        <w:t>L</w:t>
      </w:r>
      <w:r w:rsidR="00FB7E9F" w:rsidRPr="00F94B7E">
        <w:rPr>
          <w:rFonts w:ascii="Times New Roman" w:eastAsia="Times New Roman" w:hAnsi="Times New Roman" w:cs="Times New Roman"/>
          <w:smallCaps/>
        </w:rPr>
        <w:t>ord Ellenborough</w:t>
      </w:r>
      <w:r w:rsidR="00C05AF5">
        <w:rPr>
          <w:rFonts w:ascii="Times New Roman" w:eastAsia="Times New Roman" w:hAnsi="Times New Roman" w:cs="Times New Roman"/>
        </w:rPr>
        <w:t>,</w:t>
      </w:r>
      <w:r w:rsidRPr="750671CE">
        <w:rPr>
          <w:rFonts w:ascii="Times New Roman" w:eastAsia="Times New Roman" w:hAnsi="Times New Roman" w:cs="Times New Roman"/>
        </w:rPr>
        <w:t xml:space="preserve"> C.J.  The true criterion seems to be according to what Lord C.J. de Grey says in </w:t>
      </w:r>
      <w:r w:rsidRPr="00C05AF5">
        <w:rPr>
          <w:rFonts w:ascii="Times New Roman" w:eastAsia="Times New Roman" w:hAnsi="Times New Roman" w:cs="Times New Roman"/>
          <w:i/>
        </w:rPr>
        <w:t>Scott v. Shepherd</w:t>
      </w:r>
      <w:r w:rsidRPr="750671CE">
        <w:rPr>
          <w:rFonts w:ascii="Times New Roman" w:eastAsia="Times New Roman" w:hAnsi="Times New Roman" w:cs="Times New Roman"/>
        </w:rPr>
        <w:t xml:space="preserve">, whether the plaintiff received an injury by force from the defendant.  If the injurious act be the immediate result of the force originally applied by the defendant, and the plaintiff by injured by it, it is the subject of an action of trespass </w:t>
      </w:r>
      <w:r w:rsidRPr="00C05AF5">
        <w:rPr>
          <w:rFonts w:ascii="Times New Roman" w:eastAsia="Times New Roman" w:hAnsi="Times New Roman" w:cs="Times New Roman"/>
          <w:i/>
        </w:rPr>
        <w:t>vi et armis</w:t>
      </w:r>
      <w:r w:rsidRPr="750671CE">
        <w:rPr>
          <w:rFonts w:ascii="Times New Roman" w:eastAsia="Times New Roman" w:hAnsi="Times New Roman" w:cs="Times New Roman"/>
        </w:rPr>
        <w:t xml:space="preserve"> by all the cases both ancient and modern.  It is immaterial whether the injury be wilful or not.  As is in the case alluded to by my brother Grose, </w:t>
      </w:r>
      <w:r w:rsidRPr="750671CE">
        <w:rPr>
          <w:rFonts w:ascii="Times New Roman" w:eastAsia="Times New Roman" w:hAnsi="Times New Roman" w:cs="Times New Roman"/>
        </w:rPr>
        <w:lastRenderedPageBreak/>
        <w:t>where on shooting at butts for a trial of skill with the bow and arrow, the weapon then in use, in itself a lawful act, and no unlawful purpose in view; yet having accidentally wounded a man, it was holden to be a trespass, being an immediate injury from an act of force by another.  Such als</w:t>
      </w:r>
      <w:r w:rsidR="00E12912" w:rsidRPr="750671CE">
        <w:rPr>
          <w:rFonts w:ascii="Times New Roman" w:eastAsia="Times New Roman" w:hAnsi="Times New Roman" w:cs="Times New Roman"/>
        </w:rPr>
        <w:t xml:space="preserve">o was the case of </w:t>
      </w:r>
      <w:r w:rsidR="00E12912" w:rsidRPr="750671CE">
        <w:rPr>
          <w:rFonts w:ascii="Times New Roman" w:eastAsia="Times New Roman" w:hAnsi="Times New Roman" w:cs="Times New Roman"/>
          <w:i/>
          <w:iCs/>
        </w:rPr>
        <w:t>Weaver v. Ward</w:t>
      </w:r>
      <w:r w:rsidRPr="750671CE">
        <w:rPr>
          <w:rFonts w:ascii="Times New Roman" w:eastAsia="Times New Roman" w:hAnsi="Times New Roman" w:cs="Times New Roman"/>
        </w:rPr>
        <w:t>, in Hob. 134, where a like unfortunate accident happened whilst persons were lawfully exercising themselves in arms.  So in none of the cases mentioned in Scott v. Shepherd did willfulness make any difference. . . .</w:t>
      </w:r>
    </w:p>
    <w:p w14:paraId="150B74C4" w14:textId="77777777" w:rsidR="00A810E4" w:rsidRPr="00A810E4" w:rsidRDefault="00A810E4" w:rsidP="00A810E4">
      <w:pPr>
        <w:rPr>
          <w:rFonts w:ascii="Times New Roman" w:hAnsi="Times New Roman" w:cs="Times New Roman"/>
        </w:rPr>
      </w:pPr>
    </w:p>
    <w:p w14:paraId="738B46B6" w14:textId="3C100DD4"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00F94B7E">
        <w:rPr>
          <w:rFonts w:ascii="Times New Roman" w:eastAsia="Times New Roman" w:hAnsi="Times New Roman" w:cs="Times New Roman"/>
          <w:smallCaps/>
        </w:rPr>
        <w:t>L</w:t>
      </w:r>
      <w:r w:rsidR="00FB7E9F" w:rsidRPr="00F94B7E">
        <w:rPr>
          <w:rFonts w:ascii="Times New Roman" w:eastAsia="Times New Roman" w:hAnsi="Times New Roman" w:cs="Times New Roman"/>
          <w:smallCaps/>
        </w:rPr>
        <w:t>e Blanc</w:t>
      </w:r>
      <w:r w:rsidR="00C05AF5">
        <w:rPr>
          <w:rFonts w:ascii="Times New Roman" w:eastAsia="Times New Roman" w:hAnsi="Times New Roman" w:cs="Times New Roman"/>
        </w:rPr>
        <w:t>,</w:t>
      </w:r>
      <w:r w:rsidRPr="750671CE">
        <w:rPr>
          <w:rFonts w:ascii="Times New Roman" w:eastAsia="Times New Roman" w:hAnsi="Times New Roman" w:cs="Times New Roman"/>
        </w:rPr>
        <w:t xml:space="preserve"> J.  In many of the cases the question has come before the Court upon a motion in arrest of judgment, where the Court in determining whether trespass or case were the proper remedy, have observed on the particular language of the declaration.  But in all the books the invariable principle to be collected is, that where the injury is immediate on the act done, there trespass lies; but where it is not immediate on the act done, but consequential, there the remedy is in case.  And the distinction is well instanced by the example put out of a man</w:t>
      </w:r>
      <w:r w:rsidR="00B05F31">
        <w:rPr>
          <w:rFonts w:ascii="Times New Roman" w:eastAsia="Times New Roman" w:hAnsi="Times New Roman" w:cs="Times New Roman"/>
        </w:rPr>
        <w:t>’</w:t>
      </w:r>
      <w:r w:rsidRPr="750671CE">
        <w:rPr>
          <w:rFonts w:ascii="Times New Roman" w:eastAsia="Times New Roman" w:hAnsi="Times New Roman" w:cs="Times New Roman"/>
        </w:rPr>
        <w:t>s throwing a log into the highway: if at the time of its being thrown it hit any person, it is trespass, but if after it be thrown, any person going along the road receive an injury by falling over it as it lies there, it is case.  Neither does the degree of violence with which the act is done make any difference: for if the log were put down in the most quiet way upon a man</w:t>
      </w:r>
      <w:r w:rsidR="00B05F31">
        <w:rPr>
          <w:rFonts w:ascii="Times New Roman" w:eastAsia="Times New Roman" w:hAnsi="Times New Roman" w:cs="Times New Roman"/>
        </w:rPr>
        <w:t>’</w:t>
      </w:r>
      <w:r w:rsidRPr="750671CE">
        <w:rPr>
          <w:rFonts w:ascii="Times New Roman" w:eastAsia="Times New Roman" w:hAnsi="Times New Roman" w:cs="Times New Roman"/>
        </w:rPr>
        <w:t>s foot, it would be trespass; but if thrown into the road with whatever violence, and one afterwards fall over it, it is case and not trespass.  So here, if the defendant had simply placed his chaise in the road, and the plaintiff had run against it in the dark, the injury would not have been direct, but in consequence only of the defendant</w:t>
      </w:r>
      <w:r w:rsidR="00B05F31">
        <w:rPr>
          <w:rFonts w:ascii="Times New Roman" w:eastAsia="Times New Roman" w:hAnsi="Times New Roman" w:cs="Times New Roman"/>
        </w:rPr>
        <w:t>’</w:t>
      </w:r>
      <w:r w:rsidR="00E12912" w:rsidRPr="750671CE">
        <w:rPr>
          <w:rFonts w:ascii="Times New Roman" w:eastAsia="Times New Roman" w:hAnsi="Times New Roman" w:cs="Times New Roman"/>
        </w:rPr>
        <w:t>s previous improper act.  Here</w:t>
      </w:r>
      <w:r w:rsidRPr="750671CE">
        <w:rPr>
          <w:rFonts w:ascii="Times New Roman" w:eastAsia="Times New Roman" w:hAnsi="Times New Roman" w:cs="Times New Roman"/>
        </w:rPr>
        <w:t xml:space="preserve"> however the defendant was driving the carriage at the time with the force necessary to move it along, and the injury to the plaintiff happened from that immediate act:  therefore the remedy must be trespass: and all the cases will support that principle.  </w:t>
      </w:r>
    </w:p>
    <w:p w14:paraId="4124A735" w14:textId="77777777" w:rsidR="00A810E4" w:rsidRPr="00A810E4" w:rsidRDefault="00A810E4">
      <w:pPr>
        <w:rPr>
          <w:rFonts w:ascii="Times New Roman" w:hAnsi="Times New Roman" w:cs="Times New Roman"/>
        </w:rPr>
      </w:pPr>
    </w:p>
    <w:p w14:paraId="362F7618" w14:textId="77777777" w:rsidR="00A810E4" w:rsidRPr="00A810E4" w:rsidRDefault="00A810E4">
      <w:pPr>
        <w:rPr>
          <w:rFonts w:ascii="Times New Roman" w:hAnsi="Times New Roman" w:cs="Times New Roman"/>
        </w:rPr>
      </w:pPr>
    </w:p>
    <w:p w14:paraId="55D24864" w14:textId="77777777" w:rsidR="00A810E4" w:rsidRPr="00A810E4" w:rsidRDefault="00A810E4" w:rsidP="002502CC">
      <w:pPr>
        <w:pStyle w:val="Heading4"/>
      </w:pPr>
      <w:bookmarkStart w:id="156" w:name="_Toc364636074"/>
      <w:bookmarkStart w:id="157" w:name="_Toc518323242"/>
      <w:r w:rsidRPr="00A810E4">
        <w:t>Note</w:t>
      </w:r>
      <w:bookmarkEnd w:id="156"/>
      <w:bookmarkEnd w:id="157"/>
    </w:p>
    <w:p w14:paraId="7F2FFDB7" w14:textId="77777777" w:rsidR="00A810E4" w:rsidRDefault="00A810E4" w:rsidP="006F1186">
      <w:pPr>
        <w:rPr>
          <w:rFonts w:ascii="Times New Roman" w:hAnsi="Times New Roman" w:cs="Times New Roman"/>
        </w:rPr>
      </w:pPr>
    </w:p>
    <w:p w14:paraId="37D68573" w14:textId="77777777" w:rsidR="006F1186" w:rsidRPr="00A810E4" w:rsidRDefault="006F1186" w:rsidP="006F1186">
      <w:pPr>
        <w:rPr>
          <w:rFonts w:ascii="Times New Roman" w:hAnsi="Times New Roman" w:cs="Times New Roman"/>
        </w:rPr>
      </w:pPr>
    </w:p>
    <w:p w14:paraId="6F254A11" w14:textId="4D3E7B07" w:rsidR="00A810E4" w:rsidRPr="00C05AF5" w:rsidRDefault="750671CE" w:rsidP="00BB34A5">
      <w:pPr>
        <w:pStyle w:val="ListParagraph"/>
        <w:numPr>
          <w:ilvl w:val="0"/>
          <w:numId w:val="8"/>
        </w:numPr>
        <w:ind w:left="0" w:firstLine="360"/>
        <w:rPr>
          <w:rFonts w:ascii="Times New Roman" w:eastAsia="Times New Roman" w:hAnsi="Times New Roman" w:cs="Times New Roman"/>
        </w:rPr>
      </w:pPr>
      <w:r w:rsidRPr="00C05AF5">
        <w:rPr>
          <w:rFonts w:ascii="Times New Roman" w:eastAsia="Times New Roman" w:hAnsi="Times New Roman" w:cs="Times New Roman"/>
          <w:i/>
        </w:rPr>
        <w:t>The problem of surprise.</w:t>
      </w:r>
      <w:r w:rsidRPr="00C05AF5">
        <w:rPr>
          <w:rFonts w:ascii="Times New Roman" w:eastAsia="Times New Roman" w:hAnsi="Times New Roman" w:cs="Times New Roman"/>
        </w:rPr>
        <w:t xml:space="preserve">  In </w:t>
      </w:r>
      <w:r w:rsidRPr="00C05AF5">
        <w:rPr>
          <w:rFonts w:ascii="Times New Roman" w:eastAsia="Times New Roman" w:hAnsi="Times New Roman" w:cs="Times New Roman"/>
          <w:i/>
          <w:iCs/>
        </w:rPr>
        <w:t>Leame</w:t>
      </w:r>
      <w:r w:rsidRPr="00C05AF5">
        <w:rPr>
          <w:rFonts w:ascii="Times New Roman" w:eastAsia="Times New Roman" w:hAnsi="Times New Roman" w:cs="Times New Roman"/>
        </w:rPr>
        <w:t>, the trial judge saw the writ of trespass as inappropriate for non-willful carriage accidents arising out of mere negligence, because there was no willful injury.  The defendant here, after all, did not intend to be on the wrong side of the road.  But the trial court was reversed on appeal. Why the reversal?  One consideration might have been that requiring plaintiffs to use the writ of trespass on the case in highway cases would put them at risk of being surprised at trial by testimony that the defendant actually intended to strike them.  In an intentional or willful highway collision, only trespass would be appropriate.  And so the justices of King</w:t>
      </w:r>
      <w:r w:rsidR="00B05F31">
        <w:rPr>
          <w:rFonts w:ascii="Times New Roman" w:eastAsia="Times New Roman" w:hAnsi="Times New Roman" w:cs="Times New Roman"/>
        </w:rPr>
        <w:t>’</w:t>
      </w:r>
      <w:r w:rsidRPr="00C05AF5">
        <w:rPr>
          <w:rFonts w:ascii="Times New Roman" w:eastAsia="Times New Roman" w:hAnsi="Times New Roman" w:cs="Times New Roman"/>
        </w:rPr>
        <w:t xml:space="preserve">s Bench concluded that a plaintiff such as the plaintiff in </w:t>
      </w:r>
      <w:r w:rsidRPr="00C05AF5">
        <w:rPr>
          <w:rFonts w:ascii="Times New Roman" w:eastAsia="Times New Roman" w:hAnsi="Times New Roman" w:cs="Times New Roman"/>
          <w:i/>
          <w:iCs/>
        </w:rPr>
        <w:t>Leame</w:t>
      </w:r>
      <w:r w:rsidRPr="00C05AF5">
        <w:rPr>
          <w:rFonts w:ascii="Times New Roman" w:eastAsia="Times New Roman" w:hAnsi="Times New Roman" w:cs="Times New Roman"/>
        </w:rPr>
        <w:t xml:space="preserve"> had to be allowed to move forward in trespass, even in actions for mere negligence.</w:t>
      </w:r>
    </w:p>
    <w:p w14:paraId="0497604C" w14:textId="77777777" w:rsidR="00A810E4" w:rsidRPr="00A810E4" w:rsidRDefault="00A810E4" w:rsidP="00A810E4">
      <w:pPr>
        <w:rPr>
          <w:rFonts w:ascii="Times New Roman" w:hAnsi="Times New Roman" w:cs="Times New Roman"/>
        </w:rPr>
      </w:pPr>
    </w:p>
    <w:p w14:paraId="3E55E94C" w14:textId="66FCE4D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difficulty that soon became apparent is that plaintiffs moving forward in case face the same risk of surprise: if facts emerged at trial to suggest that the proper writ was trespass, the same difficulty of surprise would arise once more, which is precisely what happened in </w:t>
      </w:r>
      <w:r w:rsidRPr="750671CE">
        <w:rPr>
          <w:rFonts w:ascii="Times New Roman" w:eastAsia="Times New Roman" w:hAnsi="Times New Roman" w:cs="Times New Roman"/>
          <w:i/>
          <w:iCs/>
        </w:rPr>
        <w:t>Williams v. Holland</w:t>
      </w:r>
      <w:r w:rsidRPr="750671CE">
        <w:rPr>
          <w:rFonts w:ascii="Times New Roman" w:eastAsia="Times New Roman" w:hAnsi="Times New Roman" w:cs="Times New Roman"/>
        </w:rPr>
        <w:t>:</w:t>
      </w:r>
    </w:p>
    <w:p w14:paraId="072C99BA" w14:textId="77777777" w:rsidR="00A810E4" w:rsidRPr="00A810E4" w:rsidRDefault="00A810E4" w:rsidP="750671CE">
      <w:pPr>
        <w:rPr>
          <w:rFonts w:ascii="Times New Roman" w:eastAsia="Times New Roman" w:hAnsi="Times New Roman" w:cs="Times New Roman"/>
        </w:rPr>
      </w:pPr>
      <w:bookmarkStart w:id="158" w:name="_Toc518323243"/>
      <w:r w:rsidRPr="00441E5D">
        <w:rPr>
          <w:rStyle w:val="Heading3Char"/>
          <w:i/>
        </w:rPr>
        <w:lastRenderedPageBreak/>
        <w:t>Williams v. Holland</w:t>
      </w:r>
      <w:bookmarkEnd w:id="158"/>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131 Eng. Rep. 848 (C.P. 1833)</w:t>
      </w:r>
    </w:p>
    <w:p w14:paraId="5512213A" w14:textId="77777777" w:rsidR="00A810E4" w:rsidRPr="00A810E4" w:rsidRDefault="00A810E4" w:rsidP="00A810E4">
      <w:pPr>
        <w:rPr>
          <w:rFonts w:ascii="Times New Roman" w:hAnsi="Times New Roman" w:cs="Times New Roman"/>
        </w:rPr>
      </w:pPr>
    </w:p>
    <w:p w14:paraId="339191CD" w14:textId="3FE5BE24"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[John Williams, the son and servant of the plaintiff and Mary Ann Williams, the infant daughter of the Plaintiff, were riding in horse-drawn cart along a public highway when the defendant </w:t>
      </w:r>
      <w:r w:rsidR="00B05F31">
        <w:rPr>
          <w:rFonts w:ascii="Times New Roman" w:eastAsia="Times New Roman" w:hAnsi="Times New Roman" w:cs="Times New Roman"/>
        </w:rPr>
        <w:t>“</w:t>
      </w:r>
      <w:r w:rsidRPr="750671CE">
        <w:rPr>
          <w:rFonts w:ascii="Times New Roman" w:eastAsia="Times New Roman" w:hAnsi="Times New Roman" w:cs="Times New Roman"/>
        </w:rPr>
        <w:t>so carelessly, unskillfully, and improperly drove, governed, and directed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his horse-drawn gig that </w:t>
      </w:r>
      <w:r w:rsidR="00B05F31">
        <w:rPr>
          <w:rFonts w:ascii="Times New Roman" w:eastAsia="Times New Roman" w:hAnsi="Times New Roman" w:cs="Times New Roman"/>
        </w:rPr>
        <w:t>“</w:t>
      </w:r>
      <w:r w:rsidRPr="750671CE">
        <w:rPr>
          <w:rFonts w:ascii="Times New Roman" w:eastAsia="Times New Roman" w:hAnsi="Times New Roman" w:cs="Times New Roman"/>
        </w:rPr>
        <w:t>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injuring John and Mary Ann and depriving the plaintiff of the service of his son and putting him to the expense of doctor</w:t>
      </w:r>
      <w:r w:rsidR="00B05F31">
        <w:rPr>
          <w:rFonts w:ascii="Times New Roman" w:eastAsia="Times New Roman" w:hAnsi="Times New Roman" w:cs="Times New Roman"/>
        </w:rPr>
        <w:t>’</w:t>
      </w:r>
      <w:r w:rsidRPr="750671CE">
        <w:rPr>
          <w:rFonts w:ascii="Times New Roman" w:eastAsia="Times New Roman" w:hAnsi="Times New Roman" w:cs="Times New Roman"/>
        </w:rPr>
        <w:t>s bills.  The defendant pled not guilty.]</w:t>
      </w:r>
    </w:p>
    <w:p w14:paraId="7293363E" w14:textId="77777777" w:rsidR="00A810E4" w:rsidRPr="00A810E4" w:rsidRDefault="00A810E4" w:rsidP="00A810E4">
      <w:pPr>
        <w:rPr>
          <w:rFonts w:ascii="Times New Roman" w:hAnsi="Times New Roman" w:cs="Times New Roman"/>
        </w:rPr>
      </w:pPr>
    </w:p>
    <w:p w14:paraId="1494E163" w14:textId="08B7E85C"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At the trial before Tindal</w:t>
      </w:r>
      <w:r w:rsidR="00C77096">
        <w:rPr>
          <w:rFonts w:ascii="Times New Roman" w:eastAsia="Times New Roman" w:hAnsi="Times New Roman" w:cs="Times New Roman"/>
        </w:rPr>
        <w:t>,</w:t>
      </w:r>
      <w:r w:rsidRPr="750671CE">
        <w:rPr>
          <w:rFonts w:ascii="Times New Roman" w:eastAsia="Times New Roman" w:hAnsi="Times New Roman" w:cs="Times New Roman"/>
        </w:rPr>
        <w:t xml:space="preserve"> C. J., it appeared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cart was standing at the side of a road twenty-four feet wide, with the near wheel on the footway, when the Defendant in a gig, and, in the act of racing with another gig, drove against the cart, upset and broke it to pieces . . . . The defence was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horse had run away with him.  And the Chief Justice left it to the jury to say whether the collision was the result of accident, or of negligence and carelessness in the defendant.  The jury found the latter, and gave a verdict with damages for the Plaintiff.  It was also contended, on the part of the Defendant, that the action was misconceived, and ought to have been trespass instead of case.  The Chief Justice having reserved that point for the consideration of the Court, Bompas Serjt. obtained thereupon, a rule nisi to set aside t</w:t>
      </w:r>
      <w:r w:rsidR="00C77096">
        <w:rPr>
          <w:rFonts w:ascii="Times New Roman" w:eastAsia="Times New Roman" w:hAnsi="Times New Roman" w:cs="Times New Roman"/>
        </w:rPr>
        <w:t>he verdict and enter a nonsuit.</w:t>
      </w:r>
    </w:p>
    <w:p w14:paraId="2E9745FE" w14:textId="77777777" w:rsidR="00A810E4" w:rsidRPr="00A810E4" w:rsidRDefault="00A810E4" w:rsidP="00A810E4">
      <w:pPr>
        <w:rPr>
          <w:rFonts w:ascii="Times New Roman" w:hAnsi="Times New Roman" w:cs="Times New Roman"/>
        </w:rPr>
      </w:pPr>
    </w:p>
    <w:p w14:paraId="7C64EF7F" w14:textId="4EEF4CB1"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Jones Serjt. [for the plaintiff], who shewed cause, contended, that the result of all the cases on this subject was, that where the act complained of is immediate and wilful, the remedy is only by action of trespass; where the act is immediate, but occasioned by negligence or carelessness, the remedy is either by trespass or case; where the act is unimmediate, the remedy is by case only.  [</w:t>
      </w:r>
      <w:r w:rsidR="00E17192">
        <w:rPr>
          <w:rFonts w:ascii="Times New Roman" w:eastAsia="Times New Roman" w:hAnsi="Times New Roman" w:cs="Times New Roman"/>
        </w:rPr>
        <w:t>C</w:t>
      </w:r>
      <w:r w:rsidRPr="750671CE">
        <w:rPr>
          <w:rFonts w:ascii="Times New Roman" w:eastAsia="Times New Roman" w:hAnsi="Times New Roman" w:cs="Times New Roman"/>
        </w:rPr>
        <w:t xml:space="preserve">iting </w:t>
      </w:r>
      <w:r w:rsidRPr="00BC02F7">
        <w:rPr>
          <w:rFonts w:ascii="Times New Roman" w:eastAsia="Times New Roman" w:hAnsi="Times New Roman" w:cs="Times New Roman"/>
          <w:i/>
        </w:rPr>
        <w:t>Weaver v. Ward</w:t>
      </w:r>
      <w:r w:rsidRPr="750671CE">
        <w:rPr>
          <w:rFonts w:ascii="Times New Roman" w:eastAsia="Times New Roman" w:hAnsi="Times New Roman" w:cs="Times New Roman"/>
        </w:rPr>
        <w:t xml:space="preserve">, </w:t>
      </w:r>
      <w:r w:rsidRPr="00BC02F7">
        <w:rPr>
          <w:rFonts w:ascii="Times New Roman" w:eastAsia="Times New Roman" w:hAnsi="Times New Roman" w:cs="Times New Roman"/>
          <w:i/>
        </w:rPr>
        <w:t>Reynolds v. Clarke</w:t>
      </w:r>
      <w:r w:rsidRPr="750671CE">
        <w:rPr>
          <w:rFonts w:ascii="Times New Roman" w:eastAsia="Times New Roman" w:hAnsi="Times New Roman" w:cs="Times New Roman"/>
        </w:rPr>
        <w:t xml:space="preserve">, </w:t>
      </w:r>
      <w:r w:rsidRPr="00BC02F7">
        <w:rPr>
          <w:rFonts w:ascii="Times New Roman" w:eastAsia="Times New Roman" w:hAnsi="Times New Roman" w:cs="Times New Roman"/>
          <w:i/>
        </w:rPr>
        <w:t>Scott v. Shepherd</w:t>
      </w:r>
      <w:r w:rsidRPr="750671CE">
        <w:rPr>
          <w:rFonts w:ascii="Times New Roman" w:eastAsia="Times New Roman" w:hAnsi="Times New Roman" w:cs="Times New Roman"/>
        </w:rPr>
        <w:t xml:space="preserve">, and </w:t>
      </w:r>
      <w:r w:rsidRPr="00BC02F7">
        <w:rPr>
          <w:rFonts w:ascii="Times New Roman" w:eastAsia="Times New Roman" w:hAnsi="Times New Roman" w:cs="Times New Roman"/>
          <w:i/>
        </w:rPr>
        <w:t>Leame v. Bray</w:t>
      </w:r>
      <w:r w:rsidRPr="750671CE">
        <w:rPr>
          <w:rFonts w:ascii="Times New Roman" w:eastAsia="Times New Roman" w:hAnsi="Times New Roman" w:cs="Times New Roman"/>
        </w:rPr>
        <w:t>]</w:t>
      </w:r>
    </w:p>
    <w:p w14:paraId="4744CD41" w14:textId="77777777" w:rsidR="00A810E4" w:rsidRPr="00A810E4" w:rsidRDefault="00A810E4" w:rsidP="00A810E4">
      <w:pPr>
        <w:rPr>
          <w:rFonts w:ascii="Times New Roman" w:hAnsi="Times New Roman" w:cs="Times New Roman"/>
        </w:rPr>
      </w:pPr>
    </w:p>
    <w:p w14:paraId="358302AB" w14:textId="0B5C31A8"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Bompas [for the defendant], in support of his rule, insisted, that the effect of all the authorities is, that when the act complained of is immediate, whether it be willful or the result of negligence, the remedy is by trespass only. </w:t>
      </w:r>
    </w:p>
    <w:p w14:paraId="7E0A1B9B" w14:textId="77777777" w:rsidR="00A810E4" w:rsidRPr="00A810E4" w:rsidRDefault="00A810E4" w:rsidP="00A810E4">
      <w:pPr>
        <w:rPr>
          <w:rFonts w:ascii="Times New Roman" w:hAnsi="Times New Roman" w:cs="Times New Roman"/>
        </w:rPr>
      </w:pPr>
    </w:p>
    <w:p w14:paraId="64D20011" w14:textId="2806951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w:t>
      </w:r>
      <w:r w:rsidR="00FB7E9F" w:rsidRPr="00F94B7E">
        <w:rPr>
          <w:rFonts w:ascii="Times New Roman" w:eastAsia="Times New Roman" w:hAnsi="Times New Roman" w:cs="Times New Roman"/>
          <w:smallCaps/>
        </w:rPr>
        <w:t>indal</w:t>
      </w:r>
      <w:r w:rsidR="00FB7E9F">
        <w:rPr>
          <w:rFonts w:ascii="Times New Roman" w:eastAsia="Times New Roman" w:hAnsi="Times New Roman" w:cs="Times New Roman"/>
        </w:rPr>
        <w:t>,</w:t>
      </w:r>
      <w:r w:rsidRPr="750671CE">
        <w:rPr>
          <w:rFonts w:ascii="Times New Roman" w:eastAsia="Times New Roman" w:hAnsi="Times New Roman" w:cs="Times New Roman"/>
        </w:rPr>
        <w:t xml:space="preserve"> C.J.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counsel  in  support  of  this  objection, that  of </w:t>
      </w:r>
      <w:r w:rsidRPr="750671CE">
        <w:rPr>
          <w:rFonts w:ascii="Times New Roman" w:eastAsia="Times New Roman" w:hAnsi="Times New Roman" w:cs="Times New Roman"/>
          <w:i/>
          <w:iCs/>
        </w:rPr>
        <w:t>Leame v. Bray</w:t>
      </w:r>
      <w:r w:rsidRPr="750671CE">
        <w:rPr>
          <w:rFonts w:ascii="Times New Roman" w:eastAsia="Times New Roman" w:hAnsi="Times New Roman" w:cs="Times New Roman"/>
        </w:rPr>
        <w:t xml:space="preserve"> (3 East, 593) was principally relied upon as an authority in point.</w:t>
      </w:r>
    </w:p>
    <w:p w14:paraId="675988A1" w14:textId="77777777" w:rsidR="00A810E4" w:rsidRPr="00A810E4" w:rsidRDefault="00A810E4" w:rsidP="00A810E4">
      <w:pPr>
        <w:rPr>
          <w:rFonts w:ascii="Times New Roman" w:hAnsi="Times New Roman" w:cs="Times New Roman"/>
        </w:rPr>
      </w:pPr>
    </w:p>
    <w:p w14:paraId="70DB7D60"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present objection ought not to prevail, unless some positive and inflexible rule of law, or some authority too strong to be overcome, is brought forward in its support. If such are to be found, they must, undoubtedly, be adhered to; for settled forms of action, adapted to different grievances, contribute much to the certain administration of justice.</w:t>
      </w:r>
    </w:p>
    <w:p w14:paraId="2F65B381" w14:textId="77777777" w:rsidR="00A810E4" w:rsidRPr="00A810E4" w:rsidRDefault="00A810E4" w:rsidP="00A810E4">
      <w:pPr>
        <w:rPr>
          <w:rFonts w:ascii="Times New Roman" w:hAnsi="Times New Roman" w:cs="Times New Roman"/>
        </w:rPr>
      </w:pPr>
    </w:p>
    <w:p w14:paraId="6BA4176E" w14:textId="5E47B5B1"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But upon examining the cases cited in argument, both in support of, and in answer to, the objection, we cann</w:t>
      </w:r>
      <w:r w:rsidR="00BC02F7">
        <w:rPr>
          <w:rFonts w:ascii="Times New Roman" w:eastAsia="Times New Roman" w:hAnsi="Times New Roman" w:cs="Times New Roman"/>
        </w:rPr>
        <w:t xml:space="preserve">ot find one </w:t>
      </w:r>
      <w:r w:rsidRPr="750671CE">
        <w:rPr>
          <w:rFonts w:ascii="Times New Roman" w:eastAsia="Times New Roman" w:hAnsi="Times New Roman" w:cs="Times New Roman"/>
        </w:rPr>
        <w:t>in which it is distinctly  held, that the present form of action is not maintainable  under the circumstances of this case.</w:t>
      </w:r>
    </w:p>
    <w:p w14:paraId="1123C050" w14:textId="77777777" w:rsidR="00A810E4" w:rsidRPr="00A810E4" w:rsidRDefault="00A810E4" w:rsidP="00A810E4">
      <w:pPr>
        <w:rPr>
          <w:rFonts w:ascii="Times New Roman" w:hAnsi="Times New Roman" w:cs="Times New Roman"/>
        </w:rPr>
      </w:pPr>
    </w:p>
    <w:p w14:paraId="23957F87" w14:textId="3760D4F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For as to </w:t>
      </w:r>
      <w:r w:rsidRPr="750671CE">
        <w:rPr>
          <w:rFonts w:ascii="Times New Roman" w:eastAsia="Times New Roman" w:hAnsi="Times New Roman" w:cs="Times New Roman"/>
          <w:i/>
          <w:iCs/>
        </w:rPr>
        <w:t>Leame v. Bray</w:t>
      </w:r>
      <w:r w:rsidRPr="750671CE">
        <w:rPr>
          <w:rFonts w:ascii="Times New Roman" w:eastAsia="Times New Roman" w:hAnsi="Times New Roman" w:cs="Times New Roman"/>
        </w:rPr>
        <w:t>, on which the principal reliance is placed by the Defendant, in which the form of actio</w:t>
      </w:r>
      <w:r w:rsidR="00BC02F7">
        <w:rPr>
          <w:rFonts w:ascii="Times New Roman" w:eastAsia="Times New Roman" w:hAnsi="Times New Roman" w:cs="Times New Roman"/>
        </w:rPr>
        <w:t xml:space="preserve">n was trespass, and </w:t>
      </w:r>
      <w:r w:rsidRPr="750671CE">
        <w:rPr>
          <w:rFonts w:ascii="Times New Roman" w:eastAsia="Times New Roman" w:hAnsi="Times New Roman" w:cs="Times New Roman"/>
        </w:rPr>
        <w:t>the circumstances very nearly</w:t>
      </w:r>
      <w:r w:rsidR="00FB7E9F">
        <w:rPr>
          <w:rFonts w:ascii="Times New Roman" w:eastAsia="Times New Roman" w:hAnsi="Times New Roman" w:cs="Times New Roman"/>
        </w:rPr>
        <w:t xml:space="preserve"> </w:t>
      </w:r>
      <w:r w:rsidRPr="750671CE">
        <w:rPr>
          <w:rFonts w:ascii="Times New Roman" w:eastAsia="Times New Roman" w:hAnsi="Times New Roman" w:cs="Times New Roman"/>
        </w:rPr>
        <w:t xml:space="preserve">the same as those in the case now under consideration, the only rule established is, that an action of trespass might be maintained, not that an action on the case could not. The case of </w:t>
      </w:r>
      <w:r w:rsidRPr="750671CE">
        <w:rPr>
          <w:rFonts w:ascii="Times New Roman" w:eastAsia="Times New Roman" w:hAnsi="Times New Roman" w:cs="Times New Roman"/>
          <w:i/>
          <w:iCs/>
        </w:rPr>
        <w:t>Savignac v. Roome</w:t>
      </w:r>
      <w:r w:rsidRPr="750671CE">
        <w:rPr>
          <w:rFonts w:ascii="Times New Roman" w:eastAsia="Times New Roman" w:hAnsi="Times New Roman" w:cs="Times New Roman"/>
        </w:rPr>
        <w:t>, in which the Court held that case would not lie where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servant willfully drove against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carriage, was founded on the principle, that no action would lie against the master for the wilful act of his servant . . . .</w:t>
      </w:r>
    </w:p>
    <w:p w14:paraId="394A15F1" w14:textId="77777777" w:rsidR="00A810E4" w:rsidRPr="00A810E4" w:rsidRDefault="00A810E4" w:rsidP="00A810E4">
      <w:pPr>
        <w:rPr>
          <w:rFonts w:ascii="Times New Roman" w:hAnsi="Times New Roman" w:cs="Times New Roman"/>
        </w:rPr>
      </w:pPr>
    </w:p>
    <w:p w14:paraId="6A38855B"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hold it, however, to be unnecessary, to examine very minutely the grounds of the various decisions; for the late case of </w:t>
      </w:r>
      <w:r w:rsidRPr="750671CE">
        <w:rPr>
          <w:rFonts w:ascii="Times New Roman" w:eastAsia="Times New Roman" w:hAnsi="Times New Roman" w:cs="Times New Roman"/>
          <w:i/>
          <w:iCs/>
        </w:rPr>
        <w:t>Moreton v. Hardern and Others</w:t>
      </w:r>
      <w:r w:rsidRPr="750671CE">
        <w:rPr>
          <w:rFonts w:ascii="Times New Roman" w:eastAsia="Times New Roman" w:hAnsi="Times New Roman" w:cs="Times New Roman"/>
        </w:rPr>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  It has been urged, indeed, in answer to [</w:t>
      </w:r>
      <w:r w:rsidRPr="750671CE">
        <w:rPr>
          <w:rFonts w:ascii="Times New Roman" w:eastAsia="Times New Roman" w:hAnsi="Times New Roman" w:cs="Times New Roman"/>
          <w:i/>
          <w:iCs/>
        </w:rPr>
        <w:t>Moreton v. Hardern</w:t>
      </w:r>
      <w:r w:rsidRPr="750671CE">
        <w:rPr>
          <w:rFonts w:ascii="Times New Roman" w:eastAsia="Times New Roman" w:hAnsi="Times New Roman" w:cs="Times New Roman"/>
        </w:rPr>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  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A810E4" w:rsidRDefault="00A810E4" w:rsidP="00A810E4">
      <w:pPr>
        <w:rPr>
          <w:rFonts w:ascii="Times New Roman" w:hAnsi="Times New Roman" w:cs="Times New Roman"/>
        </w:rPr>
      </w:pPr>
    </w:p>
    <w:p w14:paraId="4184F729"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A810E4" w:rsidRDefault="00A810E4" w:rsidP="00A810E4">
      <w:pPr>
        <w:rPr>
          <w:rFonts w:ascii="Times New Roman" w:hAnsi="Times New Roman" w:cs="Times New Roman"/>
        </w:rPr>
      </w:pPr>
    </w:p>
    <w:p w14:paraId="662C1758" w14:textId="77777777" w:rsidR="00A810E4" w:rsidRPr="00A810E4" w:rsidRDefault="00A810E4" w:rsidP="006F1186">
      <w:pPr>
        <w:rPr>
          <w:rFonts w:ascii="Times New Roman" w:hAnsi="Times New Roman" w:cs="Times New Roman"/>
        </w:rPr>
      </w:pPr>
    </w:p>
    <w:p w14:paraId="448882C7" w14:textId="77777777" w:rsidR="00A810E4" w:rsidRPr="00A810E4" w:rsidRDefault="00A810E4" w:rsidP="002502CC">
      <w:pPr>
        <w:pStyle w:val="Heading4"/>
      </w:pPr>
      <w:bookmarkStart w:id="159" w:name="_Toc364636075"/>
      <w:bookmarkStart w:id="160" w:name="_Toc518323244"/>
      <w:r w:rsidRPr="00A810E4">
        <w:t>Notes</w:t>
      </w:r>
      <w:bookmarkEnd w:id="159"/>
      <w:bookmarkEnd w:id="160"/>
    </w:p>
    <w:p w14:paraId="440DF724" w14:textId="77777777" w:rsidR="00A810E4" w:rsidRDefault="00A810E4">
      <w:pPr>
        <w:rPr>
          <w:rFonts w:ascii="Times New Roman" w:hAnsi="Times New Roman" w:cs="Times New Roman"/>
        </w:rPr>
      </w:pPr>
    </w:p>
    <w:p w14:paraId="16834A0C" w14:textId="77777777" w:rsidR="006F1186" w:rsidRPr="00A810E4" w:rsidRDefault="006F1186">
      <w:pPr>
        <w:rPr>
          <w:rFonts w:ascii="Times New Roman" w:hAnsi="Times New Roman" w:cs="Times New Roman"/>
        </w:rPr>
      </w:pPr>
    </w:p>
    <w:p w14:paraId="7A5EA849" w14:textId="4F824D53" w:rsidR="00BC02F7" w:rsidRDefault="750671CE" w:rsidP="00BB34A5">
      <w:pPr>
        <w:pStyle w:val="ListParagraph"/>
        <w:numPr>
          <w:ilvl w:val="0"/>
          <w:numId w:val="9"/>
        </w:numPr>
        <w:ind w:left="0" w:firstLine="360"/>
        <w:rPr>
          <w:rFonts w:ascii="Times New Roman" w:eastAsia="Times New Roman" w:hAnsi="Times New Roman" w:cs="Times New Roman"/>
        </w:rPr>
      </w:pPr>
      <w:r w:rsidRPr="00BC02F7">
        <w:rPr>
          <w:rFonts w:ascii="Times New Roman" w:eastAsia="Times New Roman" w:hAnsi="Times New Roman" w:cs="Times New Roman"/>
          <w:i/>
        </w:rPr>
        <w:t>Highway cases</w:t>
      </w:r>
      <w:r w:rsidRPr="00BC02F7">
        <w:rPr>
          <w:rFonts w:ascii="Times New Roman" w:eastAsia="Times New Roman" w:hAnsi="Times New Roman" w:cs="Times New Roman"/>
        </w:rPr>
        <w:t xml:space="preserve">.  </w:t>
      </w:r>
      <w:r w:rsidRPr="00BC02F7">
        <w:rPr>
          <w:rFonts w:ascii="Times New Roman" w:eastAsia="Times New Roman" w:hAnsi="Times New Roman" w:cs="Times New Roman"/>
          <w:i/>
          <w:iCs/>
        </w:rPr>
        <w:t>Williams v. Holland</w:t>
      </w:r>
      <w:r w:rsidRPr="00BC02F7">
        <w:rPr>
          <w:rFonts w:ascii="Times New Roman" w:eastAsia="Times New Roman" w:hAnsi="Times New Roman" w:cs="Times New Roman"/>
        </w:rPr>
        <w:t xml:space="preserve"> addressed a problem that was emerging in highway cases and in cases involving enterprises with more than one owner such as that in </w:t>
      </w:r>
      <w:r w:rsidRPr="00BC02F7">
        <w:rPr>
          <w:rFonts w:ascii="Times New Roman" w:eastAsia="Times New Roman" w:hAnsi="Times New Roman" w:cs="Times New Roman"/>
          <w:i/>
          <w:iCs/>
        </w:rPr>
        <w:t>Moreton v. Hardern and Others</w:t>
      </w:r>
      <w:r w:rsidRPr="00BC02F7">
        <w:rPr>
          <w:rFonts w:ascii="Times New Roman" w:eastAsia="Times New Roman" w:hAnsi="Times New Roman" w:cs="Times New Roman"/>
        </w:rPr>
        <w:t xml:space="preserve">, discussed by Chief Justice Tindal.  The problem was that requiring a plaintiff to choose between trespass and case in advance of the trial forced the plaintiff to gamble on what the underlying facts might turn out to be.  If the defendant himself was driving, </w:t>
      </w:r>
      <w:r w:rsidRPr="00BC02F7">
        <w:rPr>
          <w:rFonts w:ascii="Times New Roman" w:eastAsia="Times New Roman" w:hAnsi="Times New Roman" w:cs="Times New Roman"/>
          <w:i/>
          <w:iCs/>
        </w:rPr>
        <w:t>Leame v. Bray</w:t>
      </w:r>
      <w:r w:rsidRPr="00BC02F7">
        <w:rPr>
          <w:rFonts w:ascii="Times New Roman" w:eastAsia="Times New Roman" w:hAnsi="Times New Roman" w:cs="Times New Roman"/>
        </w:rPr>
        <w:t xml:space="preserve"> permitted the plaintiff to move ahead in trespass.  But if it turned out that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servant was driving, then the injury would be indirect as between plaintiff and defendant such that case might seem to be the only appropriate cause of action.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resolved this problem by making clear that </w:t>
      </w:r>
      <w:r w:rsidRPr="00BC02F7">
        <w:rPr>
          <w:rFonts w:ascii="Times New Roman" w:eastAsia="Times New Roman" w:hAnsi="Times New Roman" w:cs="Times New Roman"/>
        </w:rPr>
        <w:lastRenderedPageBreak/>
        <w:t>either way, a writ of trespass on the case would be an appropriate cause of action in highway collisions, so long as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act was not willful. </w:t>
      </w:r>
    </w:p>
    <w:p w14:paraId="4D6D5332" w14:textId="77777777" w:rsidR="00BC02F7" w:rsidRDefault="00BC02F7" w:rsidP="00BC02F7">
      <w:pPr>
        <w:rPr>
          <w:rFonts w:ascii="Times New Roman" w:eastAsia="Times New Roman" w:hAnsi="Times New Roman" w:cs="Times New Roman"/>
        </w:rPr>
      </w:pPr>
    </w:p>
    <w:p w14:paraId="01C60CC9" w14:textId="77777777" w:rsidR="00BC02F7" w:rsidRPr="00BC02F7" w:rsidRDefault="00BC02F7" w:rsidP="00BC02F7">
      <w:pPr>
        <w:rPr>
          <w:rFonts w:ascii="Times New Roman" w:eastAsia="Times New Roman" w:hAnsi="Times New Roman" w:cs="Times New Roman"/>
        </w:rPr>
      </w:pPr>
    </w:p>
    <w:p w14:paraId="2D23D738" w14:textId="34536744" w:rsidR="00A810E4" w:rsidRPr="00BC02F7" w:rsidRDefault="750671CE" w:rsidP="00BB34A5">
      <w:pPr>
        <w:pStyle w:val="ListParagraph"/>
        <w:numPr>
          <w:ilvl w:val="0"/>
          <w:numId w:val="9"/>
        </w:numPr>
        <w:ind w:left="0" w:firstLine="360"/>
        <w:rPr>
          <w:rFonts w:ascii="Times New Roman" w:eastAsia="Times New Roman" w:hAnsi="Times New Roman" w:cs="Times New Roman"/>
        </w:rPr>
      </w:pPr>
      <w:r w:rsidRPr="00F94B7E">
        <w:rPr>
          <w:rFonts w:ascii="Times New Roman" w:eastAsia="Times New Roman" w:hAnsi="Times New Roman" w:cs="Times New Roman"/>
          <w:i/>
        </w:rPr>
        <w:t>Trespass on the case</w:t>
      </w:r>
      <w:r w:rsidRPr="00BC02F7">
        <w:rPr>
          <w:rFonts w:ascii="Times New Roman" w:eastAsia="Times New Roman" w:hAnsi="Times New Roman" w:cs="Times New Roman"/>
        </w:rPr>
        <w:t xml:space="preserve">.  After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trespass on the case became the standard form of action in highway cases.  </w:t>
      </w:r>
      <w:r w:rsidRPr="00BC02F7">
        <w:rPr>
          <w:rFonts w:ascii="Times New Roman" w:eastAsia="Times New Roman" w:hAnsi="Times New Roman" w:cs="Times New Roman"/>
          <w:i/>
          <w:iCs/>
        </w:rPr>
        <w:t>Williams</w:t>
      </w:r>
      <w:r w:rsidRPr="00BC02F7">
        <w:rPr>
          <w:rFonts w:ascii="Times New Roman" w:eastAsia="Times New Roman" w:hAnsi="Times New Roman" w:cs="Times New Roman"/>
        </w:rPr>
        <w:t xml:space="preserve"> thus increased the association between showings of negligence and highway cases.  This made sense because the highway cases brought out an underlying problem with the trespass cases reaching back all the way to the Case of the Thorns and </w:t>
      </w:r>
      <w:r w:rsidRPr="00BC02F7">
        <w:rPr>
          <w:rFonts w:ascii="Times New Roman" w:eastAsia="Times New Roman" w:hAnsi="Times New Roman" w:cs="Times New Roman"/>
          <w:i/>
          <w:iCs/>
        </w:rPr>
        <w:t>Weaver v. Ward</w:t>
      </w:r>
      <w:r w:rsidRPr="00BC02F7">
        <w:rPr>
          <w:rFonts w:ascii="Times New Roman" w:eastAsia="Times New Roman" w:hAnsi="Times New Roman" w:cs="Times New Roman"/>
        </w:rPr>
        <w:t>.  It was one thing to attribute great significance to the act that caused the plaintiff</w:t>
      </w:r>
      <w:r w:rsidR="00B05F31">
        <w:rPr>
          <w:rFonts w:ascii="Times New Roman" w:eastAsia="Times New Roman" w:hAnsi="Times New Roman" w:cs="Times New Roman"/>
        </w:rPr>
        <w:t>’</w:t>
      </w:r>
      <w:r w:rsidRPr="00BC02F7">
        <w:rPr>
          <w:rFonts w:ascii="Times New Roman" w:eastAsia="Times New Roman" w:hAnsi="Times New Roman" w:cs="Times New Roman"/>
        </w:rPr>
        <w:t>s injury.  But on what principle did the common law courts conclude that the relevant cause of that injury was the defendant</w:t>
      </w:r>
      <w:r w:rsidR="00B05F31">
        <w:rPr>
          <w:rFonts w:ascii="Times New Roman" w:eastAsia="Times New Roman" w:hAnsi="Times New Roman" w:cs="Times New Roman"/>
        </w:rPr>
        <w:t>’</w:t>
      </w:r>
      <w:r w:rsidRPr="00BC02F7">
        <w:rPr>
          <w:rFonts w:ascii="Times New Roman" w:eastAsia="Times New Roman" w:hAnsi="Times New Roman" w:cs="Times New Roman"/>
        </w:rPr>
        <w:t>s act rather than the plaintiff</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own?  In the middle of the nineteenth-century, common law jurists would identify an answer to this problem.  We now turn to the answer to which they arrived.   </w:t>
      </w:r>
    </w:p>
    <w:p w14:paraId="4AFEE1BD" w14:textId="77777777" w:rsidR="00A810E4" w:rsidRPr="00A810E4" w:rsidRDefault="00A810E4" w:rsidP="00A810E4">
      <w:pPr>
        <w:rPr>
          <w:rFonts w:ascii="Times New Roman" w:hAnsi="Times New Roman" w:cs="Times New Roman"/>
        </w:rPr>
      </w:pPr>
    </w:p>
    <w:p w14:paraId="2F26F3EA" w14:textId="77777777" w:rsidR="00A810E4" w:rsidRPr="00A810E4" w:rsidRDefault="00A810E4" w:rsidP="00A810E4">
      <w:pPr>
        <w:rPr>
          <w:rFonts w:ascii="Times New Roman" w:hAnsi="Times New Roman" w:cs="Times New Roman"/>
        </w:rPr>
      </w:pPr>
    </w:p>
    <w:p w14:paraId="04683333" w14:textId="18D6DBE1" w:rsidR="00A810E4" w:rsidRPr="00A810E4" w:rsidRDefault="00A810E4" w:rsidP="00176F62">
      <w:pPr>
        <w:pStyle w:val="Heading2"/>
      </w:pPr>
      <w:bookmarkStart w:id="161" w:name="_Toc364636076"/>
      <w:bookmarkStart w:id="162" w:name="_Toc518323245"/>
      <w:r w:rsidRPr="00A810E4">
        <w:t xml:space="preserve">B.  Negligence </w:t>
      </w:r>
      <w:r w:rsidR="00130305">
        <w:t>V</w:t>
      </w:r>
      <w:r w:rsidRPr="00A810E4">
        <w:t>ersus Strict Liability</w:t>
      </w:r>
      <w:bookmarkEnd w:id="161"/>
      <w:bookmarkEnd w:id="162"/>
    </w:p>
    <w:p w14:paraId="2C80E12D" w14:textId="2647A69F" w:rsidR="00A810E4" w:rsidRDefault="00A810E4" w:rsidP="00A810E4">
      <w:pPr>
        <w:rPr>
          <w:rFonts w:ascii="Times New Roman" w:hAnsi="Times New Roman" w:cs="Times New Roman"/>
        </w:rPr>
      </w:pPr>
    </w:p>
    <w:p w14:paraId="5E0EDF4B" w14:textId="77777777" w:rsidR="00A03DE9" w:rsidRPr="00A810E4" w:rsidRDefault="00A03DE9" w:rsidP="00A810E4">
      <w:pPr>
        <w:rPr>
          <w:rFonts w:ascii="Times New Roman" w:hAnsi="Times New Roman" w:cs="Times New Roman"/>
        </w:rPr>
      </w:pPr>
    </w:p>
    <w:p w14:paraId="674B5748" w14:textId="4DD6AB08"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Despite a smattering of older cases such as those in Section A above, the modern law of unintentional torts is quite new.  It traces itself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Pr="00BC02F7">
        <w:rPr>
          <w:rFonts w:ascii="Times New Roman" w:eastAsia="Times New Roman" w:hAnsi="Times New Roman" w:cs="Times New Roman"/>
          <w:i/>
        </w:rPr>
        <w:t>See generally</w:t>
      </w:r>
      <w:r w:rsidRPr="750671CE">
        <w:rPr>
          <w:rFonts w:ascii="Times New Roman" w:eastAsia="Times New Roman" w:hAnsi="Times New Roman" w:cs="Times New Roman"/>
        </w:rPr>
        <w:t xml:space="preserve"> </w:t>
      </w:r>
      <w:r w:rsidR="00BC02F7" w:rsidRPr="00BC02F7">
        <w:rPr>
          <w:rFonts w:ascii="Times New Roman" w:eastAsia="Times New Roman" w:hAnsi="Times New Roman" w:cs="Times New Roman"/>
          <w:smallCaps/>
        </w:rPr>
        <w:t>John Fabian Witt, The Accidental Republic</w:t>
      </w:r>
      <w:r w:rsidR="00BC02F7">
        <w:rPr>
          <w:rFonts w:ascii="Times New Roman" w:eastAsia="Times New Roman" w:hAnsi="Times New Roman" w:cs="Times New Roman"/>
        </w:rPr>
        <w:t xml:space="preserve"> </w:t>
      </w:r>
      <w:r w:rsidRPr="750671CE">
        <w:rPr>
          <w:rFonts w:ascii="Times New Roman" w:eastAsia="Times New Roman" w:hAnsi="Times New Roman" w:cs="Times New Roman"/>
        </w:rPr>
        <w:t>(2004).</w:t>
      </w:r>
    </w:p>
    <w:p w14:paraId="5060607D" w14:textId="77777777" w:rsidR="00A810E4" w:rsidRPr="00A810E4" w:rsidRDefault="00A810E4" w:rsidP="00A810E4">
      <w:pPr>
        <w:rPr>
          <w:rFonts w:ascii="Times New Roman" w:hAnsi="Times New Roman" w:cs="Times New Roman"/>
        </w:rPr>
      </w:pPr>
    </w:p>
    <w:p w14:paraId="1C627481" w14:textId="4AB7359F"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Just as modern tort law was beginning to emerge, an influential judge in Massachusetts weighed in on the question that had animated the sma</w:t>
      </w:r>
      <w:r w:rsidR="00BC02F7">
        <w:rPr>
          <w:rFonts w:ascii="Times New Roman" w:eastAsia="Times New Roman" w:hAnsi="Times New Roman" w:cs="Times New Roman"/>
        </w:rPr>
        <w:t xml:space="preserve">ttering of English cases since </w:t>
      </w:r>
      <w:r w:rsidR="00BC02F7" w:rsidRPr="00BC02F7">
        <w:rPr>
          <w:rFonts w:ascii="Times New Roman" w:eastAsia="Times New Roman" w:hAnsi="Times New Roman" w:cs="Times New Roman"/>
          <w:i/>
        </w:rPr>
        <w:t>T</w:t>
      </w:r>
      <w:r w:rsidRPr="00BC02F7">
        <w:rPr>
          <w:rFonts w:ascii="Times New Roman" w:eastAsia="Times New Roman" w:hAnsi="Times New Roman" w:cs="Times New Roman"/>
          <w:i/>
        </w:rPr>
        <w:t>he Case of the Thorns</w:t>
      </w:r>
      <w:r w:rsidRPr="750671CE">
        <w:rPr>
          <w:rFonts w:ascii="Times New Roman" w:eastAsia="Times New Roman" w:hAnsi="Times New Roman" w:cs="Times New Roman"/>
        </w:rPr>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involved the kind of simple problem that torts jurists had posed as hypotheticals for centuries.  </w:t>
      </w:r>
    </w:p>
    <w:p w14:paraId="3BB2B938" w14:textId="77777777" w:rsidR="00A810E4" w:rsidRPr="00A810E4" w:rsidRDefault="00A810E4" w:rsidP="00A810E4">
      <w:pPr>
        <w:rPr>
          <w:rFonts w:ascii="Times New Roman" w:hAnsi="Times New Roman" w:cs="Times New Roman"/>
        </w:rPr>
      </w:pPr>
    </w:p>
    <w:p w14:paraId="527863D2" w14:textId="77777777" w:rsidR="00A810E4" w:rsidRPr="00A810E4" w:rsidRDefault="00A810E4" w:rsidP="00A810E4">
      <w:pPr>
        <w:rPr>
          <w:rFonts w:ascii="Times New Roman" w:hAnsi="Times New Roman" w:cs="Times New Roman"/>
        </w:rPr>
      </w:pPr>
    </w:p>
    <w:p w14:paraId="6F9A5E41" w14:textId="33FA56E4" w:rsidR="00A810E4" w:rsidRPr="00176F62" w:rsidRDefault="750671CE" w:rsidP="750671CE">
      <w:pPr>
        <w:rPr>
          <w:rFonts w:ascii="Times New Roman" w:eastAsia="Times New Roman" w:hAnsi="Times New Roman" w:cs="Times New Roman"/>
          <w:b/>
          <w:bCs/>
        </w:rPr>
      </w:pPr>
      <w:bookmarkStart w:id="163" w:name="_Toc518323246"/>
      <w:r w:rsidRPr="00441E5D">
        <w:rPr>
          <w:rStyle w:val="Heading3Char"/>
          <w:i/>
        </w:rPr>
        <w:t>Brown v. Kendall</w:t>
      </w:r>
      <w:bookmarkEnd w:id="163"/>
      <w:r w:rsidRPr="750671CE">
        <w:rPr>
          <w:rFonts w:ascii="Times New Roman" w:eastAsia="Times New Roman" w:hAnsi="Times New Roman" w:cs="Times New Roman"/>
          <w:b/>
          <w:bCs/>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60 Mass. 292 (1850)</w:t>
      </w:r>
    </w:p>
    <w:p w14:paraId="101EE432" w14:textId="3D031EB9" w:rsidR="00A810E4" w:rsidRPr="00A810E4" w:rsidRDefault="00A810E4" w:rsidP="00A810E4">
      <w:pPr>
        <w:rPr>
          <w:rFonts w:ascii="Times New Roman" w:hAnsi="Times New Roman" w:cs="Times New Roman"/>
        </w:rPr>
      </w:pPr>
    </w:p>
    <w:p w14:paraId="0C24F9F4"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w:t>
      </w:r>
      <w:r w:rsidRPr="750671CE">
        <w:rPr>
          <w:rFonts w:ascii="Times New Roman" w:eastAsia="Times New Roman" w:hAnsi="Times New Roman" w:cs="Times New Roman"/>
        </w:rPr>
        <w:lastRenderedPageBreak/>
        <w:t>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0195CA6E" w14:textId="77777777" w:rsidR="00A810E4" w:rsidRPr="00A810E4" w:rsidRDefault="00A810E4" w:rsidP="00A810E4">
      <w:pPr>
        <w:rPr>
          <w:rFonts w:ascii="Times New Roman" w:hAnsi="Times New Roman" w:cs="Times New Roman"/>
        </w:rPr>
      </w:pPr>
    </w:p>
    <w:p w14:paraId="6A8387B2" w14:textId="6FA20922"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w:t>
      </w:r>
      <w:r w:rsidR="00B20398" w:rsidRPr="008A3C5C">
        <w:rPr>
          <w:rFonts w:ascii="Times New Roman" w:eastAsia="Times New Roman" w:hAnsi="Times New Roman" w:cs="Times New Roman"/>
          <w:smallCaps/>
        </w:rPr>
        <w:t>haw</w:t>
      </w:r>
      <w:r w:rsidRPr="750671CE">
        <w:rPr>
          <w:rFonts w:ascii="Times New Roman" w:eastAsia="Times New Roman" w:hAnsi="Times New Roman" w:cs="Times New Roman"/>
        </w:rPr>
        <w:t xml:space="preserve">, C.J. This is an action of trespass, </w:t>
      </w:r>
      <w:r w:rsidRPr="00BC02F7">
        <w:rPr>
          <w:rFonts w:ascii="Times New Roman" w:eastAsia="Times New Roman" w:hAnsi="Times New Roman" w:cs="Times New Roman"/>
          <w:i/>
        </w:rPr>
        <w:t>vi et armis</w:t>
      </w:r>
      <w:r w:rsidRPr="750671CE">
        <w:rPr>
          <w:rFonts w:ascii="Times New Roman" w:eastAsia="Times New Roman" w:hAnsi="Times New Roman" w:cs="Times New Roman"/>
        </w:rPr>
        <w:t xml:space="preserve">, brought by George Brown against George K. Kendall, for an assault and battery . . . .  [The trial court entered judgment for the plaintiff, instructing </w:t>
      </w:r>
      <w:r w:rsidR="00B05F31">
        <w:rPr>
          <w:rFonts w:ascii="Times New Roman" w:eastAsia="Times New Roman" w:hAnsi="Times New Roman" w:cs="Times New Roman"/>
        </w:rPr>
        <w:t>“</w:t>
      </w:r>
      <w:r w:rsidRPr="750671CE">
        <w:rPr>
          <w:rFonts w:ascii="Times New Roman" w:eastAsia="Times New Roman" w:hAnsi="Times New Roman" w:cs="Times New Roman"/>
        </w:rPr>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52F9982C" w14:textId="77777777" w:rsidR="00A810E4" w:rsidRPr="00A810E4" w:rsidRDefault="00A810E4" w:rsidP="00A810E4">
      <w:pPr>
        <w:rPr>
          <w:rFonts w:ascii="Times New Roman" w:hAnsi="Times New Roman" w:cs="Times New Roman"/>
        </w:rPr>
      </w:pPr>
    </w:p>
    <w:p w14:paraId="4C4FB37D" w14:textId="798B7FE6"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w:t>
      </w:r>
      <w:r w:rsidR="00B05F31">
        <w:rPr>
          <w:rFonts w:ascii="Times New Roman" w:eastAsia="Times New Roman" w:hAnsi="Times New Roman" w:cs="Times New Roman"/>
        </w:rPr>
        <w:t>“</w:t>
      </w:r>
      <w:r w:rsidRPr="750671CE">
        <w:rPr>
          <w:rFonts w:ascii="Times New Roman" w:eastAsia="Times New Roman" w:hAnsi="Times New Roman" w:cs="Times New Roman"/>
        </w:rPr>
        <w:t>unintentional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A810E4" w:rsidRDefault="00A810E4" w:rsidP="00A810E4">
      <w:pPr>
        <w:rPr>
          <w:rFonts w:ascii="Times New Roman" w:hAnsi="Times New Roman" w:cs="Times New Roman"/>
        </w:rPr>
      </w:pPr>
    </w:p>
    <w:p w14:paraId="75AA066F" w14:textId="602F9F68"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appears to us, that some of the confusion in the cases on this subject has grown out of the long-vexed question, under the rule of the common law, whether a party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BC02F7">
        <w:rPr>
          <w:rFonts w:ascii="Times New Roman" w:eastAsia="Times New Roman" w:hAnsi="Times New Roman" w:cs="Times New Roman"/>
          <w:i/>
        </w:rPr>
        <w:t>vi et armis</w:t>
      </w:r>
      <w:r w:rsidRPr="750671CE">
        <w:rPr>
          <w:rFonts w:ascii="Times New Roman" w:eastAsia="Times New Roman" w:hAnsi="Times New Roman" w:cs="Times New Roman"/>
        </w:rPr>
        <w:t xml:space="preserve"> lies; if consequential only, and not immediate, case is the proper remedy. </w:t>
      </w:r>
      <w:r w:rsidRPr="750671CE">
        <w:rPr>
          <w:rFonts w:ascii="Times New Roman" w:eastAsia="Times New Roman" w:hAnsi="Times New Roman" w:cs="Times New Roman"/>
          <w:i/>
          <w:iCs/>
        </w:rPr>
        <w:t>Leame v. Bray</w:t>
      </w:r>
      <w:r w:rsidRPr="750671CE">
        <w:rPr>
          <w:rFonts w:ascii="Times New Roman" w:eastAsia="Times New Roman" w:hAnsi="Times New Roman" w:cs="Times New Roman"/>
        </w:rPr>
        <w:t>, 3 East, 593. . . .</w:t>
      </w:r>
    </w:p>
    <w:p w14:paraId="16C5CEE2" w14:textId="77777777" w:rsidR="00A810E4" w:rsidRPr="00A810E4" w:rsidRDefault="00A810E4" w:rsidP="00A810E4">
      <w:pPr>
        <w:rPr>
          <w:rFonts w:ascii="Times New Roman" w:hAnsi="Times New Roman" w:cs="Times New Roman"/>
        </w:rPr>
      </w:pPr>
    </w:p>
    <w:p w14:paraId="3D9E5FA3" w14:textId="7F71F561"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750671CE">
        <w:rPr>
          <w:rFonts w:ascii="Times New Roman" w:eastAsia="Times New Roman" w:hAnsi="Times New Roman" w:cs="Times New Roman"/>
          <w:i/>
          <w:iCs/>
        </w:rPr>
        <w:t>Leame v. Bray</w:t>
      </w:r>
      <w:r w:rsidRPr="750671CE">
        <w:rPr>
          <w:rFonts w:ascii="Times New Roman" w:eastAsia="Times New Roman" w:hAnsi="Times New Roman" w:cs="Times New Roman"/>
        </w:rPr>
        <w:t>, the damage arose from the act of the defendant, in driving on the wrong side of the road, in a dark night, which was clearly negligent if not unlawful. . . .</w:t>
      </w:r>
    </w:p>
    <w:p w14:paraId="7FC7B824" w14:textId="77777777" w:rsidR="00A810E4" w:rsidRPr="00A810E4" w:rsidRDefault="00A810E4" w:rsidP="00A810E4">
      <w:pPr>
        <w:rPr>
          <w:rFonts w:ascii="Times New Roman" w:hAnsi="Times New Roman" w:cs="Times New Roman"/>
        </w:rPr>
      </w:pPr>
    </w:p>
    <w:p w14:paraId="2BF04BAB" w14:textId="69CFF8BA"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think, as the result of all the authorities, the rule is correctly stated by Mr. Greenleaf, that the plaintiff must come prepared with evidence to show either that the intention was unlawful, or that the defendant was in fault; for if the injury was </w:t>
      </w:r>
      <w:r w:rsidRPr="750671CE">
        <w:rPr>
          <w:rFonts w:ascii="Times New Roman" w:eastAsia="Times New Roman" w:hAnsi="Times New Roman" w:cs="Times New Roman"/>
        </w:rPr>
        <w:lastRenderedPageBreak/>
        <w:t>unavoidable, and the conduct of the defendant was free from blame, he will not be</w:t>
      </w:r>
      <w:r w:rsidR="00BC02F7">
        <w:rPr>
          <w:rFonts w:ascii="Times New Roman" w:eastAsia="Times New Roman" w:hAnsi="Times New Roman" w:cs="Times New Roman"/>
        </w:rPr>
        <w:t xml:space="preserve"> liable. 2 Greenl. Ev. §§ 85-</w:t>
      </w:r>
      <w:r w:rsidRPr="750671CE">
        <w:rPr>
          <w:rFonts w:ascii="Times New Roman" w:eastAsia="Times New Roman" w:hAnsi="Times New Roman" w:cs="Times New Roman"/>
        </w:rPr>
        <w:t>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A810E4" w:rsidRDefault="00A810E4" w:rsidP="00A810E4">
      <w:pPr>
        <w:rPr>
          <w:rFonts w:ascii="Times New Roman" w:hAnsi="Times New Roman" w:cs="Times New Roman"/>
        </w:rPr>
      </w:pPr>
    </w:p>
    <w:p w14:paraId="083D1D49"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A810E4" w:rsidRDefault="00A810E4" w:rsidP="00A810E4">
      <w:pPr>
        <w:rPr>
          <w:rFonts w:ascii="Times New Roman" w:hAnsi="Times New Roman" w:cs="Times New Roman"/>
        </w:rPr>
      </w:pPr>
    </w:p>
    <w:p w14:paraId="310C2588" w14:textId="7EDEAB38"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own negligence did not contribute as an efficient cause to produce it.</w:t>
      </w:r>
    </w:p>
    <w:p w14:paraId="614027BD" w14:textId="77777777" w:rsidR="00176F62" w:rsidRDefault="00176F62" w:rsidP="00A810E4">
      <w:pPr>
        <w:rPr>
          <w:rFonts w:ascii="Times New Roman" w:hAnsi="Times New Roman" w:cs="Times New Roman"/>
        </w:rPr>
      </w:pPr>
    </w:p>
    <w:p w14:paraId="3A089611" w14:textId="5CA9A7AF"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[tr</w:t>
      </w:r>
      <w:r w:rsidR="00BC02F7">
        <w:rPr>
          <w:rFonts w:ascii="Times New Roman" w:eastAsia="Times New Roman" w:hAnsi="Times New Roman" w:cs="Times New Roman"/>
        </w:rPr>
        <w:t>ial] court instruct[ion] . . .</w:t>
      </w:r>
      <w:r w:rsidRPr="750671CE">
        <w:rPr>
          <w:rFonts w:ascii="Times New Roman" w:eastAsia="Times New Roman" w:hAnsi="Times New Roman" w:cs="Times New Roman"/>
        </w:rPr>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A810E4" w:rsidRDefault="00A810E4" w:rsidP="00A810E4">
      <w:pPr>
        <w:rPr>
          <w:rFonts w:ascii="Times New Roman" w:hAnsi="Times New Roman" w:cs="Times New Roman"/>
        </w:rPr>
      </w:pPr>
    </w:p>
    <w:p w14:paraId="0A64DDB5" w14:textId="344E298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w:t>
      </w:r>
      <w:r w:rsidRPr="750671CE">
        <w:rPr>
          <w:rFonts w:ascii="Times New Roman" w:eastAsia="Times New Roman" w:hAnsi="Times New Roman" w:cs="Times New Roman"/>
        </w:rPr>
        <w:lastRenderedPageBreak/>
        <w:t>care became part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case, and the burden of proof was on the plaintiff to establish it. 2 Greenl. Ev. § 85.</w:t>
      </w:r>
    </w:p>
    <w:p w14:paraId="5A9A14E3" w14:textId="77777777" w:rsidR="00A810E4" w:rsidRPr="00A810E4" w:rsidRDefault="00A810E4" w:rsidP="00A810E4">
      <w:pPr>
        <w:rPr>
          <w:rFonts w:ascii="Times New Roman" w:hAnsi="Times New Roman" w:cs="Times New Roman"/>
        </w:rPr>
      </w:pPr>
    </w:p>
    <w:p w14:paraId="642021C7"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3FBCBCEA" w14:textId="77777777" w:rsidR="00A810E4" w:rsidRPr="00A810E4" w:rsidRDefault="00A810E4" w:rsidP="00A810E4">
      <w:pPr>
        <w:rPr>
          <w:rFonts w:ascii="Times New Roman" w:hAnsi="Times New Roman" w:cs="Times New Roman"/>
        </w:rPr>
      </w:pPr>
    </w:p>
    <w:p w14:paraId="46A82CE2" w14:textId="77777777"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New trial ordered.</w:t>
      </w:r>
    </w:p>
    <w:p w14:paraId="3CCEA5B4" w14:textId="77777777" w:rsidR="00A810E4" w:rsidRPr="00A810E4" w:rsidRDefault="00A810E4">
      <w:pPr>
        <w:rPr>
          <w:rFonts w:ascii="Times New Roman" w:hAnsi="Times New Roman" w:cs="Times New Roman"/>
        </w:rPr>
      </w:pPr>
    </w:p>
    <w:p w14:paraId="5EB7CECB" w14:textId="77777777" w:rsidR="00A810E4" w:rsidRPr="00A810E4" w:rsidRDefault="00A810E4">
      <w:pPr>
        <w:rPr>
          <w:rFonts w:ascii="Times New Roman" w:hAnsi="Times New Roman" w:cs="Times New Roman"/>
        </w:rPr>
      </w:pPr>
    </w:p>
    <w:p w14:paraId="4C852ADF" w14:textId="77777777" w:rsidR="00A810E4" w:rsidRPr="00A810E4" w:rsidRDefault="00A810E4" w:rsidP="002502CC">
      <w:pPr>
        <w:pStyle w:val="Heading4"/>
      </w:pPr>
      <w:bookmarkStart w:id="164" w:name="_Toc364636077"/>
      <w:bookmarkStart w:id="165" w:name="_Toc518323247"/>
      <w:r w:rsidRPr="00A810E4">
        <w:t>Notes</w:t>
      </w:r>
      <w:bookmarkEnd w:id="164"/>
      <w:bookmarkEnd w:id="165"/>
    </w:p>
    <w:p w14:paraId="2BCA80C8" w14:textId="77777777" w:rsidR="00A810E4" w:rsidRDefault="00A810E4" w:rsidP="00A03DE9">
      <w:pPr>
        <w:rPr>
          <w:rFonts w:ascii="Times New Roman" w:hAnsi="Times New Roman" w:cs="Times New Roman"/>
        </w:rPr>
      </w:pPr>
    </w:p>
    <w:p w14:paraId="3AA59FFF" w14:textId="77777777" w:rsidR="00A03DE9" w:rsidRPr="00A810E4" w:rsidRDefault="00A03DE9" w:rsidP="00A03DE9">
      <w:pPr>
        <w:rPr>
          <w:rFonts w:ascii="Times New Roman" w:hAnsi="Times New Roman" w:cs="Times New Roman"/>
        </w:rPr>
      </w:pPr>
    </w:p>
    <w:p w14:paraId="12BB5558" w14:textId="71980FB2" w:rsidR="00A810E4" w:rsidRPr="00BC02F7" w:rsidRDefault="750671CE" w:rsidP="00BB34A5">
      <w:pPr>
        <w:pStyle w:val="ListParagraph"/>
        <w:numPr>
          <w:ilvl w:val="0"/>
          <w:numId w:val="10"/>
        </w:numPr>
        <w:ind w:left="0" w:firstLine="360"/>
        <w:rPr>
          <w:rFonts w:ascii="Times New Roman" w:eastAsia="Times New Roman" w:hAnsi="Times New Roman" w:cs="Times New Roman"/>
        </w:rPr>
      </w:pPr>
      <w:r w:rsidRPr="00BC02F7">
        <w:rPr>
          <w:rFonts w:ascii="Times New Roman" w:eastAsia="Times New Roman" w:hAnsi="Times New Roman" w:cs="Times New Roman"/>
          <w:i/>
        </w:rPr>
        <w:t>What is a holding?</w:t>
      </w:r>
      <w:r w:rsidRPr="00BC02F7">
        <w:rPr>
          <w:rFonts w:ascii="Times New Roman" w:eastAsia="Times New Roman" w:hAnsi="Times New Roman" w:cs="Times New Roman"/>
        </w:rPr>
        <w:t xml:space="preserve">  What is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For that matter, what is a holding?  Judges do not make law simply by speaking and writing.  A judge</w:t>
      </w:r>
      <w:r w:rsidR="00B05F31">
        <w:rPr>
          <w:rFonts w:ascii="Times New Roman" w:eastAsia="Times New Roman" w:hAnsi="Times New Roman" w:cs="Times New Roman"/>
        </w:rPr>
        <w:t>’</w:t>
      </w:r>
      <w:r w:rsidRPr="00BC02F7">
        <w:rPr>
          <w:rFonts w:ascii="Times New Roman" w:eastAsia="Times New Roman" w:hAnsi="Times New Roman" w:cs="Times New Roman"/>
        </w:rPr>
        <w:t>s opinion, or at least part of that opinion, becomes law for subsequent cases by virtue of the court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s resolution of the dispute that is before the court.  That is why a case that settles before it is decided by a court does not produce any law at all.  In the formulation of Judge Pierre Leval of the U.S. Court of Appeals for the Second Circuit, a holding is a </w:t>
      </w:r>
      <w:r w:rsidR="00B05F31">
        <w:rPr>
          <w:rFonts w:ascii="Times New Roman" w:eastAsia="Times New Roman" w:hAnsi="Times New Roman" w:cs="Times New Roman"/>
        </w:rPr>
        <w:t>“</w:t>
      </w:r>
      <w:r w:rsidRPr="00BC02F7">
        <w:rPr>
          <w:rFonts w:ascii="Times New Roman" w:eastAsia="Times New Roman" w:hAnsi="Times New Roman" w:cs="Times New Roman"/>
        </w:rPr>
        <w:t>proposition of law</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that </w:t>
      </w:r>
      <w:r w:rsidR="00B05F31">
        <w:rPr>
          <w:rFonts w:ascii="Times New Roman" w:eastAsia="Times New Roman" w:hAnsi="Times New Roman" w:cs="Times New Roman"/>
        </w:rPr>
        <w:t>“</w:t>
      </w:r>
      <w:r w:rsidRPr="00BC02F7">
        <w:rPr>
          <w:rFonts w:ascii="Times New Roman" w:eastAsia="Times New Roman" w:hAnsi="Times New Roman" w:cs="Times New Roman"/>
        </w:rPr>
        <w:t>explain[s] why the court</w:t>
      </w:r>
      <w:r w:rsidR="00B05F31">
        <w:rPr>
          <w:rFonts w:ascii="Times New Roman" w:eastAsia="Times New Roman" w:hAnsi="Times New Roman" w:cs="Times New Roman"/>
        </w:rPr>
        <w:t>’</w:t>
      </w:r>
      <w:r w:rsidRPr="00BC02F7">
        <w:rPr>
          <w:rFonts w:ascii="Times New Roman" w:eastAsia="Times New Roman" w:hAnsi="Times New Roman" w:cs="Times New Roman"/>
        </w:rPr>
        <w:t>s judgment goes in favor of the winner.</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Pierre N. Leval, </w:t>
      </w:r>
      <w:r w:rsidRPr="00BC02F7">
        <w:rPr>
          <w:rFonts w:ascii="Times New Roman" w:eastAsia="Times New Roman" w:hAnsi="Times New Roman" w:cs="Times New Roman"/>
          <w:i/>
        </w:rPr>
        <w:t>Judging Under the Constitution: Dicta About Dicta</w:t>
      </w:r>
      <w:r w:rsidR="00BC02F7">
        <w:rPr>
          <w:rFonts w:ascii="Times New Roman" w:eastAsia="Times New Roman" w:hAnsi="Times New Roman" w:cs="Times New Roman"/>
        </w:rPr>
        <w:t>, 81 N.Y.U. L. R</w:t>
      </w:r>
      <w:r w:rsidR="00BC02F7" w:rsidRPr="00BC02F7">
        <w:rPr>
          <w:rFonts w:ascii="Times New Roman" w:eastAsia="Times New Roman" w:hAnsi="Times New Roman" w:cs="Times New Roman"/>
          <w:smallCaps/>
        </w:rPr>
        <w:t>ev</w:t>
      </w:r>
      <w:r w:rsidR="00BC02F7">
        <w:rPr>
          <w:rFonts w:ascii="Times New Roman" w:eastAsia="Times New Roman" w:hAnsi="Times New Roman" w:cs="Times New Roman"/>
        </w:rPr>
        <w:t>.</w:t>
      </w:r>
      <w:r w:rsidRPr="00BC02F7">
        <w:rPr>
          <w:rFonts w:ascii="Times New Roman" w:eastAsia="Times New Roman" w:hAnsi="Times New Roman" w:cs="Times New Roman"/>
        </w:rPr>
        <w:t xml:space="preserve"> 1249, 1256 (2006).  Professors Michael Abramowicz and Maxwell Stearns observe further that it cannot be that holdings are merely those parts of an opinion necessary (or, as in one influential formulation, </w:t>
      </w:r>
      <w:r w:rsidR="00B05F31">
        <w:rPr>
          <w:rFonts w:ascii="Times New Roman" w:eastAsia="Times New Roman" w:hAnsi="Times New Roman" w:cs="Times New Roman"/>
        </w:rPr>
        <w:t>“</w:t>
      </w:r>
      <w:r w:rsidRPr="00BC02F7">
        <w:rPr>
          <w:rFonts w:ascii="Times New Roman" w:eastAsia="Times New Roman" w:hAnsi="Times New Roman" w:cs="Times New Roman"/>
        </w:rPr>
        <w:t>pivotal</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in reaching the decision, since there is often more than one possible route to a particular resolution.  Abramowicz and Stearns argue therefore that a holding consists of </w:t>
      </w:r>
      <w:r w:rsidR="00B05F31">
        <w:rPr>
          <w:rFonts w:ascii="Times New Roman" w:eastAsia="Times New Roman" w:hAnsi="Times New Roman" w:cs="Times New Roman"/>
        </w:rPr>
        <w:t>“</w:t>
      </w:r>
      <w:r w:rsidRPr="00BC02F7">
        <w:rPr>
          <w:rFonts w:ascii="Times New Roman" w:eastAsia="Times New Roman" w:hAnsi="Times New Roman" w:cs="Times New Roman"/>
        </w:rPr>
        <w:t>those propositions along the chosen decisional path or paths of reasoning that (1) are actually decided, (2) are based upon the facts of the case, and (3) lead to the judgment.</w:t>
      </w:r>
      <w:r w:rsidR="00B05F31">
        <w:rPr>
          <w:rFonts w:ascii="Times New Roman" w:eastAsia="Times New Roman" w:hAnsi="Times New Roman" w:cs="Times New Roman"/>
        </w:rPr>
        <w:t>”</w:t>
      </w:r>
      <w:r w:rsidRPr="00BC02F7">
        <w:rPr>
          <w:rFonts w:ascii="Times New Roman" w:eastAsia="Times New Roman" w:hAnsi="Times New Roman" w:cs="Times New Roman"/>
        </w:rPr>
        <w:t xml:space="preserve"> Michael Abramowicz &amp; Maxwell Stearns, </w:t>
      </w:r>
      <w:r w:rsidRPr="00BC02F7">
        <w:rPr>
          <w:rFonts w:ascii="Times New Roman" w:eastAsia="Times New Roman" w:hAnsi="Times New Roman" w:cs="Times New Roman"/>
          <w:i/>
        </w:rPr>
        <w:t>Defining Dicta</w:t>
      </w:r>
      <w:r w:rsidRPr="00BC02F7">
        <w:rPr>
          <w:rFonts w:ascii="Times New Roman" w:eastAsia="Times New Roman" w:hAnsi="Times New Roman" w:cs="Times New Roman"/>
        </w:rPr>
        <w:t>,</w:t>
      </w:r>
      <w:r w:rsidR="00BC02F7">
        <w:rPr>
          <w:rFonts w:ascii="Times New Roman" w:eastAsia="Times New Roman" w:hAnsi="Times New Roman" w:cs="Times New Roman"/>
        </w:rPr>
        <w:t xml:space="preserve"> 57</w:t>
      </w:r>
      <w:r w:rsidR="00BC02F7" w:rsidRPr="00BC02F7">
        <w:rPr>
          <w:rFonts w:ascii="Times New Roman" w:eastAsia="Times New Roman" w:hAnsi="Times New Roman" w:cs="Times New Roman"/>
          <w:smallCaps/>
        </w:rPr>
        <w:t xml:space="preserve"> Stan. L. Rev</w:t>
      </w:r>
      <w:r w:rsidRPr="00BC02F7">
        <w:rPr>
          <w:rFonts w:ascii="Times New Roman" w:eastAsia="Times New Roman" w:hAnsi="Times New Roman" w:cs="Times New Roman"/>
        </w:rPr>
        <w:t xml:space="preserve">. 953, 961 (2004). </w:t>
      </w:r>
    </w:p>
    <w:p w14:paraId="37C5DEE5" w14:textId="77777777" w:rsidR="00A810E4" w:rsidRPr="00A810E4" w:rsidRDefault="00A810E4" w:rsidP="00A810E4">
      <w:pPr>
        <w:rPr>
          <w:rFonts w:ascii="Times New Roman" w:hAnsi="Times New Roman" w:cs="Times New Roman"/>
        </w:rPr>
      </w:pPr>
    </w:p>
    <w:p w14:paraId="3D04CD6F" w14:textId="011CBCA5"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Using the Leval or Abramowicz/Stearns theories of a holding, we might take the question about the holding of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xml:space="preserve"> a step further.  The first question is what </w:t>
      </w:r>
      <w:r w:rsidRPr="750671CE">
        <w:rPr>
          <w:rFonts w:ascii="Times New Roman" w:eastAsia="Times New Roman" w:hAnsi="Times New Roman" w:cs="Times New Roman"/>
        </w:rPr>
        <w:lastRenderedPageBreak/>
        <w:t xml:space="preserve">Justice Shaw held in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xml:space="preserve"> as to the relevant liability standard.  But the second and underlying question is whether there was a holding at all!</w:t>
      </w:r>
    </w:p>
    <w:p w14:paraId="7C49F7C8" w14:textId="77777777" w:rsidR="00A810E4" w:rsidRDefault="00A810E4" w:rsidP="00A810E4">
      <w:pPr>
        <w:rPr>
          <w:rFonts w:ascii="Times New Roman" w:hAnsi="Times New Roman" w:cs="Times New Roman"/>
        </w:rPr>
      </w:pPr>
    </w:p>
    <w:p w14:paraId="7EF7DB0A" w14:textId="77777777" w:rsidR="00A03DE9" w:rsidRPr="00A810E4" w:rsidRDefault="00A03DE9" w:rsidP="00A810E4">
      <w:pPr>
        <w:rPr>
          <w:rFonts w:ascii="Times New Roman" w:hAnsi="Times New Roman" w:cs="Times New Roman"/>
        </w:rPr>
      </w:pPr>
    </w:p>
    <w:p w14:paraId="3CB3B967" w14:textId="36455576" w:rsidR="00A810E4" w:rsidRPr="00BC02F7" w:rsidRDefault="750671CE" w:rsidP="00BB34A5">
      <w:pPr>
        <w:pStyle w:val="ListParagraph"/>
        <w:numPr>
          <w:ilvl w:val="0"/>
          <w:numId w:val="10"/>
        </w:numPr>
        <w:ind w:left="0" w:firstLine="360"/>
        <w:rPr>
          <w:rFonts w:ascii="Times New Roman" w:eastAsia="Times New Roman" w:hAnsi="Times New Roman" w:cs="Times New Roman"/>
        </w:rPr>
      </w:pPr>
      <w:r w:rsidRPr="00BC02F7">
        <w:rPr>
          <w:rFonts w:ascii="Times New Roman" w:eastAsia="Times New Roman" w:hAnsi="Times New Roman" w:cs="Times New Roman"/>
          <w:i/>
        </w:rPr>
        <w:t>Tort law as industrial subsidy?</w:t>
      </w:r>
      <w:r w:rsidRPr="00BC02F7">
        <w:rPr>
          <w:rFonts w:ascii="Times New Roman" w:eastAsia="Times New Roman" w:hAnsi="Times New Roman" w:cs="Times New Roman"/>
        </w:rPr>
        <w:t xml:space="preserve">  Setting aside the problem of characterizing the holding of </w:t>
      </w:r>
      <w:r w:rsidRPr="00BC02F7">
        <w:rPr>
          <w:rFonts w:ascii="Times New Roman" w:eastAsia="Times New Roman" w:hAnsi="Times New Roman" w:cs="Times New Roman"/>
          <w:i/>
          <w:iCs/>
        </w:rPr>
        <w:t>Brown v. Kendall</w:t>
      </w:r>
      <w:r w:rsidRPr="00BC02F7">
        <w:rPr>
          <w:rFonts w:ascii="Times New Roman" w:eastAsia="Times New Roman" w:hAnsi="Times New Roman" w:cs="Times New Roman"/>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w:t>
      </w:r>
      <w:r w:rsidR="00E17192">
        <w:rPr>
          <w:rFonts w:ascii="Times New Roman" w:eastAsia="Times New Roman" w:hAnsi="Times New Roman" w:cs="Times New Roman"/>
        </w:rPr>
        <w:t>—</w:t>
      </w:r>
      <w:r w:rsidRPr="00BC02F7">
        <w:rPr>
          <w:rFonts w:ascii="Times New Roman" w:eastAsia="Times New Roman" w:hAnsi="Times New Roman" w:cs="Times New Roman"/>
        </w:rPr>
        <w:t>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55DC8719" w14:textId="77777777" w:rsidR="00A810E4" w:rsidRPr="00A810E4" w:rsidRDefault="00A810E4" w:rsidP="00A810E4">
      <w:pPr>
        <w:rPr>
          <w:rFonts w:ascii="Times New Roman" w:hAnsi="Times New Roman" w:cs="Times New Roman"/>
        </w:rPr>
      </w:pPr>
    </w:p>
    <w:p w14:paraId="0837AC64" w14:textId="1CEC704D"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Given the historical influence of Shaw</w:t>
      </w:r>
      <w:r w:rsidR="00B05F31">
        <w:rPr>
          <w:rFonts w:ascii="Times New Roman" w:eastAsia="Times New Roman" w:hAnsi="Times New Roman" w:cs="Times New Roman"/>
        </w:rPr>
        <w:t>’</w:t>
      </w:r>
      <w:r w:rsidRPr="750671CE">
        <w:rPr>
          <w:rFonts w:ascii="Times New Roman" w:eastAsia="Times New Roman" w:hAnsi="Times New Roman" w:cs="Times New Roman"/>
        </w:rPr>
        <w:t>s opinion, a substantial literature has tried to explain Shaw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00BC02F7" w:rsidRPr="00BC02F7">
        <w:rPr>
          <w:rFonts w:ascii="Times New Roman" w:eastAsia="Times New Roman" w:hAnsi="Times New Roman" w:cs="Times New Roman"/>
          <w:smallCaps/>
        </w:rPr>
        <w:t>Morton Horwitz, The Transformation of American Law</w:t>
      </w:r>
      <w:r w:rsidR="00BC02F7">
        <w:rPr>
          <w:rFonts w:ascii="Times New Roman" w:eastAsia="Times New Roman" w:hAnsi="Times New Roman" w:cs="Times New Roman"/>
        </w:rPr>
        <w:t xml:space="preserve">, </w:t>
      </w:r>
      <w:r w:rsidRPr="750671CE">
        <w:rPr>
          <w:rFonts w:ascii="Times New Roman" w:eastAsia="Times New Roman" w:hAnsi="Times New Roman" w:cs="Times New Roman"/>
        </w:rPr>
        <w:t>1780-1860 97, 99-101 (1977).</w:t>
      </w:r>
    </w:p>
    <w:p w14:paraId="5ADD37CB" w14:textId="77777777" w:rsidR="00A810E4" w:rsidRPr="00A810E4" w:rsidRDefault="00A810E4" w:rsidP="00A810E4">
      <w:pPr>
        <w:rPr>
          <w:rFonts w:ascii="Times New Roman" w:hAnsi="Times New Roman" w:cs="Times New Roman"/>
        </w:rPr>
      </w:pPr>
    </w:p>
    <w:p w14:paraId="73B23AD0" w14:textId="3223200E"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Subsequent scholars have criticized Horwitz</w:t>
      </w:r>
      <w:r w:rsidR="00B05F31">
        <w:rPr>
          <w:rFonts w:ascii="Times New Roman" w:eastAsia="Times New Roman" w:hAnsi="Times New Roman" w:cs="Times New Roman"/>
        </w:rPr>
        <w:t>’</w:t>
      </w:r>
      <w:r w:rsidRPr="750671CE">
        <w:rPr>
          <w:rFonts w:ascii="Times New Roman" w:eastAsia="Times New Roman" w:hAnsi="Times New Roman" w:cs="Times New Roman"/>
        </w:rPr>
        <w:t>s thesis. Some dispute Horwitz</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characterization of mid- and late-nineteenth-century tort law as having been especially friendly to defendants.  For example, Peter Karsten has argued that nineteenth-century negligence plaintiffs faced no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new </w:t>
      </w:r>
      <w:r w:rsidR="00B05F31">
        <w:rPr>
          <w:rFonts w:ascii="Times New Roman" w:eastAsia="Times New Roman" w:hAnsi="Times New Roman" w:cs="Times New Roman"/>
        </w:rPr>
        <w:t>‘</w:t>
      </w:r>
      <w:r w:rsidRPr="750671CE">
        <w:rPr>
          <w:rFonts w:ascii="Times New Roman" w:eastAsia="Times New Roman" w:hAnsi="Times New Roman" w:cs="Times New Roman"/>
        </w:rPr>
        <w:t>roadblocks and hurdles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collecting damages. See </w:t>
      </w:r>
      <w:r w:rsidR="00BC02F7" w:rsidRPr="00BC02F7">
        <w:rPr>
          <w:rFonts w:ascii="Times New Roman" w:eastAsia="Times New Roman" w:hAnsi="Times New Roman" w:cs="Times New Roman"/>
          <w:smallCaps/>
        </w:rPr>
        <w:t>Peter Karsten, Heart Versus Head: Judge-Made Law in Nin</w:t>
      </w:r>
      <w:r w:rsidR="00763609">
        <w:rPr>
          <w:rFonts w:ascii="Times New Roman" w:eastAsia="Times New Roman" w:hAnsi="Times New Roman" w:cs="Times New Roman"/>
          <w:smallCaps/>
        </w:rPr>
        <w:t>e</w:t>
      </w:r>
      <w:r w:rsidR="00BC02F7" w:rsidRPr="00BC02F7">
        <w:rPr>
          <w:rFonts w:ascii="Times New Roman" w:eastAsia="Times New Roman" w:hAnsi="Times New Roman" w:cs="Times New Roman"/>
          <w:smallCaps/>
        </w:rPr>
        <w:t>teenth-Century America</w:t>
      </w:r>
      <w:r w:rsidR="00BC02F7">
        <w:rPr>
          <w:rFonts w:ascii="Times New Roman" w:eastAsia="Times New Roman" w:hAnsi="Times New Roman" w:cs="Times New Roman"/>
        </w:rPr>
        <w:t xml:space="preserve"> </w:t>
      </w:r>
      <w:r w:rsidRPr="750671CE">
        <w:rPr>
          <w:rFonts w:ascii="Times New Roman" w:eastAsia="Times New Roman" w:hAnsi="Times New Roman" w:cs="Times New Roman"/>
        </w:rPr>
        <w:t>80 (1997). Gary Schwartz similarly rejected Horwitz</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claim that nineteenth-century courts favored major industries. See Gary T. Schwartz, </w:t>
      </w:r>
      <w:r w:rsidRPr="004703F6">
        <w:rPr>
          <w:rFonts w:ascii="Times New Roman" w:eastAsia="Times New Roman" w:hAnsi="Times New Roman" w:cs="Times New Roman"/>
          <w:i/>
        </w:rPr>
        <w:t>The Character of Early American Tort Law</w:t>
      </w:r>
      <w:r w:rsidRPr="750671CE">
        <w:rPr>
          <w:rFonts w:ascii="Times New Roman" w:eastAsia="Times New Roman" w:hAnsi="Times New Roman" w:cs="Times New Roman"/>
        </w:rPr>
        <w:t>, 36 U</w:t>
      </w:r>
      <w:r w:rsidR="004703F6">
        <w:rPr>
          <w:rFonts w:ascii="Times New Roman" w:eastAsia="Times New Roman" w:hAnsi="Times New Roman" w:cs="Times New Roman"/>
        </w:rPr>
        <w:t>.</w:t>
      </w:r>
      <w:r w:rsidRPr="750671CE">
        <w:rPr>
          <w:rFonts w:ascii="Times New Roman" w:eastAsia="Times New Roman" w:hAnsi="Times New Roman" w:cs="Times New Roman"/>
        </w:rPr>
        <w:t>C</w:t>
      </w:r>
      <w:r w:rsidR="004703F6">
        <w:rPr>
          <w:rFonts w:ascii="Times New Roman" w:eastAsia="Times New Roman" w:hAnsi="Times New Roman" w:cs="Times New Roman"/>
        </w:rPr>
        <w:t>.</w:t>
      </w:r>
      <w:r w:rsidRPr="750671CE">
        <w:rPr>
          <w:rFonts w:ascii="Times New Roman" w:eastAsia="Times New Roman" w:hAnsi="Times New Roman" w:cs="Times New Roman"/>
        </w:rPr>
        <w:t>L</w:t>
      </w:r>
      <w:r w:rsidR="004703F6">
        <w:rPr>
          <w:rFonts w:ascii="Times New Roman" w:eastAsia="Times New Roman" w:hAnsi="Times New Roman" w:cs="Times New Roman"/>
        </w:rPr>
        <w:t>.</w:t>
      </w:r>
      <w:r w:rsidRPr="750671CE">
        <w:rPr>
          <w:rFonts w:ascii="Times New Roman" w:eastAsia="Times New Roman" w:hAnsi="Times New Roman" w:cs="Times New Roman"/>
        </w:rPr>
        <w:t>A</w:t>
      </w:r>
      <w:r w:rsidR="004703F6">
        <w:rPr>
          <w:rFonts w:ascii="Times New Roman" w:eastAsia="Times New Roman" w:hAnsi="Times New Roman" w:cs="Times New Roman"/>
        </w:rPr>
        <w:t>. L. R</w:t>
      </w:r>
      <w:r w:rsidR="004703F6" w:rsidRPr="004703F6">
        <w:rPr>
          <w:rFonts w:ascii="Times New Roman" w:eastAsia="Times New Roman" w:hAnsi="Times New Roman" w:cs="Times New Roman"/>
          <w:smallCaps/>
        </w:rPr>
        <w:t>ev</w:t>
      </w:r>
      <w:r w:rsidRPr="750671CE">
        <w:rPr>
          <w:rFonts w:ascii="Times New Roman" w:eastAsia="Times New Roman" w:hAnsi="Times New Roman" w:cs="Times New Roman"/>
        </w:rPr>
        <w:t xml:space="preserve">. 641, 717 (1988); Gary T. Schwartz, </w:t>
      </w:r>
      <w:r w:rsidRPr="004703F6">
        <w:rPr>
          <w:rFonts w:ascii="Times New Roman" w:eastAsia="Times New Roman" w:hAnsi="Times New Roman" w:cs="Times New Roman"/>
          <w:i/>
        </w:rPr>
        <w:t>Tort Law and the Economy in Nineteenth Century America: A Reinterpretation</w:t>
      </w:r>
      <w:r w:rsidRPr="750671CE">
        <w:rPr>
          <w:rFonts w:ascii="Times New Roman" w:eastAsia="Times New Roman" w:hAnsi="Times New Roman" w:cs="Times New Roman"/>
        </w:rPr>
        <w:t>, 90 Y</w:t>
      </w:r>
      <w:r w:rsidR="004703F6" w:rsidRPr="004703F6">
        <w:rPr>
          <w:rFonts w:ascii="Times New Roman" w:eastAsia="Times New Roman" w:hAnsi="Times New Roman" w:cs="Times New Roman"/>
          <w:smallCaps/>
        </w:rPr>
        <w:t>ale</w:t>
      </w:r>
      <w:r w:rsidRPr="750671CE">
        <w:rPr>
          <w:rFonts w:ascii="Times New Roman" w:eastAsia="Times New Roman" w:hAnsi="Times New Roman" w:cs="Times New Roman"/>
        </w:rPr>
        <w:t xml:space="preserve"> L.J. 1717, 1720 (1981).</w:t>
      </w:r>
    </w:p>
    <w:p w14:paraId="17873620" w14:textId="77777777" w:rsidR="00A810E4" w:rsidRPr="00A810E4" w:rsidRDefault="00A810E4" w:rsidP="00A810E4">
      <w:pPr>
        <w:rPr>
          <w:rFonts w:ascii="Times New Roman" w:hAnsi="Times New Roman" w:cs="Times New Roman"/>
        </w:rPr>
      </w:pPr>
    </w:p>
    <w:p w14:paraId="39342724" w14:textId="684B4C88"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The more perceptive critique of the Horwitz view begins with the observation that before the era of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xml:space="preserve">, there were remarkably few tort actions for personal injuries of any kind.  For them,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For this account, see especially Robert Rabin, </w:t>
      </w:r>
      <w:r w:rsidRPr="00CB5850">
        <w:rPr>
          <w:rFonts w:ascii="Times New Roman" w:eastAsia="Times New Roman" w:hAnsi="Times New Roman" w:cs="Times New Roman"/>
          <w:i/>
        </w:rPr>
        <w:t>The Historical Development of the Fault Principle: A Reinterpretation</w:t>
      </w:r>
      <w:r w:rsidR="00CB5850">
        <w:rPr>
          <w:rFonts w:ascii="Times New Roman" w:eastAsia="Times New Roman" w:hAnsi="Times New Roman" w:cs="Times New Roman"/>
        </w:rPr>
        <w:t xml:space="preserve">, 15 </w:t>
      </w:r>
      <w:r w:rsidR="00CB5850" w:rsidRPr="00CB5850">
        <w:rPr>
          <w:rFonts w:ascii="Times New Roman" w:eastAsia="Times New Roman" w:hAnsi="Times New Roman" w:cs="Times New Roman"/>
          <w:smallCaps/>
        </w:rPr>
        <w:t>Ga. L. Rev</w:t>
      </w:r>
      <w:r w:rsidRPr="750671CE">
        <w:rPr>
          <w:rFonts w:ascii="Times New Roman" w:eastAsia="Times New Roman" w:hAnsi="Times New Roman" w:cs="Times New Roman"/>
        </w:rPr>
        <w:t xml:space="preserve">. 925, 961 (1981), and also Richard A. Epstein, </w:t>
      </w:r>
      <w:r w:rsidRPr="00CB5850">
        <w:rPr>
          <w:rFonts w:ascii="Times New Roman" w:eastAsia="Times New Roman" w:hAnsi="Times New Roman" w:cs="Times New Roman"/>
          <w:i/>
        </w:rPr>
        <w:t>The Historical Origins and Economic Structure of Workers</w:t>
      </w:r>
      <w:r w:rsidR="00B05F31">
        <w:rPr>
          <w:rFonts w:ascii="Times New Roman" w:eastAsia="Times New Roman" w:hAnsi="Times New Roman" w:cs="Times New Roman"/>
          <w:i/>
        </w:rPr>
        <w:t>’</w:t>
      </w:r>
      <w:r w:rsidRPr="00CB5850">
        <w:rPr>
          <w:rFonts w:ascii="Times New Roman" w:eastAsia="Times New Roman" w:hAnsi="Times New Roman" w:cs="Times New Roman"/>
          <w:i/>
        </w:rPr>
        <w:t xml:space="preserve"> Compensation Law</w:t>
      </w:r>
      <w:r w:rsidR="00CB5850">
        <w:rPr>
          <w:rFonts w:ascii="Times New Roman" w:eastAsia="Times New Roman" w:hAnsi="Times New Roman" w:cs="Times New Roman"/>
        </w:rPr>
        <w:t>, 16</w:t>
      </w:r>
      <w:r w:rsidR="00CB5850" w:rsidRPr="00CB5850">
        <w:rPr>
          <w:rFonts w:ascii="Times New Roman" w:eastAsia="Times New Roman" w:hAnsi="Times New Roman" w:cs="Times New Roman"/>
          <w:smallCaps/>
        </w:rPr>
        <w:t xml:space="preserve"> Ga. L. Rev</w:t>
      </w:r>
      <w:r w:rsidRPr="750671CE">
        <w:rPr>
          <w:rFonts w:ascii="Times New Roman" w:eastAsia="Times New Roman" w:hAnsi="Times New Roman" w:cs="Times New Roman"/>
        </w:rPr>
        <w:t xml:space="preserve">. 75 (1982), and John Fabian Witt, </w:t>
      </w:r>
      <w:r w:rsidRPr="00CB5850">
        <w:rPr>
          <w:rFonts w:ascii="Times New Roman" w:eastAsia="Times New Roman" w:hAnsi="Times New Roman" w:cs="Times New Roman"/>
          <w:i/>
        </w:rPr>
        <w:t>From Loss of Services to Loss of Support</w:t>
      </w:r>
      <w:r w:rsidR="00CB5850">
        <w:rPr>
          <w:rFonts w:ascii="Times New Roman" w:eastAsia="Times New Roman" w:hAnsi="Times New Roman" w:cs="Times New Roman"/>
        </w:rPr>
        <w:t xml:space="preserve">, 25 L. </w:t>
      </w:r>
      <w:r w:rsidR="00CB5850" w:rsidRPr="00CB5850">
        <w:rPr>
          <w:rFonts w:ascii="Times New Roman" w:eastAsia="Times New Roman" w:hAnsi="Times New Roman" w:cs="Times New Roman"/>
          <w:smallCaps/>
        </w:rPr>
        <w:t>&amp; Social</w:t>
      </w:r>
      <w:r w:rsidRPr="00CB5850">
        <w:rPr>
          <w:rFonts w:ascii="Times New Roman" w:eastAsia="Times New Roman" w:hAnsi="Times New Roman" w:cs="Times New Roman"/>
          <w:smallCaps/>
        </w:rPr>
        <w:t xml:space="preserve"> I</w:t>
      </w:r>
      <w:r w:rsidR="00CB5850" w:rsidRPr="00CB5850">
        <w:rPr>
          <w:rFonts w:ascii="Times New Roman" w:eastAsia="Times New Roman" w:hAnsi="Times New Roman" w:cs="Times New Roman"/>
          <w:smallCaps/>
        </w:rPr>
        <w:t>nquiry</w:t>
      </w:r>
      <w:r w:rsidRPr="750671CE">
        <w:rPr>
          <w:rFonts w:ascii="Times New Roman" w:eastAsia="Times New Roman" w:hAnsi="Times New Roman" w:cs="Times New Roman"/>
        </w:rPr>
        <w:t xml:space="preserve"> 717 (2000).</w:t>
      </w:r>
    </w:p>
    <w:p w14:paraId="20CE6ECA" w14:textId="77777777" w:rsidR="00A810E4" w:rsidRPr="00A810E4" w:rsidRDefault="00A810E4" w:rsidP="00A810E4">
      <w:pPr>
        <w:rPr>
          <w:rFonts w:ascii="Times New Roman" w:hAnsi="Times New Roman" w:cs="Times New Roman"/>
        </w:rPr>
      </w:pPr>
    </w:p>
    <w:p w14:paraId="2A7D05A3" w14:textId="359D0B0C"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Scholars have also objected to one of Horwitz</w:t>
      </w:r>
      <w:r w:rsidR="00B05F31">
        <w:rPr>
          <w:rFonts w:ascii="Times New Roman" w:eastAsia="Times New Roman" w:hAnsi="Times New Roman" w:cs="Times New Roman"/>
        </w:rPr>
        <w:t>’</w:t>
      </w:r>
      <w:r w:rsidRPr="750671CE">
        <w:rPr>
          <w:rFonts w:ascii="Times New Roman" w:eastAsia="Times New Roman" w:hAnsi="Times New Roman" w:cs="Times New Roman"/>
        </w:rPr>
        <w:t>s underlying premises: that private law doctrine can redistribute wealth among social groups. For example, Richard Epstein has claimed that courts and common law doctrines typically lack the institutional capacity to redistribute wealth, sin</w:t>
      </w:r>
      <w:r w:rsidR="00CB5850">
        <w:rPr>
          <w:rFonts w:ascii="Times New Roman" w:eastAsia="Times New Roman" w:hAnsi="Times New Roman" w:cs="Times New Roman"/>
        </w:rPr>
        <w:t>ce (after all) all parties—</w:t>
      </w:r>
      <w:r w:rsidRPr="750671CE">
        <w:rPr>
          <w:rFonts w:ascii="Times New Roman" w:eastAsia="Times New Roman" w:hAnsi="Times New Roman" w:cs="Times New Roman"/>
        </w:rPr>
        <w:t>including</w:t>
      </w:r>
      <w:r w:rsidR="00CB5850">
        <w:rPr>
          <w:rFonts w:ascii="Times New Roman" w:eastAsia="Times New Roman" w:hAnsi="Times New Roman" w:cs="Times New Roman"/>
        </w:rPr>
        <w:t xml:space="preserve"> industrialists—</w:t>
      </w:r>
      <w:r w:rsidRPr="750671CE">
        <w:rPr>
          <w:rFonts w:ascii="Times New Roman" w:eastAsia="Times New Roman" w:hAnsi="Times New Roman" w:cs="Times New Roman"/>
        </w:rPr>
        <w:t xml:space="preserve">are simultaneously prospective defendants and prospective plaintiffs. In theory, they may stand to lose as much as they gain from new common law rules favoring one side or the other. </w:t>
      </w:r>
      <w:r w:rsidRPr="00F94B7E">
        <w:rPr>
          <w:rFonts w:ascii="Times New Roman" w:eastAsia="Times New Roman" w:hAnsi="Times New Roman" w:cs="Times New Roman"/>
          <w:i/>
        </w:rPr>
        <w:t>See</w:t>
      </w:r>
      <w:r w:rsidRPr="750671CE">
        <w:rPr>
          <w:rFonts w:ascii="Times New Roman" w:eastAsia="Times New Roman" w:hAnsi="Times New Roman" w:cs="Times New Roman"/>
        </w:rPr>
        <w:t xml:space="preserve"> Richard A. Epstein, </w:t>
      </w:r>
      <w:r w:rsidRPr="00CB5850">
        <w:rPr>
          <w:rFonts w:ascii="Times New Roman" w:eastAsia="Times New Roman" w:hAnsi="Times New Roman" w:cs="Times New Roman"/>
          <w:i/>
        </w:rPr>
        <w:t>The Social Consequences of Common Law Rules</w:t>
      </w:r>
      <w:r w:rsidR="00CB5850">
        <w:rPr>
          <w:rFonts w:ascii="Times New Roman" w:eastAsia="Times New Roman" w:hAnsi="Times New Roman" w:cs="Times New Roman"/>
        </w:rPr>
        <w:t xml:space="preserve">, 95 </w:t>
      </w:r>
      <w:r w:rsidR="00CB5850" w:rsidRPr="00CB5850">
        <w:rPr>
          <w:rFonts w:ascii="Times New Roman" w:eastAsia="Times New Roman" w:hAnsi="Times New Roman" w:cs="Times New Roman"/>
          <w:smallCaps/>
        </w:rPr>
        <w:t>Harv. L. Rev</w:t>
      </w:r>
      <w:r w:rsidR="00075719" w:rsidRPr="750671CE">
        <w:rPr>
          <w:rFonts w:ascii="Times New Roman" w:eastAsia="Times New Roman" w:hAnsi="Times New Roman" w:cs="Times New Roman"/>
        </w:rPr>
        <w:t xml:space="preserve">. 1717, 1718 (1982). </w:t>
      </w:r>
      <w:r w:rsidRPr="750671CE">
        <w:rPr>
          <w:rFonts w:ascii="Times New Roman" w:eastAsia="Times New Roman" w:hAnsi="Times New Roman" w:cs="Times New Roman"/>
        </w:rPr>
        <w:t>Today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lawyer-economists thus </w:t>
      </w:r>
      <w:r w:rsidR="00075719" w:rsidRPr="750671CE">
        <w:rPr>
          <w:rFonts w:ascii="Times New Roman" w:eastAsia="Times New Roman" w:hAnsi="Times New Roman" w:cs="Times New Roman"/>
        </w:rPr>
        <w:t xml:space="preserve">usually </w:t>
      </w:r>
      <w:r w:rsidRPr="750671CE">
        <w:rPr>
          <w:rFonts w:ascii="Times New Roman" w:eastAsia="Times New Roman" w:hAnsi="Times New Roman" w:cs="Times New Roman"/>
        </w:rPr>
        <w:t xml:space="preserve">argue that common law rules are highly inferior to the tax system as mechanisms for redistributing wealth. </w:t>
      </w:r>
      <w:r w:rsidRPr="00F94B7E">
        <w:rPr>
          <w:rFonts w:ascii="Times New Roman" w:eastAsia="Times New Roman" w:hAnsi="Times New Roman" w:cs="Times New Roman"/>
          <w:i/>
        </w:rPr>
        <w:t>See</w:t>
      </w:r>
      <w:r w:rsidRPr="750671CE">
        <w:rPr>
          <w:rFonts w:ascii="Times New Roman" w:eastAsia="Times New Roman" w:hAnsi="Times New Roman" w:cs="Times New Roman"/>
        </w:rPr>
        <w:t xml:space="preserve"> Louis Kaplow </w:t>
      </w:r>
      <w:r w:rsidR="00E17192">
        <w:rPr>
          <w:rFonts w:ascii="Times New Roman" w:eastAsia="Times New Roman" w:hAnsi="Times New Roman" w:cs="Times New Roman"/>
        </w:rPr>
        <w:t>&amp;</w:t>
      </w:r>
      <w:r w:rsidR="00E17192"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Steven Shavell, </w:t>
      </w:r>
      <w:r w:rsidRPr="00CB5850">
        <w:rPr>
          <w:rFonts w:ascii="Times New Roman" w:eastAsia="Times New Roman" w:hAnsi="Times New Roman" w:cs="Times New Roman"/>
          <w:i/>
        </w:rPr>
        <w:t>Why the Legal System is Less Efficient Than the Income Tax in Redistributing Income</w:t>
      </w:r>
      <w:r w:rsidR="00CB5850">
        <w:rPr>
          <w:rFonts w:ascii="Times New Roman" w:eastAsia="Times New Roman" w:hAnsi="Times New Roman" w:cs="Times New Roman"/>
        </w:rPr>
        <w:t>, 23 J. L. S</w:t>
      </w:r>
      <w:r w:rsidR="00CB5850" w:rsidRPr="00CB5850">
        <w:rPr>
          <w:rFonts w:ascii="Times New Roman" w:eastAsia="Times New Roman" w:hAnsi="Times New Roman" w:cs="Times New Roman"/>
          <w:smallCaps/>
        </w:rPr>
        <w:t>tud</w:t>
      </w:r>
      <w:r w:rsidRPr="750671CE">
        <w:rPr>
          <w:rFonts w:ascii="Times New Roman" w:eastAsia="Times New Roman" w:hAnsi="Times New Roman" w:cs="Times New Roman"/>
        </w:rPr>
        <w:t>. 667 (1994).</w:t>
      </w:r>
    </w:p>
    <w:p w14:paraId="194E1848" w14:textId="77777777" w:rsidR="00A810E4" w:rsidRPr="00A810E4" w:rsidRDefault="00A810E4" w:rsidP="00A810E4">
      <w:pPr>
        <w:rPr>
          <w:rFonts w:ascii="Times New Roman" w:hAnsi="Times New Roman" w:cs="Times New Roman"/>
        </w:rPr>
      </w:pPr>
    </w:p>
    <w:p w14:paraId="6406425E" w14:textId="39A824B4"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Is there any reason to think that in the real world firms or industries with deep pockets are more likely to be defendants than plaintiffs in tort litigation?  It is a sociological fact that some actors are essentially not worth suing in tort: they are </w:t>
      </w:r>
      <w:r w:rsidR="00B05F31">
        <w:rPr>
          <w:rFonts w:ascii="Times New Roman" w:eastAsia="Times New Roman" w:hAnsi="Times New Roman" w:cs="Times New Roman"/>
        </w:rPr>
        <w:t>“</w:t>
      </w:r>
      <w:r w:rsidRPr="750671CE">
        <w:rPr>
          <w:rFonts w:ascii="Times New Roman" w:eastAsia="Times New Roman" w:hAnsi="Times New Roman" w:cs="Times New Roman"/>
        </w:rPr>
        <w:t>judgment proof,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the saying goes, because they lack the assets against which any tort judgment against them could be collected.  Firms or industries with assets, by contrast, are judgment-worthy.  They are worth suing.  Note that assisting industries through the targeted manipulation of tort rules is something that policy-makers continue to do to this day.  To take one recent example, several state legislatures have recently passed legislation to immunize the private space flight industry </w:t>
      </w:r>
      <w:r w:rsidR="00CB5850">
        <w:rPr>
          <w:rFonts w:ascii="Times New Roman" w:eastAsia="Times New Roman" w:hAnsi="Times New Roman" w:cs="Times New Roman"/>
        </w:rPr>
        <w:t xml:space="preserve">from liability.  </w:t>
      </w:r>
      <w:r w:rsidR="00CB5850" w:rsidRPr="00CB5850">
        <w:rPr>
          <w:rFonts w:ascii="Times New Roman" w:eastAsia="Times New Roman" w:hAnsi="Times New Roman" w:cs="Times New Roman"/>
          <w:i/>
        </w:rPr>
        <w:t>See, e.g.</w:t>
      </w:r>
      <w:r w:rsidR="00CB5850">
        <w:rPr>
          <w:rFonts w:ascii="Times New Roman" w:eastAsia="Times New Roman" w:hAnsi="Times New Roman" w:cs="Times New Roman"/>
        </w:rPr>
        <w:t xml:space="preserve">, </w:t>
      </w:r>
      <w:r w:rsidR="00CB5850" w:rsidRPr="00CB5850">
        <w:rPr>
          <w:rFonts w:ascii="Times New Roman" w:eastAsia="Times New Roman" w:hAnsi="Times New Roman" w:cs="Times New Roman"/>
          <w:smallCaps/>
        </w:rPr>
        <w:t>Colo. Rev</w:t>
      </w:r>
      <w:r w:rsidRPr="00CB5850">
        <w:rPr>
          <w:rFonts w:ascii="Times New Roman" w:eastAsia="Times New Roman" w:hAnsi="Times New Roman" w:cs="Times New Roman"/>
          <w:smallCaps/>
        </w:rPr>
        <w:t>. S</w:t>
      </w:r>
      <w:r w:rsidR="00CB5850" w:rsidRPr="00CB5850">
        <w:rPr>
          <w:rFonts w:ascii="Times New Roman" w:eastAsia="Times New Roman" w:hAnsi="Times New Roman" w:cs="Times New Roman"/>
          <w:smallCaps/>
        </w:rPr>
        <w:t>tat</w:t>
      </w:r>
      <w:r w:rsidRPr="750671CE">
        <w:rPr>
          <w:rFonts w:ascii="Times New Roman" w:eastAsia="Times New Roman" w:hAnsi="Times New Roman" w:cs="Times New Roman"/>
        </w:rPr>
        <w:t xml:space="preserve">. §§ 41-6-101(1) to (2)(a) (2014).  These state immunity statutes protect and subsidize the </w:t>
      </w:r>
      <w:r w:rsidR="00B05F31">
        <w:rPr>
          <w:rFonts w:ascii="Times New Roman" w:eastAsia="Times New Roman" w:hAnsi="Times New Roman" w:cs="Times New Roman"/>
        </w:rPr>
        <w:t>“</w:t>
      </w:r>
      <w:r w:rsidRPr="750671CE">
        <w:rPr>
          <w:rFonts w:ascii="Times New Roman" w:eastAsia="Times New Roman" w:hAnsi="Times New Roman" w:cs="Times New Roman"/>
        </w:rPr>
        <w:t>small but growing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private space flight industry.  </w:t>
      </w:r>
      <w:r w:rsidRPr="00CB5850">
        <w:rPr>
          <w:rFonts w:ascii="Times New Roman" w:eastAsia="Times New Roman" w:hAnsi="Times New Roman" w:cs="Times New Roman"/>
          <w:i/>
        </w:rPr>
        <w:t xml:space="preserve">See </w:t>
      </w:r>
      <w:r w:rsidRPr="750671CE">
        <w:rPr>
          <w:rFonts w:ascii="Times New Roman" w:eastAsia="Times New Roman" w:hAnsi="Times New Roman" w:cs="Times New Roman"/>
        </w:rPr>
        <w:t xml:space="preserve">Justin Silver, Note, </w:t>
      </w:r>
      <w:r w:rsidRPr="00CB5850">
        <w:rPr>
          <w:rFonts w:ascii="Times New Roman" w:eastAsia="Times New Roman" w:hAnsi="Times New Roman" w:cs="Times New Roman"/>
          <w:i/>
        </w:rPr>
        <w:t>Houston, We Have</w:t>
      </w:r>
      <w:r w:rsidR="00CB5850" w:rsidRPr="00CB5850">
        <w:rPr>
          <w:rFonts w:ascii="Times New Roman" w:eastAsia="Times New Roman" w:hAnsi="Times New Roman" w:cs="Times New Roman"/>
          <w:i/>
        </w:rPr>
        <w:t xml:space="preserve"> a (Liability) Problem</w:t>
      </w:r>
      <w:r w:rsidR="00CB5850">
        <w:rPr>
          <w:rFonts w:ascii="Times New Roman" w:eastAsia="Times New Roman" w:hAnsi="Times New Roman" w:cs="Times New Roman"/>
        </w:rPr>
        <w:t xml:space="preserve">, 112 </w:t>
      </w:r>
      <w:r w:rsidR="00CB5850" w:rsidRPr="00CB5850">
        <w:rPr>
          <w:rFonts w:ascii="Times New Roman" w:eastAsia="Times New Roman" w:hAnsi="Times New Roman" w:cs="Times New Roman"/>
          <w:smallCaps/>
        </w:rPr>
        <w:t>Mich</w:t>
      </w:r>
      <w:r w:rsidRPr="00CB5850">
        <w:rPr>
          <w:rFonts w:ascii="Times New Roman" w:eastAsia="Times New Roman" w:hAnsi="Times New Roman" w:cs="Times New Roman"/>
          <w:smallCaps/>
        </w:rPr>
        <w:t>. L. R</w:t>
      </w:r>
      <w:r w:rsidR="00CB5850" w:rsidRPr="00CB5850">
        <w:rPr>
          <w:rFonts w:ascii="Times New Roman" w:eastAsia="Times New Roman" w:hAnsi="Times New Roman" w:cs="Times New Roman"/>
          <w:smallCaps/>
        </w:rPr>
        <w:t>ev</w:t>
      </w:r>
      <w:r w:rsidRPr="750671CE">
        <w:rPr>
          <w:rFonts w:ascii="Times New Roman" w:eastAsia="Times New Roman" w:hAnsi="Times New Roman" w:cs="Times New Roman"/>
        </w:rPr>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750671CE">
        <w:rPr>
          <w:rFonts w:ascii="Times New Roman" w:eastAsia="Times New Roman" w:hAnsi="Times New Roman" w:cs="Times New Roman"/>
          <w:i/>
          <w:iCs/>
        </w:rPr>
        <w:t>can</w:t>
      </w:r>
      <w:r w:rsidRPr="750671CE">
        <w:rPr>
          <w:rFonts w:ascii="Times New Roman" w:eastAsia="Times New Roman" w:hAnsi="Times New Roman" w:cs="Times New Roman"/>
        </w:rPr>
        <w:t xml:space="preserve"> accomplish some kinds of distributive goals, worthy or otherwise</w:t>
      </w:r>
      <w:r w:rsidR="00CB5850">
        <w:rPr>
          <w:rFonts w:ascii="Times New Roman" w:eastAsia="Times New Roman" w:hAnsi="Times New Roman" w:cs="Times New Roman"/>
        </w:rPr>
        <w:t>—</w:t>
      </w:r>
      <w:r w:rsidR="00783038" w:rsidRPr="750671CE">
        <w:rPr>
          <w:rFonts w:ascii="Times New Roman" w:eastAsia="Times New Roman" w:hAnsi="Times New Roman" w:cs="Times New Roman"/>
        </w:rPr>
        <w:t>or, at least, that lobbyists and legislatures think so</w:t>
      </w:r>
      <w:r w:rsidRPr="750671CE">
        <w:rPr>
          <w:rFonts w:ascii="Times New Roman" w:eastAsia="Times New Roman" w:hAnsi="Times New Roman" w:cs="Times New Roman"/>
        </w:rPr>
        <w:t xml:space="preserve">. </w:t>
      </w:r>
      <w:r w:rsidR="00075719" w:rsidRPr="750671CE">
        <w:rPr>
          <w:rFonts w:ascii="Times New Roman" w:eastAsia="Times New Roman" w:hAnsi="Times New Roman" w:cs="Times New Roman"/>
        </w:rPr>
        <w:t>For a recent argument that the choice between private law rules or the tax system as the best vehicle for redistribution is a contextual and empirical question, see Zachary Liscow,</w:t>
      </w:r>
      <w:r w:rsidR="00CB5850">
        <w:rPr>
          <w:rFonts w:ascii="Times New Roman" w:eastAsia="Times New Roman" w:hAnsi="Times New Roman" w:cs="Times New Roman"/>
        </w:rPr>
        <w:t xml:space="preserve"> Note,</w:t>
      </w:r>
      <w:r w:rsidR="00075719" w:rsidRPr="750671CE">
        <w:rPr>
          <w:rFonts w:ascii="Times New Roman" w:eastAsia="Times New Roman" w:hAnsi="Times New Roman" w:cs="Times New Roman"/>
        </w:rPr>
        <w:t xml:space="preserve"> </w:t>
      </w:r>
      <w:r w:rsidR="00075719" w:rsidRPr="00CB5850">
        <w:rPr>
          <w:rFonts w:ascii="Times New Roman" w:eastAsia="Times New Roman" w:hAnsi="Times New Roman" w:cs="Times New Roman"/>
          <w:i/>
        </w:rPr>
        <w:t>Reducing Inequality on the Cheap: When Legal Rule Design Should Include Equity as Well as Efficiency</w:t>
      </w:r>
      <w:r w:rsidR="00CB5850">
        <w:rPr>
          <w:rFonts w:ascii="Times New Roman" w:eastAsia="Times New Roman" w:hAnsi="Times New Roman" w:cs="Times New Roman"/>
        </w:rPr>
        <w:t>, 123 Y</w:t>
      </w:r>
      <w:r w:rsidR="00CB5850" w:rsidRPr="00CB5850">
        <w:rPr>
          <w:rFonts w:ascii="Times New Roman" w:eastAsia="Times New Roman" w:hAnsi="Times New Roman" w:cs="Times New Roman"/>
          <w:smallCaps/>
        </w:rPr>
        <w:t>ale</w:t>
      </w:r>
      <w:r w:rsidR="00075719" w:rsidRPr="750671CE">
        <w:rPr>
          <w:rFonts w:ascii="Times New Roman" w:eastAsia="Times New Roman" w:hAnsi="Times New Roman" w:cs="Times New Roman"/>
        </w:rPr>
        <w:t xml:space="preserve"> L.J. 2134 (2014).</w:t>
      </w:r>
    </w:p>
    <w:p w14:paraId="5F2D0389" w14:textId="77777777" w:rsidR="00A810E4" w:rsidRPr="00A810E4" w:rsidRDefault="00A810E4" w:rsidP="00A810E4">
      <w:pPr>
        <w:rPr>
          <w:rFonts w:ascii="Times New Roman" w:hAnsi="Times New Roman" w:cs="Times New Roman"/>
        </w:rPr>
      </w:pPr>
    </w:p>
    <w:p w14:paraId="5CED947B" w14:textId="77777777" w:rsidR="00A810E4" w:rsidRPr="00A810E4" w:rsidRDefault="00A810E4" w:rsidP="00A810E4">
      <w:pPr>
        <w:rPr>
          <w:rFonts w:ascii="Times New Roman" w:hAnsi="Times New Roman" w:cs="Times New Roman"/>
        </w:rPr>
      </w:pPr>
    </w:p>
    <w:p w14:paraId="21661A3D" w14:textId="64BD935D" w:rsidR="00A810E4" w:rsidRPr="00CB5850" w:rsidRDefault="750671CE" w:rsidP="00BB34A5">
      <w:pPr>
        <w:pStyle w:val="ListParagraph"/>
        <w:numPr>
          <w:ilvl w:val="0"/>
          <w:numId w:val="10"/>
        </w:numPr>
        <w:ind w:left="0" w:firstLine="360"/>
        <w:rPr>
          <w:rFonts w:ascii="Times New Roman" w:eastAsia="Times New Roman" w:hAnsi="Times New Roman" w:cs="Times New Roman"/>
        </w:rPr>
      </w:pPr>
      <w:r w:rsidRPr="00F94B7E">
        <w:rPr>
          <w:rFonts w:ascii="Times New Roman" w:eastAsia="Times New Roman" w:hAnsi="Times New Roman" w:cs="Times New Roman"/>
          <w:i/>
        </w:rPr>
        <w:t>Negligence and wrongfulness</w:t>
      </w:r>
      <w:r w:rsidRPr="00CB5850">
        <w:rPr>
          <w:rFonts w:ascii="Times New Roman" w:eastAsia="Times New Roman" w:hAnsi="Times New Roman" w:cs="Times New Roman"/>
        </w:rPr>
        <w:t xml:space="preserve">.  Are there other grounds that might have made the negligence principle appealing to Shaw?  One view argues that the ordinary care standard advances the social interest, not merely the private interests of particular industries.  This argument, to which we will return in </w:t>
      </w:r>
      <w:r w:rsidR="00C21D6E">
        <w:rPr>
          <w:rFonts w:ascii="Times New Roman" w:eastAsia="Times New Roman" w:hAnsi="Times New Roman" w:cs="Times New Roman"/>
        </w:rPr>
        <w:t>Chapter</w:t>
      </w:r>
      <w:r w:rsidRPr="00CB5850">
        <w:rPr>
          <w:rFonts w:ascii="Times New Roman" w:eastAsia="Times New Roman" w:hAnsi="Times New Roman" w:cs="Times New Roman"/>
        </w:rPr>
        <w:t xml:space="preserve"> 4, contends that the standard of ordinary care demands of actors only that they not engage in conduct that is, on balance, socially harmful and therefore wrongful.  Another view comes from jurists who defend tort law as an institution of corrective justice.  For them, tort law embodies the obligation to repair </w:t>
      </w:r>
      <w:r w:rsidRPr="00CB5850">
        <w:rPr>
          <w:rFonts w:ascii="Times New Roman" w:eastAsia="Times New Roman" w:hAnsi="Times New Roman" w:cs="Times New Roman"/>
        </w:rPr>
        <w:lastRenderedPageBreak/>
        <w:t xml:space="preserve">wrongful losses.  The negligence standard might be said to be consistent with this emphasis on wrongfulness because to act negligently is to behave wrongfully, even if not intentionally so.  </w:t>
      </w:r>
      <w:r w:rsidRPr="007E6DB0">
        <w:rPr>
          <w:rFonts w:ascii="Times New Roman" w:eastAsia="Times New Roman" w:hAnsi="Times New Roman" w:cs="Times New Roman"/>
          <w:i/>
        </w:rPr>
        <w:t>See</w:t>
      </w:r>
      <w:r w:rsidRPr="00CB5850">
        <w:rPr>
          <w:rFonts w:ascii="Times New Roman" w:eastAsia="Times New Roman" w:hAnsi="Times New Roman" w:cs="Times New Roman"/>
        </w:rPr>
        <w:t xml:space="preserve"> </w:t>
      </w:r>
      <w:r w:rsidR="007E6DB0" w:rsidRPr="007E6DB0">
        <w:rPr>
          <w:rFonts w:ascii="Times New Roman" w:eastAsia="Times New Roman" w:hAnsi="Times New Roman" w:cs="Times New Roman"/>
          <w:smallCaps/>
        </w:rPr>
        <w:t>Jules L. Coleman</w:t>
      </w:r>
      <w:r w:rsidRPr="007E6DB0">
        <w:rPr>
          <w:rFonts w:ascii="Times New Roman" w:eastAsia="Times New Roman" w:hAnsi="Times New Roman" w:cs="Times New Roman"/>
          <w:smallCaps/>
        </w:rPr>
        <w:t xml:space="preserve">, </w:t>
      </w:r>
      <w:r w:rsidR="007E6DB0" w:rsidRPr="007E6DB0">
        <w:rPr>
          <w:rFonts w:ascii="Times New Roman" w:eastAsia="Times New Roman" w:hAnsi="Times New Roman" w:cs="Times New Roman"/>
          <w:smallCaps/>
        </w:rPr>
        <w:t>Risks and Wrongs</w:t>
      </w:r>
      <w:r w:rsidR="007E6DB0">
        <w:rPr>
          <w:rFonts w:ascii="Times New Roman" w:eastAsia="Times New Roman" w:hAnsi="Times New Roman" w:cs="Times New Roman"/>
        </w:rPr>
        <w:t xml:space="preserve"> </w:t>
      </w:r>
      <w:r w:rsidRPr="00CB5850">
        <w:rPr>
          <w:rFonts w:ascii="Times New Roman" w:eastAsia="Times New Roman" w:hAnsi="Times New Roman" w:cs="Times New Roman"/>
        </w:rPr>
        <w:t>(1992).</w:t>
      </w:r>
    </w:p>
    <w:p w14:paraId="65094AAF" w14:textId="77777777" w:rsidR="00A810E4" w:rsidRPr="00A810E4" w:rsidRDefault="00A810E4" w:rsidP="00A810E4">
      <w:pPr>
        <w:rPr>
          <w:rFonts w:ascii="Times New Roman" w:hAnsi="Times New Roman" w:cs="Times New Roman"/>
        </w:rPr>
      </w:pPr>
    </w:p>
    <w:p w14:paraId="30830214" w14:textId="77777777" w:rsidR="00A810E4" w:rsidRPr="00A5115E" w:rsidRDefault="00A810E4" w:rsidP="750671CE">
      <w:pPr>
        <w:rPr>
          <w:rFonts w:ascii="Times New Roman" w:eastAsia="Times New Roman" w:hAnsi="Times New Roman" w:cs="Times New Roman"/>
        </w:rPr>
      </w:pPr>
      <w:r w:rsidRPr="00A810E4">
        <w:rPr>
          <w:rFonts w:ascii="Times New Roman" w:hAnsi="Times New Roman" w:cs="Times New Roman"/>
        </w:rPr>
        <w:tab/>
      </w:r>
      <w:r w:rsidRPr="00E17192">
        <w:rPr>
          <w:rFonts w:ascii="Times New Roman" w:eastAsia="Times New Roman" w:hAnsi="Times New Roman" w:cs="Times New Roman"/>
        </w:rPr>
        <w:t>The leading turn-of-the-twentieth-century jurist, and later Supreme Court justice, Oliver Wendell Holmes, Jr., organized much of the book with which he made his name around identifying a moral ground for the tes</w:t>
      </w:r>
      <w:r w:rsidRPr="00A7206C">
        <w:rPr>
          <w:rFonts w:ascii="Times New Roman" w:eastAsia="Times New Roman" w:hAnsi="Times New Roman" w:cs="Times New Roman"/>
        </w:rPr>
        <w:t xml:space="preserve">t that Shaw articulated in </w:t>
      </w:r>
      <w:r w:rsidRPr="009127B8">
        <w:rPr>
          <w:rFonts w:ascii="Times New Roman" w:eastAsia="Times New Roman" w:hAnsi="Times New Roman" w:cs="Times New Roman"/>
          <w:i/>
        </w:rPr>
        <w:t>Brown v. Kendall</w:t>
      </w:r>
      <w:r w:rsidRPr="00A5115E">
        <w:rPr>
          <w:rFonts w:ascii="Times New Roman" w:eastAsia="Times New Roman" w:hAnsi="Times New Roman" w:cs="Times New Roman"/>
        </w:rPr>
        <w:t>:</w:t>
      </w:r>
    </w:p>
    <w:p w14:paraId="2CF37F53" w14:textId="77777777" w:rsidR="00A810E4" w:rsidRPr="00846C38" w:rsidRDefault="00A810E4" w:rsidP="00A810E4">
      <w:pPr>
        <w:rPr>
          <w:rFonts w:ascii="Times New Roman" w:hAnsi="Times New Roman" w:cs="Times New Roman"/>
        </w:rPr>
      </w:pPr>
    </w:p>
    <w:p w14:paraId="0435C8F1" w14:textId="77777777" w:rsidR="00A810E4" w:rsidRPr="00744778" w:rsidRDefault="00A810E4" w:rsidP="00A810E4">
      <w:pPr>
        <w:rPr>
          <w:rFonts w:ascii="Times New Roman" w:hAnsi="Times New Roman" w:cs="Times New Roman"/>
        </w:rPr>
      </w:pPr>
    </w:p>
    <w:p w14:paraId="1E6A7D99" w14:textId="3EB16AFD" w:rsidR="00A810E4" w:rsidRPr="009127B8" w:rsidRDefault="00A810E4" w:rsidP="750671CE">
      <w:pPr>
        <w:rPr>
          <w:rFonts w:ascii="Times New Roman" w:eastAsia="Times New Roman" w:hAnsi="Times New Roman" w:cs="Times New Roman"/>
        </w:rPr>
      </w:pPr>
      <w:bookmarkStart w:id="166" w:name="_Toc518323248"/>
      <w:r w:rsidRPr="004D0B12">
        <w:rPr>
          <w:rStyle w:val="Heading3Char"/>
          <w:smallCaps/>
        </w:rPr>
        <w:t>O</w:t>
      </w:r>
      <w:r w:rsidR="0008194A" w:rsidRPr="00E3500C">
        <w:rPr>
          <w:rStyle w:val="Heading3Char"/>
          <w:smallCaps/>
        </w:rPr>
        <w:t>liver Wendell Holmes, Jr.</w:t>
      </w:r>
      <w:r w:rsidRPr="00E3500C">
        <w:rPr>
          <w:rStyle w:val="Heading3Char"/>
          <w:smallCaps/>
        </w:rPr>
        <w:t xml:space="preserve">, </w:t>
      </w:r>
      <w:r w:rsidRPr="00EC7173">
        <w:rPr>
          <w:rStyle w:val="Heading3Char"/>
          <w:smallCaps/>
        </w:rPr>
        <w:t>T</w:t>
      </w:r>
      <w:r w:rsidR="0008194A" w:rsidRPr="00EC7173">
        <w:rPr>
          <w:rStyle w:val="Heading3Char"/>
          <w:smallCaps/>
        </w:rPr>
        <w:t>he Common Law</w:t>
      </w:r>
      <w:bookmarkEnd w:id="166"/>
      <w:r w:rsidRPr="00E17192">
        <w:rPr>
          <w:rFonts w:ascii="Times New Roman" w:eastAsia="Times New Roman" w:hAnsi="Times New Roman" w:cs="Times New Roman"/>
          <w:i/>
        </w:rPr>
        <w:t xml:space="preserve"> </w:t>
      </w:r>
      <w:r w:rsidRPr="00A7206C">
        <w:rPr>
          <w:rFonts w:ascii="Times New Roman" w:eastAsia="Times New Roman" w:hAnsi="Times New Roman" w:cs="Times New Roman"/>
          <w:b/>
          <w:bCs/>
        </w:rPr>
        <w:t>77, 81-96 (1881)</w:t>
      </w:r>
    </w:p>
    <w:p w14:paraId="76612B53" w14:textId="77777777" w:rsidR="00A810E4" w:rsidRPr="00A5115E" w:rsidRDefault="00A810E4" w:rsidP="00A810E4">
      <w:pPr>
        <w:rPr>
          <w:rFonts w:ascii="Times New Roman" w:hAnsi="Times New Roman" w:cs="Times New Roman"/>
        </w:rPr>
      </w:pPr>
    </w:p>
    <w:p w14:paraId="08C7F9B4" w14:textId="77777777" w:rsidR="00A810E4" w:rsidRPr="00744778" w:rsidRDefault="00A810E4" w:rsidP="750671CE">
      <w:pPr>
        <w:rPr>
          <w:rFonts w:ascii="Times New Roman" w:eastAsia="Times New Roman" w:hAnsi="Times New Roman" w:cs="Times New Roman"/>
        </w:rPr>
      </w:pPr>
      <w:r w:rsidRPr="00846C38">
        <w:rPr>
          <w:rFonts w:ascii="Times New Roman" w:hAnsi="Times New Roman" w:cs="Times New Roman"/>
        </w:rPr>
        <w:tab/>
      </w:r>
      <w:r w:rsidRPr="00E30455">
        <w:rPr>
          <w:rFonts w:ascii="Times New Roman" w:eastAsia="Times New Roman" w:hAnsi="Times New Roman" w:cs="Times New Roman"/>
        </w:rPr>
        <w:t>The object of the next two Lectures is to discover whether there is any common ground at the bottom of all liability in tort, and if so</w:t>
      </w:r>
      <w:r w:rsidRPr="00744778">
        <w:rPr>
          <w:rFonts w:ascii="Times New Roman" w:eastAsia="Times New Roman" w:hAnsi="Times New Roman" w:cs="Times New Roman"/>
        </w:rPr>
        <w:t xml:space="preserve">, what that ground is. . . . </w:t>
      </w:r>
    </w:p>
    <w:p w14:paraId="7AC32D41" w14:textId="77777777" w:rsidR="00A810E4" w:rsidRPr="00A810E4" w:rsidRDefault="00A810E4" w:rsidP="00A810E4">
      <w:pPr>
        <w:rPr>
          <w:rFonts w:ascii="Times New Roman" w:hAnsi="Times New Roman" w:cs="Times New Roman"/>
        </w:rPr>
      </w:pPr>
    </w:p>
    <w:p w14:paraId="2CABFFAA"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[T]here are two theories of the common-law liability for unintentional harm. Both of them seem to receive the implied assent of popular textbooks, and neither of them is wanting in plausibility and the semblance of authority.</w:t>
      </w:r>
    </w:p>
    <w:p w14:paraId="5D7BE9B5" w14:textId="77777777" w:rsidR="00A810E4" w:rsidRPr="00A810E4" w:rsidRDefault="00A810E4" w:rsidP="00A810E4">
      <w:pPr>
        <w:rPr>
          <w:rFonts w:ascii="Times New Roman" w:hAnsi="Times New Roman" w:cs="Times New Roman"/>
        </w:rPr>
      </w:pPr>
    </w:p>
    <w:p w14:paraId="75C1B37F" w14:textId="1094C122"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 first is that of Austin, which is essentially the theory of a criminalist. According to him, the characteristic feature of law, properly so called, is a sanction or detriment threatened and imposed by the sovereign for disobedience to the sovereign</w:t>
      </w:r>
      <w:r w:rsidR="00B05F31">
        <w:rPr>
          <w:rFonts w:ascii="Times New Roman" w:eastAsia="Times New Roman" w:hAnsi="Times New Roman" w:cs="Times New Roman"/>
        </w:rPr>
        <w:t>’</w:t>
      </w:r>
      <w:r w:rsidRPr="750671CE">
        <w:rPr>
          <w:rFonts w:ascii="Times New Roman" w:eastAsia="Times New Roman" w:hAnsi="Times New Roman" w:cs="Times New Roman"/>
        </w:rPr>
        <w:t>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mind. These doctrines will be referred to later, so far as necessary. </w:t>
      </w:r>
    </w:p>
    <w:p w14:paraId="230FFAD0" w14:textId="77777777" w:rsidR="00A810E4" w:rsidRPr="00A810E4" w:rsidRDefault="00A810E4" w:rsidP="00A810E4">
      <w:pPr>
        <w:rPr>
          <w:rFonts w:ascii="Times New Roman" w:hAnsi="Times New Roman" w:cs="Times New Roman"/>
        </w:rPr>
      </w:pPr>
    </w:p>
    <w:p w14:paraId="3715B1CA"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56525D03" w14:textId="77777777" w:rsidR="00A810E4" w:rsidRPr="00A810E4" w:rsidRDefault="00A810E4" w:rsidP="00A810E4">
      <w:pPr>
        <w:rPr>
          <w:rFonts w:ascii="Times New Roman" w:hAnsi="Times New Roman" w:cs="Times New Roman"/>
        </w:rPr>
      </w:pPr>
    </w:p>
    <w:p w14:paraId="30C712A2"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A810E4" w:rsidRDefault="00A810E4" w:rsidP="00A810E4">
      <w:pPr>
        <w:rPr>
          <w:rFonts w:ascii="Times New Roman" w:hAnsi="Times New Roman" w:cs="Times New Roman"/>
        </w:rPr>
      </w:pPr>
    </w:p>
    <w:p w14:paraId="2BCD478E" w14:textId="3FE6775B"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lastRenderedPageBreak/>
        <w:tab/>
      </w:r>
      <w:r w:rsidRPr="750671CE">
        <w:rPr>
          <w:rFonts w:ascii="Times New Roman" w:eastAsia="Times New Roman" w:hAnsi="Times New Roman" w:cs="Times New Roman"/>
        </w:rPr>
        <w:t>In the first place, it is said, consider generally the protection given by the law to property, both within and outside the limits of the last-named action. If a man crosses his neighbor</w:t>
      </w:r>
      <w:r w:rsidR="00B05F31">
        <w:rPr>
          <w:rFonts w:ascii="Times New Roman" w:eastAsia="Times New Roman" w:hAnsi="Times New Roman" w:cs="Times New Roman"/>
        </w:rPr>
        <w:t>’</w:t>
      </w:r>
      <w:r w:rsidRPr="750671CE">
        <w:rPr>
          <w:rFonts w:ascii="Times New Roman" w:eastAsia="Times New Roman" w:hAnsi="Times New Roman" w:cs="Times New Roman"/>
        </w:rPr>
        <w:t>s boundary by however innocent a mistake, or if his cattle escape into his neighbor</w:t>
      </w:r>
      <w:r w:rsidR="00B05F31">
        <w:rPr>
          <w:rFonts w:ascii="Times New Roman" w:eastAsia="Times New Roman" w:hAnsi="Times New Roman" w:cs="Times New Roman"/>
        </w:rPr>
        <w:t>’</w:t>
      </w:r>
      <w:r w:rsidRPr="750671CE">
        <w:rPr>
          <w:rFonts w:ascii="Times New Roman" w:eastAsia="Times New Roman" w:hAnsi="Times New Roman" w:cs="Times New Roman"/>
        </w:rPr>
        <w:t>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A810E4" w:rsidRDefault="00A810E4" w:rsidP="00A810E4">
      <w:pPr>
        <w:rPr>
          <w:rFonts w:ascii="Times New Roman" w:hAnsi="Times New Roman" w:cs="Times New Roman"/>
        </w:rPr>
      </w:pPr>
    </w:p>
    <w:p w14:paraId="6DCAF3C4" w14:textId="21446DE5"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Now suppose that, instead of</w:t>
      </w:r>
      <w:r w:rsidR="00783038" w:rsidRPr="750671CE">
        <w:rPr>
          <w:rFonts w:ascii="Times New Roman" w:eastAsia="Times New Roman" w:hAnsi="Times New Roman" w:cs="Times New Roman"/>
        </w:rPr>
        <w:t xml:space="preserve"> a dealing with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the case is that force has procee</w:t>
      </w:r>
      <w:r w:rsidR="00075719" w:rsidRPr="750671CE">
        <w:rPr>
          <w:rFonts w:ascii="Times New Roman" w:eastAsia="Times New Roman" w:hAnsi="Times New Roman" w:cs="Times New Roman"/>
        </w:rPr>
        <w:t>ded directly from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body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w:t>
      </w:r>
      <w:r w:rsidR="00075719" w:rsidRPr="750671CE">
        <w:rPr>
          <w:rFonts w:ascii="Times New Roman" w:eastAsia="Times New Roman" w:hAnsi="Times New Roman" w:cs="Times New Roman"/>
        </w:rPr>
        <w:t>it. In such cases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body is </w:t>
      </w:r>
      <w:r w:rsidR="00075719" w:rsidRPr="750671CE">
        <w:rPr>
          <w:rFonts w:ascii="Times New Roman" w:eastAsia="Times New Roman" w:hAnsi="Times New Roman" w:cs="Times New Roman"/>
        </w:rPr>
        <w:t>the</w:t>
      </w:r>
      <w:r w:rsidRPr="750671CE">
        <w:rPr>
          <w:rFonts w:ascii="Times New Roman" w:eastAsia="Times New Roman" w:hAnsi="Times New Roman" w:cs="Times New Roman"/>
        </w:rPr>
        <w:t xml:space="preserv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A810E4" w:rsidRDefault="00A810E4" w:rsidP="00A810E4">
      <w:pPr>
        <w:rPr>
          <w:rFonts w:ascii="Times New Roman" w:hAnsi="Times New Roman" w:cs="Times New Roman"/>
        </w:rPr>
      </w:pPr>
    </w:p>
    <w:p w14:paraId="162D65A4"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 arguments for the doctrine under consideration are, for the most part, drawn from precedent, but it is sometimes supposed to be defensible as theoretically sound. Every man, it 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66A0FD12" w14:textId="77777777" w:rsidR="00A810E4" w:rsidRPr="00A810E4" w:rsidRDefault="00A810E4" w:rsidP="00A810E4">
      <w:pPr>
        <w:rPr>
          <w:rFonts w:ascii="Times New Roman" w:hAnsi="Times New Roman" w:cs="Times New Roman"/>
        </w:rPr>
      </w:pPr>
    </w:p>
    <w:p w14:paraId="49199A18"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w:t>
      </w:r>
      <w:r w:rsidRPr="750671CE">
        <w:rPr>
          <w:rFonts w:ascii="Times New Roman" w:eastAsia="Times New Roman" w:hAnsi="Times New Roman" w:cs="Times New Roman"/>
        </w:rPr>
        <w:lastRenderedPageBreak/>
        <w:t>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A810E4" w:rsidRDefault="00A810E4" w:rsidP="00A810E4">
      <w:pPr>
        <w:rPr>
          <w:rFonts w:ascii="Times New Roman" w:hAnsi="Times New Roman" w:cs="Times New Roman"/>
        </w:rPr>
      </w:pPr>
    </w:p>
    <w:p w14:paraId="11A00176" w14:textId="0891BB6E"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750671CE">
        <w:rPr>
          <w:rFonts w:ascii="Times New Roman" w:eastAsia="Times New Roman" w:hAnsi="Times New Roman" w:cs="Times New Roman"/>
        </w:rPr>
        <w:t>nt, in the course of the latter</w:t>
      </w:r>
      <w:r w:rsidR="00B05F31">
        <w:rPr>
          <w:rFonts w:ascii="Times New Roman" w:eastAsia="Times New Roman" w:hAnsi="Times New Roman" w:cs="Times New Roman"/>
        </w:rPr>
        <w:t>’</w:t>
      </w:r>
      <w:r w:rsidRPr="750671CE">
        <w:rPr>
          <w:rFonts w:ascii="Times New Roman" w:eastAsia="Times New Roman" w:hAnsi="Times New Roman" w:cs="Times New Roman"/>
        </w:rPr>
        <w:t>s employment. The discussions of the company</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A810E4" w:rsidRDefault="00A810E4" w:rsidP="00A810E4">
      <w:pPr>
        <w:rPr>
          <w:rFonts w:ascii="Times New Roman" w:hAnsi="Times New Roman" w:cs="Times New Roman"/>
        </w:rPr>
      </w:pPr>
    </w:p>
    <w:p w14:paraId="30D64492" w14:textId="1DB13CF1"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rPr>
          <w:rFonts w:ascii="Times New Roman" w:eastAsia="Times New Roman" w:hAnsi="Times New Roman" w:cs="Times New Roman"/>
        </w:rPr>
        <w:t>’</w:t>
      </w:r>
      <w:r w:rsidRPr="750671CE">
        <w:rPr>
          <w:rFonts w:ascii="Times New Roman" w:eastAsia="Times New Roman" w:hAnsi="Times New Roman" w:cs="Times New Roman"/>
        </w:rPr>
        <w:t>s act, although it may determine whether the form of action should be trespass or case, does not touch the theory of responsibility, if that theory be that a man acts at his peril.</w:t>
      </w:r>
    </w:p>
    <w:p w14:paraId="271155DB" w14:textId="77777777" w:rsidR="00A810E4" w:rsidRPr="00A810E4" w:rsidRDefault="00A810E4" w:rsidP="00A810E4">
      <w:pPr>
        <w:rPr>
          <w:rFonts w:ascii="Times New Roman" w:hAnsi="Times New Roman" w:cs="Times New Roman"/>
        </w:rPr>
      </w:pPr>
    </w:p>
    <w:p w14:paraId="5F176A9A" w14:textId="2C7416FA"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As was said at the outset, if the strict liability is to be maintained at all, it must be maintained throughout. A principle cannot be stated which would retain the strict liability in 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than in other instances where the remedy would be case.</w:t>
      </w:r>
    </w:p>
    <w:p w14:paraId="2061910E" w14:textId="77777777" w:rsidR="00A810E4" w:rsidRPr="00A810E4" w:rsidRDefault="00A810E4" w:rsidP="00A810E4">
      <w:pPr>
        <w:rPr>
          <w:rFonts w:ascii="Times New Roman" w:hAnsi="Times New Roman" w:cs="Times New Roman"/>
        </w:rPr>
      </w:pPr>
    </w:p>
    <w:p w14:paraId="5A068A45" w14:textId="793AA05E"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An act is always a voluntary muscular contraction, and nothing else. The chain of physical sequences which it sets in motion or directs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harm is no part of it, and very generally a long train of such sequences intervenes. An example or two will make this extremely clear.</w:t>
      </w:r>
    </w:p>
    <w:p w14:paraId="47F35E25" w14:textId="77777777" w:rsidR="00A810E4" w:rsidRPr="00A810E4" w:rsidRDefault="00A810E4" w:rsidP="00A810E4">
      <w:pPr>
        <w:rPr>
          <w:rFonts w:ascii="Times New Roman" w:hAnsi="Times New Roman" w:cs="Times New Roman"/>
        </w:rPr>
      </w:pPr>
    </w:p>
    <w:p w14:paraId="5E6F8C8D" w14:textId="4CE1D488"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w:t>
      </w:r>
      <w:r w:rsidRPr="750671CE">
        <w:rPr>
          <w:rFonts w:ascii="Times New Roman" w:eastAsia="Times New Roman" w:hAnsi="Times New Roman" w:cs="Times New Roman"/>
        </w:rPr>
        <w:lastRenderedPageBreak/>
        <w:t xml:space="preserve">is discharging water on the sidewalk, and directs it at the plaintiff, he does not even set in motion the physical causes which must co-operate with his act to make a battery. Not only natural causes, but a living being, may intervene between the act and its effect. </w:t>
      </w:r>
      <w:r w:rsidR="007946FE" w:rsidRPr="750671CE">
        <w:rPr>
          <w:rFonts w:ascii="Times New Roman" w:eastAsia="Times New Roman" w:hAnsi="Times New Roman" w:cs="Times New Roman"/>
        </w:rPr>
        <w:t xml:space="preserve">. . .  In Scott v. Shepherd . . . </w:t>
      </w:r>
      <w:r w:rsidRPr="750671CE">
        <w:rPr>
          <w:rFonts w:ascii="Times New Roman" w:eastAsia="Times New Roman" w:hAnsi="Times New Roman" w:cs="Times New Roman"/>
        </w:rPr>
        <w:t>trespass was maintained against one who had thrown a squib into a crowd, where it was tossed from hand to hand in self-defence until it burst and injured the plaintiff. Here even human agencies were a part of the chain between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and the result, although they were treated as more or less nearly automatic, in order to arrive at the decision.</w:t>
      </w:r>
    </w:p>
    <w:p w14:paraId="786FF8A0" w14:textId="77777777" w:rsidR="00A810E4" w:rsidRPr="00A810E4" w:rsidRDefault="00A810E4" w:rsidP="00A810E4">
      <w:pPr>
        <w:rPr>
          <w:rFonts w:ascii="Times New Roman" w:hAnsi="Times New Roman" w:cs="Times New Roman"/>
        </w:rPr>
      </w:pPr>
    </w:p>
    <w:p w14:paraId="7AA2188B" w14:textId="2A72E665"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w:t>
      </w:r>
      <w:r w:rsidR="00B05F31">
        <w:rPr>
          <w:rFonts w:ascii="Times New Roman" w:eastAsia="Times New Roman" w:hAnsi="Times New Roman" w:cs="Times New Roman"/>
        </w:rPr>
        <w:t>’</w:t>
      </w:r>
      <w:r w:rsidRPr="750671CE">
        <w:rPr>
          <w:rFonts w:ascii="Times New Roman" w:eastAsia="Times New Roman" w:hAnsi="Times New Roman" w:cs="Times New Roman"/>
        </w:rPr>
        <w:t>s act of spurring, why is it not a tort in every case . . .  seeing that it can always be referred more remotely to his act of mounting and taking the horse out?</w:t>
      </w:r>
    </w:p>
    <w:p w14:paraId="3794879B" w14:textId="77777777" w:rsidR="00A810E4" w:rsidRPr="00A810E4" w:rsidRDefault="00A810E4" w:rsidP="00A810E4">
      <w:pPr>
        <w:rPr>
          <w:rFonts w:ascii="Times New Roman" w:hAnsi="Times New Roman" w:cs="Times New Roman"/>
        </w:rPr>
      </w:pPr>
    </w:p>
    <w:p w14:paraId="58230991"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5332EBB9" w14:textId="77777777" w:rsidR="00A810E4" w:rsidRPr="00A810E4" w:rsidRDefault="00A810E4" w:rsidP="00A810E4">
      <w:pPr>
        <w:rPr>
          <w:rFonts w:ascii="Times New Roman" w:hAnsi="Times New Roman" w:cs="Times New Roman"/>
        </w:rPr>
      </w:pPr>
    </w:p>
    <w:p w14:paraId="6389EF32" w14:textId="77777777"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A810E4" w:rsidRDefault="00A810E4" w:rsidP="00A810E4">
      <w:pPr>
        <w:rPr>
          <w:rFonts w:ascii="Times New Roman" w:hAnsi="Times New Roman" w:cs="Times New Roman"/>
        </w:rPr>
      </w:pPr>
    </w:p>
    <w:p w14:paraId="4956BC73" w14:textId="588B30B2"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To return to the example of the accidental blow with a stick lifted in self-defence, there is no difference between h</w:t>
      </w:r>
      <w:r w:rsidR="007946FE" w:rsidRPr="750671CE">
        <w:rPr>
          <w:rFonts w:ascii="Times New Roman" w:eastAsia="Times New Roman" w:hAnsi="Times New Roman" w:cs="Times New Roman"/>
        </w:rPr>
        <w:t>itting a person standing in one</w:t>
      </w:r>
      <w:r w:rsidR="00B05F31">
        <w:rPr>
          <w:rFonts w:ascii="Times New Roman" w:eastAsia="Times New Roman" w:hAnsi="Times New Roman" w:cs="Times New Roman"/>
        </w:rPr>
        <w:t>’</w:t>
      </w:r>
      <w:r w:rsidRPr="750671CE">
        <w:rPr>
          <w:rFonts w:ascii="Times New Roman" w:eastAsia="Times New Roman" w:hAnsi="Times New Roman" w:cs="Times New Roman"/>
        </w:rPr>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1F886E22" w14:textId="77777777" w:rsidR="00A810E4" w:rsidRPr="00A810E4" w:rsidRDefault="00A810E4" w:rsidP="00A810E4">
      <w:pPr>
        <w:rPr>
          <w:rFonts w:ascii="Times New Roman" w:hAnsi="Times New Roman" w:cs="Times New Roman"/>
        </w:rPr>
      </w:pPr>
    </w:p>
    <w:p w14:paraId="4FF5C679" w14:textId="57CB45FA"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lastRenderedPageBreak/>
        <w:tab/>
      </w:r>
      <w:r w:rsidRPr="750671CE">
        <w:rPr>
          <w:rFonts w:ascii="Times New Roman" w:eastAsia="Times New Roman" w:hAnsi="Times New Roman" w:cs="Times New Roman"/>
        </w:rPr>
        <w:t xml:space="preserve">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w:t>
      </w:r>
      <w:r w:rsidR="00B05F31">
        <w:rPr>
          <w:rFonts w:ascii="Times New Roman" w:eastAsia="Times New Roman" w:hAnsi="Times New Roman" w:cs="Times New Roman"/>
        </w:rPr>
        <w:t>“</w:t>
      </w:r>
      <w:r w:rsidRPr="750671CE">
        <w:rPr>
          <w:rFonts w:ascii="Times New Roman" w:eastAsia="Times New Roman" w:hAnsi="Times New Roman" w:cs="Times New Roman"/>
        </w:rPr>
        <w:t>No case or principle can be found, or if found can be maintained, subjecting an individual to liability for an act done without fault on his part.</w:t>
      </w:r>
      <w:r w:rsidR="00A7206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All the cases concede that an injury arising from inevitable accident, or, which in law or reason is the same thing, from an act that ordinary human care and foresight are unable to guard against, is but the misfortune of the sufferer, and lays no foundation for legal responsibility.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w:t>
      </w:r>
      <w:r w:rsidR="007946FE" w:rsidRPr="750671CE">
        <w:rPr>
          <w:rFonts w:ascii="Times New Roman" w:eastAsia="Times New Roman" w:hAnsi="Times New Roman" w:cs="Times New Roman"/>
        </w:rPr>
        <w:t>. . .</w:t>
      </w:r>
    </w:p>
    <w:p w14:paraId="22CBEBAC" w14:textId="77777777" w:rsidR="00A810E4" w:rsidRPr="00A810E4" w:rsidRDefault="00A810E4" w:rsidP="00A810E4">
      <w:pPr>
        <w:rPr>
          <w:rFonts w:ascii="Times New Roman" w:hAnsi="Times New Roman" w:cs="Times New Roman"/>
        </w:rPr>
      </w:pPr>
    </w:p>
    <w:p w14:paraId="041CE58D" w14:textId="4E1D78FD"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would not only be open to these objections, but, as it is hoped the preceding discussion has shown, to the still graver one of offending the sense of justice. 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A810E4" w:rsidRDefault="00A810E4">
      <w:pPr>
        <w:rPr>
          <w:rFonts w:ascii="Times New Roman" w:hAnsi="Times New Roman" w:cs="Times New Roman"/>
        </w:rPr>
      </w:pPr>
    </w:p>
    <w:p w14:paraId="686801A7" w14:textId="77777777" w:rsidR="00A810E4" w:rsidRPr="00A810E4" w:rsidRDefault="00A810E4">
      <w:pPr>
        <w:rPr>
          <w:rFonts w:ascii="Times New Roman" w:hAnsi="Times New Roman" w:cs="Times New Roman"/>
        </w:rPr>
      </w:pPr>
    </w:p>
    <w:p w14:paraId="79144A77" w14:textId="77777777" w:rsidR="00A810E4" w:rsidRPr="00A810E4" w:rsidRDefault="00A810E4" w:rsidP="002502CC">
      <w:pPr>
        <w:pStyle w:val="Heading4"/>
      </w:pPr>
      <w:bookmarkStart w:id="167" w:name="_Toc364636078"/>
      <w:bookmarkStart w:id="168" w:name="_Toc518323249"/>
      <w:r w:rsidRPr="00A810E4">
        <w:t>Note</w:t>
      </w:r>
      <w:bookmarkEnd w:id="167"/>
      <w:bookmarkEnd w:id="168"/>
    </w:p>
    <w:p w14:paraId="1A79BF87" w14:textId="77777777" w:rsidR="00A810E4" w:rsidRDefault="00A810E4" w:rsidP="00A810E4">
      <w:pPr>
        <w:rPr>
          <w:rFonts w:ascii="Times New Roman" w:hAnsi="Times New Roman" w:cs="Times New Roman"/>
        </w:rPr>
      </w:pPr>
    </w:p>
    <w:p w14:paraId="32A90AB4" w14:textId="77777777" w:rsidR="00A03DE9" w:rsidRPr="00A810E4" w:rsidRDefault="00A03DE9" w:rsidP="00A810E4">
      <w:pPr>
        <w:rPr>
          <w:rFonts w:ascii="Times New Roman" w:hAnsi="Times New Roman" w:cs="Times New Roman"/>
        </w:rPr>
      </w:pPr>
    </w:p>
    <w:p w14:paraId="4BB5611A" w14:textId="2C4876F1" w:rsidR="00A810E4" w:rsidRPr="00F94B7E" w:rsidRDefault="750671CE" w:rsidP="00F94B7E">
      <w:pPr>
        <w:pStyle w:val="ListParagraph"/>
        <w:numPr>
          <w:ilvl w:val="0"/>
          <w:numId w:val="78"/>
        </w:numPr>
        <w:ind w:left="0" w:firstLine="360"/>
        <w:rPr>
          <w:rFonts w:ascii="Times New Roman" w:eastAsia="Times New Roman" w:hAnsi="Times New Roman" w:cs="Times New Roman"/>
        </w:rPr>
      </w:pPr>
      <w:r w:rsidRPr="00F94B7E">
        <w:rPr>
          <w:rFonts w:ascii="Times New Roman" w:eastAsia="Times New Roman" w:hAnsi="Times New Roman" w:cs="Times New Roman"/>
        </w:rPr>
        <w:lastRenderedPageBreak/>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gloss on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28D1C88F" w14:textId="77777777" w:rsidR="00A810E4" w:rsidRPr="00A810E4" w:rsidRDefault="00A810E4" w:rsidP="00A810E4">
      <w:pPr>
        <w:rPr>
          <w:rFonts w:ascii="Times New Roman" w:hAnsi="Times New Roman" w:cs="Times New Roman"/>
        </w:rPr>
      </w:pPr>
    </w:p>
    <w:p w14:paraId="1307E560" w14:textId="77777777" w:rsidR="00A810E4" w:rsidRPr="00A810E4" w:rsidRDefault="00A810E4" w:rsidP="00A810E4">
      <w:pPr>
        <w:rPr>
          <w:rFonts w:ascii="Times New Roman" w:hAnsi="Times New Roman" w:cs="Times New Roman"/>
        </w:rPr>
      </w:pPr>
    </w:p>
    <w:p w14:paraId="1C9275AD" w14:textId="02A6E6F8" w:rsidR="00A810E4" w:rsidRPr="00F94B7E" w:rsidRDefault="00A810E4" w:rsidP="750671CE">
      <w:pPr>
        <w:rPr>
          <w:rFonts w:ascii="Times New Roman" w:eastAsia="Times New Roman" w:hAnsi="Times New Roman" w:cs="Times New Roman"/>
          <w:b/>
          <w:bCs/>
          <w:i/>
        </w:rPr>
      </w:pPr>
      <w:bookmarkStart w:id="169" w:name="_Toc518323250"/>
      <w:r w:rsidRPr="00176F62">
        <w:rPr>
          <w:rStyle w:val="Heading3Char"/>
        </w:rPr>
        <w:t>Fletcher v. Rylands</w:t>
      </w:r>
      <w:r w:rsidR="00296689">
        <w:rPr>
          <w:rStyle w:val="Heading3Char"/>
        </w:rPr>
        <w:t>,</w:t>
      </w:r>
      <w:bookmarkEnd w:id="169"/>
      <w:r w:rsidR="00296689">
        <w:rPr>
          <w:rStyle w:val="Heading3Char"/>
        </w:rPr>
        <w:t xml:space="preserve"> </w:t>
      </w:r>
      <w:r w:rsidR="750671CE" w:rsidRPr="00F94B7E">
        <w:rPr>
          <w:rFonts w:ascii="Times New Roman" w:eastAsia="Times New Roman" w:hAnsi="Times New Roman" w:cs="Times New Roman"/>
          <w:b/>
          <w:bCs/>
          <w:i/>
        </w:rPr>
        <w:t>Exchequer of Pleas</w:t>
      </w:r>
      <w:r w:rsidR="750671CE" w:rsidRPr="00F82477">
        <w:rPr>
          <w:rFonts w:ascii="Times New Roman" w:eastAsia="Times New Roman" w:hAnsi="Times New Roman" w:cs="Times New Roman"/>
          <w:b/>
          <w:bCs/>
        </w:rPr>
        <w:t>, 1865</w:t>
      </w:r>
    </w:p>
    <w:p w14:paraId="39B92E5D" w14:textId="77777777" w:rsidR="00A810E4" w:rsidRPr="00176F62" w:rsidRDefault="750671CE" w:rsidP="750671CE">
      <w:pPr>
        <w:rPr>
          <w:rFonts w:ascii="Times New Roman" w:eastAsia="Times New Roman" w:hAnsi="Times New Roman" w:cs="Times New Roman"/>
          <w:b/>
          <w:bCs/>
        </w:rPr>
      </w:pPr>
      <w:r w:rsidRPr="750671CE">
        <w:rPr>
          <w:rFonts w:ascii="Times New Roman" w:eastAsia="Times New Roman" w:hAnsi="Times New Roman" w:cs="Times New Roman"/>
          <w:b/>
          <w:bCs/>
        </w:rPr>
        <w:t>159 Eng. Rep. 737</w:t>
      </w:r>
    </w:p>
    <w:p w14:paraId="10346853" w14:textId="77777777" w:rsidR="00A810E4" w:rsidRPr="00A810E4" w:rsidRDefault="00A810E4" w:rsidP="00A810E4">
      <w:pPr>
        <w:rPr>
          <w:rFonts w:ascii="Times New Roman" w:hAnsi="Times New Roman" w:cs="Times New Roman"/>
        </w:rPr>
      </w:pPr>
    </w:p>
    <w:p w14:paraId="4592F704" w14:textId="52D72590"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t>
      </w:r>
      <w:r w:rsidR="00A7206C">
        <w:rPr>
          <w:rFonts w:ascii="Times New Roman" w:eastAsia="Times New Roman" w:hAnsi="Times New Roman" w:cs="Times New Roman"/>
        </w:rPr>
        <w:t>—</w:t>
      </w:r>
      <w:r w:rsidRPr="750671CE">
        <w:rPr>
          <w:rFonts w:ascii="Times New Roman" w:eastAsia="Times New Roman" w:hAnsi="Times New Roman" w:cs="Times New Roman"/>
        </w:rPr>
        <w:t>who did not know about the old coal workings, or about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having found any such coal workings in the course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mining</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began to build a dam on an adjoining part of Lord Wilton</w:t>
      </w:r>
      <w:r w:rsidR="00B05F31">
        <w:rPr>
          <w:rFonts w:ascii="Times New Roman" w:eastAsia="Times New Roman" w:hAnsi="Times New Roman" w:cs="Times New Roman"/>
        </w:rPr>
        <w:t>’</w:t>
      </w:r>
      <w:r w:rsidRPr="750671CE">
        <w:rPr>
          <w:rFonts w:ascii="Times New Roman" w:eastAsia="Times New Roman" w:hAnsi="Times New Roman" w:cs="Times New Roman"/>
        </w:rPr>
        <w:t>s land for purposes of building a reservoir that would power their mill.  The defendant, everyone agreed, exercised due care in selecting competent engineers to build the reservoir.  In the course of their work</w:t>
      </w:r>
      <w:r w:rsidR="00A7206C">
        <w:rPr>
          <w:rFonts w:ascii="Times New Roman" w:eastAsia="Times New Roman" w:hAnsi="Times New Roman" w:cs="Times New Roman"/>
        </w:rPr>
        <w:t>,</w:t>
      </w:r>
      <w:r w:rsidRPr="750671CE">
        <w:rPr>
          <w:rFonts w:ascii="Times New Roman" w:eastAsia="Times New Roman" w:hAnsi="Times New Roman" w:cs="Times New Roman"/>
        </w:rPr>
        <w:t xml:space="preserve"> the engineers discovered that the bed was in part built on top of </w:t>
      </w:r>
      <w:r w:rsidR="00B05F31">
        <w:rPr>
          <w:rFonts w:ascii="Times New Roman" w:eastAsia="Times New Roman" w:hAnsi="Times New Roman" w:cs="Times New Roman"/>
        </w:rPr>
        <w:t>“</w:t>
      </w:r>
      <w:r w:rsidRPr="750671CE">
        <w:rPr>
          <w:rFonts w:ascii="Times New Roman" w:eastAsia="Times New Roman" w:hAnsi="Times New Roman" w:cs="Times New Roman"/>
        </w:rPr>
        <w:t>five old shafts, running vertically downwards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w:t>
      </w:r>
      <w:r w:rsidR="00B05F31">
        <w:rPr>
          <w:rFonts w:ascii="Times New Roman" w:eastAsia="Times New Roman" w:hAnsi="Times New Roman" w:cs="Times New Roman"/>
        </w:rPr>
        <w:t>“</w:t>
      </w:r>
      <w:r w:rsidRPr="750671CE">
        <w:rPr>
          <w:rFonts w:ascii="Times New Roman" w:eastAsia="Times New Roman" w:hAnsi="Times New Roman" w:cs="Times New Roman"/>
        </w:rPr>
        <w:t>constructed of timber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but </w:t>
      </w:r>
      <w:r w:rsidR="00B05F31">
        <w:rPr>
          <w:rFonts w:ascii="Times New Roman" w:eastAsia="Times New Roman" w:hAnsi="Times New Roman" w:cs="Times New Roman"/>
        </w:rPr>
        <w:t>“</w:t>
      </w:r>
      <w:r w:rsidRPr="750671CE">
        <w:rPr>
          <w:rFonts w:ascii="Times New Roman" w:eastAsia="Times New Roman" w:hAnsi="Times New Roman" w:cs="Times New Roman"/>
        </w:rPr>
        <w:t>filled up with marl or soil of the same kind as the marl or soil which immediately surrounded them.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coal workings and forced the plaintiff to suspend its operations.]</w:t>
      </w:r>
    </w:p>
    <w:p w14:paraId="321B3D81" w14:textId="77777777" w:rsidR="00A810E4" w:rsidRPr="00A810E4" w:rsidRDefault="00A810E4" w:rsidP="00A810E4">
      <w:pPr>
        <w:rPr>
          <w:rFonts w:ascii="Times New Roman" w:hAnsi="Times New Roman" w:cs="Times New Roman"/>
        </w:rPr>
      </w:pPr>
    </w:p>
    <w:p w14:paraId="5A134AAA"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question for the opinion of the Court was, whether the plaintiff was entitled to recover damages from the defendants by reason of the matter stated in the case.</w:t>
      </w:r>
    </w:p>
    <w:p w14:paraId="31243C91" w14:textId="77777777" w:rsidR="00A810E4" w:rsidRPr="00A810E4" w:rsidRDefault="00A810E4" w:rsidP="00A810E4">
      <w:pPr>
        <w:rPr>
          <w:rFonts w:ascii="Times New Roman" w:hAnsi="Times New Roman" w:cs="Times New Roman"/>
        </w:rPr>
      </w:pPr>
    </w:p>
    <w:p w14:paraId="5634543A" w14:textId="22C8D557" w:rsidR="00A810E4" w:rsidRPr="00A810E4" w:rsidRDefault="00A810E4"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w:t>
      </w:r>
      <w:r w:rsidR="00B20398" w:rsidRPr="00F94B7E">
        <w:rPr>
          <w:rFonts w:ascii="Times New Roman" w:eastAsia="Times New Roman" w:hAnsi="Times New Roman" w:cs="Times New Roman"/>
          <w:smallCaps/>
        </w:rPr>
        <w:t>ramwell</w:t>
      </w:r>
      <w:r w:rsidRPr="750671CE">
        <w:rPr>
          <w:rFonts w:ascii="Times New Roman" w:eastAsia="Times New Roman" w:hAnsi="Times New Roman" w:cs="Times New Roman"/>
        </w:rPr>
        <w:t>, B. . . .</w:t>
      </w:r>
      <w:r w:rsidRPr="00A810E4">
        <w:rPr>
          <w:rFonts w:ascii="Times New Roman" w:hAnsi="Times New Roman" w:cs="Times New Roman"/>
        </w:rPr>
        <w:tab/>
      </w:r>
      <w:r w:rsidRPr="750671CE">
        <w:rPr>
          <w:rFonts w:ascii="Times New Roman" w:eastAsia="Times New Roman" w:hAnsi="Times New Roman" w:cs="Times New Roman"/>
        </w:rPr>
        <w:t>[W]hat is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w:t>
      </w:r>
      <w:r w:rsidR="007946FE" w:rsidRPr="750671CE">
        <w:rPr>
          <w:rFonts w:ascii="Times New Roman" w:eastAsia="Times New Roman" w:hAnsi="Times New Roman" w:cs="Times New Roman"/>
        </w:rPr>
        <w:t xml:space="preserve">free from what has been called </w:t>
      </w:r>
      <w:r w:rsidR="00B05F31">
        <w:rPr>
          <w:rFonts w:ascii="Times New Roman" w:eastAsia="Times New Roman" w:hAnsi="Times New Roman" w:cs="Times New Roman"/>
        </w:rPr>
        <w:t>“</w:t>
      </w:r>
      <w:r w:rsidR="007946FE" w:rsidRPr="750671CE">
        <w:rPr>
          <w:rFonts w:ascii="Times New Roman" w:eastAsia="Times New Roman" w:hAnsi="Times New Roman" w:cs="Times New Roman"/>
        </w:rPr>
        <w:t>foreign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water, that is, water artificially brought or sent to him directly, or indirectly by its being sent to where it would flow to him. The defendants had no right to pour or send water on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works. Had they done so knowingly it is admitted an action would lie; and that it would if they did it again. . . .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right then has been infringed; the defendants in causing water to flow to the plaintiff have done that which they had no right to do. [C]onsequently th[e] the action is maintainable. The</w:t>
      </w:r>
      <w:r w:rsidR="007946FE" w:rsidRPr="750671CE">
        <w:rPr>
          <w:rFonts w:ascii="Times New Roman" w:eastAsia="Times New Roman" w:hAnsi="Times New Roman" w:cs="Times New Roman"/>
        </w:rPr>
        <w:t xml:space="preserv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case is, you have violated my right, you have done what you had no right to do, and have done me damage. If the plaintiff has the right I mention, the action is maintainable. If he has it not, it is because his right is only to have his mines free from </w:t>
      </w:r>
      <w:r w:rsidRPr="750671CE">
        <w:rPr>
          <w:rFonts w:ascii="Times New Roman" w:eastAsia="Times New Roman" w:hAnsi="Times New Roman" w:cs="Times New Roman"/>
        </w:rPr>
        <w:lastRenderedPageBreak/>
        <w:t>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30900ED6" w14:textId="77777777" w:rsidR="00A810E4" w:rsidRPr="00A810E4" w:rsidRDefault="00A810E4" w:rsidP="00A810E4">
      <w:pPr>
        <w:rPr>
          <w:rFonts w:ascii="Times New Roman" w:hAnsi="Times New Roman" w:cs="Times New Roman"/>
        </w:rPr>
      </w:pPr>
    </w:p>
    <w:p w14:paraId="2195F273" w14:textId="239ECC06" w:rsidR="00A810E4" w:rsidRPr="00A810E4" w:rsidRDefault="00A810E4" w:rsidP="750671CE">
      <w:pPr>
        <w:rPr>
          <w:rFonts w:ascii="Times New Roman" w:eastAsia="Times New Roman" w:hAnsi="Times New Roman" w:cs="Times New Roman"/>
        </w:rPr>
      </w:pPr>
      <w:r w:rsidRPr="00A810E4">
        <w:rPr>
          <w:rFonts w:ascii="Times New Roman" w:hAnsi="Times New Roman" w:cs="Times New Roman"/>
        </w:rPr>
        <w:tab/>
      </w:r>
      <w:r w:rsidRPr="750671CE">
        <w:rPr>
          <w:rFonts w:ascii="Times New Roman" w:eastAsia="Times New Roman" w:hAnsi="Times New Roman" w:cs="Times New Roman"/>
        </w:rPr>
        <w:t>I think, therefore, on the plain ground that the defendants have caused water to flow into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mines, which but for their,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act would not have gone, this action is maintainable. I think that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innocence, whatever may be its moral bearing on the case, is immaterial in point of law.</w:t>
      </w:r>
    </w:p>
    <w:p w14:paraId="07623DF4" w14:textId="77777777" w:rsidR="00A810E4" w:rsidRPr="00A810E4" w:rsidRDefault="00A810E4" w:rsidP="00A810E4">
      <w:pPr>
        <w:rPr>
          <w:rFonts w:ascii="Times New Roman" w:hAnsi="Times New Roman" w:cs="Times New Roman"/>
        </w:rPr>
      </w:pPr>
    </w:p>
    <w:p w14:paraId="5EEF628D" w14:textId="0DAD1DC9"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M</w:t>
      </w:r>
      <w:r w:rsidR="00B20398" w:rsidRPr="00F94B7E">
        <w:rPr>
          <w:rFonts w:ascii="Times New Roman" w:eastAsia="Times New Roman" w:hAnsi="Times New Roman" w:cs="Times New Roman"/>
          <w:smallCaps/>
        </w:rPr>
        <w:t>artin</w:t>
      </w:r>
      <w:r w:rsidRPr="750671CE">
        <w:rPr>
          <w:rFonts w:ascii="Times New Roman" w:eastAsia="Times New Roman" w:hAnsi="Times New Roman" w:cs="Times New Roman"/>
        </w:rPr>
        <w:t xml:space="preserve">, B. . . .  I think there was no trespass. In the judgment of my brother Bramwell . . . the act of the defendants was a trespass, but I cannot concur, and I own it seems to me that the cases cited by him, </w:t>
      </w:r>
      <w:r w:rsidRPr="750671CE">
        <w:rPr>
          <w:rFonts w:ascii="Times New Roman" w:eastAsia="Times New Roman" w:hAnsi="Times New Roman" w:cs="Times New Roman"/>
          <w:i/>
          <w:iCs/>
        </w:rPr>
        <w:t>Leame v. Bray</w:t>
      </w:r>
      <w:r w:rsidRPr="750671CE">
        <w:rPr>
          <w:rFonts w:ascii="Times New Roman" w:eastAsia="Times New Roman" w:hAnsi="Times New Roman" w:cs="Times New Roman"/>
        </w:rPr>
        <w:t xml:space="preserve"> (3 East, 593) . . . prove the contrary. . . .</w:t>
      </w:r>
      <w:r w:rsidR="009127B8">
        <w:rPr>
          <w:rFonts w:ascii="Times New Roman" w:eastAsia="Times New Roman" w:hAnsi="Times New Roman" w:cs="Times New Roman"/>
        </w:rPr>
        <w:t xml:space="preserve"> </w:t>
      </w:r>
      <w:r w:rsidRPr="750671CE">
        <w:rPr>
          <w:rFonts w:ascii="Times New Roman" w:eastAsia="Times New Roman" w:hAnsi="Times New Roman" w:cs="Times New Roman"/>
        </w:rPr>
        <w:t>[T]o constitute trespass the act doing the damage must be immediate, and that if the damage be mediate or consequential (which I think the present was), it is not a trespass. . . . The digging a reservoir in a man</w:t>
      </w:r>
      <w:r w:rsidR="00B05F31">
        <w:rPr>
          <w:rFonts w:ascii="Times New Roman" w:eastAsia="Times New Roman" w:hAnsi="Times New Roman" w:cs="Times New Roman"/>
        </w:rPr>
        <w:t>’</w:t>
      </w:r>
      <w:r w:rsidRPr="750671CE">
        <w:rPr>
          <w:rFonts w:ascii="Times New Roman" w:eastAsia="Times New Roman" w:hAnsi="Times New Roman" w:cs="Times New Roman"/>
        </w:rPr>
        <w:t>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20A49BCF" w14:textId="77777777" w:rsidR="00A810E4" w:rsidRPr="00A810E4" w:rsidRDefault="00A810E4" w:rsidP="00A810E4">
      <w:pPr>
        <w:rPr>
          <w:rFonts w:ascii="Times New Roman" w:hAnsi="Times New Roman" w:cs="Times New Roman"/>
        </w:rPr>
      </w:pPr>
    </w:p>
    <w:p w14:paraId="65FA0CD8"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44CBA099" w14:textId="77777777" w:rsidR="00A810E4" w:rsidRPr="00A810E4" w:rsidRDefault="00A810E4" w:rsidP="00A810E4">
      <w:pPr>
        <w:rPr>
          <w:rFonts w:ascii="Times New Roman" w:hAnsi="Times New Roman" w:cs="Times New Roman"/>
        </w:rPr>
      </w:pPr>
    </w:p>
    <w:p w14:paraId="52DCD729" w14:textId="455C5DD1"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P</w:t>
      </w:r>
      <w:r w:rsidR="000C6EC4" w:rsidRPr="00F94B7E">
        <w:rPr>
          <w:rFonts w:ascii="Times New Roman" w:eastAsia="Times New Roman" w:hAnsi="Times New Roman" w:cs="Times New Roman"/>
          <w:smallCaps/>
        </w:rPr>
        <w:t>ollock</w:t>
      </w:r>
      <w:r w:rsidRPr="750671CE">
        <w:rPr>
          <w:rFonts w:ascii="Times New Roman" w:eastAsia="Times New Roman" w:hAnsi="Times New Roman" w:cs="Times New Roman"/>
        </w:rPr>
        <w:t xml:space="preserve">, C. B. . . .  I agree with my brother Martin that no action will lie. It appears to me that my brother Bramwell assumes too strongly that the complainant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had a right to be free from what is called </w:t>
      </w:r>
      <w:r w:rsidR="00B05F31">
        <w:rPr>
          <w:rFonts w:ascii="Times New Roman" w:eastAsia="Times New Roman" w:hAnsi="Times New Roman" w:cs="Times New Roman"/>
        </w:rPr>
        <w:t>‘</w:t>
      </w:r>
      <w:r w:rsidRPr="750671CE">
        <w:rPr>
          <w:rFonts w:ascii="Times New Roman" w:eastAsia="Times New Roman" w:hAnsi="Times New Roman" w:cs="Times New Roman"/>
        </w:rPr>
        <w:t>foreign water.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7D3727F7" w14:textId="77777777" w:rsidR="00A810E4" w:rsidRPr="00A810E4" w:rsidRDefault="00A810E4" w:rsidP="00A810E4">
      <w:pPr>
        <w:rPr>
          <w:rFonts w:ascii="Times New Roman" w:hAnsi="Times New Roman" w:cs="Times New Roman"/>
        </w:rPr>
      </w:pPr>
    </w:p>
    <w:p w14:paraId="48053A66" w14:textId="77777777" w:rsidR="00A810E4" w:rsidRPr="00A810E4" w:rsidRDefault="00A810E4" w:rsidP="00A810E4">
      <w:pPr>
        <w:rPr>
          <w:rFonts w:ascii="Times New Roman" w:hAnsi="Times New Roman" w:cs="Times New Roman"/>
        </w:rPr>
      </w:pPr>
    </w:p>
    <w:p w14:paraId="4CF322CC" w14:textId="63B10F81" w:rsidR="00A810E4" w:rsidRPr="00F94B7E" w:rsidRDefault="00A810E4" w:rsidP="750671CE">
      <w:pPr>
        <w:rPr>
          <w:rFonts w:ascii="Times New Roman" w:eastAsia="Times New Roman" w:hAnsi="Times New Roman" w:cs="Times New Roman"/>
          <w:b/>
        </w:rPr>
      </w:pPr>
      <w:bookmarkStart w:id="170" w:name="_Toc518323251"/>
      <w:r w:rsidRPr="00BA0F87">
        <w:rPr>
          <w:rStyle w:val="Heading3Char"/>
          <w:rFonts w:eastAsia="Times New Roman"/>
        </w:rPr>
        <w:t>Court of Exchequer Chamber</w:t>
      </w:r>
      <w:bookmarkEnd w:id="170"/>
      <w:r w:rsidRPr="00F94B7E">
        <w:rPr>
          <w:rFonts w:ascii="Times New Roman" w:eastAsia="Times New Roman" w:hAnsi="Times New Roman" w:cs="Times New Roman"/>
          <w:b/>
        </w:rPr>
        <w:t xml:space="preserve">, </w:t>
      </w:r>
      <w:r w:rsidR="750671CE" w:rsidRPr="00F94B7E">
        <w:rPr>
          <w:rFonts w:ascii="Times New Roman" w:eastAsia="Times New Roman" w:hAnsi="Times New Roman" w:cs="Times New Roman"/>
          <w:b/>
        </w:rPr>
        <w:t>(1866) LR 1 Ex 265</w:t>
      </w:r>
    </w:p>
    <w:p w14:paraId="268ACD4B" w14:textId="77777777" w:rsidR="00A810E4" w:rsidRPr="00A810E4" w:rsidRDefault="00A810E4" w:rsidP="00A810E4">
      <w:pPr>
        <w:rPr>
          <w:rFonts w:ascii="Times New Roman" w:hAnsi="Times New Roman" w:cs="Times New Roman"/>
        </w:rPr>
      </w:pPr>
    </w:p>
    <w:p w14:paraId="35F28047" w14:textId="038804CE" w:rsidR="00A810E4" w:rsidRPr="00A810E4" w:rsidRDefault="00A810E4"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B</w:t>
      </w:r>
      <w:r w:rsidR="000C6EC4" w:rsidRPr="00F94B7E">
        <w:rPr>
          <w:rFonts w:ascii="Times New Roman" w:eastAsia="Times New Roman" w:hAnsi="Times New Roman" w:cs="Times New Roman"/>
          <w:smallCaps/>
        </w:rPr>
        <w:t>lackburn</w:t>
      </w:r>
      <w:r w:rsidRPr="750671CE">
        <w:rPr>
          <w:rFonts w:ascii="Times New Roman" w:eastAsia="Times New Roman" w:hAnsi="Times New Roman" w:cs="Times New Roman"/>
        </w:rPr>
        <w:t>, J.</w:t>
      </w:r>
      <w:r w:rsidRPr="00A810E4">
        <w:rPr>
          <w:rFonts w:ascii="Times New Roman" w:hAnsi="Times New Roman" w:cs="Times New Roman"/>
        </w:rPr>
        <w:tab/>
      </w:r>
      <w:r w:rsidRPr="750671CE">
        <w:rPr>
          <w:rFonts w:ascii="Times New Roman" w:eastAsia="Times New Roman" w:hAnsi="Times New Roman" w:cs="Times New Roman"/>
        </w:rPr>
        <w:t>We have come to the conclusion that the opinion of Bramwell, B., was right, and that . . . the plaintiff was entitled to recover damages from the defendants . . . .</w:t>
      </w:r>
    </w:p>
    <w:p w14:paraId="332FE8F4" w14:textId="77777777" w:rsidR="00A810E4" w:rsidRPr="00A810E4" w:rsidRDefault="00A810E4" w:rsidP="00A810E4">
      <w:pPr>
        <w:rPr>
          <w:rFonts w:ascii="Times New Roman" w:hAnsi="Times New Roman" w:cs="Times New Roman"/>
        </w:rPr>
      </w:pPr>
    </w:p>
    <w:p w14:paraId="5008A537" w14:textId="77777777"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A810E4" w:rsidRDefault="00A810E4" w:rsidP="00A810E4">
      <w:pPr>
        <w:rPr>
          <w:rFonts w:ascii="Times New Roman" w:hAnsi="Times New Roman" w:cs="Times New Roman"/>
        </w:rPr>
      </w:pPr>
    </w:p>
    <w:p w14:paraId="6A8347CC" w14:textId="2BDC6BD3"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default; or perhaps that the escape was the consequence of </w:t>
      </w:r>
      <w:r w:rsidRPr="750671CE">
        <w:rPr>
          <w:rFonts w:ascii="Times New Roman" w:eastAsia="Times New Roman" w:hAnsi="Times New Roman" w:cs="Times New Roman"/>
          <w:i/>
          <w:iCs/>
        </w:rPr>
        <w:t>vis major</w:t>
      </w:r>
      <w:r w:rsidRPr="750671CE">
        <w:rPr>
          <w:rFonts w:ascii="Times New Roman" w:eastAsia="Times New Roman" w:hAnsi="Times New Roman" w:cs="Times New Roman"/>
        </w:rPr>
        <w:t>, or the act of God; but as nothing of this sort exists here, it is unnecessary to inquire what excuse would be sufficient. The general rule, as above stated, seems on principle just. The person whose grass or corn is eaten down by the escaping cattle of his neighbour, or whose mine is flooded by the water from his neighbour</w:t>
      </w:r>
      <w:r w:rsidR="00B05F31">
        <w:rPr>
          <w:rFonts w:ascii="Times New Roman" w:eastAsia="Times New Roman" w:hAnsi="Times New Roman" w:cs="Times New Roman"/>
        </w:rPr>
        <w:t>’</w:t>
      </w:r>
      <w:r w:rsidRPr="750671CE">
        <w:rPr>
          <w:rFonts w:ascii="Times New Roman" w:eastAsia="Times New Roman" w:hAnsi="Times New Roman" w:cs="Times New Roman"/>
        </w:rPr>
        <w:t>s reservoir, or whose cellar is invaded by the filth of his neighbour</w:t>
      </w:r>
      <w:r w:rsidR="00B05F31">
        <w:rPr>
          <w:rFonts w:ascii="Times New Roman" w:eastAsia="Times New Roman" w:hAnsi="Times New Roman" w:cs="Times New Roman"/>
        </w:rPr>
        <w:t>’</w:t>
      </w:r>
      <w:r w:rsidRPr="750671CE">
        <w:rPr>
          <w:rFonts w:ascii="Times New Roman" w:eastAsia="Times New Roman" w:hAnsi="Times New Roman" w:cs="Times New Roman"/>
        </w:rPr>
        <w:t>s privy, or whose habitation is made unhealthy by the fumes and noisome vapours of his neighbour</w:t>
      </w:r>
      <w:r w:rsidR="00B05F31">
        <w:rPr>
          <w:rFonts w:ascii="Times New Roman" w:eastAsia="Times New Roman" w:hAnsi="Times New Roman" w:cs="Times New Roman"/>
        </w:rPr>
        <w:t>’</w:t>
      </w:r>
      <w:r w:rsidRPr="750671CE">
        <w:rPr>
          <w:rFonts w:ascii="Times New Roman" w:eastAsia="Times New Roman" w:hAnsi="Times New Roman" w:cs="Times New Roman"/>
        </w:rPr>
        <w:t>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w:t>
      </w:r>
      <w:r w:rsidR="00B05F31">
        <w:rPr>
          <w:rFonts w:ascii="Times New Roman" w:eastAsia="Times New Roman" w:hAnsi="Times New Roman" w:cs="Times New Roman"/>
        </w:rPr>
        <w:t>’</w:t>
      </w:r>
      <w:r w:rsidRPr="750671CE">
        <w:rPr>
          <w:rFonts w:ascii="Times New Roman" w:eastAsia="Times New Roman" w:hAnsi="Times New Roman" w:cs="Times New Roman"/>
        </w:rPr>
        <w:t>s, should be obliged to make good the damage which ensues if he does not succeed in confining it to his own property. . . .</w:t>
      </w:r>
    </w:p>
    <w:p w14:paraId="49665C1D" w14:textId="77777777" w:rsidR="00A810E4" w:rsidRPr="00A810E4" w:rsidRDefault="00A810E4" w:rsidP="00A810E4">
      <w:pPr>
        <w:rPr>
          <w:rFonts w:ascii="Times New Roman" w:hAnsi="Times New Roman" w:cs="Times New Roman"/>
        </w:rPr>
      </w:pPr>
      <w:r w:rsidRPr="00A810E4">
        <w:rPr>
          <w:rFonts w:ascii="Times New Roman" w:hAnsi="Times New Roman" w:cs="Times New Roman"/>
        </w:rPr>
        <w:t xml:space="preserve"> </w:t>
      </w:r>
    </w:p>
    <w:p w14:paraId="76E899CD"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case that has most commonly occurred, and which is most frequently to be found in the books, is as to the obligation of the owner of cattle which he has brought on his land, to prevent their escaping and doing mischief. The law as to them seems to be </w:t>
      </w:r>
      <w:r w:rsidRPr="750671CE">
        <w:rPr>
          <w:rFonts w:ascii="Times New Roman" w:eastAsia="Times New Roman" w:hAnsi="Times New Roman" w:cs="Times New Roman"/>
        </w:rPr>
        <w:lastRenderedPageBreak/>
        <w:t>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A810E4" w:rsidRDefault="00A810E4" w:rsidP="00A810E4">
      <w:pPr>
        <w:rPr>
          <w:rFonts w:ascii="Times New Roman" w:hAnsi="Times New Roman" w:cs="Times New Roman"/>
        </w:rPr>
      </w:pPr>
    </w:p>
    <w:p w14:paraId="323E8AFF"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p>
    <w:p w14:paraId="246716FB" w14:textId="713AEFF1" w:rsidR="00A810E4" w:rsidRPr="00A810E4" w:rsidRDefault="00A810E4" w:rsidP="00A810E4">
      <w:pPr>
        <w:rPr>
          <w:rFonts w:ascii="Times New Roman" w:hAnsi="Times New Roman" w:cs="Times New Roman"/>
        </w:rPr>
      </w:pPr>
    </w:p>
    <w:p w14:paraId="21E95375" w14:textId="14AD685F"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 . .</w:t>
      </w:r>
    </w:p>
    <w:p w14:paraId="0F3372CB" w14:textId="77777777" w:rsidR="00A810E4" w:rsidRPr="00A810E4" w:rsidRDefault="00A810E4" w:rsidP="00A810E4">
      <w:pPr>
        <w:rPr>
          <w:rFonts w:ascii="Times New Roman" w:hAnsi="Times New Roman" w:cs="Times New Roman"/>
        </w:rPr>
      </w:pPr>
    </w:p>
    <w:p w14:paraId="43C78D91"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are of [the] opinion that the plaintiff is entitled to recover. </w:t>
      </w:r>
    </w:p>
    <w:p w14:paraId="598ED9E0" w14:textId="7D13EF2D" w:rsidR="00A810E4" w:rsidRPr="00A810E4" w:rsidRDefault="00A810E4" w:rsidP="00A810E4">
      <w:pPr>
        <w:rPr>
          <w:rFonts w:ascii="Times New Roman" w:hAnsi="Times New Roman" w:cs="Times New Roman"/>
        </w:rPr>
      </w:pPr>
    </w:p>
    <w:p w14:paraId="58495D49" w14:textId="77777777" w:rsidR="00A810E4" w:rsidRPr="00A810E4" w:rsidRDefault="00A810E4" w:rsidP="00A810E4">
      <w:pPr>
        <w:rPr>
          <w:rFonts w:ascii="Times New Roman" w:hAnsi="Times New Roman" w:cs="Times New Roman"/>
        </w:rPr>
      </w:pPr>
    </w:p>
    <w:p w14:paraId="5A8210A2" w14:textId="6F7E9D20" w:rsidR="00A810E4" w:rsidRPr="00176F62" w:rsidRDefault="750671CE" w:rsidP="750671CE">
      <w:pPr>
        <w:rPr>
          <w:rFonts w:ascii="Times New Roman" w:eastAsia="Times New Roman" w:hAnsi="Times New Roman" w:cs="Times New Roman"/>
          <w:b/>
          <w:bCs/>
        </w:rPr>
      </w:pPr>
      <w:bookmarkStart w:id="171" w:name="_Toc518323252"/>
      <w:r w:rsidRPr="00296689">
        <w:rPr>
          <w:rStyle w:val="Heading3Char"/>
          <w:i/>
        </w:rPr>
        <w:t>House of Lords</w:t>
      </w:r>
      <w:bookmarkEnd w:id="171"/>
      <w:r w:rsidRPr="750671CE">
        <w:rPr>
          <w:rFonts w:ascii="Times New Roman" w:eastAsia="Times New Roman" w:hAnsi="Times New Roman" w:cs="Times New Roman"/>
          <w:b/>
          <w:bCs/>
        </w:rPr>
        <w:t>, 1868</w:t>
      </w:r>
      <w:r w:rsidR="00296689">
        <w:rPr>
          <w:rFonts w:ascii="Times New Roman" w:eastAsia="Times New Roman" w:hAnsi="Times New Roman" w:cs="Times New Roman"/>
          <w:b/>
          <w:bCs/>
        </w:rPr>
        <w:t xml:space="preserve">, </w:t>
      </w:r>
      <w:r w:rsidRPr="750671CE">
        <w:rPr>
          <w:rFonts w:ascii="Times New Roman" w:eastAsia="Times New Roman" w:hAnsi="Times New Roman" w:cs="Times New Roman"/>
          <w:b/>
          <w:bCs/>
        </w:rPr>
        <w:t>LR 3 HL 330</w:t>
      </w:r>
    </w:p>
    <w:p w14:paraId="4AC50359" w14:textId="77777777" w:rsidR="00A810E4" w:rsidRPr="00A810E4" w:rsidRDefault="00A810E4" w:rsidP="00A810E4">
      <w:pPr>
        <w:rPr>
          <w:rFonts w:ascii="Times New Roman" w:hAnsi="Times New Roman" w:cs="Times New Roman"/>
        </w:rPr>
      </w:pPr>
    </w:p>
    <w:p w14:paraId="031E47C6" w14:textId="142CF934" w:rsidR="00A810E4" w:rsidRPr="00A810E4" w:rsidRDefault="000C6EC4" w:rsidP="750671CE">
      <w:pPr>
        <w:ind w:firstLine="720"/>
        <w:rPr>
          <w:rFonts w:ascii="Times New Roman" w:eastAsia="Times New Roman" w:hAnsi="Times New Roman" w:cs="Times New Roman"/>
        </w:rPr>
      </w:pPr>
      <w:r>
        <w:rPr>
          <w:rFonts w:ascii="Times New Roman" w:eastAsia="Times New Roman" w:hAnsi="Times New Roman" w:cs="Times New Roman"/>
          <w:smallCaps/>
        </w:rPr>
        <w:t xml:space="preserve">The Lord Chancellor (Lord Cairns) </w:t>
      </w:r>
      <w:r w:rsidR="750671CE" w:rsidRPr="750671CE">
        <w:rPr>
          <w:rFonts w:ascii="Times New Roman" w:eastAsia="Times New Roman" w:hAnsi="Times New Roman" w:cs="Times New Roman"/>
        </w:rPr>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Default="00176F62" w:rsidP="00176F62">
      <w:pPr>
        <w:ind w:firstLine="720"/>
        <w:rPr>
          <w:rFonts w:ascii="Times New Roman" w:hAnsi="Times New Roman" w:cs="Times New Roman"/>
        </w:rPr>
      </w:pPr>
    </w:p>
    <w:p w14:paraId="3BB4339F" w14:textId="1C60F35E"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rPr>
          <w:rFonts w:ascii="Times New Roman" w:eastAsia="Times New Roman" w:hAnsi="Times New Roman" w:cs="Times New Roman"/>
        </w:rPr>
        <w:t>—</w:t>
      </w:r>
      <w:r w:rsidRPr="750671CE">
        <w:rPr>
          <w:rFonts w:ascii="Times New Roman" w:eastAsia="Times New Roman" w:hAnsi="Times New Roman" w:cs="Times New Roman"/>
        </w:rPr>
        <w:t xml:space="preserve">and if in consequence of their doing so, or in consequence of any imperfection in the mode of their doing so, the water came to escape and to pass off into the close of the Plaintiff, then it appears to me that that which the Defendants were doing they were doing at their own </w:t>
      </w:r>
      <w:r w:rsidRPr="750671CE">
        <w:rPr>
          <w:rFonts w:ascii="Times New Roman" w:eastAsia="Times New Roman" w:hAnsi="Times New Roman" w:cs="Times New Roman"/>
        </w:rPr>
        <w:lastRenderedPageBreak/>
        <w:t>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Default="00176F62" w:rsidP="00A810E4">
      <w:pPr>
        <w:rPr>
          <w:rFonts w:ascii="Times New Roman" w:hAnsi="Times New Roman" w:cs="Times New Roman"/>
        </w:rPr>
      </w:pPr>
    </w:p>
    <w:p w14:paraId="0B2D398D"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My Lords, these simple principles, if they are well founded, as it appears to me they are, really dispose of this case.</w:t>
      </w:r>
    </w:p>
    <w:p w14:paraId="365ECF23" w14:textId="77777777" w:rsidR="00176F62" w:rsidRDefault="00176F62" w:rsidP="00A810E4">
      <w:pPr>
        <w:rPr>
          <w:rFonts w:ascii="Times New Roman" w:hAnsi="Times New Roman" w:cs="Times New Roman"/>
        </w:rPr>
      </w:pPr>
    </w:p>
    <w:p w14:paraId="61059815"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same result is arrived at on the principles referred to by Mr. Justice Blackburn in his judgment, in the Court of Exchequer Chamber . . . .  </w:t>
      </w:r>
    </w:p>
    <w:p w14:paraId="6E3D3D77" w14:textId="77777777" w:rsidR="00176F62" w:rsidRDefault="00176F62" w:rsidP="00A810E4">
      <w:pPr>
        <w:rPr>
          <w:rFonts w:ascii="Times New Roman" w:hAnsi="Times New Roman" w:cs="Times New Roman"/>
        </w:rPr>
      </w:pPr>
    </w:p>
    <w:p w14:paraId="2EA850DF"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My Lords, in that opinion, I must say I entirely concur. Therefore, I have to move your Lordships that the judgment of the Court of Exchequer Chamber be affirmed, and that the present appeal be dismissed with costs.</w:t>
      </w:r>
    </w:p>
    <w:p w14:paraId="3E6BF092" w14:textId="77777777" w:rsidR="00176F62" w:rsidRDefault="00176F62" w:rsidP="00A810E4">
      <w:pPr>
        <w:rPr>
          <w:rFonts w:ascii="Times New Roman" w:hAnsi="Times New Roman" w:cs="Times New Roman"/>
        </w:rPr>
      </w:pPr>
    </w:p>
    <w:p w14:paraId="0A333C6D" w14:textId="1AC207AE" w:rsidR="00A810E4" w:rsidRPr="00A810E4" w:rsidRDefault="000C6EC4"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L</w:t>
      </w:r>
      <w:r>
        <w:rPr>
          <w:rFonts w:ascii="Times New Roman" w:eastAsia="Times New Roman" w:hAnsi="Times New Roman" w:cs="Times New Roman"/>
          <w:smallCaps/>
        </w:rPr>
        <w:t xml:space="preserve">ord Cranworth </w:t>
      </w:r>
      <w:r w:rsidR="750671CE" w:rsidRPr="750671CE">
        <w:rPr>
          <w:rFonts w:ascii="Times New Roman" w:eastAsia="Times New Roman" w:hAnsi="Times New Roman" w:cs="Times New Roman"/>
        </w:rPr>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6AA1EB06" w14:textId="52E4C541"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 come without hesitation to the conclusion that the judgment of the Exchequer Chamber was right. . . .  If water naturally rising in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land . . . had by percolation found its way down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Default="009127B8" w:rsidP="750671CE">
      <w:pPr>
        <w:rPr>
          <w:rFonts w:ascii="Times New Roman" w:eastAsia="Times New Roman" w:hAnsi="Times New Roman" w:cs="Times New Roman"/>
        </w:rPr>
      </w:pPr>
    </w:p>
    <w:p w14:paraId="60C245AE" w14:textId="77777777"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I concur, therefore, with my noble and learned friend in thinking that the judgment below must be affirmed, and that there must be judgment for the Defendant in Error.</w:t>
      </w:r>
    </w:p>
    <w:p w14:paraId="17F811C2" w14:textId="77777777" w:rsidR="00A810E4" w:rsidRPr="00A810E4" w:rsidRDefault="00A810E4" w:rsidP="00A810E4">
      <w:pPr>
        <w:rPr>
          <w:rFonts w:ascii="Times New Roman" w:hAnsi="Times New Roman" w:cs="Times New Roman"/>
        </w:rPr>
      </w:pPr>
    </w:p>
    <w:p w14:paraId="22CE0862" w14:textId="77777777" w:rsidR="00A810E4" w:rsidRPr="00A810E4" w:rsidRDefault="00A810E4" w:rsidP="00A810E4">
      <w:pPr>
        <w:rPr>
          <w:rFonts w:ascii="Times New Roman" w:hAnsi="Times New Roman" w:cs="Times New Roman"/>
        </w:rPr>
      </w:pPr>
    </w:p>
    <w:p w14:paraId="55246753" w14:textId="77777777" w:rsidR="00A810E4" w:rsidRPr="00A810E4" w:rsidRDefault="00A810E4" w:rsidP="00A810E4">
      <w:pPr>
        <w:rPr>
          <w:rFonts w:ascii="Times New Roman" w:hAnsi="Times New Roman" w:cs="Times New Roman"/>
        </w:rPr>
      </w:pPr>
    </w:p>
    <w:p w14:paraId="709CBF2E" w14:textId="77777777" w:rsidR="00A810E4" w:rsidRPr="00A810E4" w:rsidRDefault="00A810E4" w:rsidP="002502CC">
      <w:pPr>
        <w:pStyle w:val="Heading4"/>
      </w:pPr>
      <w:bookmarkStart w:id="172" w:name="_Toc364636079"/>
      <w:bookmarkStart w:id="173" w:name="_Toc518323253"/>
      <w:r w:rsidRPr="00A810E4">
        <w:t>Notes</w:t>
      </w:r>
      <w:bookmarkEnd w:id="172"/>
      <w:bookmarkEnd w:id="173"/>
    </w:p>
    <w:p w14:paraId="485F345B" w14:textId="77777777" w:rsidR="00A810E4" w:rsidRDefault="00A810E4" w:rsidP="00A810E4">
      <w:pPr>
        <w:rPr>
          <w:rFonts w:ascii="Times New Roman" w:hAnsi="Times New Roman" w:cs="Times New Roman"/>
        </w:rPr>
      </w:pPr>
    </w:p>
    <w:p w14:paraId="1A0C7622" w14:textId="77777777" w:rsidR="00A03DE9" w:rsidRPr="00A810E4" w:rsidRDefault="00A03DE9" w:rsidP="00A810E4">
      <w:pPr>
        <w:rPr>
          <w:rFonts w:ascii="Times New Roman" w:hAnsi="Times New Roman" w:cs="Times New Roman"/>
        </w:rPr>
      </w:pPr>
    </w:p>
    <w:p w14:paraId="07686F96" w14:textId="3825D071" w:rsidR="00A810E4" w:rsidRPr="00F94B7E" w:rsidRDefault="750671CE" w:rsidP="00F94B7E">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Is strict liability possible?</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the Court of Exchequer and the House of Lords purported to identify a basis for liability other than negligence.  Many have characterized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as a form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what does that mean?  Strict liability, as Professor Stephen Perry points out, may not be conceptually available, at least not if it simply means cause-based liability.  After all, both the plaintiff and the </w:t>
      </w:r>
      <w:r w:rsidRPr="00F94B7E">
        <w:rPr>
          <w:rFonts w:ascii="Times New Roman" w:eastAsia="Times New Roman" w:hAnsi="Times New Roman" w:cs="Times New Roman"/>
        </w:rPr>
        <w:lastRenderedPageBreak/>
        <w:t xml:space="preserve">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were causes of the injury at issue; no injury would have taken place had the plaintiff not been mining coal, just as no injury would have taken place had the defendant not built a reservoir.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Stephen R. Perry, </w:t>
      </w:r>
      <w:r w:rsidRPr="00F94B7E">
        <w:rPr>
          <w:rFonts w:ascii="Times New Roman" w:eastAsia="Times New Roman" w:hAnsi="Times New Roman" w:cs="Times New Roman"/>
          <w:i/>
        </w:rPr>
        <w:t>The Impossibility of Strict Liability</w:t>
      </w:r>
      <w:r w:rsidRPr="00F94B7E">
        <w:rPr>
          <w:rFonts w:ascii="Times New Roman" w:eastAsia="Times New Roman" w:hAnsi="Times New Roman" w:cs="Times New Roman"/>
        </w:rPr>
        <w:t xml:space="preserve">, 1 </w:t>
      </w:r>
      <w:r w:rsidR="000C6EC4" w:rsidRPr="00F94B7E">
        <w:rPr>
          <w:rFonts w:ascii="Times New Roman" w:eastAsia="Times New Roman" w:hAnsi="Times New Roman" w:cs="Times New Roman"/>
          <w:smallCaps/>
        </w:rPr>
        <w:t xml:space="preserve">Can J. L. &amp; Jurisprudence </w:t>
      </w:r>
      <w:r w:rsidRPr="00F94B7E">
        <w:rPr>
          <w:rFonts w:ascii="Times New Roman" w:eastAsia="Times New Roman" w:hAnsi="Times New Roman" w:cs="Times New Roman"/>
        </w:rPr>
        <w:t xml:space="preserve">147, 169-70 (1988).  To put it a different way: causation alone does not distinguish between the two parties to the case.  So what then is the ground for liability offered by the judges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who differ with Judge Martin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negligence standard? </w:t>
      </w:r>
    </w:p>
    <w:p w14:paraId="4C8D8FE1" w14:textId="77777777" w:rsidR="00A810E4" w:rsidRPr="00A810E4" w:rsidRDefault="00A810E4" w:rsidP="00A810E4">
      <w:pPr>
        <w:rPr>
          <w:rFonts w:ascii="Times New Roman" w:hAnsi="Times New Roman" w:cs="Times New Roman"/>
        </w:rPr>
      </w:pPr>
    </w:p>
    <w:p w14:paraId="6DD58207" w14:textId="77777777" w:rsidR="00A810E4" w:rsidRPr="00A810E4" w:rsidRDefault="00A810E4" w:rsidP="00A810E4">
      <w:pPr>
        <w:rPr>
          <w:rFonts w:ascii="Times New Roman" w:hAnsi="Times New Roman" w:cs="Times New Roman"/>
        </w:rPr>
      </w:pPr>
    </w:p>
    <w:p w14:paraId="32EA37D6" w14:textId="0EDD2C6E" w:rsidR="00A810E4" w:rsidRPr="00F94B7E" w:rsidRDefault="750671CE" w:rsidP="00F94B7E">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reciprocity view.</w:t>
      </w:r>
      <w:r w:rsidRPr="00F94B7E">
        <w:rPr>
          <w:rFonts w:ascii="Times New Roman" w:eastAsia="Times New Roman" w:hAnsi="Times New Roman" w:cs="Times New Roman"/>
        </w:rPr>
        <w:t xml:space="preserve">  In discussing the defense of necessity in </w:t>
      </w:r>
      <w:r w:rsidRPr="00F94B7E">
        <w:rPr>
          <w:rFonts w:ascii="Times New Roman" w:eastAsia="Times New Roman" w:hAnsi="Times New Roman" w:cs="Times New Roman"/>
          <w:i/>
          <w:iCs/>
        </w:rPr>
        <w:t>Vincent v. Lake Erie Transportation Co.</w:t>
      </w:r>
      <w:r w:rsidRPr="00F94B7E">
        <w:rPr>
          <w:rFonts w:ascii="Times New Roman" w:eastAsia="Times New Roman" w:hAnsi="Times New Roman" w:cs="Times New Roman"/>
        </w:rPr>
        <w:t xml:space="preserve">, above, we noted the argument advanced by torts jurists like George Fletcher that the real basis for the liability in torts is the imposition of a non-reciprocal risk.  Fletcher contends that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is precisely such a case: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critical feature of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is that the defendant created a risk of harm to the plaintiff that was of an order different from the risks that the plaintiff imposed on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George Fletcher, </w:t>
      </w:r>
      <w:r w:rsidRPr="00F94B7E">
        <w:rPr>
          <w:rFonts w:ascii="Times New Roman" w:eastAsia="Times New Roman" w:hAnsi="Times New Roman" w:cs="Times New Roman"/>
          <w:i/>
        </w:rPr>
        <w:t>Fairness and Utility in Tort Theory</w:t>
      </w:r>
      <w:r w:rsidRPr="00F94B7E">
        <w:rPr>
          <w:rFonts w:ascii="Times New Roman" w:eastAsia="Times New Roman" w:hAnsi="Times New Roman" w:cs="Times New Roman"/>
        </w:rPr>
        <w:t xml:space="preserve">, 85 </w:t>
      </w:r>
      <w:r w:rsidRPr="00F94B7E">
        <w:rPr>
          <w:rFonts w:ascii="Times New Roman" w:eastAsia="Times New Roman" w:hAnsi="Times New Roman" w:cs="Times New Roman"/>
          <w:smallCaps/>
        </w:rPr>
        <w:t>H</w:t>
      </w:r>
      <w:r w:rsidR="000C6EC4" w:rsidRPr="00F94B7E">
        <w:rPr>
          <w:rFonts w:ascii="Times New Roman" w:eastAsia="Times New Roman" w:hAnsi="Times New Roman" w:cs="Times New Roman"/>
          <w:smallCaps/>
        </w:rPr>
        <w:t>arv. L. Rev</w:t>
      </w:r>
      <w:r w:rsidRPr="00F94B7E">
        <w:rPr>
          <w:rFonts w:ascii="Times New Roman" w:eastAsia="Times New Roman" w:hAnsi="Times New Roman" w:cs="Times New Roman"/>
        </w:rPr>
        <w:t xml:space="preserve">. 537, 546 (1971).  Does the reciprocity argument offer a sound basis for allocating the cost of the harm to the reservoir-building defendant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Critics insist that the reciprocity argument is just as circular here in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as it was in </w:t>
      </w:r>
      <w:r w:rsidRPr="00F94B7E">
        <w:rPr>
          <w:rFonts w:ascii="Times New Roman" w:eastAsia="Times New Roman" w:hAnsi="Times New Roman" w:cs="Times New Roman"/>
          <w:i/>
          <w:iCs/>
        </w:rPr>
        <w:t>Vincent</w:t>
      </w:r>
      <w:r w:rsidRPr="00F94B7E">
        <w:rPr>
          <w:rFonts w:ascii="Times New Roman" w:eastAsia="Times New Roman" w:hAnsi="Times New Roman" w:cs="Times New Roman"/>
        </w:rPr>
        <w:t>.  It is circular because the relative risks of the activities turn on tort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underlying allocation of those risks.  If the plaintiff coal miner has the right to compensation for the costs imposed by the defendant reservoir builder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5E6CD8CB" w14:textId="77777777" w:rsidR="00A810E4" w:rsidRPr="00A810E4" w:rsidRDefault="00A810E4" w:rsidP="00A810E4">
      <w:pPr>
        <w:rPr>
          <w:rFonts w:ascii="Times New Roman" w:hAnsi="Times New Roman" w:cs="Times New Roman"/>
        </w:rPr>
      </w:pPr>
    </w:p>
    <w:p w14:paraId="10C5CB9A" w14:textId="77777777" w:rsidR="00A810E4" w:rsidRPr="00A810E4" w:rsidRDefault="00A810E4" w:rsidP="00A810E4">
      <w:pPr>
        <w:rPr>
          <w:rFonts w:ascii="Times New Roman" w:hAnsi="Times New Roman" w:cs="Times New Roman"/>
        </w:rPr>
      </w:pPr>
    </w:p>
    <w:p w14:paraId="0F207CFC" w14:textId="55FE261E" w:rsidR="00A810E4" w:rsidRPr="00F94B7E" w:rsidRDefault="750671CE" w:rsidP="00F94B7E">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First in time?</w:t>
      </w:r>
      <w:r w:rsidRPr="00F94B7E">
        <w:rPr>
          <w:rFonts w:ascii="Times New Roman" w:eastAsia="Times New Roman" w:hAnsi="Times New Roman" w:cs="Times New Roman"/>
        </w:rPr>
        <w:t xml:space="preserve">  What about a first-in-time principle?  The coal mine operator was removing coal from the land before the construction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6C677F33" w14:textId="77777777" w:rsidR="00A810E4" w:rsidRPr="00A810E4" w:rsidRDefault="00A810E4" w:rsidP="00A810E4">
      <w:pPr>
        <w:rPr>
          <w:rFonts w:ascii="Times New Roman" w:hAnsi="Times New Roman" w:cs="Times New Roman"/>
        </w:rPr>
      </w:pPr>
    </w:p>
    <w:p w14:paraId="5987B572" w14:textId="77777777" w:rsidR="00A810E4" w:rsidRPr="00A810E4" w:rsidRDefault="00A810E4" w:rsidP="00A810E4">
      <w:pPr>
        <w:rPr>
          <w:rFonts w:ascii="Times New Roman" w:hAnsi="Times New Roman" w:cs="Times New Roman"/>
        </w:rPr>
      </w:pPr>
    </w:p>
    <w:p w14:paraId="4648C23C" w14:textId="1209228B" w:rsidR="00A810E4" w:rsidRPr="00F94B7E" w:rsidRDefault="750671CE" w:rsidP="00F94B7E">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rPr>
        <w:t>Unusual behavior.</w:t>
      </w:r>
      <w:r w:rsidRPr="00F94B7E">
        <w:rPr>
          <w:rFonts w:ascii="Times New Roman" w:eastAsia="Times New Roman" w:hAnsi="Times New Roman" w:cs="Times New Roman"/>
        </w:rPr>
        <w:t xml:space="preserve">  Another possible justification for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case? </w:t>
      </w:r>
    </w:p>
    <w:p w14:paraId="7050603F" w14:textId="77777777" w:rsidR="00A810E4" w:rsidRPr="00A810E4" w:rsidRDefault="00A810E4" w:rsidP="00A810E4">
      <w:pPr>
        <w:rPr>
          <w:rFonts w:ascii="Times New Roman" w:hAnsi="Times New Roman" w:cs="Times New Roman"/>
        </w:rPr>
      </w:pPr>
    </w:p>
    <w:p w14:paraId="568932AB" w14:textId="77777777" w:rsidR="00A810E4" w:rsidRPr="00A810E4" w:rsidRDefault="00A810E4" w:rsidP="00A810E4">
      <w:pPr>
        <w:rPr>
          <w:rFonts w:ascii="Times New Roman" w:hAnsi="Times New Roman" w:cs="Times New Roman"/>
        </w:rPr>
      </w:pPr>
    </w:p>
    <w:p w14:paraId="6869A59B" w14:textId="037EF994" w:rsidR="00A810E4" w:rsidRPr="00F94B7E" w:rsidRDefault="750671CE" w:rsidP="00F94B7E">
      <w:pPr>
        <w:pStyle w:val="ListParagraph"/>
        <w:numPr>
          <w:ilvl w:val="0"/>
          <w:numId w:val="7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was met with strong opposition in some American courts, as the next two cases make clear:</w:t>
      </w:r>
    </w:p>
    <w:p w14:paraId="38032332" w14:textId="77777777" w:rsidR="00A810E4" w:rsidRDefault="00A810E4" w:rsidP="00A810E4">
      <w:pPr>
        <w:rPr>
          <w:rFonts w:ascii="Times New Roman" w:hAnsi="Times New Roman" w:cs="Times New Roman"/>
        </w:rPr>
      </w:pPr>
    </w:p>
    <w:p w14:paraId="6B1CA88D" w14:textId="77777777" w:rsidR="00A03DE9" w:rsidRPr="00A810E4" w:rsidRDefault="00A03DE9" w:rsidP="00A810E4">
      <w:pPr>
        <w:rPr>
          <w:rFonts w:ascii="Times New Roman" w:hAnsi="Times New Roman" w:cs="Times New Roman"/>
        </w:rPr>
      </w:pPr>
    </w:p>
    <w:p w14:paraId="6B6A009D" w14:textId="77777777" w:rsidR="00A810E4" w:rsidRPr="005442F2" w:rsidRDefault="00A810E4" w:rsidP="750671CE">
      <w:pPr>
        <w:rPr>
          <w:rFonts w:ascii="Times New Roman" w:eastAsia="Times New Roman" w:hAnsi="Times New Roman" w:cs="Times New Roman"/>
          <w:b/>
          <w:bCs/>
        </w:rPr>
      </w:pPr>
      <w:bookmarkStart w:id="174" w:name="_Toc518323254"/>
      <w:r w:rsidRPr="003A38FD">
        <w:rPr>
          <w:rStyle w:val="Heading3Char"/>
          <w:i/>
        </w:rPr>
        <w:t>Brown v. Collins</w:t>
      </w:r>
      <w:bookmarkEnd w:id="174"/>
      <w:r w:rsidRPr="750671CE">
        <w:rPr>
          <w:rFonts w:ascii="Times New Roman" w:eastAsia="Times New Roman" w:hAnsi="Times New Roman" w:cs="Times New Roman"/>
          <w:b/>
          <w:bCs/>
        </w:rPr>
        <w:t>, 53 N.H. 442 (1873)</w:t>
      </w:r>
    </w:p>
    <w:p w14:paraId="5CA683DD" w14:textId="77777777" w:rsidR="00A810E4" w:rsidRPr="00A810E4" w:rsidRDefault="00A810E4" w:rsidP="00A810E4">
      <w:pPr>
        <w:rPr>
          <w:rFonts w:ascii="Times New Roman" w:hAnsi="Times New Roman" w:cs="Times New Roman"/>
        </w:rPr>
      </w:pPr>
    </w:p>
    <w:p w14:paraId="7B1DA6CC" w14:textId="39395664"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D</w:t>
      </w:r>
      <w:r w:rsidR="00F80BCE">
        <w:rPr>
          <w:rFonts w:ascii="Times New Roman" w:eastAsia="Times New Roman" w:hAnsi="Times New Roman" w:cs="Times New Roman"/>
          <w:smallCaps/>
        </w:rPr>
        <w:t>oe</w:t>
      </w:r>
      <w:r w:rsidRPr="750671CE">
        <w:rPr>
          <w:rFonts w:ascii="Times New Roman" w:eastAsia="Times New Roman" w:hAnsi="Times New Roman" w:cs="Times New Roman"/>
        </w:rPr>
        <w:t>, J.  It is agreed that the defendant was in the use of ordinary care and skill in managing his horses, until they were frightened; and that they then became unmanageable, and ran against and broke a post on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 . .</w:t>
      </w:r>
    </w:p>
    <w:p w14:paraId="3B94E76E" w14:textId="77777777" w:rsidR="00A810E4" w:rsidRPr="00A810E4" w:rsidRDefault="00A810E4" w:rsidP="00A810E4">
      <w:pPr>
        <w:rPr>
          <w:rFonts w:ascii="Times New Roman" w:hAnsi="Times New Roman" w:cs="Times New Roman"/>
        </w:rPr>
      </w:pPr>
    </w:p>
    <w:p w14:paraId="5A7F4299" w14:textId="1D2A6B0D"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rPr>
          <w:rFonts w:ascii="Times New Roman" w:eastAsia="Times New Roman" w:hAnsi="Times New Roman" w:cs="Times New Roman"/>
        </w:rPr>
        <w:t>’</w:t>
      </w:r>
      <w:r w:rsidRPr="750671CE">
        <w:rPr>
          <w:rFonts w:ascii="Times New Roman" w:eastAsia="Times New Roman" w:hAnsi="Times New Roman" w:cs="Times New Roman"/>
        </w:rPr>
        <w:t>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F2AC70A" w14:textId="77777777" w:rsidR="00A810E4" w:rsidRPr="00A810E4" w:rsidRDefault="00A810E4" w:rsidP="00A810E4">
      <w:pPr>
        <w:rPr>
          <w:rFonts w:ascii="Times New Roman" w:hAnsi="Times New Roman" w:cs="Times New Roman"/>
        </w:rPr>
      </w:pPr>
    </w:p>
    <w:p w14:paraId="0722B436" w14:textId="0A9FDFC4"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w:t>
      </w:r>
      <w:r w:rsidRPr="750671CE">
        <w:rPr>
          <w:rFonts w:ascii="Times New Roman" w:eastAsia="Times New Roman" w:hAnsi="Times New Roman" w:cs="Times New Roman"/>
          <w:i/>
          <w:iCs/>
        </w:rPr>
        <w:t>Fletcher v. Rylands</w:t>
      </w:r>
      <w:r w:rsidRPr="750671CE">
        <w:rPr>
          <w:rFonts w:ascii="Times New Roman" w:eastAsia="Times New Roman" w:hAnsi="Times New Roman" w:cs="Times New Roman"/>
        </w:rPr>
        <w:t xml:space="preserve"> . . .  Mr. Justice Blackburn, commenting upon the remark of Mr. Baron Martin, </w:t>
      </w:r>
      <w:r w:rsidR="00B05F31">
        <w:rPr>
          <w:rFonts w:ascii="Times New Roman" w:eastAsia="Times New Roman" w:hAnsi="Times New Roman" w:cs="Times New Roman"/>
        </w:rPr>
        <w:t>“</w:t>
      </w:r>
      <w:r w:rsidRPr="750671CE">
        <w:rPr>
          <w:rFonts w:ascii="Times New Roman" w:eastAsia="Times New Roman" w:hAnsi="Times New Roman" w:cs="Times New Roman"/>
        </w:rPr>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This would be authority for holding, in the present case, that the plaintiff, by having his post near the street, took upon himself the risk of its being broken by an inevitable accident carrying a traveller off the street. . . .  </w:t>
      </w:r>
    </w:p>
    <w:p w14:paraId="59682C78" w14:textId="77777777" w:rsidR="00A810E4" w:rsidRPr="00A810E4" w:rsidRDefault="00A810E4" w:rsidP="00A810E4">
      <w:pPr>
        <w:rPr>
          <w:rFonts w:ascii="Times New Roman" w:hAnsi="Times New Roman" w:cs="Times New Roman"/>
        </w:rPr>
      </w:pPr>
    </w:p>
    <w:p w14:paraId="0C7EE1EC" w14:textId="69169BDD"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defendant, being without fault, was as innocent as if the pole of his wagon had been hurled on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land by a whirlwind, or he himself, by a stronger man, had been thrown through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window. Upon the facts stated, taken in the sense in which we understand them, the defendant is entitled to judgment.</w:t>
      </w:r>
    </w:p>
    <w:p w14:paraId="72BA816E" w14:textId="77777777" w:rsidR="005442F2" w:rsidRDefault="005442F2" w:rsidP="00A810E4">
      <w:pPr>
        <w:rPr>
          <w:rFonts w:ascii="Times New Roman" w:hAnsi="Times New Roman" w:cs="Times New Roman"/>
        </w:rPr>
      </w:pPr>
    </w:p>
    <w:p w14:paraId="7AADC48B" w14:textId="77777777" w:rsidR="00A810E4" w:rsidRPr="00A810E4" w:rsidRDefault="750671CE">
      <w:pPr>
        <w:rPr>
          <w:rFonts w:ascii="Times New Roman" w:eastAsia="Times New Roman" w:hAnsi="Times New Roman" w:cs="Times New Roman"/>
        </w:rPr>
      </w:pPr>
      <w:r w:rsidRPr="750671CE">
        <w:rPr>
          <w:rFonts w:ascii="Times New Roman" w:eastAsia="Times New Roman" w:hAnsi="Times New Roman" w:cs="Times New Roman"/>
        </w:rPr>
        <w:lastRenderedPageBreak/>
        <w:t>Case discharged.</w:t>
      </w:r>
    </w:p>
    <w:p w14:paraId="7759EFF8" w14:textId="77777777" w:rsidR="00A810E4" w:rsidRDefault="00A810E4" w:rsidP="00A03DE9">
      <w:pPr>
        <w:rPr>
          <w:rFonts w:ascii="Times New Roman" w:hAnsi="Times New Roman" w:cs="Times New Roman"/>
        </w:rPr>
      </w:pPr>
    </w:p>
    <w:p w14:paraId="0A36BD11" w14:textId="77777777" w:rsidR="00A03DE9" w:rsidRPr="00A810E4" w:rsidRDefault="00A03DE9" w:rsidP="00A03DE9">
      <w:pPr>
        <w:rPr>
          <w:rFonts w:ascii="Times New Roman" w:hAnsi="Times New Roman" w:cs="Times New Roman"/>
        </w:rPr>
      </w:pPr>
    </w:p>
    <w:p w14:paraId="5057F773" w14:textId="77777777" w:rsidR="00A810E4" w:rsidRPr="00A810E4" w:rsidRDefault="00A810E4" w:rsidP="002502CC">
      <w:pPr>
        <w:pStyle w:val="Heading4"/>
      </w:pPr>
      <w:bookmarkStart w:id="175" w:name="_Toc364636080"/>
      <w:bookmarkStart w:id="176" w:name="_Toc518323255"/>
      <w:r w:rsidRPr="00A810E4">
        <w:t>Note</w:t>
      </w:r>
      <w:bookmarkEnd w:id="175"/>
      <w:bookmarkEnd w:id="176"/>
    </w:p>
    <w:p w14:paraId="7348B132" w14:textId="77777777" w:rsidR="00F80BCE" w:rsidRDefault="00F80BCE">
      <w:pPr>
        <w:rPr>
          <w:rFonts w:ascii="Times New Roman" w:eastAsia="Times New Roman" w:hAnsi="Times New Roman" w:cs="Times New Roman"/>
        </w:rPr>
      </w:pPr>
    </w:p>
    <w:p w14:paraId="70FFF2B0" w14:textId="77777777" w:rsidR="00A03DE9" w:rsidRDefault="00A03DE9">
      <w:pPr>
        <w:rPr>
          <w:rFonts w:ascii="Times New Roman" w:eastAsia="Times New Roman" w:hAnsi="Times New Roman" w:cs="Times New Roman"/>
        </w:rPr>
      </w:pPr>
    </w:p>
    <w:p w14:paraId="59BCE871" w14:textId="54736652" w:rsidR="00A810E4" w:rsidRPr="00F94B7E" w:rsidRDefault="750671CE" w:rsidP="00F94B7E">
      <w:pPr>
        <w:pStyle w:val="ListParagraph"/>
        <w:numPr>
          <w:ilvl w:val="0"/>
          <w:numId w:val="80"/>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Does civilization really rest on the rejection of the </w:t>
      </w:r>
      <w:r w:rsidRPr="00F94B7E">
        <w:rPr>
          <w:rFonts w:ascii="Times New Roman" w:eastAsia="Times New Roman" w:hAnsi="Times New Roman" w:cs="Times New Roman"/>
          <w:iCs/>
        </w:rPr>
        <w:t>Rylands</w:t>
      </w:r>
      <w:r w:rsidRPr="00F94B7E">
        <w:rPr>
          <w:rFonts w:ascii="Times New Roman" w:eastAsia="Times New Roman" w:hAnsi="Times New Roman" w:cs="Times New Roman"/>
          <w:i/>
        </w:rPr>
        <w:t xml:space="preserve"> rule?</w:t>
      </w:r>
      <w:r w:rsidRPr="00F94B7E">
        <w:rPr>
          <w:rFonts w:ascii="Times New Roman" w:eastAsia="Times New Roman" w:hAnsi="Times New Roman" w:cs="Times New Roman"/>
        </w:rPr>
        <w:t xml:space="preserve">  Was nineteenth-century New Hampshire really more civilized and less prone to a condition of barbarism than nineteenth-century Great Britain?  Judge Doe was not alone in thinking that civilization itself was at stake.  In New York, Judge Earl added an additional dimension to the critique of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w:t>
      </w:r>
    </w:p>
    <w:p w14:paraId="3F2E25F2" w14:textId="77777777" w:rsidR="00A810E4" w:rsidRDefault="00A810E4" w:rsidP="00A810E4">
      <w:pPr>
        <w:rPr>
          <w:rFonts w:ascii="Times New Roman" w:hAnsi="Times New Roman" w:cs="Times New Roman"/>
        </w:rPr>
      </w:pPr>
    </w:p>
    <w:p w14:paraId="48863A08" w14:textId="77777777" w:rsidR="00A03DE9" w:rsidRPr="00A810E4" w:rsidRDefault="00A03DE9" w:rsidP="00A810E4">
      <w:pPr>
        <w:rPr>
          <w:rFonts w:ascii="Times New Roman" w:hAnsi="Times New Roman" w:cs="Times New Roman"/>
        </w:rPr>
      </w:pPr>
    </w:p>
    <w:p w14:paraId="68728828" w14:textId="77777777" w:rsidR="00A810E4" w:rsidRPr="00A810E4" w:rsidRDefault="00A810E4" w:rsidP="750671CE">
      <w:pPr>
        <w:rPr>
          <w:rFonts w:ascii="Times New Roman" w:eastAsia="Times New Roman" w:hAnsi="Times New Roman" w:cs="Times New Roman"/>
        </w:rPr>
      </w:pPr>
      <w:bookmarkStart w:id="177" w:name="_Toc518323256"/>
      <w:r w:rsidRPr="00BA0F87">
        <w:rPr>
          <w:rStyle w:val="Heading3Char"/>
          <w:i/>
        </w:rPr>
        <w:t>Losee v. Buchanan</w:t>
      </w:r>
      <w:bookmarkEnd w:id="177"/>
      <w:r w:rsidRPr="750671CE">
        <w:rPr>
          <w:rFonts w:ascii="Times New Roman" w:eastAsia="Times New Roman" w:hAnsi="Times New Roman" w:cs="Times New Roman"/>
          <w:b/>
          <w:bCs/>
        </w:rPr>
        <w:t>, 51 N.Y. 476 (1872)</w:t>
      </w:r>
    </w:p>
    <w:p w14:paraId="0CDE5F2B" w14:textId="77777777" w:rsidR="00A810E4" w:rsidRPr="00A810E4" w:rsidRDefault="00A810E4" w:rsidP="00A810E4">
      <w:pPr>
        <w:rPr>
          <w:rFonts w:ascii="Times New Roman" w:hAnsi="Times New Roman" w:cs="Times New Roman"/>
        </w:rPr>
      </w:pPr>
    </w:p>
    <w:p w14:paraId="49F5B908" w14:textId="0353DD57" w:rsidR="00A810E4" w:rsidRPr="00A810E4"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smallCaps/>
        </w:rPr>
        <w:t>E</w:t>
      </w:r>
      <w:r w:rsidR="00111211" w:rsidRPr="00F94B7E">
        <w:rPr>
          <w:rFonts w:ascii="Times New Roman" w:eastAsia="Times New Roman" w:hAnsi="Times New Roman" w:cs="Times New Roman"/>
          <w:smallCaps/>
        </w:rPr>
        <w:t>arl</w:t>
      </w:r>
      <w:r w:rsidRPr="750671CE">
        <w:rPr>
          <w:rFonts w:ascii="Times New Roman" w:eastAsia="Times New Roman" w:hAnsi="Times New Roman" w:cs="Times New Roman"/>
        </w:rPr>
        <w:t>, J. . . .The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A810E4" w:rsidRDefault="00A810E4" w:rsidP="00A810E4">
      <w:pPr>
        <w:rPr>
          <w:rFonts w:ascii="Times New Roman" w:hAnsi="Times New Roman" w:cs="Times New Roman"/>
        </w:rPr>
      </w:pPr>
    </w:p>
    <w:p w14:paraId="06A078CC"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 do not believe this claim to be well founded . . . . </w:t>
      </w:r>
    </w:p>
    <w:p w14:paraId="5546D9FD" w14:textId="77777777" w:rsidR="00A810E4" w:rsidRPr="00A810E4" w:rsidRDefault="00A810E4" w:rsidP="00A810E4">
      <w:pPr>
        <w:rPr>
          <w:rFonts w:ascii="Times New Roman" w:hAnsi="Times New Roman" w:cs="Times New Roman"/>
        </w:rPr>
      </w:pPr>
    </w:p>
    <w:p w14:paraId="143BDC62" w14:textId="435EFB37" w:rsidR="009127B8"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2FC66AE6" w14:textId="77777777"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A810E4" w:rsidRDefault="00A810E4" w:rsidP="00A810E4">
      <w:pPr>
        <w:rPr>
          <w:rFonts w:ascii="Times New Roman" w:hAnsi="Times New Roman" w:cs="Times New Roman"/>
        </w:rPr>
      </w:pPr>
    </w:p>
    <w:p w14:paraId="11EE2E73"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But our attention is called to a recent English case, [</w:t>
      </w:r>
      <w:r w:rsidRPr="750671CE">
        <w:rPr>
          <w:rFonts w:ascii="Times New Roman" w:eastAsia="Times New Roman" w:hAnsi="Times New Roman" w:cs="Times New Roman"/>
          <w:i/>
          <w:iCs/>
        </w:rPr>
        <w:t>Fletcher v. Rylands</w:t>
      </w:r>
      <w:r w:rsidRPr="750671CE">
        <w:rPr>
          <w:rFonts w:ascii="Times New Roman" w:eastAsia="Times New Roman" w:hAnsi="Times New Roman" w:cs="Times New Roman"/>
        </w:rPr>
        <w:t xml:space="preserve">,] decided in the Exchequer Chamber, which seems to uphold the claim made. . . . </w:t>
      </w:r>
    </w:p>
    <w:p w14:paraId="7978B55C" w14:textId="77777777" w:rsidR="00A810E4" w:rsidRPr="00A810E4" w:rsidRDefault="00A810E4" w:rsidP="00A810E4">
      <w:pPr>
        <w:rPr>
          <w:rFonts w:ascii="Times New Roman" w:hAnsi="Times New Roman" w:cs="Times New Roman"/>
        </w:rPr>
      </w:pPr>
    </w:p>
    <w:p w14:paraId="26D2847B"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sufficient, however, to say that the law, as laid down in those cases, is in direct conflict with the law as settled in this country. Here, if one builds a dam upon his own premises and thus holds back and accumulates the water for his benefit, or if he </w:t>
      </w:r>
      <w:r w:rsidRPr="750671CE">
        <w:rPr>
          <w:rFonts w:ascii="Times New Roman" w:eastAsia="Times New Roman" w:hAnsi="Times New Roman" w:cs="Times New Roman"/>
        </w:rPr>
        <w:lastRenderedPageBreak/>
        <w:t xml:space="preserve">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A810E4" w:rsidRDefault="00A810E4" w:rsidP="00A810E4">
      <w:pPr>
        <w:rPr>
          <w:rFonts w:ascii="Times New Roman" w:hAnsi="Times New Roman" w:cs="Times New Roman"/>
        </w:rPr>
      </w:pPr>
    </w:p>
    <w:p w14:paraId="7C507955" w14:textId="77777777"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All concur.</w:t>
      </w:r>
    </w:p>
    <w:p w14:paraId="364BA9FD" w14:textId="77777777" w:rsidR="00A810E4" w:rsidRPr="00A810E4" w:rsidRDefault="00A810E4">
      <w:pPr>
        <w:rPr>
          <w:rFonts w:ascii="Times New Roman" w:hAnsi="Times New Roman" w:cs="Times New Roman"/>
        </w:rPr>
      </w:pPr>
    </w:p>
    <w:p w14:paraId="0FC52F59" w14:textId="77777777" w:rsidR="00A810E4" w:rsidRPr="00A810E4" w:rsidRDefault="00A810E4">
      <w:pPr>
        <w:rPr>
          <w:rFonts w:ascii="Times New Roman" w:hAnsi="Times New Roman" w:cs="Times New Roman"/>
        </w:rPr>
      </w:pPr>
    </w:p>
    <w:p w14:paraId="1AB6140B" w14:textId="77777777" w:rsidR="00A810E4" w:rsidRPr="00A810E4" w:rsidRDefault="00A810E4" w:rsidP="002502CC">
      <w:pPr>
        <w:pStyle w:val="Heading4"/>
      </w:pPr>
      <w:bookmarkStart w:id="178" w:name="_Toc364636081"/>
      <w:bookmarkStart w:id="179" w:name="_Toc518323257"/>
      <w:r w:rsidRPr="00A810E4">
        <w:t>Notes</w:t>
      </w:r>
      <w:bookmarkEnd w:id="178"/>
      <w:bookmarkEnd w:id="179"/>
    </w:p>
    <w:p w14:paraId="562BB200" w14:textId="77777777" w:rsidR="00A810E4" w:rsidRDefault="00A810E4" w:rsidP="00041F6F">
      <w:pPr>
        <w:rPr>
          <w:rFonts w:ascii="Times New Roman" w:hAnsi="Times New Roman" w:cs="Times New Roman"/>
        </w:rPr>
      </w:pPr>
    </w:p>
    <w:p w14:paraId="4832F333" w14:textId="77777777" w:rsidR="00041F6F" w:rsidRPr="00A810E4" w:rsidRDefault="00041F6F" w:rsidP="00041F6F">
      <w:pPr>
        <w:rPr>
          <w:rFonts w:ascii="Times New Roman" w:hAnsi="Times New Roman" w:cs="Times New Roman"/>
        </w:rPr>
      </w:pPr>
    </w:p>
    <w:p w14:paraId="65589931" w14:textId="69DD72A1" w:rsidR="00A810E4" w:rsidRPr="00F94B7E" w:rsidRDefault="750671CE" w:rsidP="00F94B7E">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Torts and the social contract</w:t>
      </w:r>
      <w:r w:rsidRPr="00F94B7E">
        <w:rPr>
          <w:rFonts w:ascii="Times New Roman" w:eastAsia="Times New Roman" w:hAnsi="Times New Roman" w:cs="Times New Roman"/>
        </w:rPr>
        <w:t>.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account seems to suggest that people in civilized societies enter into a social contract under which they trade away their natural rights to compensation for injuries caused without fault.  Why would they do so in Judge Earl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account?  Is a negligence rule necessarily one of the terms of the social contract?  Taking up the social contractarianism of 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an approach that Keating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strict enterprise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Gregory C. Keating, </w:t>
      </w:r>
      <w:r w:rsidRPr="00F94B7E">
        <w:rPr>
          <w:rFonts w:ascii="Times New Roman" w:eastAsia="Times New Roman" w:hAnsi="Times New Roman" w:cs="Times New Roman"/>
          <w:i/>
        </w:rPr>
        <w:t>Rawlsian Fairness and Regime Choice in the Law of Accidents</w:t>
      </w:r>
      <w:r w:rsidRPr="00F94B7E">
        <w:rPr>
          <w:rFonts w:ascii="Times New Roman" w:eastAsia="Times New Roman" w:hAnsi="Times New Roman" w:cs="Times New Roman"/>
        </w:rPr>
        <w:t xml:space="preserve">, 72 </w:t>
      </w:r>
      <w:r w:rsidR="00F80BCE" w:rsidRPr="00F94B7E">
        <w:rPr>
          <w:rFonts w:ascii="Times New Roman" w:eastAsia="Times New Roman" w:hAnsi="Times New Roman" w:cs="Times New Roman"/>
          <w:smallCaps/>
        </w:rPr>
        <w:t>Fordham L. Rev</w:t>
      </w:r>
      <w:r w:rsidRPr="00F94B7E">
        <w:rPr>
          <w:rFonts w:ascii="Times New Roman" w:eastAsia="Times New Roman" w:hAnsi="Times New Roman" w:cs="Times New Roman"/>
        </w:rPr>
        <w:t>. 1857 (2004).  How does Keating know that it is the enterprise and not the injured party</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both</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who created the risk in the relevant sense?  The plaintiff in </w:t>
      </w:r>
      <w:r w:rsidRPr="00F94B7E">
        <w:rPr>
          <w:rFonts w:ascii="Times New Roman" w:eastAsia="Times New Roman" w:hAnsi="Times New Roman" w:cs="Times New Roman"/>
          <w:i/>
          <w:iCs/>
        </w:rPr>
        <w:t>Losee v. Buchanan</w:t>
      </w:r>
      <w:r w:rsidRPr="00F94B7E">
        <w:rPr>
          <w:rFonts w:ascii="Times New Roman" w:eastAsia="Times New Roman" w:hAnsi="Times New Roman" w:cs="Times New Roman"/>
        </w:rPr>
        <w:t xml:space="preserve"> engaged in and benefited from an activity creating a risk: he built a structure that was at risk of collapse.  This is not to say that the plaintiff ought to be thought of as responsible for the structure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collapse when the steam boiler flew from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and smashed into it.  That would be an unlikely way to characterize the situation.  But it does suggest that the reason for holding the defendant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or, as in the actual case, holding the defendant not liable</w:t>
      </w:r>
      <w:r w:rsidR="00F80BCE" w:rsidRPr="00F94B7E">
        <w:rPr>
          <w:rFonts w:ascii="Times New Roman" w:eastAsia="Times New Roman" w:hAnsi="Times New Roman" w:cs="Times New Roman"/>
        </w:rPr>
        <w:t>—</w:t>
      </w:r>
      <w:r w:rsidRPr="00F94B7E">
        <w:rPr>
          <w:rFonts w:ascii="Times New Roman" w:eastAsia="Times New Roman" w:hAnsi="Times New Roman" w:cs="Times New Roman"/>
        </w:rPr>
        <w:t xml:space="preserve">cannot be that one party was engaged in a beneficial activity and the other was not.  They both were!  </w:t>
      </w:r>
    </w:p>
    <w:p w14:paraId="12F9DBEC" w14:textId="77777777" w:rsidR="00A810E4" w:rsidRPr="00A810E4" w:rsidRDefault="00A810E4" w:rsidP="00A810E4">
      <w:pPr>
        <w:rPr>
          <w:rFonts w:ascii="Times New Roman" w:hAnsi="Times New Roman" w:cs="Times New Roman"/>
        </w:rPr>
      </w:pPr>
    </w:p>
    <w:p w14:paraId="1676AE86" w14:textId="77777777" w:rsidR="00A810E4" w:rsidRPr="00A810E4" w:rsidRDefault="750671CE" w:rsidP="00BA0F87">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62121096" w14:textId="77777777" w:rsidR="00A810E4" w:rsidRPr="00A810E4" w:rsidRDefault="00A810E4" w:rsidP="00A810E4">
      <w:pPr>
        <w:rPr>
          <w:rFonts w:ascii="Times New Roman" w:hAnsi="Times New Roman" w:cs="Times New Roman"/>
        </w:rPr>
      </w:pPr>
    </w:p>
    <w:p w14:paraId="6A133663" w14:textId="77777777" w:rsidR="00A810E4" w:rsidRPr="00A810E4" w:rsidRDefault="00A810E4" w:rsidP="00A810E4">
      <w:pPr>
        <w:rPr>
          <w:rFonts w:ascii="Times New Roman" w:hAnsi="Times New Roman" w:cs="Times New Roman"/>
        </w:rPr>
      </w:pPr>
    </w:p>
    <w:p w14:paraId="7E1A6361" w14:textId="3AE67E5B" w:rsidR="00A810E4" w:rsidRPr="00F94B7E" w:rsidRDefault="750671CE" w:rsidP="00F94B7E">
      <w:pPr>
        <w:pStyle w:val="ListParagraph"/>
        <w:numPr>
          <w:ilvl w:val="0"/>
          <w:numId w:val="81"/>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floodgates of strict liability</w:t>
      </w:r>
      <w:r w:rsidRPr="00F94B7E">
        <w:rPr>
          <w:rFonts w:ascii="Times New Roman" w:eastAsia="Times New Roman" w:hAnsi="Times New Roman" w:cs="Times New Roman"/>
        </w:rPr>
        <w:t xml:space="preserve">.  Although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rejected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recent research in the caselaw concludes that other American jurisdictions were far more open to the </w:t>
      </w:r>
      <w:r w:rsidRPr="00F94B7E">
        <w:rPr>
          <w:rFonts w:ascii="Times New Roman" w:eastAsia="Times New Roman" w:hAnsi="Times New Roman" w:cs="Times New Roman"/>
          <w:i/>
          <w:iCs/>
        </w:rPr>
        <w:t>Rylands</w:t>
      </w:r>
      <w:r w:rsidRPr="00F94B7E">
        <w:rPr>
          <w:rFonts w:ascii="Times New Roman" w:eastAsia="Times New Roman" w:hAnsi="Times New Roman" w:cs="Times New Roman"/>
        </w:rPr>
        <w:t xml:space="preserve"> doctrine than either </w:t>
      </w:r>
      <w:r w:rsidRPr="00F94B7E">
        <w:rPr>
          <w:rFonts w:ascii="Times New Roman" w:eastAsia="Times New Roman" w:hAnsi="Times New Roman" w:cs="Times New Roman"/>
          <w:i/>
          <w:iCs/>
        </w:rPr>
        <w:t>Brown</w:t>
      </w:r>
      <w:r w:rsidRPr="00F94B7E">
        <w:rPr>
          <w:rFonts w:ascii="Times New Roman" w:eastAsia="Times New Roman" w:hAnsi="Times New Roman" w:cs="Times New Roman"/>
        </w:rPr>
        <w:t xml:space="preserve"> or </w:t>
      </w:r>
      <w:r w:rsidRPr="00F94B7E">
        <w:rPr>
          <w:rFonts w:ascii="Times New Roman" w:eastAsia="Times New Roman" w:hAnsi="Times New Roman" w:cs="Times New Roman"/>
          <w:i/>
          <w:iCs/>
        </w:rPr>
        <w:t>Losee</w:t>
      </w:r>
      <w:r w:rsidRPr="00F94B7E">
        <w:rPr>
          <w:rFonts w:ascii="Times New Roman" w:eastAsia="Times New Roman" w:hAnsi="Times New Roman" w:cs="Times New Roman"/>
        </w:rPr>
        <w:t xml:space="preserve"> suggest.  In his student note, Professor Jed Shugerman found</w:t>
      </w:r>
      <w:r w:rsidR="00A5115E">
        <w:rPr>
          <w:rFonts w:ascii="Times New Roman" w:eastAsia="Times New Roman" w:hAnsi="Times New Roman" w:cs="Times New Roman"/>
        </w:rPr>
        <w:t>:</w:t>
      </w:r>
    </w:p>
    <w:p w14:paraId="55638443" w14:textId="77777777" w:rsidR="00A810E4" w:rsidRPr="00A810E4" w:rsidRDefault="00A810E4" w:rsidP="00A810E4">
      <w:pPr>
        <w:rPr>
          <w:rFonts w:ascii="Times New Roman" w:hAnsi="Times New Roman" w:cs="Times New Roman"/>
        </w:rPr>
      </w:pPr>
    </w:p>
    <w:p w14:paraId="65D5DA46" w14:textId="2CB7C43D" w:rsidR="00A810E4" w:rsidRPr="00A810E4" w:rsidRDefault="00A5115E" w:rsidP="00F94B7E">
      <w:pPr>
        <w:pStyle w:val="blockquote"/>
      </w:pPr>
      <w:r>
        <w:t>[A]</w:t>
      </w:r>
      <w:r w:rsidR="750671CE" w:rsidRPr="750671CE">
        <w:t xml:space="preserve"> significant majority of the states actually accepted </w:t>
      </w:r>
      <w:r w:rsidR="750671CE" w:rsidRPr="750671CE">
        <w:rPr>
          <w:i/>
          <w:iCs/>
        </w:rPr>
        <w:t>Rylands</w:t>
      </w:r>
      <w:r w:rsidR="750671CE" w:rsidRPr="750671CE">
        <w:t xml:space="preserve"> in the late nineteenth and early twentieth centuries, at the height of the </w:t>
      </w:r>
      <w:r>
        <w:t>“</w:t>
      </w:r>
      <w:r w:rsidR="750671CE" w:rsidRPr="750671CE">
        <w:t>era of fault.</w:t>
      </w:r>
      <w:r>
        <w:t>”</w:t>
      </w:r>
      <w:r w:rsidR="750671CE" w:rsidRPr="750671CE">
        <w:t xml:space="preserve"> . . .</w:t>
      </w:r>
      <w:r w:rsidR="00F80BCE">
        <w:t xml:space="preserve"> </w:t>
      </w:r>
      <w:r w:rsidR="750671CE" w:rsidRPr="750671CE">
        <w:t xml:space="preserve"> A few states split on the validity of </w:t>
      </w:r>
      <w:r w:rsidR="750671CE" w:rsidRPr="750671CE">
        <w:rPr>
          <w:i/>
          <w:iCs/>
        </w:rPr>
        <w:t>Rylands</w:t>
      </w:r>
      <w:r w:rsidR="750671CE" w:rsidRPr="750671CE">
        <w:t xml:space="preserve"> in the 1870s, but a wave of states from the mid-1880s to the early 1910s adopted </w:t>
      </w:r>
      <w:r w:rsidR="750671CE" w:rsidRPr="750671CE">
        <w:rPr>
          <w:i/>
          <w:iCs/>
        </w:rPr>
        <w:t>Rylands</w:t>
      </w:r>
      <w:r w:rsidR="750671CE" w:rsidRPr="750671CE">
        <w:t xml:space="preserve">, </w:t>
      </w:r>
      <w:r w:rsidR="750671CE" w:rsidRPr="750671CE">
        <w:lastRenderedPageBreak/>
        <w:t xml:space="preserve">with fifteen states and the District of Columbia solidly accepting </w:t>
      </w:r>
      <w:r w:rsidR="750671CE" w:rsidRPr="750671CE">
        <w:rPr>
          <w:i/>
          <w:iCs/>
        </w:rPr>
        <w:t>Rylands</w:t>
      </w:r>
      <w:r w:rsidR="750671CE" w:rsidRPr="750671CE">
        <w:t xml:space="preserve">, nine more leaning toward </w:t>
      </w:r>
      <w:r w:rsidR="750671CE" w:rsidRPr="750671CE">
        <w:rPr>
          <w:i/>
          <w:iCs/>
        </w:rPr>
        <w:t>Rylands</w:t>
      </w:r>
      <w:r w:rsidR="750671CE" w:rsidRPr="750671CE">
        <w:t xml:space="preserve"> or its rule, five states wavering, and only three states consistently rejecting it.  Just after the turn of the century, the California Supreme Court declared, more correctly than not, that </w:t>
      </w:r>
      <w:r w:rsidR="00B05F31">
        <w:t>“</w:t>
      </w:r>
      <w:r w:rsidR="750671CE" w:rsidRPr="750671CE">
        <w:t xml:space="preserve">[t]he American authorities, with hardly an exception, follow the doctrine laid down in the courts of England [in </w:t>
      </w:r>
      <w:r w:rsidR="750671CE" w:rsidRPr="750671CE">
        <w:rPr>
          <w:i/>
          <w:iCs/>
        </w:rPr>
        <w:t>Rylands</w:t>
      </w:r>
      <w:r w:rsidR="750671CE" w:rsidRPr="750671CE">
        <w:t>].</w:t>
      </w:r>
      <w:r w:rsidR="00B05F31">
        <w:t>”</w:t>
      </w:r>
      <w:r w:rsidR="750671CE" w:rsidRPr="750671CE">
        <w:t xml:space="preserve"> In the following years, some states shifted against </w:t>
      </w:r>
      <w:r w:rsidR="750671CE" w:rsidRPr="750671CE">
        <w:rPr>
          <w:i/>
          <w:iCs/>
        </w:rPr>
        <w:t>Rylands</w:t>
      </w:r>
      <w:r w:rsidR="750671CE" w:rsidRPr="750671CE">
        <w:t xml:space="preserve">, but an equivalent number of new states also adopted </w:t>
      </w:r>
      <w:r w:rsidR="750671CE" w:rsidRPr="750671CE">
        <w:rPr>
          <w:i/>
          <w:iCs/>
        </w:rPr>
        <w:t>Rylands</w:t>
      </w:r>
      <w:r w:rsidR="750671CE" w:rsidRPr="750671CE">
        <w:t>.  Accordingly, a strong majority of states has consistently recognized this precedent for strict liability from about 1890 to the present.</w:t>
      </w:r>
    </w:p>
    <w:p w14:paraId="5823AAC3" w14:textId="77777777" w:rsidR="00A810E4" w:rsidRPr="00A810E4" w:rsidRDefault="00A810E4" w:rsidP="00A810E4">
      <w:pPr>
        <w:rPr>
          <w:rFonts w:ascii="Times New Roman" w:hAnsi="Times New Roman" w:cs="Times New Roman"/>
        </w:rPr>
      </w:pPr>
    </w:p>
    <w:p w14:paraId="6B5AD3ED" w14:textId="2E82C6F7" w:rsidR="00A810E4" w:rsidRPr="00A5115E" w:rsidRDefault="750671CE" w:rsidP="750671CE">
      <w:pPr>
        <w:rPr>
          <w:rFonts w:ascii="Times New Roman" w:eastAsia="Times New Roman" w:hAnsi="Times New Roman" w:cs="Times New Roman"/>
        </w:rPr>
      </w:pPr>
      <w:r w:rsidRPr="00A5115E">
        <w:rPr>
          <w:rFonts w:ascii="Times New Roman" w:eastAsia="Times New Roman" w:hAnsi="Times New Roman" w:cs="Times New Roman"/>
        </w:rPr>
        <w:t xml:space="preserve">Jed Shugerman, Note, </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The Floodgates of Strict Liability</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Bursting Reservoirs and </w:t>
      </w:r>
      <w:r w:rsidR="00A5115E" w:rsidRPr="00A5115E">
        <w:rPr>
          <w:rFonts w:ascii="Times New Roman" w:eastAsia="Times New Roman" w:hAnsi="Times New Roman" w:cs="Times New Roman"/>
          <w:i/>
        </w:rPr>
        <w:t>t</w:t>
      </w:r>
      <w:r w:rsidRPr="00F94B7E">
        <w:rPr>
          <w:rFonts w:ascii="Times New Roman" w:eastAsia="Times New Roman" w:hAnsi="Times New Roman" w:cs="Times New Roman"/>
          <w:i/>
        </w:rPr>
        <w:t xml:space="preserve">he Adoption of </w:t>
      </w:r>
      <w:r w:rsidRPr="00F94B7E">
        <w:rPr>
          <w:rFonts w:ascii="Times New Roman" w:eastAsia="Times New Roman" w:hAnsi="Times New Roman" w:cs="Times New Roman"/>
          <w:iCs/>
        </w:rPr>
        <w:t>Fletcher v. Rylands</w:t>
      </w:r>
      <w:r w:rsidRPr="00F94B7E">
        <w:rPr>
          <w:rFonts w:ascii="Times New Roman" w:eastAsia="Times New Roman" w:hAnsi="Times New Roman" w:cs="Times New Roman"/>
          <w:i/>
        </w:rPr>
        <w:t xml:space="preserve"> in The Gilded Age</w:t>
      </w:r>
      <w:r w:rsidRPr="00A5115E">
        <w:rPr>
          <w:rFonts w:ascii="Times New Roman" w:eastAsia="Times New Roman" w:hAnsi="Times New Roman" w:cs="Times New Roman"/>
        </w:rPr>
        <w:t xml:space="preserve">, 110 </w:t>
      </w:r>
      <w:r w:rsidRPr="00F94B7E">
        <w:rPr>
          <w:rFonts w:ascii="Times New Roman" w:eastAsia="Times New Roman" w:hAnsi="Times New Roman" w:cs="Times New Roman"/>
          <w:smallCaps/>
        </w:rPr>
        <w:t>Y</w:t>
      </w:r>
      <w:r w:rsidR="00F80BCE" w:rsidRPr="00F94B7E">
        <w:rPr>
          <w:rFonts w:ascii="Times New Roman" w:eastAsia="Times New Roman" w:hAnsi="Times New Roman" w:cs="Times New Roman"/>
          <w:smallCaps/>
        </w:rPr>
        <w:t>ale</w:t>
      </w:r>
      <w:r w:rsidRPr="00A5115E">
        <w:rPr>
          <w:rFonts w:ascii="Times New Roman" w:eastAsia="Times New Roman" w:hAnsi="Times New Roman" w:cs="Times New Roman"/>
        </w:rPr>
        <w:t xml:space="preserve"> L.J. 333 (2000).  Shugerman contends that the embrace of the </w:t>
      </w:r>
      <w:r w:rsidRPr="00846C38">
        <w:rPr>
          <w:rFonts w:ascii="Times New Roman" w:eastAsia="Times New Roman" w:hAnsi="Times New Roman" w:cs="Times New Roman"/>
          <w:i/>
          <w:iCs/>
        </w:rPr>
        <w:t>Rylands</w:t>
      </w:r>
      <w:r w:rsidRPr="00E30455">
        <w:rPr>
          <w:rFonts w:ascii="Times New Roman" w:eastAsia="Times New Roman" w:hAnsi="Times New Roman" w:cs="Times New Roman"/>
        </w:rPr>
        <w:t xml:space="preserve"> doctrine was prompted by a series of high-prof</w:t>
      </w:r>
      <w:r w:rsidRPr="00744778">
        <w:rPr>
          <w:rFonts w:ascii="Times New Roman" w:eastAsia="Times New Roman" w:hAnsi="Times New Roman" w:cs="Times New Roman"/>
        </w:rPr>
        <w:t>ile dam-breaks in late nineteenth-century America.  Most famously, the Johnstown Flood in Pennsylvania in 1889 killed 2000 people when a poorly built dam collapsed, flooding an entire valley and destroying the town of Johnstown.  The dam was on the propert</w:t>
      </w:r>
      <w:r w:rsidRPr="009D3DA7">
        <w:rPr>
          <w:rFonts w:ascii="Times New Roman" w:eastAsia="Times New Roman" w:hAnsi="Times New Roman" w:cs="Times New Roman"/>
        </w:rPr>
        <w:t>y of a hunting and recreation club owned by some of America</w:t>
      </w:r>
      <w:r w:rsidR="00B05F31" w:rsidRPr="002A23B2">
        <w:rPr>
          <w:rFonts w:ascii="Times New Roman" w:eastAsia="Times New Roman" w:hAnsi="Times New Roman" w:cs="Times New Roman"/>
        </w:rPr>
        <w:t>’</w:t>
      </w:r>
      <w:r w:rsidRPr="00B41D0B">
        <w:rPr>
          <w:rFonts w:ascii="Times New Roman" w:eastAsia="Times New Roman" w:hAnsi="Times New Roman" w:cs="Times New Roman"/>
        </w:rPr>
        <w:t xml:space="preserve">s wealthiest Gilded Age men.  Shugerman notes that </w:t>
      </w:r>
      <w:r w:rsidR="00B05F31" w:rsidRPr="00190B65">
        <w:rPr>
          <w:rFonts w:ascii="Times New Roman" w:eastAsia="Times New Roman" w:hAnsi="Times New Roman" w:cs="Times New Roman"/>
        </w:rPr>
        <w:t>“</w:t>
      </w:r>
      <w:r w:rsidRPr="009418B2">
        <w:rPr>
          <w:rFonts w:ascii="Times New Roman" w:eastAsia="Times New Roman" w:hAnsi="Times New Roman" w:cs="Times New Roman"/>
        </w:rPr>
        <w:t xml:space="preserve">three of the states most widely recognized for their rejection of </w:t>
      </w:r>
      <w:r w:rsidRPr="00B7582E">
        <w:rPr>
          <w:rFonts w:ascii="Times New Roman" w:eastAsia="Times New Roman" w:hAnsi="Times New Roman" w:cs="Times New Roman"/>
          <w:i/>
          <w:iCs/>
        </w:rPr>
        <w:t>Rylands</w:t>
      </w:r>
      <w:r w:rsidR="00F80BCE" w:rsidRPr="00161E5A">
        <w:rPr>
          <w:rFonts w:ascii="Times New Roman" w:eastAsia="Times New Roman" w:hAnsi="Times New Roman" w:cs="Times New Roman"/>
          <w:i/>
          <w:iCs/>
        </w:rPr>
        <w:t>—</w:t>
      </w:r>
      <w:r w:rsidRPr="00A5115E">
        <w:rPr>
          <w:rFonts w:ascii="Times New Roman" w:eastAsia="Times New Roman" w:hAnsi="Times New Roman" w:cs="Times New Roman"/>
        </w:rPr>
        <w:t>New York, New Jersey, and Pennsylvania</w:t>
      </w:r>
      <w:r w:rsidR="00F80BCE" w:rsidRPr="00A5115E">
        <w:rPr>
          <w:rFonts w:ascii="Times New Roman" w:eastAsia="Times New Roman" w:hAnsi="Times New Roman" w:cs="Times New Roman"/>
        </w:rPr>
        <w:t>—</w:t>
      </w:r>
      <w:r w:rsidRPr="00A5115E">
        <w:rPr>
          <w:rFonts w:ascii="Times New Roman" w:eastAsia="Times New Roman" w:hAnsi="Times New Roman" w:cs="Times New Roman"/>
        </w:rPr>
        <w:t xml:space="preserve">reversed their stance on </w:t>
      </w:r>
      <w:r w:rsidRPr="00A5115E">
        <w:rPr>
          <w:rFonts w:ascii="Times New Roman" w:eastAsia="Times New Roman" w:hAnsi="Times New Roman" w:cs="Times New Roman"/>
          <w:i/>
          <w:iCs/>
        </w:rPr>
        <w:t>Rylands</w:t>
      </w:r>
      <w:r w:rsidRPr="00A5115E">
        <w:rPr>
          <w:rFonts w:ascii="Times New Roman" w:eastAsia="Times New Roman" w:hAnsi="Times New Roman" w:cs="Times New Roman"/>
        </w:rPr>
        <w:t xml:space="preserve"> in the 1890s, soon after the Johnstown Flood.</w:t>
      </w:r>
      <w:r w:rsidR="00B05F31" w:rsidRPr="00A5115E">
        <w:rPr>
          <w:rFonts w:ascii="Times New Roman" w:eastAsia="Times New Roman" w:hAnsi="Times New Roman" w:cs="Times New Roman"/>
        </w:rPr>
        <w:t>”</w:t>
      </w:r>
    </w:p>
    <w:p w14:paraId="16812A2E" w14:textId="77777777" w:rsidR="00A810E4" w:rsidRPr="00A810E4" w:rsidRDefault="00A810E4" w:rsidP="00A810E4">
      <w:pPr>
        <w:rPr>
          <w:rFonts w:ascii="Times New Roman" w:hAnsi="Times New Roman" w:cs="Times New Roman"/>
        </w:rPr>
      </w:pPr>
    </w:p>
    <w:p w14:paraId="743BDC95" w14:textId="321DE271" w:rsidR="00A810E4" w:rsidRPr="00A810E4"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Flood cases notwithstanding, the high-point of American judges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resistance to no-fault liability arguably came still later, in another New York case, this time a constitutional challenge to the country</w:t>
      </w:r>
      <w:r w:rsidR="00B05F31">
        <w:rPr>
          <w:rFonts w:ascii="Times New Roman" w:eastAsia="Times New Roman" w:hAnsi="Times New Roman" w:cs="Times New Roman"/>
        </w:rPr>
        <w:t>’</w:t>
      </w:r>
      <w:r w:rsidRPr="750671CE">
        <w:rPr>
          <w:rFonts w:ascii="Times New Roman" w:eastAsia="Times New Roman" w:hAnsi="Times New Roman" w:cs="Times New Roman"/>
        </w:rPr>
        <w:t>s first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law:</w:t>
      </w:r>
    </w:p>
    <w:p w14:paraId="378A30F9" w14:textId="77777777" w:rsidR="00A810E4" w:rsidRPr="00A810E4" w:rsidRDefault="00A810E4" w:rsidP="00A810E4">
      <w:pPr>
        <w:rPr>
          <w:rFonts w:ascii="Times New Roman" w:hAnsi="Times New Roman" w:cs="Times New Roman"/>
        </w:rPr>
      </w:pPr>
    </w:p>
    <w:p w14:paraId="4B858936" w14:textId="77777777" w:rsidR="00A810E4" w:rsidRPr="00A810E4" w:rsidRDefault="00A810E4" w:rsidP="00A810E4">
      <w:pPr>
        <w:rPr>
          <w:rFonts w:ascii="Times New Roman" w:hAnsi="Times New Roman" w:cs="Times New Roman"/>
        </w:rPr>
      </w:pPr>
    </w:p>
    <w:p w14:paraId="5CEDC4C4" w14:textId="77777777" w:rsidR="00A810E4" w:rsidRPr="00A810E4" w:rsidRDefault="00A810E4" w:rsidP="750671CE">
      <w:pPr>
        <w:rPr>
          <w:rFonts w:ascii="Times New Roman" w:eastAsia="Times New Roman" w:hAnsi="Times New Roman" w:cs="Times New Roman"/>
        </w:rPr>
      </w:pPr>
      <w:bookmarkStart w:id="180" w:name="_Toc518323258"/>
      <w:r w:rsidRPr="00BA0F87">
        <w:rPr>
          <w:rStyle w:val="Heading3Char"/>
          <w:i/>
        </w:rPr>
        <w:t>Ives v. South Buffalo Ry</w:t>
      </w:r>
      <w:bookmarkEnd w:id="180"/>
      <w:r w:rsidRPr="750671CE">
        <w:rPr>
          <w:rFonts w:ascii="Times New Roman" w:eastAsia="Times New Roman" w:hAnsi="Times New Roman" w:cs="Times New Roman"/>
          <w:b/>
          <w:bCs/>
        </w:rPr>
        <w:t>., 94 N.E. 431 (N.Y. 1911)</w:t>
      </w:r>
    </w:p>
    <w:p w14:paraId="28A27F7A" w14:textId="77777777" w:rsidR="00A810E4" w:rsidRPr="00A810E4" w:rsidRDefault="00A810E4" w:rsidP="00A810E4">
      <w:pPr>
        <w:rPr>
          <w:rFonts w:ascii="Times New Roman" w:hAnsi="Times New Roman" w:cs="Times New Roman"/>
        </w:rPr>
      </w:pPr>
    </w:p>
    <w:p w14:paraId="7D0130DA" w14:textId="6A17C50C" w:rsidR="00A810E4" w:rsidRPr="00A810E4"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erner</w:t>
      </w:r>
      <w:r w:rsidRPr="750671CE">
        <w:rPr>
          <w:rFonts w:ascii="Times New Roman" w:eastAsia="Times New Roman" w:hAnsi="Times New Roman" w:cs="Times New Roman"/>
        </w:rPr>
        <w:t xml:space="preserve">, J. </w:t>
      </w:r>
      <w:r w:rsidR="00A5115E">
        <w:rPr>
          <w:rFonts w:ascii="Times New Roman" w:eastAsia="Times New Roman" w:hAnsi="Times New Roman" w:cs="Times New Roman"/>
        </w:rPr>
        <w:t>. . .</w:t>
      </w:r>
    </w:p>
    <w:p w14:paraId="31BC0A9D" w14:textId="77777777" w:rsidR="00A810E4" w:rsidRPr="00A810E4" w:rsidRDefault="00A810E4" w:rsidP="00A810E4">
      <w:pPr>
        <w:rPr>
          <w:rFonts w:ascii="Times New Roman" w:hAnsi="Times New Roman" w:cs="Times New Roman"/>
        </w:rPr>
      </w:pPr>
    </w:p>
    <w:p w14:paraId="15F006C6" w14:textId="228DF7A8"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[Earl Ives, a railway brakeman, was injured while working and brought an action under New York</w:t>
      </w:r>
      <w:r w:rsidR="00B05F31">
        <w:rPr>
          <w:rFonts w:ascii="Times New Roman" w:eastAsia="Times New Roman" w:hAnsi="Times New Roman" w:cs="Times New Roman"/>
        </w:rPr>
        <w:t>’</w:t>
      </w:r>
      <w:r w:rsidRPr="750671CE">
        <w:rPr>
          <w:rFonts w:ascii="Times New Roman" w:eastAsia="Times New Roman" w:hAnsi="Times New Roman" w:cs="Times New Roman"/>
        </w:rPr>
        <w:t>s new workmen</w:t>
      </w:r>
      <w:r w:rsidR="00B05F31">
        <w:rPr>
          <w:rFonts w:ascii="Times New Roman" w:eastAsia="Times New Roman" w:hAnsi="Times New Roman" w:cs="Times New Roman"/>
        </w:rPr>
        <w:t>’</w:t>
      </w:r>
      <w:r w:rsidRPr="750671CE">
        <w:rPr>
          <w:rFonts w:ascii="Times New Roman" w:eastAsia="Times New Roman" w:hAnsi="Times New Roman" w:cs="Times New Roman"/>
        </w:rPr>
        <w:t>s compensation statute.  Defendant railway answered that the statute was unconstitutional because, among other things, it imposed liability on them in the absence of negligence.  Ives demurred</w:t>
      </w:r>
      <w:r w:rsidR="00A5115E">
        <w:rPr>
          <w:rFonts w:ascii="Times New Roman" w:eastAsia="Times New Roman" w:hAnsi="Times New Roman" w:cs="Times New Roman"/>
        </w:rPr>
        <w:t>,</w:t>
      </w:r>
      <w:r w:rsidRPr="750671CE">
        <w:rPr>
          <w:rFonts w:ascii="Times New Roman" w:eastAsia="Times New Roman" w:hAnsi="Times New Roman" w:cs="Times New Roman"/>
        </w:rPr>
        <w:t xml:space="preserve"> and the trial court awarded judgment to Ives.]</w:t>
      </w:r>
    </w:p>
    <w:p w14:paraId="34409653" w14:textId="77777777" w:rsidR="00A810E4" w:rsidRPr="00A810E4" w:rsidRDefault="00A810E4" w:rsidP="00A810E4">
      <w:pPr>
        <w:rPr>
          <w:rFonts w:ascii="Times New Roman" w:hAnsi="Times New Roman" w:cs="Times New Roman"/>
        </w:rPr>
      </w:pPr>
    </w:p>
    <w:p w14:paraId="2CD3B111" w14:textId="2CEF5CF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 necessary risk or danger of the employment or one inherent in the nature thereof; </w:t>
      </w:r>
      <w:r w:rsidR="00F80BCE">
        <w:rPr>
          <w:rFonts w:ascii="Times New Roman" w:eastAsia="Times New Roman" w:hAnsi="Times New Roman" w:cs="Times New Roman"/>
        </w:rPr>
        <w:t xml:space="preserve">. . . </w:t>
      </w:r>
      <w:r w:rsidRPr="750671CE">
        <w:rPr>
          <w:rFonts w:ascii="Times New Roman" w:eastAsia="Times New Roman" w:hAnsi="Times New Roman" w:cs="Times New Roman"/>
        </w:rPr>
        <w:t>provided that the employer shall not be liable in respect of any injury to the workman which is caused in whole or in part by the serious and willful misconduct of the workman.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t>
      </w:r>
      <w:r w:rsidRPr="750671CE">
        <w:rPr>
          <w:rFonts w:ascii="Times New Roman" w:eastAsia="Times New Roman" w:hAnsi="Times New Roman" w:cs="Times New Roman"/>
        </w:rPr>
        <w:lastRenderedPageBreak/>
        <w:t xml:space="preserve">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503C9485" w14:textId="77777777" w:rsidR="00A810E4" w:rsidRPr="00A810E4" w:rsidRDefault="00A810E4" w:rsidP="00A810E4">
      <w:pPr>
        <w:rPr>
          <w:rFonts w:ascii="Times New Roman" w:hAnsi="Times New Roman" w:cs="Times New Roman"/>
        </w:rPr>
      </w:pPr>
    </w:p>
    <w:p w14:paraId="3F1A86C3" w14:textId="038F7B4A"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Commission that drafted the statute advocated for it on the ground that the negligence rule was </w:t>
      </w:r>
      <w:r w:rsidR="00B05F31">
        <w:rPr>
          <w:rFonts w:ascii="Times New Roman" w:eastAsia="Times New Roman" w:hAnsi="Times New Roman" w:cs="Times New Roman"/>
        </w:rPr>
        <w:t>“</w:t>
      </w:r>
      <w:r w:rsidRPr="750671CE">
        <w:rPr>
          <w:rFonts w:ascii="Times New Roman" w:eastAsia="Times New Roman" w:hAnsi="Times New Roman" w:cs="Times New Roman"/>
        </w:rPr>
        <w:t>economically unwise and unfair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that in operation it is wasteful, uncertain, and productive of antagonism between workmen and employers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w:t>
      </w:r>
      <w:r w:rsidR="00B05F31">
        <w:rPr>
          <w:rFonts w:ascii="Times New Roman" w:eastAsia="Times New Roman" w:hAnsi="Times New Roman" w:cs="Times New Roman"/>
        </w:rPr>
        <w:t>“</w:t>
      </w:r>
      <w:r w:rsidRPr="750671CE">
        <w:rPr>
          <w:rFonts w:ascii="Times New Roman" w:eastAsia="Times New Roman" w:hAnsi="Times New Roman" w:cs="Times New Roman"/>
        </w:rPr>
        <w:t>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77B0B583" w14:textId="77777777" w:rsidR="00A810E4" w:rsidRPr="00A810E4" w:rsidRDefault="00A810E4" w:rsidP="00A810E4">
      <w:pPr>
        <w:rPr>
          <w:rFonts w:ascii="Times New Roman" w:hAnsi="Times New Roman" w:cs="Times New Roman"/>
        </w:rPr>
      </w:pPr>
    </w:p>
    <w:p w14:paraId="51305827" w14:textId="7B400DDD" w:rsidR="00A810E4" w:rsidRPr="00A810E4" w:rsidRDefault="00A5115E" w:rsidP="750671CE">
      <w:pPr>
        <w:rPr>
          <w:rFonts w:ascii="Times New Roman" w:eastAsia="Times New Roman" w:hAnsi="Times New Roman" w:cs="Times New Roman"/>
        </w:rPr>
      </w:pPr>
      <w:r>
        <w:rPr>
          <w:rFonts w:ascii="Times New Roman" w:eastAsia="Times New Roman" w:hAnsi="Times New Roman" w:cs="Times New Roman"/>
        </w:rPr>
        <w:tab/>
      </w:r>
      <w:r w:rsidR="750671CE" w:rsidRPr="750671CE">
        <w:rPr>
          <w:rFonts w:ascii="Times New Roman" w:eastAsia="Times New Roman" w:hAnsi="Times New Roman" w:cs="Times New Roman"/>
        </w:rPr>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46B2A9DB" w14:textId="77777777" w:rsidR="00A810E4" w:rsidRPr="00A810E4" w:rsidRDefault="00A810E4" w:rsidP="00A810E4">
      <w:pPr>
        <w:rPr>
          <w:rFonts w:ascii="Times New Roman" w:hAnsi="Times New Roman" w:cs="Times New Roman"/>
        </w:rPr>
      </w:pPr>
    </w:p>
    <w:p w14:paraId="4F2B20A8"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With these considerations in mind we turn to the purely legal phases of the controversy for the purpose of disposing of some things which are incidental to the main question. . . .</w:t>
      </w:r>
    </w:p>
    <w:p w14:paraId="4490AEAA" w14:textId="77777777" w:rsidR="00A810E4" w:rsidRPr="00A810E4" w:rsidRDefault="00A810E4" w:rsidP="00A810E4">
      <w:pPr>
        <w:rPr>
          <w:rFonts w:ascii="Times New Roman" w:hAnsi="Times New Roman" w:cs="Times New Roman"/>
        </w:rPr>
      </w:pPr>
    </w:p>
    <w:p w14:paraId="7D897D3B"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A810E4" w:rsidRDefault="00A810E4" w:rsidP="00A810E4">
      <w:pPr>
        <w:rPr>
          <w:rFonts w:ascii="Times New Roman" w:hAnsi="Times New Roman" w:cs="Times New Roman"/>
        </w:rPr>
      </w:pPr>
    </w:p>
    <w:p w14:paraId="042C4B1F" w14:textId="7777777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w:t>
      </w:r>
      <w:r w:rsidRPr="750671CE">
        <w:rPr>
          <w:rFonts w:ascii="Times New Roman" w:eastAsia="Times New Roman" w:hAnsi="Times New Roman" w:cs="Times New Roman"/>
        </w:rPr>
        <w:lastRenderedPageBreak/>
        <w:t>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A810E4" w:rsidRDefault="00A810E4" w:rsidP="00A810E4">
      <w:pPr>
        <w:rPr>
          <w:rFonts w:ascii="Times New Roman" w:hAnsi="Times New Roman" w:cs="Times New Roman"/>
        </w:rPr>
      </w:pPr>
    </w:p>
    <w:p w14:paraId="7435CD9D" w14:textId="6360C62E"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 .</w:t>
      </w:r>
    </w:p>
    <w:p w14:paraId="4F1DE44A" w14:textId="77777777" w:rsidR="00A810E4" w:rsidRPr="00A810E4" w:rsidRDefault="00A810E4" w:rsidP="00A810E4">
      <w:pPr>
        <w:rPr>
          <w:rFonts w:ascii="Times New Roman" w:hAnsi="Times New Roman" w:cs="Times New Roman"/>
        </w:rPr>
      </w:pPr>
    </w:p>
    <w:p w14:paraId="48CBC638" w14:textId="5DFA83E6"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w:t>
      </w:r>
      <w:r w:rsidR="00A5115E">
        <w:rPr>
          <w:rFonts w:ascii="Times New Roman" w:eastAsia="Times New Roman" w:hAnsi="Times New Roman" w:cs="Times New Roman"/>
        </w:rPr>
        <w:t xml:space="preserve"> . . .</w:t>
      </w:r>
    </w:p>
    <w:p w14:paraId="4C803C4B" w14:textId="77777777" w:rsidR="00A810E4" w:rsidRPr="00A810E4" w:rsidRDefault="00A810E4" w:rsidP="00A810E4">
      <w:pPr>
        <w:rPr>
          <w:rFonts w:ascii="Times New Roman" w:hAnsi="Times New Roman" w:cs="Times New Roman"/>
        </w:rPr>
      </w:pPr>
    </w:p>
    <w:p w14:paraId="6E95DCF0" w14:textId="6EA2F5A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w:t>
      </w:r>
      <w:r w:rsidR="00A5115E">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w:t>
      </w:r>
      <w:r w:rsidRPr="750671CE">
        <w:rPr>
          <w:rFonts w:ascii="Times New Roman" w:eastAsia="Times New Roman" w:hAnsi="Times New Roman" w:cs="Times New Roman"/>
        </w:rPr>
        <w:lastRenderedPageBreak/>
        <w:t xml:space="preserve">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0649DF46" w14:textId="77777777" w:rsidR="00A810E4" w:rsidRPr="00A810E4" w:rsidRDefault="00A810E4" w:rsidP="00A810E4">
      <w:pPr>
        <w:rPr>
          <w:rFonts w:ascii="Times New Roman" w:hAnsi="Times New Roman" w:cs="Times New Roman"/>
        </w:rPr>
      </w:pPr>
    </w:p>
    <w:p w14:paraId="5B072C1D" w14:textId="129FBD0A" w:rsidR="00A810E4" w:rsidRPr="00A810E4"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 .</w:t>
      </w:r>
    </w:p>
    <w:p w14:paraId="3D342A67" w14:textId="77777777" w:rsidR="00A810E4" w:rsidRPr="00A810E4" w:rsidRDefault="00A810E4" w:rsidP="00A810E4">
      <w:pPr>
        <w:rPr>
          <w:rFonts w:ascii="Times New Roman" w:hAnsi="Times New Roman" w:cs="Times New Roman"/>
        </w:rPr>
      </w:pPr>
    </w:p>
    <w:p w14:paraId="154B9167" w14:textId="1A4D2088" w:rsidR="00A810E4" w:rsidRPr="00A810E4"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C</w:t>
      </w:r>
      <w:r w:rsidR="00F80BCE" w:rsidRPr="00F94B7E">
        <w:rPr>
          <w:rFonts w:ascii="Times New Roman" w:eastAsia="Times New Roman" w:hAnsi="Times New Roman" w:cs="Times New Roman"/>
          <w:smallCaps/>
        </w:rPr>
        <w:t>ullen</w:t>
      </w:r>
      <w:r w:rsidRPr="750671CE">
        <w:rPr>
          <w:rFonts w:ascii="Times New Roman" w:eastAsia="Times New Roman" w:hAnsi="Times New Roman" w:cs="Times New Roman"/>
        </w:rPr>
        <w:t>, C. . [concurring]</w:t>
      </w:r>
    </w:p>
    <w:p w14:paraId="0F15EA0C" w14:textId="77777777" w:rsidR="00A810E4" w:rsidRPr="00A810E4" w:rsidRDefault="00A810E4" w:rsidP="00A810E4">
      <w:pPr>
        <w:rPr>
          <w:rFonts w:ascii="Times New Roman" w:hAnsi="Times New Roman" w:cs="Times New Roman"/>
        </w:rPr>
      </w:pPr>
    </w:p>
    <w:p w14:paraId="56C088BA" w14:textId="1BE5AEF7"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 concur in the opinion of Judge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erner</w:t>
      </w:r>
      <w:r w:rsidRPr="750671CE">
        <w:rPr>
          <w:rFonts w:ascii="Times New Roman" w:eastAsia="Times New Roman" w:hAnsi="Times New Roman" w:cs="Times New Roman"/>
        </w:rPr>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w:t>
      </w:r>
      <w:r w:rsidR="00B05F31">
        <w:rPr>
          <w:rFonts w:ascii="Times New Roman" w:eastAsia="Times New Roman" w:hAnsi="Times New Roman" w:cs="Times New Roman"/>
        </w:rPr>
        <w:t>’</w:t>
      </w:r>
      <w:r w:rsidRPr="750671CE">
        <w:rPr>
          <w:rFonts w:ascii="Times New Roman" w:eastAsia="Times New Roman" w:hAnsi="Times New Roman" w:cs="Times New Roman"/>
        </w:rPr>
        <w:t>s debts that the common law requires each man to pay his own debts, and the statute in question was a mere modification of the common law so as to require each to pay his neighbor</w:t>
      </w:r>
      <w:r w:rsidR="00B05F31">
        <w:rPr>
          <w:rFonts w:ascii="Times New Roman" w:eastAsia="Times New Roman" w:hAnsi="Times New Roman" w:cs="Times New Roman"/>
        </w:rPr>
        <w:t>’</w:t>
      </w:r>
      <w:r w:rsidRPr="750671CE">
        <w:rPr>
          <w:rFonts w:ascii="Times New Roman" w:eastAsia="Times New Roman" w:hAnsi="Times New Roman" w:cs="Times New Roman"/>
        </w:rPr>
        <w:t>s debts. . . .</w:t>
      </w:r>
    </w:p>
    <w:p w14:paraId="334A3484" w14:textId="77777777" w:rsidR="00A810E4" w:rsidRDefault="00A810E4" w:rsidP="00041F6F">
      <w:pPr>
        <w:rPr>
          <w:rFonts w:ascii="Times New Roman" w:hAnsi="Times New Roman" w:cs="Times New Roman"/>
        </w:rPr>
      </w:pPr>
    </w:p>
    <w:p w14:paraId="13F53F32" w14:textId="77777777" w:rsidR="00041F6F" w:rsidRPr="00A810E4" w:rsidRDefault="00041F6F" w:rsidP="00041F6F">
      <w:pPr>
        <w:rPr>
          <w:rFonts w:ascii="Times New Roman" w:hAnsi="Times New Roman" w:cs="Times New Roman"/>
        </w:rPr>
      </w:pPr>
    </w:p>
    <w:p w14:paraId="40CD89D7" w14:textId="77777777" w:rsidR="00A810E4" w:rsidRPr="00A810E4" w:rsidRDefault="00A810E4" w:rsidP="002502CC">
      <w:pPr>
        <w:pStyle w:val="Heading4"/>
      </w:pPr>
      <w:bookmarkStart w:id="181" w:name="_Toc364636082"/>
      <w:bookmarkStart w:id="182" w:name="_Toc518323259"/>
      <w:r w:rsidRPr="00A810E4">
        <w:t>Notes</w:t>
      </w:r>
      <w:bookmarkEnd w:id="181"/>
      <w:bookmarkEnd w:id="182"/>
    </w:p>
    <w:p w14:paraId="282DC770" w14:textId="77777777" w:rsidR="00A810E4" w:rsidRPr="00A810E4" w:rsidRDefault="00A810E4">
      <w:pPr>
        <w:rPr>
          <w:rFonts w:ascii="Times New Roman" w:hAnsi="Times New Roman" w:cs="Times New Roman"/>
        </w:rPr>
      </w:pPr>
    </w:p>
    <w:p w14:paraId="7F48CE5A" w14:textId="77777777" w:rsidR="00A810E4" w:rsidRPr="00A810E4" w:rsidRDefault="00A810E4">
      <w:pPr>
        <w:rPr>
          <w:rFonts w:ascii="Times New Roman" w:hAnsi="Times New Roman" w:cs="Times New Roman"/>
        </w:rPr>
      </w:pPr>
    </w:p>
    <w:p w14:paraId="27215B84" w14:textId="5575FDFD"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Explaining </w:t>
      </w:r>
      <w:r w:rsidRPr="00F94B7E">
        <w:rPr>
          <w:rFonts w:ascii="Times New Roman" w:eastAsia="Times New Roman" w:hAnsi="Times New Roman" w:cs="Times New Roman"/>
          <w:iCs/>
        </w:rPr>
        <w:t>Ives</w:t>
      </w:r>
      <w:r w:rsidRPr="00F94B7E">
        <w:rPr>
          <w:rFonts w:ascii="Times New Roman" w:eastAsia="Times New Roman" w:hAnsi="Times New Roman" w:cs="Times New Roman"/>
        </w:rPr>
        <w:t xml:space="preserve">. Was Judge Werner correct in saying that when the federal and state constitutions were adopted,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it was the law of the land that no man who was without fault or negligence could be held liable in damages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If he was not correct in saying this, then what is the basis for his decision?</w:t>
      </w:r>
    </w:p>
    <w:p w14:paraId="45C0A481" w14:textId="77777777" w:rsidR="00A810E4" w:rsidRPr="00A810E4" w:rsidRDefault="00A810E4" w:rsidP="00A810E4">
      <w:pPr>
        <w:rPr>
          <w:rFonts w:ascii="Times New Roman" w:hAnsi="Times New Roman" w:cs="Times New Roman"/>
        </w:rPr>
      </w:pPr>
    </w:p>
    <w:p w14:paraId="0A73C2A2" w14:textId="77777777" w:rsidR="00A810E4" w:rsidRPr="00A810E4" w:rsidRDefault="00A810E4" w:rsidP="00A810E4">
      <w:pPr>
        <w:rPr>
          <w:rFonts w:ascii="Times New Roman" w:hAnsi="Times New Roman" w:cs="Times New Roman"/>
        </w:rPr>
      </w:pPr>
    </w:p>
    <w:p w14:paraId="15FE6532" w14:textId="017C7334"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 statutes</w:t>
      </w:r>
      <w:r w:rsidRPr="00F94B7E">
        <w:rPr>
          <w:rFonts w:ascii="Times New Roman" w:eastAsia="Times New Roman" w:hAnsi="Times New Roman" w:cs="Times New Roman"/>
        </w:rPr>
        <w:t xml:space="preserve">.  The New York statute underlying the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case was the first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law in the country, but it was hardly the only such law.  Starting in 1910, every state in the U.S. adopted comprehensive no-fault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schemes.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w:t>
      </w:r>
      <w:r w:rsidR="00F80BCE" w:rsidRPr="00F94B7E">
        <w:rPr>
          <w:rFonts w:ascii="Times New Roman" w:eastAsia="Times New Roman" w:hAnsi="Times New Roman" w:cs="Times New Roman"/>
          <w:smallCaps/>
        </w:rPr>
        <w:t xml:space="preserve">John Fabian Witt, The Accidental Republic </w:t>
      </w:r>
      <w:r w:rsidRPr="00F94B7E">
        <w:rPr>
          <w:rFonts w:ascii="Times New Roman" w:eastAsia="Times New Roman" w:hAnsi="Times New Roman" w:cs="Times New Roman"/>
        </w:rPr>
        <w:t>(2004). Under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weekly wages, or two-thirds of the jurisdiction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median weekly wage, whichever is lower.  Claimants may also receive payments for disability or disfigurement. N.Y.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ork Comp. Law.</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13, 15. If the employee is killed, his or her dependents may be eligible for death benefits. Id. § 16. In exchange for these obligations, modern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immunize employers from overlapping tort liability. Id. § 11.  Note that the original New York statute from 1910 did not provide employers with the quid pro quo of immunization from tort liability. It left injured employees with the choice to sue in tort for negligence or to file a compensation claim</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a choice to be exercised after suffering the injury.   </w:t>
      </w:r>
    </w:p>
    <w:p w14:paraId="5B7CE64F" w14:textId="77777777" w:rsidR="00A810E4" w:rsidRPr="00A810E4" w:rsidRDefault="00A810E4" w:rsidP="00A810E4">
      <w:pPr>
        <w:rPr>
          <w:rFonts w:ascii="Times New Roman" w:hAnsi="Times New Roman" w:cs="Times New Roman"/>
        </w:rPr>
      </w:pPr>
    </w:p>
    <w:p w14:paraId="619C58E9" w14:textId="77777777" w:rsidR="00A810E4" w:rsidRPr="00A810E4" w:rsidRDefault="00A810E4" w:rsidP="00A810E4">
      <w:pPr>
        <w:rPr>
          <w:rFonts w:ascii="Times New Roman" w:hAnsi="Times New Roman" w:cs="Times New Roman"/>
        </w:rPr>
      </w:pPr>
    </w:p>
    <w:p w14:paraId="460BD848" w14:textId="6A26FF52"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The triumph of workers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compensation</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and the tragedy of William Werner</w:t>
      </w:r>
      <w:r w:rsidRPr="00F94B7E">
        <w:rPr>
          <w:rFonts w:ascii="Times New Roman" w:eastAsia="Times New Roman" w:hAnsi="Times New Roman" w:cs="Times New Roman"/>
        </w:rPr>
        <w:t>.  Coming as it did in the face of such a widespread movement to enact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the </w:t>
      </w:r>
      <w:r w:rsidRPr="00F94B7E">
        <w:rPr>
          <w:rFonts w:ascii="Times New Roman" w:eastAsia="Times New Roman" w:hAnsi="Times New Roman" w:cs="Times New Roman"/>
          <w:i/>
        </w:rPr>
        <w:t>Ives</w:t>
      </w:r>
      <w:r w:rsidRPr="00F94B7E">
        <w:rPr>
          <w:rFonts w:ascii="Times New Roman" w:eastAsia="Times New Roman" w:hAnsi="Times New Roman" w:cs="Times New Roman"/>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liability.  For Werner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story, see </w:t>
      </w:r>
      <w:r w:rsidRPr="00F94B7E">
        <w:rPr>
          <w:rFonts w:ascii="Times New Roman" w:eastAsia="Times New Roman" w:hAnsi="Times New Roman" w:cs="Times New Roman"/>
          <w:smallCaps/>
        </w:rPr>
        <w:t>W</w:t>
      </w:r>
      <w:r w:rsidR="00F80BCE" w:rsidRPr="00F94B7E">
        <w:rPr>
          <w:rFonts w:ascii="Times New Roman" w:eastAsia="Times New Roman" w:hAnsi="Times New Roman" w:cs="Times New Roman"/>
          <w:smallCaps/>
        </w:rPr>
        <w:t>itt, The Accidental Republic</w:t>
      </w:r>
      <w:r w:rsidRPr="00F94B7E">
        <w:rPr>
          <w:rFonts w:ascii="Times New Roman" w:eastAsia="Times New Roman" w:hAnsi="Times New Roman" w:cs="Times New Roman"/>
        </w:rPr>
        <w:t xml:space="preserve">, </w:t>
      </w:r>
      <w:r w:rsidR="00C21D6E">
        <w:rPr>
          <w:rFonts w:ascii="Times New Roman" w:eastAsia="Times New Roman" w:hAnsi="Times New Roman" w:cs="Times New Roman"/>
        </w:rPr>
        <w:t>Chapter</w:t>
      </w:r>
      <w:r w:rsidRPr="00F94B7E">
        <w:rPr>
          <w:rFonts w:ascii="Times New Roman" w:eastAsia="Times New Roman" w:hAnsi="Times New Roman" w:cs="Times New Roman"/>
        </w:rPr>
        <w:t xml:space="preserve"> 6.</w:t>
      </w:r>
    </w:p>
    <w:p w14:paraId="4F7522BD" w14:textId="77777777" w:rsidR="00A810E4" w:rsidRPr="00A810E4" w:rsidRDefault="00A810E4" w:rsidP="00A810E4">
      <w:pPr>
        <w:rPr>
          <w:rFonts w:ascii="Times New Roman" w:hAnsi="Times New Roman" w:cs="Times New Roman"/>
        </w:rPr>
      </w:pPr>
    </w:p>
    <w:p w14:paraId="5BC28BAB" w14:textId="77777777" w:rsidR="00A810E4" w:rsidRPr="00A810E4" w:rsidRDefault="00A810E4" w:rsidP="00A810E4">
      <w:pPr>
        <w:rPr>
          <w:rFonts w:ascii="Times New Roman" w:hAnsi="Times New Roman" w:cs="Times New Roman"/>
        </w:rPr>
      </w:pPr>
    </w:p>
    <w:p w14:paraId="5175053F" w14:textId="13E68E51"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State constitutions and tort reform</w:t>
      </w:r>
      <w:r w:rsidRPr="00F94B7E">
        <w:rPr>
          <w:rFonts w:ascii="Times New Roman" w:eastAsia="Times New Roman" w:hAnsi="Times New Roman" w:cs="Times New Roman"/>
        </w:rPr>
        <w:t xml:space="preserve">.  Even though </w:t>
      </w:r>
      <w:r w:rsidRPr="00F94B7E">
        <w:rPr>
          <w:rFonts w:ascii="Times New Roman" w:eastAsia="Times New Roman" w:hAnsi="Times New Roman" w:cs="Times New Roman"/>
          <w:i/>
          <w:iCs/>
        </w:rPr>
        <w:t>Ives</w:t>
      </w:r>
      <w:r w:rsidRPr="00F94B7E">
        <w:rPr>
          <w:rFonts w:ascii="Times New Roman" w:eastAsia="Times New Roman" w:hAnsi="Times New Roman" w:cs="Times New Roman"/>
        </w:rPr>
        <w:t xml:space="preserve"> seems like a cautionary tale for state courts striking down legislation dealing with tort law, state courts regularly invalidate tort reform statutes today. </w:t>
      </w:r>
      <w:r w:rsidRPr="00F94B7E">
        <w:rPr>
          <w:rFonts w:ascii="Times New Roman" w:eastAsia="Times New Roman" w:hAnsi="Times New Roman" w:cs="Times New Roman"/>
          <w:i/>
        </w:rPr>
        <w:t>See</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The Long History of State Constitutions and American Tort Law</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R</w:t>
      </w:r>
      <w:r w:rsidR="00F80BCE" w:rsidRPr="00F94B7E">
        <w:rPr>
          <w:rFonts w:ascii="Times New Roman" w:eastAsia="Times New Roman" w:hAnsi="Times New Roman" w:cs="Times New Roman"/>
          <w:smallCaps/>
        </w:rPr>
        <w:t>utgers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L.J. 1159, 1163 (2005). In the past two decades, courts have struck down tort reform statutes limiting awards for noneconomic damages, see, e.g., </w:t>
      </w:r>
      <w:r w:rsidRPr="00F94B7E">
        <w:rPr>
          <w:rFonts w:ascii="Times New Roman" w:eastAsia="Times New Roman" w:hAnsi="Times New Roman" w:cs="Times New Roman"/>
          <w:i/>
          <w:iCs/>
        </w:rPr>
        <w:t>Atlanta Oculoplastic Surgery, P.C. v. Nestlehutt</w:t>
      </w:r>
      <w:r w:rsidRPr="00F94B7E">
        <w:rPr>
          <w:rFonts w:ascii="Times New Roman" w:eastAsia="Times New Roman" w:hAnsi="Times New Roman" w:cs="Times New Roman"/>
        </w:rPr>
        <w:t xml:space="preserve">, 691 S.E.2d 218 (Ga. 2010) and </w:t>
      </w:r>
      <w:r w:rsidRPr="00F94B7E">
        <w:rPr>
          <w:rFonts w:ascii="Times New Roman" w:eastAsia="Times New Roman" w:hAnsi="Times New Roman" w:cs="Times New Roman"/>
          <w:i/>
          <w:iCs/>
        </w:rPr>
        <w:t>Lebron v. Gottlieb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930 N.E.2d 895 (Ill. 2010); tort reform statutes that cap punitive damages, see, e.g., </w:t>
      </w:r>
      <w:r w:rsidRPr="00F94B7E">
        <w:rPr>
          <w:rFonts w:ascii="Times New Roman" w:eastAsia="Times New Roman" w:hAnsi="Times New Roman" w:cs="Times New Roman"/>
          <w:i/>
          <w:iCs/>
        </w:rPr>
        <w:t>Bayer CropScience LP v. Schafer</w:t>
      </w:r>
      <w:r w:rsidRPr="00F94B7E">
        <w:rPr>
          <w:rFonts w:ascii="Times New Roman" w:eastAsia="Times New Roman" w:hAnsi="Times New Roman" w:cs="Times New Roman"/>
        </w:rPr>
        <w:t xml:space="preserve">, 385 S.W.3d 822 (Ark. 2011); tort reform statutes that cap total damages, see, e.g., </w:t>
      </w:r>
      <w:r w:rsidRPr="00F94B7E">
        <w:rPr>
          <w:rFonts w:ascii="Times New Roman" w:eastAsia="Times New Roman" w:hAnsi="Times New Roman" w:cs="Times New Roman"/>
          <w:i/>
          <w:iCs/>
        </w:rPr>
        <w:t>State ex rel. Ohio Acad. of Trial Lawyers v. Sherwood</w:t>
      </w:r>
      <w:r w:rsidRPr="00F94B7E">
        <w:rPr>
          <w:rFonts w:ascii="Times New Roman" w:eastAsia="Times New Roman" w:hAnsi="Times New Roman" w:cs="Times New Roman"/>
        </w:rPr>
        <w:t xml:space="preserve">, 715 N.E.2d 1062 (Ohio 1999); tort reform statutes creating additional procedural hurdles for plaintiffs, see, e.g., </w:t>
      </w:r>
      <w:r w:rsidRPr="00F94B7E">
        <w:rPr>
          <w:rFonts w:ascii="Times New Roman" w:eastAsia="Times New Roman" w:hAnsi="Times New Roman" w:cs="Times New Roman"/>
          <w:i/>
          <w:iCs/>
        </w:rPr>
        <w:t>Wall v. Marouk</w:t>
      </w:r>
      <w:r w:rsidRPr="00F94B7E">
        <w:rPr>
          <w:rFonts w:ascii="Times New Roman" w:eastAsia="Times New Roman" w:hAnsi="Times New Roman" w:cs="Times New Roman"/>
        </w:rPr>
        <w:t xml:space="preserve">, 302 P.3d 775 (Okla. 2013); tort reform statutes barring plaintiffs from suing individual tortfeasors, see, e.g., </w:t>
      </w:r>
      <w:r w:rsidRPr="00F94B7E">
        <w:rPr>
          <w:rFonts w:ascii="Times New Roman" w:eastAsia="Times New Roman" w:hAnsi="Times New Roman" w:cs="Times New Roman"/>
          <w:i/>
          <w:iCs/>
        </w:rPr>
        <w:t>Clarke v. Or. Health Sci. Univ</w:t>
      </w:r>
      <w:r w:rsidRPr="00F94B7E">
        <w:rPr>
          <w:rFonts w:ascii="Times New Roman" w:eastAsia="Times New Roman" w:hAnsi="Times New Roman" w:cs="Times New Roman"/>
        </w:rPr>
        <w:t xml:space="preserve">., 175 P.3d 418 (Or. 2007); tort reform statutes abolishing joint and several liability, see, e.g., </w:t>
      </w:r>
      <w:r w:rsidRPr="00F94B7E">
        <w:rPr>
          <w:rFonts w:ascii="Times New Roman" w:eastAsia="Times New Roman" w:hAnsi="Times New Roman" w:cs="Times New Roman"/>
          <w:i/>
          <w:iCs/>
        </w:rPr>
        <w:t>Best v. Taylor Mach. Works</w:t>
      </w:r>
      <w:r w:rsidRPr="00F94B7E">
        <w:rPr>
          <w:rFonts w:ascii="Times New Roman" w:eastAsia="Times New Roman" w:hAnsi="Times New Roman" w:cs="Times New Roman"/>
        </w:rPr>
        <w:t>, 689 N.E.2d 1057 (Ill. 1997); and discovery statutes mandating unlimited disclosure of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medical records, see, e.g.,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Should state courts override legislative action in the torts area?</w:t>
      </w:r>
    </w:p>
    <w:p w14:paraId="115731D5" w14:textId="77777777" w:rsidR="00A810E4" w:rsidRPr="00A810E4" w:rsidRDefault="00A810E4" w:rsidP="00A810E4">
      <w:pPr>
        <w:rPr>
          <w:rFonts w:ascii="Times New Roman" w:hAnsi="Times New Roman" w:cs="Times New Roman"/>
        </w:rPr>
      </w:pPr>
    </w:p>
    <w:p w14:paraId="591F7A17" w14:textId="77777777" w:rsidR="00A810E4" w:rsidRPr="00A810E4" w:rsidRDefault="00A810E4" w:rsidP="00A810E4">
      <w:pPr>
        <w:rPr>
          <w:rFonts w:ascii="Times New Roman" w:hAnsi="Times New Roman" w:cs="Times New Roman"/>
        </w:rPr>
      </w:pPr>
    </w:p>
    <w:p w14:paraId="279BA9A9" w14:textId="07E25810"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Tort persists</w:t>
      </w:r>
      <w:r w:rsidR="00F80BCE" w:rsidRPr="00F94B7E">
        <w:rPr>
          <w:rFonts w:ascii="Times New Roman" w:eastAsia="Times New Roman" w:hAnsi="Times New Roman" w:cs="Times New Roman"/>
          <w:i/>
        </w:rPr>
        <w:t>—</w:t>
      </w:r>
      <w:r w:rsidRPr="00F94B7E">
        <w:rPr>
          <w:rFonts w:ascii="Times New Roman" w:eastAsia="Times New Roman" w:hAnsi="Times New Roman" w:cs="Times New Roman"/>
          <w:i/>
        </w:rPr>
        <w:t>third</w:t>
      </w:r>
      <w:r w:rsidR="00A5115E">
        <w:rPr>
          <w:rFonts w:ascii="Times New Roman" w:eastAsia="Times New Roman" w:hAnsi="Times New Roman" w:cs="Times New Roman"/>
          <w:i/>
        </w:rPr>
        <w:t>-</w:t>
      </w:r>
      <w:r w:rsidRPr="00F94B7E">
        <w:rPr>
          <w:rFonts w:ascii="Times New Roman" w:eastAsia="Times New Roman" w:hAnsi="Times New Roman" w:cs="Times New Roman"/>
          <w:i/>
        </w:rPr>
        <w:t>party claims</w:t>
      </w:r>
      <w:r w:rsidRPr="00F94B7E">
        <w:rPr>
          <w:rFonts w:ascii="Times New Roman" w:eastAsia="Times New Roman" w:hAnsi="Times New Roman" w:cs="Times New Roman"/>
        </w:rPr>
        <w:t>.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designed in significant part to remove lawyers and expensive litigation from workplace injury disputes.  The statutes remove many of the contested issues from a claimant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case and replace common law courts and juries with an administrative claims process. Moreover,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typically place low caps on lawyers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fees, in part to prevent compensation claims from being heavily litigated.</w:t>
      </w:r>
    </w:p>
    <w:p w14:paraId="19C8820D" w14:textId="77777777" w:rsidR="00A810E4" w:rsidRPr="00A810E4" w:rsidRDefault="00A810E4" w:rsidP="00A810E4">
      <w:pPr>
        <w:rPr>
          <w:rFonts w:ascii="Times New Roman" w:hAnsi="Times New Roman" w:cs="Times New Roman"/>
        </w:rPr>
      </w:pPr>
    </w:p>
    <w:p w14:paraId="3C31F567" w14:textId="23F5B328"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Even so,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has become the foundation for many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practices.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lawyers often organize their offices by arranging for a steady intake of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claims, which pay very little, but pay more quickly than tort claims and bring in a steady stream of revenue.  One function of the compensation cases for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 is to find so-called </w:t>
      </w:r>
      <w:r w:rsidR="00B05F31">
        <w:rPr>
          <w:rFonts w:ascii="Times New Roman" w:eastAsia="Times New Roman" w:hAnsi="Times New Roman" w:cs="Times New Roman"/>
        </w:rPr>
        <w:t>“</w:t>
      </w:r>
      <w:r w:rsidRPr="750671CE">
        <w:rPr>
          <w:rFonts w:ascii="Times New Roman" w:eastAsia="Times New Roman" w:hAnsi="Times New Roman" w:cs="Times New Roman"/>
        </w:rPr>
        <w:t>third-party cases</w:t>
      </w:r>
      <w:r w:rsidR="00B05F31">
        <w:rPr>
          <w:rFonts w:ascii="Times New Roman" w:eastAsia="Times New Roman" w:hAnsi="Times New Roman" w:cs="Times New Roman"/>
        </w:rPr>
        <w:t>”</w:t>
      </w:r>
      <w:r w:rsidRPr="750671CE">
        <w:rPr>
          <w:rFonts w:ascii="Times New Roman" w:eastAsia="Times New Roman" w:hAnsi="Times New Roman" w:cs="Times New Roman"/>
        </w:rPr>
        <w:t>: cases where the involvement of a product in the events leading to the injury allow for a tort suit against the product</w:t>
      </w:r>
      <w:r w:rsidR="00B05F31">
        <w:rPr>
          <w:rFonts w:ascii="Times New Roman" w:eastAsia="Times New Roman" w:hAnsi="Times New Roman" w:cs="Times New Roman"/>
        </w:rPr>
        <w:t>’</w:t>
      </w:r>
      <w:r w:rsidRPr="750671CE">
        <w:rPr>
          <w:rFonts w:ascii="Times New Roman" w:eastAsia="Times New Roman" w:hAnsi="Times New Roman" w:cs="Times New Roman"/>
        </w:rPr>
        <w:t>s manufacturer.  The product manufacturer is a third party and thus not immunized from suit by the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legislation.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Stephen Daniels &amp; Joanne Martin, </w:t>
      </w:r>
      <w:r w:rsidRPr="00F94B7E">
        <w:rPr>
          <w:rFonts w:ascii="Times New Roman" w:eastAsia="Times New Roman" w:hAnsi="Times New Roman" w:cs="Times New Roman"/>
          <w:i/>
        </w:rPr>
        <w:t>Texas Plaintiffs</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 Practice in the Age of Tort Reform: Survival of the Fittest—It</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Even More True Now</w:t>
      </w:r>
      <w:r w:rsidRPr="750671CE">
        <w:rPr>
          <w:rFonts w:ascii="Times New Roman" w:eastAsia="Times New Roman" w:hAnsi="Times New Roman" w:cs="Times New Roman"/>
        </w:rPr>
        <w:t>, 51 N.Y.</w:t>
      </w:r>
      <w:r w:rsidRPr="00F94B7E">
        <w:rPr>
          <w:rFonts w:ascii="Times New Roman" w:eastAsia="Times New Roman" w:hAnsi="Times New Roman" w:cs="Times New Roman"/>
          <w:smallCaps/>
        </w:rPr>
        <w:t>L. S</w:t>
      </w:r>
      <w:r w:rsidR="00F80BCE" w:rsidRPr="00F94B7E">
        <w:rPr>
          <w:rFonts w:ascii="Times New Roman" w:eastAsia="Times New Roman" w:hAnsi="Times New Roman" w:cs="Times New Roman"/>
          <w:smallCaps/>
        </w:rPr>
        <w:t>ch</w:t>
      </w:r>
      <w:r w:rsidRPr="00F94B7E">
        <w:rPr>
          <w:rFonts w:ascii="Times New Roman" w:eastAsia="Times New Roman" w:hAnsi="Times New Roman" w:cs="Times New Roman"/>
          <w:smallCaps/>
        </w:rPr>
        <w:t>. L. R</w:t>
      </w:r>
      <w:r w:rsidR="00F80BCE" w:rsidRPr="00F94B7E">
        <w:rPr>
          <w:rFonts w:ascii="Times New Roman" w:eastAsia="Times New Roman" w:hAnsi="Times New Roman" w:cs="Times New Roman"/>
          <w:smallCaps/>
        </w:rPr>
        <w:t>ev</w:t>
      </w:r>
      <w:r w:rsidRPr="00F94B7E">
        <w:rPr>
          <w:rFonts w:ascii="Times New Roman" w:eastAsia="Times New Roman" w:hAnsi="Times New Roman" w:cs="Times New Roman"/>
          <w:smallCaps/>
        </w:rPr>
        <w:t>.</w:t>
      </w:r>
      <w:r w:rsidRPr="750671CE">
        <w:rPr>
          <w:rFonts w:ascii="Times New Roman" w:eastAsia="Times New Roman" w:hAnsi="Times New Roman" w:cs="Times New Roman"/>
        </w:rPr>
        <w:t xml:space="preserve"> 286 (2006). </w:t>
      </w:r>
    </w:p>
    <w:p w14:paraId="63A05199" w14:textId="77777777" w:rsidR="00A810E4" w:rsidRPr="00A810E4" w:rsidRDefault="00A810E4" w:rsidP="00A810E4">
      <w:pPr>
        <w:rPr>
          <w:rFonts w:ascii="Times New Roman" w:hAnsi="Times New Roman" w:cs="Times New Roman"/>
        </w:rPr>
      </w:pPr>
    </w:p>
    <w:p w14:paraId="18674AFA" w14:textId="4762125B"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statutes were designed to remove tort litigation from the workplace.  But the third-party cases reintroduce tort precisely where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aimed to displace it.  In some jurisdictions, third-party defendants in such suits are able to bring claims for contribution or indemnity against employers if they can show that the employers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benefits to the extent that third parties</w:t>
      </w:r>
      <w:r w:rsidR="00A5115E">
        <w:rPr>
          <w:rFonts w:ascii="Times New Roman" w:eastAsia="Times New Roman" w:hAnsi="Times New Roman" w:cs="Times New Roman"/>
        </w:rPr>
        <w:t>,</w:t>
      </w:r>
      <w:r w:rsidRPr="750671CE">
        <w:rPr>
          <w:rFonts w:ascii="Times New Roman" w:eastAsia="Times New Roman" w:hAnsi="Times New Roman" w:cs="Times New Roman"/>
        </w:rPr>
        <w:t xml:space="preserve"> such as product manufacturers or other vendors or service providers</w:t>
      </w:r>
      <w:r w:rsidR="00A5115E">
        <w:rPr>
          <w:rFonts w:ascii="Times New Roman" w:eastAsia="Times New Roman" w:hAnsi="Times New Roman" w:cs="Times New Roman"/>
        </w:rPr>
        <w:t>,</w:t>
      </w:r>
      <w:r w:rsidRPr="750671CE">
        <w:rPr>
          <w:rFonts w:ascii="Times New Roman" w:eastAsia="Times New Roman" w:hAnsi="Times New Roman" w:cs="Times New Roman"/>
        </w:rPr>
        <w:t xml:space="preserve"> price their products and services to reflect the risk of third-party suits.</w:t>
      </w:r>
    </w:p>
    <w:p w14:paraId="4DB41DFB" w14:textId="77777777" w:rsidR="00A810E4" w:rsidRPr="00A810E4" w:rsidRDefault="00A810E4" w:rsidP="00A810E4">
      <w:pPr>
        <w:rPr>
          <w:rFonts w:ascii="Times New Roman" w:hAnsi="Times New Roman" w:cs="Times New Roman"/>
        </w:rPr>
      </w:pPr>
    </w:p>
    <w:p w14:paraId="11EEF2C3" w14:textId="77777777" w:rsidR="00A810E4" w:rsidRPr="00A810E4" w:rsidRDefault="00A810E4" w:rsidP="00A810E4">
      <w:pPr>
        <w:rPr>
          <w:rFonts w:ascii="Times New Roman" w:hAnsi="Times New Roman" w:cs="Times New Roman"/>
        </w:rPr>
      </w:pPr>
    </w:p>
    <w:p w14:paraId="16E3EEBF" w14:textId="46E5DA30" w:rsidR="00A810E4" w:rsidRPr="00F94B7E" w:rsidRDefault="750671CE" w:rsidP="00F94B7E">
      <w:pPr>
        <w:pStyle w:val="ListParagraph"/>
        <w:numPr>
          <w:ilvl w:val="0"/>
          <w:numId w:val="82"/>
        </w:numPr>
        <w:ind w:left="0" w:firstLine="360"/>
        <w:rPr>
          <w:rFonts w:ascii="Times New Roman" w:eastAsia="Times New Roman" w:hAnsi="Times New Roman" w:cs="Times New Roman"/>
        </w:rPr>
      </w:pPr>
      <w:r w:rsidRPr="00F94B7E">
        <w:rPr>
          <w:rFonts w:ascii="Times New Roman" w:eastAsia="Times New Roman" w:hAnsi="Times New Roman" w:cs="Times New Roman"/>
          <w:i/>
        </w:rPr>
        <w:t>Settlement as a compensation system</w:t>
      </w:r>
      <w:r w:rsidRPr="00F94B7E">
        <w:rPr>
          <w:rFonts w:ascii="Times New Roman" w:eastAsia="Times New Roman" w:hAnsi="Times New Roman" w:cs="Times New Roman"/>
        </w:rPr>
        <w:t>. The idea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systems. As early as the 1930s,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lawyers were converting many types of injuries into settlement values. Since then, settlement practices in many areas of tort law and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have converged on administrative schemes that adopt liability matrixes and damages grids to manage settlements.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Samuel Issacharoff &amp; John Fabian Witt, </w:t>
      </w:r>
      <w:r w:rsidRPr="00F94B7E">
        <w:rPr>
          <w:rFonts w:ascii="Times New Roman" w:eastAsia="Times New Roman" w:hAnsi="Times New Roman" w:cs="Times New Roman"/>
          <w:i/>
        </w:rPr>
        <w:t>The Inevitability of Aggregate Settlement: An Institutional Account of American Tort Law</w:t>
      </w:r>
      <w:r w:rsidRPr="00F94B7E">
        <w:rPr>
          <w:rFonts w:ascii="Times New Roman" w:eastAsia="Times New Roman" w:hAnsi="Times New Roman" w:cs="Times New Roman"/>
        </w:rPr>
        <w:t xml:space="preserve">, 57 </w:t>
      </w:r>
      <w:r w:rsidRPr="00F94B7E">
        <w:rPr>
          <w:rFonts w:ascii="Times New Roman" w:eastAsia="Times New Roman" w:hAnsi="Times New Roman" w:cs="Times New Roman"/>
          <w:smallCaps/>
        </w:rPr>
        <w:t>V</w:t>
      </w:r>
      <w:r w:rsidR="00F80BCE" w:rsidRPr="00F94B7E">
        <w:rPr>
          <w:rFonts w:ascii="Times New Roman" w:eastAsia="Times New Roman" w:hAnsi="Times New Roman" w:cs="Times New Roman"/>
          <w:smallCaps/>
        </w:rPr>
        <w:t>and</w:t>
      </w:r>
      <w:r w:rsidRPr="00F94B7E">
        <w:rPr>
          <w:rFonts w:ascii="Times New Roman" w:eastAsia="Times New Roman" w:hAnsi="Times New Roman" w:cs="Times New Roman"/>
          <w:smallCaps/>
        </w:rPr>
        <w:t>. L. R</w:t>
      </w:r>
      <w:r w:rsidR="00F80BCE" w:rsidRPr="00F94B7E">
        <w:rPr>
          <w:rFonts w:ascii="Times New Roman" w:eastAsia="Times New Roman" w:hAnsi="Times New Roman" w:cs="Times New Roman"/>
          <w:smallCaps/>
        </w:rPr>
        <w:t>ev</w:t>
      </w:r>
      <w:r w:rsidRPr="00F94B7E">
        <w:rPr>
          <w:rFonts w:ascii="Times New Roman" w:eastAsia="Times New Roman" w:hAnsi="Times New Roman" w:cs="Times New Roman"/>
        </w:rPr>
        <w:t xml:space="preserve">. 1571, 1615, 1625-26 (2004); </w:t>
      </w:r>
      <w:r w:rsidRPr="00F94B7E">
        <w:rPr>
          <w:rFonts w:ascii="Times New Roman" w:eastAsia="Times New Roman" w:hAnsi="Times New Roman" w:cs="Times New Roman"/>
          <w:smallCaps/>
        </w:rPr>
        <w:t>J</w:t>
      </w:r>
      <w:r w:rsidR="00F80BCE" w:rsidRPr="00F94B7E">
        <w:rPr>
          <w:rFonts w:ascii="Times New Roman" w:eastAsia="Times New Roman" w:hAnsi="Times New Roman" w:cs="Times New Roman"/>
          <w:smallCaps/>
        </w:rPr>
        <w:t>ohn Fabian Witt, Patriots and Cosmopolitans</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274-75 (2007).  The common law tort litigant thus does not often find herself in a system providing each individual with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day in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before a jury of her peers.  To the contrary, tort litigants (like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claimants) often find themselves in vast bureaucracies with easily-administered, one-size-fits-all rules for claims resolution.  The difference</w:t>
      </w:r>
      <w:r w:rsidR="00A5115E">
        <w:rPr>
          <w:rFonts w:ascii="Times New Roman" w:eastAsia="Times New Roman" w:hAnsi="Times New Roman" w:cs="Times New Roman"/>
        </w:rPr>
        <w:t>—</w:t>
      </w:r>
      <w:r w:rsidRPr="00F94B7E">
        <w:rPr>
          <w:rFonts w:ascii="Times New Roman" w:eastAsia="Times New Roman" w:hAnsi="Times New Roman" w:cs="Times New Roman"/>
        </w:rPr>
        <w:t>and it is a significant one</w:t>
      </w:r>
      <w:r w:rsidR="00A5115E">
        <w:rPr>
          <w:rFonts w:ascii="Times New Roman" w:eastAsia="Times New Roman" w:hAnsi="Times New Roman" w:cs="Times New Roman"/>
        </w:rPr>
        <w:t>—</w:t>
      </w:r>
      <w:r w:rsidRPr="00F94B7E">
        <w:rPr>
          <w:rFonts w:ascii="Times New Roman" w:eastAsia="Times New Roman" w:hAnsi="Times New Roman" w:cs="Times New Roman"/>
        </w:rPr>
        <w:t xml:space="preserve">is that the tort litigant encounters a private bureaucracy, where the compensation claimant is in a public one.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Issacharoff &amp; Witt, </w:t>
      </w:r>
      <w:r w:rsidRPr="00F94B7E">
        <w:rPr>
          <w:rFonts w:ascii="Times New Roman" w:eastAsia="Times New Roman" w:hAnsi="Times New Roman" w:cs="Times New Roman"/>
          <w:i/>
          <w:iCs/>
        </w:rPr>
        <w:t>supra</w:t>
      </w:r>
      <w:r w:rsidRPr="00F94B7E">
        <w:rPr>
          <w:rFonts w:ascii="Times New Roman" w:eastAsia="Times New Roman" w:hAnsi="Times New Roman" w:cs="Times New Roman"/>
        </w:rPr>
        <w:t xml:space="preserve">, at 1625-26;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John Fabian Witt, </w:t>
      </w:r>
      <w:r w:rsidRPr="00F94B7E">
        <w:rPr>
          <w:rFonts w:ascii="Times New Roman" w:eastAsia="Times New Roman" w:hAnsi="Times New Roman" w:cs="Times New Roman"/>
          <w:i/>
        </w:rPr>
        <w:t xml:space="preserve">Bureaucratic Legalism, American Style: </w:t>
      </w:r>
      <w:r w:rsidRPr="00F94B7E">
        <w:rPr>
          <w:rFonts w:ascii="Times New Roman" w:eastAsia="Times New Roman" w:hAnsi="Times New Roman" w:cs="Times New Roman"/>
          <w:i/>
        </w:rPr>
        <w:lastRenderedPageBreak/>
        <w:t>Private Bureaucratic Legalism and the Governance of the Tort System</w:t>
      </w:r>
      <w:r w:rsidRPr="00F94B7E">
        <w:rPr>
          <w:rFonts w:ascii="Times New Roman" w:eastAsia="Times New Roman" w:hAnsi="Times New Roman" w:cs="Times New Roman"/>
        </w:rPr>
        <w:t xml:space="preserve">, 56 </w:t>
      </w:r>
      <w:r w:rsidR="00F80BCE" w:rsidRPr="00F94B7E">
        <w:rPr>
          <w:rFonts w:ascii="Times New Roman" w:eastAsia="Times New Roman" w:hAnsi="Times New Roman" w:cs="Times New Roman"/>
          <w:smallCaps/>
        </w:rPr>
        <w:t>DePaul L. Rev</w:t>
      </w:r>
      <w:r w:rsidR="00F80BCE"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261, 268-69 (2007). </w:t>
      </w:r>
    </w:p>
    <w:p w14:paraId="414AC8F0" w14:textId="77777777" w:rsidR="00A810E4" w:rsidRPr="00A810E4" w:rsidRDefault="00A810E4" w:rsidP="00A810E4">
      <w:pPr>
        <w:rPr>
          <w:rFonts w:ascii="Times New Roman" w:hAnsi="Times New Roman" w:cs="Times New Roman"/>
        </w:rPr>
      </w:pPr>
    </w:p>
    <w:p w14:paraId="6D0B77D3" w14:textId="0C3B2F85" w:rsidR="00A810E4" w:rsidRPr="00A810E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general phenomenon is especially striking in the area of automobile accident claims. A half-century ago, public no-fault systems modeled on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Tort practice in auto cases became less adversarial and more administrative, with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lawyers and insurance company claims adjusters negotiating private settlement arrangements using grids that resembled in practice the kind of administrative systems that no-fault insurance schemes aimed to adopt. At the same time, those no-fault insurance schemes have often become more adversarial than their rationalizing administrative founders had anticipated, involving more lawsuits and more lawyers.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Nora Freeman Engstrom, </w:t>
      </w:r>
      <w:r w:rsidRPr="00F94B7E">
        <w:rPr>
          <w:rFonts w:ascii="Times New Roman" w:eastAsia="Times New Roman" w:hAnsi="Times New Roman" w:cs="Times New Roman"/>
          <w:i/>
        </w:rPr>
        <w:t>An Alternative Explanation for No-Fault</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 xml:space="preserve">s </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Demise</w:t>
      </w:r>
      <w:r w:rsidR="00B05F31" w:rsidRPr="00F94B7E">
        <w:rPr>
          <w:rFonts w:ascii="Times New Roman" w:eastAsia="Times New Roman" w:hAnsi="Times New Roman" w:cs="Times New Roman"/>
          <w:i/>
        </w:rPr>
        <w:t>”</w:t>
      </w:r>
      <w:r w:rsidR="00F80B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61 </w:t>
      </w:r>
      <w:r w:rsidR="00F80BCE" w:rsidRPr="000F5413">
        <w:rPr>
          <w:rFonts w:ascii="Times New Roman" w:eastAsia="Times New Roman" w:hAnsi="Times New Roman" w:cs="Times New Roman"/>
          <w:smallCaps/>
        </w:rPr>
        <w:t>DePaul L. Rev</w:t>
      </w:r>
      <w:r w:rsidR="00F80BCE">
        <w:rPr>
          <w:rFonts w:ascii="Times New Roman" w:eastAsia="Times New Roman" w:hAnsi="Times New Roman" w:cs="Times New Roman"/>
        </w:rPr>
        <w:t>.</w:t>
      </w:r>
      <w:r w:rsidRPr="750671CE">
        <w:rPr>
          <w:rFonts w:ascii="Times New Roman" w:eastAsia="Times New Roman" w:hAnsi="Times New Roman" w:cs="Times New Roman"/>
        </w:rPr>
        <w:t xml:space="preserve"> 303, 374 (2012).</w:t>
      </w:r>
    </w:p>
    <w:p w14:paraId="6C00D548" w14:textId="77777777" w:rsidR="00A810E4" w:rsidRPr="00A810E4" w:rsidRDefault="00A810E4" w:rsidP="00A810E4">
      <w:pPr>
        <w:rPr>
          <w:rFonts w:ascii="Times New Roman" w:hAnsi="Times New Roman" w:cs="Times New Roman"/>
        </w:rPr>
      </w:pPr>
    </w:p>
    <w:p w14:paraId="2E9C24DA" w14:textId="559AA7E7" w:rsidR="00FF20BE" w:rsidRDefault="00A810E4" w:rsidP="00FF20BE">
      <w:pPr>
        <w:ind w:firstLine="720"/>
        <w:sectPr w:rsidR="00FF20BE" w:rsidSect="00B7325F">
          <w:headerReference w:type="default" r:id="rId40"/>
          <w:pgSz w:w="12240" w:h="15840"/>
          <w:pgMar w:top="1440" w:right="1800" w:bottom="1440" w:left="1800" w:header="720" w:footer="720" w:gutter="0"/>
          <w:cols w:space="720"/>
          <w:noEndnote/>
          <w:titlePg/>
        </w:sectPr>
      </w:pPr>
      <w:r w:rsidRPr="750671CE">
        <w:rPr>
          <w:rFonts w:ascii="Times New Roman" w:eastAsia="Times New Roman" w:hAnsi="Times New Roman" w:cs="Times New Roman"/>
        </w:rPr>
        <w:t>If torts practice and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converge, what is at stake in the choice between them</w:t>
      </w:r>
      <w:r w:rsidR="00FF20BE" w:rsidRPr="750671CE">
        <w:rPr>
          <w:rFonts w:ascii="Times New Roman" w:eastAsia="Times New Roman" w:hAnsi="Times New Roman" w:cs="Times New Roman"/>
        </w:rPr>
        <w:t>?</w:t>
      </w:r>
    </w:p>
    <w:p w14:paraId="62B04919" w14:textId="292837AA" w:rsidR="00B67515" w:rsidRPr="00296689" w:rsidRDefault="750671CE" w:rsidP="00296689">
      <w:pPr>
        <w:pStyle w:val="Heading1"/>
      </w:pPr>
      <w:bookmarkStart w:id="183" w:name="_Toc364636083"/>
      <w:bookmarkStart w:id="184" w:name="_Toc518323260"/>
      <w:r w:rsidRPr="00296689">
        <w:lastRenderedPageBreak/>
        <w:t>CHAPTER 4.  THE NEGLIGENCE STANDARD</w:t>
      </w:r>
      <w:bookmarkStart w:id="185" w:name="_Toc255579853"/>
      <w:bookmarkEnd w:id="183"/>
      <w:bookmarkEnd w:id="184"/>
    </w:p>
    <w:p w14:paraId="5ADECD4F" w14:textId="77777777" w:rsidR="00B67515" w:rsidRDefault="00B67515" w:rsidP="750671CE">
      <w:pPr>
        <w:ind w:firstLine="720"/>
        <w:rPr>
          <w:rFonts w:ascii="Times New Roman" w:eastAsia="Times New Roman" w:hAnsi="Times New Roman" w:cs="Times New Roman"/>
        </w:rPr>
      </w:pPr>
    </w:p>
    <w:p w14:paraId="0C4DD9BC" w14:textId="06EC3A12"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So far our treatment of the law of unintentional torts has focused on the development of fault-based and non-fault-based (or strict liability) approaches.  Beginning here in </w:t>
      </w:r>
      <w:r w:rsidR="00C21D6E">
        <w:rPr>
          <w:rFonts w:ascii="Times New Roman" w:eastAsia="Times New Roman" w:hAnsi="Times New Roman" w:cs="Times New Roman"/>
        </w:rPr>
        <w:t>Chapter</w:t>
      </w:r>
      <w:r w:rsidRPr="750671CE">
        <w:rPr>
          <w:rFonts w:ascii="Times New Roman" w:eastAsia="Times New Roman" w:hAnsi="Times New Roman" w:cs="Times New Roman"/>
        </w:rPr>
        <w:t xml:space="preserve"> 4</w:t>
      </w:r>
      <w:r w:rsidR="00A5115E">
        <w:rPr>
          <w:rFonts w:ascii="Times New Roman" w:eastAsia="Times New Roman" w:hAnsi="Times New Roman" w:cs="Times New Roman"/>
        </w:rPr>
        <w:t>,</w:t>
      </w:r>
      <w:r w:rsidRPr="750671CE">
        <w:rPr>
          <w:rFonts w:ascii="Times New Roman" w:eastAsia="Times New Roman" w:hAnsi="Times New Roman" w:cs="Times New Roman"/>
        </w:rPr>
        <w:t xml:space="preserve"> we will spend the next five chapters pursuing the principal fault-based approach to tort law: the negligence standard and the duty of reasonable care that Judge Shaw announced in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xml:space="preserve">. </w:t>
      </w:r>
    </w:p>
    <w:p w14:paraId="21A6BEBE" w14:textId="77777777" w:rsidR="00C22B24" w:rsidRPr="00920B12" w:rsidRDefault="00C22B24" w:rsidP="00C22B24">
      <w:pPr>
        <w:rPr>
          <w:rFonts w:ascii="Times New Roman" w:hAnsi="Times New Roman" w:cs="Times New Roman"/>
        </w:rPr>
      </w:pPr>
    </w:p>
    <w:p w14:paraId="14F03067" w14:textId="77777777" w:rsidR="00C22B24" w:rsidRPr="00920B12"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920B12" w:rsidRDefault="00C22B24" w:rsidP="00C22B24">
      <w:pPr>
        <w:rPr>
          <w:rFonts w:ascii="Times New Roman" w:hAnsi="Times New Roman" w:cs="Times New Roman"/>
        </w:rPr>
      </w:pPr>
    </w:p>
    <w:p w14:paraId="39811E70" w14:textId="77777777" w:rsidR="00C22B24"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 xml:space="preserve">First, though, we begin with what is in some sense the most basic of all questions: who is the reasonable person? </w:t>
      </w:r>
    </w:p>
    <w:p w14:paraId="67BD9694" w14:textId="77777777" w:rsidR="00B67515" w:rsidRPr="00920B12" w:rsidRDefault="00B67515" w:rsidP="750671CE">
      <w:pPr>
        <w:rPr>
          <w:rFonts w:ascii="Times New Roman" w:eastAsia="Times New Roman" w:hAnsi="Times New Roman" w:cs="Times New Roman"/>
        </w:rPr>
      </w:pPr>
    </w:p>
    <w:p w14:paraId="2979726D" w14:textId="77777777" w:rsidR="00C22B24" w:rsidRPr="00920B12" w:rsidRDefault="00C22B24" w:rsidP="00C22B24">
      <w:pPr>
        <w:rPr>
          <w:rFonts w:ascii="Times New Roman" w:hAnsi="Times New Roman" w:cs="Times New Roman"/>
        </w:rPr>
      </w:pPr>
    </w:p>
    <w:p w14:paraId="0CA16421" w14:textId="77777777" w:rsidR="00C22B24" w:rsidRDefault="00C22B24" w:rsidP="00C6707F">
      <w:pPr>
        <w:pStyle w:val="Heading2"/>
      </w:pPr>
      <w:bookmarkStart w:id="186" w:name="_Toc364636084"/>
      <w:bookmarkStart w:id="187" w:name="_Toc518323261"/>
      <w:r w:rsidRPr="00136C14">
        <w:t>A.  The Reasonable Person</w:t>
      </w:r>
      <w:bookmarkEnd w:id="186"/>
      <w:bookmarkEnd w:id="187"/>
    </w:p>
    <w:p w14:paraId="268AF26C" w14:textId="77777777" w:rsidR="00C22B24" w:rsidRDefault="00C22B24" w:rsidP="00C22B24">
      <w:pPr>
        <w:rPr>
          <w:rFonts w:ascii="Times New Roman" w:hAnsi="Times New Roman" w:cs="Times New Roman"/>
          <w:b/>
          <w:bCs/>
        </w:rPr>
      </w:pPr>
    </w:p>
    <w:p w14:paraId="428611A5" w14:textId="77777777" w:rsidR="00041F6F" w:rsidRDefault="00041F6F" w:rsidP="00C22B24">
      <w:pPr>
        <w:rPr>
          <w:rFonts w:ascii="Times New Roman" w:hAnsi="Times New Roman" w:cs="Times New Roman"/>
          <w:b/>
          <w:bCs/>
        </w:rPr>
      </w:pPr>
    </w:p>
    <w:p w14:paraId="3B82E80F" w14:textId="756EE613" w:rsidR="00C22B24" w:rsidRDefault="00C22B24" w:rsidP="00322687">
      <w:pPr>
        <w:pStyle w:val="Heading3"/>
      </w:pPr>
      <w:bookmarkStart w:id="188" w:name="_Toc364636085"/>
      <w:bookmarkStart w:id="189" w:name="_Toc518323262"/>
      <w:r>
        <w:t>1.  Introduction</w:t>
      </w:r>
      <w:bookmarkEnd w:id="188"/>
      <w:bookmarkEnd w:id="189"/>
    </w:p>
    <w:p w14:paraId="45325466" w14:textId="77777777" w:rsidR="00FA714B" w:rsidRDefault="00FA714B" w:rsidP="00FA714B">
      <w:pPr>
        <w:rPr>
          <w:lang w:eastAsia="en-US"/>
        </w:rPr>
      </w:pPr>
    </w:p>
    <w:p w14:paraId="4EAE5E8C" w14:textId="3434D603" w:rsidR="00FA714B" w:rsidRPr="00FA714B" w:rsidRDefault="00FA714B" w:rsidP="750671CE">
      <w:pPr>
        <w:rPr>
          <w:rFonts w:ascii="Times New Roman" w:eastAsia="Times New Roman" w:hAnsi="Times New Roman" w:cs="Times New Roman"/>
          <w:lang w:eastAsia="en-US"/>
        </w:rPr>
      </w:pPr>
      <w:bookmarkStart w:id="190" w:name="_Toc518323263"/>
      <w:r w:rsidRPr="00FA714B">
        <w:rPr>
          <w:rStyle w:val="Heading4Char"/>
        </w:rPr>
        <w:t>Vaughn v. Menlove</w:t>
      </w:r>
      <w:bookmarkEnd w:id="190"/>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b/>
          <w:bCs/>
          <w:lang w:eastAsia="en-US"/>
        </w:rPr>
        <w:t>3 Bingham</w:t>
      </w:r>
      <w:r w:rsidR="00B05F31">
        <w:rPr>
          <w:rFonts w:ascii="Times New Roman" w:eastAsia="Times New Roman" w:hAnsi="Times New Roman" w:cs="Times New Roman"/>
          <w:b/>
          <w:bCs/>
          <w:lang w:eastAsia="en-US"/>
        </w:rPr>
        <w:t>’</w:t>
      </w:r>
      <w:r w:rsidRPr="750671CE">
        <w:rPr>
          <w:rFonts w:ascii="Times New Roman" w:eastAsia="Times New Roman" w:hAnsi="Times New Roman" w:cs="Times New Roman"/>
          <w:b/>
          <w:bCs/>
          <w:lang w:eastAsia="en-US"/>
        </w:rPr>
        <w:t>s New Cases 468 (Court of Common Pleas, 1837)</w:t>
      </w:r>
    </w:p>
    <w:bookmarkEnd w:id="185"/>
    <w:p w14:paraId="2579C52B" w14:textId="77777777" w:rsidR="00C22B24" w:rsidRPr="00920B12" w:rsidRDefault="00C22B24" w:rsidP="00C22B24">
      <w:pPr>
        <w:widowControl w:val="0"/>
        <w:autoSpaceDE w:val="0"/>
        <w:autoSpaceDN w:val="0"/>
        <w:adjustRightInd w:val="0"/>
        <w:rPr>
          <w:rFonts w:ascii="Times New Roman" w:hAnsi="Times New Roman" w:cs="Times New Roman"/>
        </w:rPr>
      </w:pPr>
    </w:p>
    <w:p w14:paraId="4B8DBAF7" w14:textId="7ADE3E02"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cottages; that the defendant, well knowing the premises, wrongfully and negligently kept and continued the rick in the aforesaid dangerous condition; that the rick did ignite, and that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cottages were burned by fire communicated from the rick . . . . </w:t>
      </w:r>
    </w:p>
    <w:p w14:paraId="174A865A" w14:textId="77777777" w:rsidR="00C22B24" w:rsidRPr="00920B12" w:rsidRDefault="00C22B24" w:rsidP="00C22B24">
      <w:pPr>
        <w:widowControl w:val="0"/>
        <w:autoSpaceDE w:val="0"/>
        <w:autoSpaceDN w:val="0"/>
        <w:adjustRightInd w:val="0"/>
        <w:rPr>
          <w:rFonts w:ascii="Times New Roman" w:hAnsi="Times New Roman" w:cs="Times New Roman"/>
        </w:rPr>
      </w:pPr>
    </w:p>
    <w:p w14:paraId="1F30AF45" w14:textId="3594948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Pr>
          <w:rFonts w:ascii="Times New Roman" w:eastAsia="Times New Roman" w:hAnsi="Times New Roman" w:cs="Times New Roman"/>
        </w:rPr>
        <w:t>“</w:t>
      </w:r>
      <w:r w:rsidRPr="750671CE">
        <w:rPr>
          <w:rFonts w:ascii="Times New Roman" w:eastAsia="Times New Roman" w:hAnsi="Times New Roman" w:cs="Times New Roman"/>
        </w:rPr>
        <w:t>he would chance 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 made an aperture or chimney through the rick; but in spite, or perhaps in consequence of this </w:t>
      </w:r>
      <w:r w:rsidRPr="750671CE">
        <w:rPr>
          <w:rFonts w:ascii="Times New Roman" w:eastAsia="Times New Roman" w:hAnsi="Times New Roman" w:cs="Times New Roman"/>
        </w:rPr>
        <w:lastRenderedPageBreak/>
        <w:t>precaution, the rick at length burst into flames from the spontaneous heating of its materials; the flames communicated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barn and stables, and thence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cottages, which were entirely destroyed. </w:t>
      </w:r>
    </w:p>
    <w:p w14:paraId="29C0B718" w14:textId="77777777" w:rsidR="00C22B24" w:rsidRPr="00920B12" w:rsidRDefault="00C22B24" w:rsidP="00C22B24">
      <w:pPr>
        <w:widowControl w:val="0"/>
        <w:autoSpaceDE w:val="0"/>
        <w:autoSpaceDN w:val="0"/>
        <w:adjustRightInd w:val="0"/>
        <w:rPr>
          <w:rFonts w:ascii="Times New Roman" w:hAnsi="Times New Roman" w:cs="Times New Roman"/>
        </w:rPr>
      </w:pPr>
    </w:p>
    <w:p w14:paraId="77DFEAB9" w14:textId="28A0FC6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00F94B7E">
        <w:rPr>
          <w:rFonts w:ascii="Times New Roman" w:eastAsia="Times New Roman" w:hAnsi="Times New Roman" w:cs="Times New Roman"/>
          <w:smallCaps/>
        </w:rPr>
        <w:t>Patteson, J.,</w:t>
      </w:r>
      <w:r w:rsidRPr="750671CE">
        <w:rPr>
          <w:rFonts w:ascii="Times New Roman" w:eastAsia="Times New Roman" w:hAnsi="Times New Roman" w:cs="Times New Roman"/>
        </w:rPr>
        <w:t xml:space="preserve">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920B12" w:rsidRDefault="00C22B24" w:rsidP="00C22B24">
      <w:pPr>
        <w:widowControl w:val="0"/>
        <w:autoSpaceDE w:val="0"/>
        <w:autoSpaceDN w:val="0"/>
        <w:adjustRightInd w:val="0"/>
        <w:rPr>
          <w:rFonts w:ascii="Times New Roman" w:hAnsi="Times New Roman" w:cs="Times New Roman"/>
        </w:rPr>
      </w:pPr>
    </w:p>
    <w:p w14:paraId="0916BB16" w14:textId="77777777" w:rsidR="00C22B24" w:rsidRPr="00920B12" w:rsidRDefault="00C22B24"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A verdict having been found for the plaintiff, a rule nisi for a new trial was obtained,</w:t>
      </w:r>
      <w:r w:rsidRPr="750671CE">
        <w:rPr>
          <w:rStyle w:val="FootnoteReference"/>
          <w:rFonts w:ascii="Times New Roman" w:eastAsia="Times New Roman" w:hAnsi="Times New Roman" w:cs="Times New Roman"/>
        </w:rPr>
        <w:footnoteReference w:customMarkFollows="1" w:id="3"/>
        <w:t>*</w:t>
      </w:r>
      <w:r w:rsidRPr="750671CE">
        <w:rPr>
          <w:rFonts w:ascii="Times New Roman" w:eastAsia="Times New Roman" w:hAnsi="Times New Roman" w:cs="Times New Roman"/>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920B12" w:rsidRDefault="00C22B24" w:rsidP="00C22B24">
      <w:pPr>
        <w:widowControl w:val="0"/>
        <w:autoSpaceDE w:val="0"/>
        <w:autoSpaceDN w:val="0"/>
        <w:adjustRightInd w:val="0"/>
        <w:rPr>
          <w:rFonts w:ascii="Times New Roman" w:hAnsi="Times New Roman" w:cs="Times New Roman"/>
        </w:rPr>
      </w:pPr>
    </w:p>
    <w:p w14:paraId="3DC4B961" w14:textId="4ED8B7D5"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Talfourd, Serjt., and Whately, showed cause [for the plaintiff]. . . . [T]here were no means of estimating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920B12" w:rsidRDefault="00C22B24" w:rsidP="00C22B24">
      <w:pPr>
        <w:widowControl w:val="0"/>
        <w:autoSpaceDE w:val="0"/>
        <w:autoSpaceDN w:val="0"/>
        <w:adjustRightInd w:val="0"/>
        <w:rPr>
          <w:rFonts w:ascii="Times New Roman" w:hAnsi="Times New Roman" w:cs="Times New Roman"/>
        </w:rPr>
      </w:pPr>
      <w:r w:rsidRPr="00920B12">
        <w:rPr>
          <w:rFonts w:ascii="Times New Roman" w:hAnsi="Times New Roman" w:cs="Times New Roman"/>
        </w:rPr>
        <w:t xml:space="preserve"> </w:t>
      </w:r>
    </w:p>
    <w:p w14:paraId="49CD1145"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00F94B7E">
        <w:rPr>
          <w:rFonts w:ascii="Times New Roman" w:eastAsia="Times New Roman" w:hAnsi="Times New Roman" w:cs="Times New Roman"/>
          <w:smallCaps/>
        </w:rPr>
        <w:t>R. V. Richards</w:t>
      </w:r>
      <w:r w:rsidRPr="750671CE">
        <w:rPr>
          <w:rFonts w:ascii="Times New Roman" w:eastAsia="Times New Roman" w:hAnsi="Times New Roman" w:cs="Times New Roman"/>
        </w:rPr>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920B12" w:rsidRDefault="00C22B24" w:rsidP="00C22B24">
      <w:pPr>
        <w:widowControl w:val="0"/>
        <w:autoSpaceDE w:val="0"/>
        <w:autoSpaceDN w:val="0"/>
        <w:adjustRightInd w:val="0"/>
        <w:rPr>
          <w:rFonts w:ascii="Times New Roman" w:hAnsi="Times New Roman" w:cs="Times New Roman"/>
        </w:rPr>
      </w:pPr>
    </w:p>
    <w:p w14:paraId="6C312918"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w:t>
      </w:r>
      <w:r w:rsidRPr="750671CE">
        <w:rPr>
          <w:rFonts w:ascii="Times New Roman" w:eastAsia="Times New Roman" w:hAnsi="Times New Roman" w:cs="Times New Roman"/>
          <w:smallCaps/>
        </w:rPr>
        <w:t>indal,</w:t>
      </w:r>
      <w:r w:rsidRPr="750671CE">
        <w:rPr>
          <w:rFonts w:ascii="Times New Roman" w:eastAsia="Times New Roman" w:hAnsi="Times New Roman" w:cs="Times New Roman"/>
        </w:rPr>
        <w:t xml:space="preserve"> C. J. I agree that this is a case </w:t>
      </w:r>
      <w:r w:rsidRPr="750671CE">
        <w:rPr>
          <w:rFonts w:ascii="Times New Roman" w:eastAsia="Times New Roman" w:hAnsi="Times New Roman" w:cs="Times New Roman"/>
          <w:i/>
          <w:iCs/>
        </w:rPr>
        <w:t>prime impressionis</w:t>
      </w:r>
      <w:r w:rsidRPr="750671CE">
        <w:rPr>
          <w:rFonts w:ascii="Times New Roman" w:eastAsia="Times New Roman" w:hAnsi="Times New Roman" w:cs="Times New Roman"/>
        </w:rPr>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920B12" w:rsidRDefault="00C22B24" w:rsidP="00C22B24">
      <w:pPr>
        <w:widowControl w:val="0"/>
        <w:autoSpaceDE w:val="0"/>
        <w:autoSpaceDN w:val="0"/>
        <w:adjustRightInd w:val="0"/>
        <w:rPr>
          <w:rFonts w:ascii="Times New Roman" w:hAnsi="Times New Roman" w:cs="Times New Roman"/>
        </w:rPr>
      </w:pPr>
    </w:p>
    <w:p w14:paraId="3AB1438D" w14:textId="4F063163"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920B12" w:rsidRDefault="00C22B24" w:rsidP="00C22B24">
      <w:pPr>
        <w:widowControl w:val="0"/>
        <w:autoSpaceDE w:val="0"/>
        <w:autoSpaceDN w:val="0"/>
        <w:adjustRightInd w:val="0"/>
        <w:rPr>
          <w:rFonts w:ascii="Times New Roman" w:hAnsi="Times New Roman" w:cs="Times New Roman"/>
        </w:rPr>
      </w:pPr>
    </w:p>
    <w:p w14:paraId="0EB82E6A" w14:textId="7E4C564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920B12" w:rsidRDefault="00C22B24" w:rsidP="00C22B24">
      <w:pPr>
        <w:widowControl w:val="0"/>
        <w:autoSpaceDE w:val="0"/>
        <w:autoSpaceDN w:val="0"/>
        <w:adjustRightInd w:val="0"/>
        <w:rPr>
          <w:rFonts w:ascii="Times New Roman" w:hAnsi="Times New Roman" w:cs="Times New Roman"/>
        </w:rPr>
      </w:pPr>
    </w:p>
    <w:p w14:paraId="0DE5CCFB" w14:textId="0741B06F"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Rule discharged.</w:t>
      </w:r>
    </w:p>
    <w:p w14:paraId="6FC19C9C" w14:textId="77777777" w:rsidR="00C51792" w:rsidRDefault="00C51792" w:rsidP="00C22B24">
      <w:pPr>
        <w:rPr>
          <w:rFonts w:ascii="Times New Roman" w:hAnsi="Times New Roman" w:cs="Times New Roman"/>
        </w:rPr>
      </w:pPr>
    </w:p>
    <w:p w14:paraId="1F777DD5" w14:textId="77777777" w:rsidR="00041F6F" w:rsidRDefault="00041F6F" w:rsidP="00C22B24">
      <w:pPr>
        <w:rPr>
          <w:rFonts w:ascii="Times New Roman" w:hAnsi="Times New Roman" w:cs="Times New Roman"/>
        </w:rPr>
      </w:pPr>
    </w:p>
    <w:p w14:paraId="43F56B9C" w14:textId="7AD24583" w:rsidR="00C22B24" w:rsidRPr="00F05DCE" w:rsidRDefault="00C51792" w:rsidP="750671CE">
      <w:pPr>
        <w:rPr>
          <w:rFonts w:ascii="Times New Roman" w:eastAsia="Times New Roman" w:hAnsi="Times New Roman" w:cs="Times New Roman"/>
          <w:b/>
          <w:bCs/>
        </w:rPr>
      </w:pPr>
      <w:bookmarkStart w:id="191" w:name="_Toc518323264"/>
      <w:r w:rsidRPr="00F94B7E">
        <w:rPr>
          <w:rStyle w:val="Heading4Char"/>
          <w:i w:val="0"/>
          <w:smallCaps/>
        </w:rPr>
        <w:t>Oliver Wendell Holmes, Jr., The Common Law</w:t>
      </w:r>
      <w:bookmarkEnd w:id="191"/>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107-09 (1881)</w:t>
      </w:r>
    </w:p>
    <w:p w14:paraId="33FB0010" w14:textId="77777777" w:rsidR="00C22B24" w:rsidRPr="00920B12" w:rsidRDefault="00C22B24" w:rsidP="00C22B24">
      <w:pPr>
        <w:rPr>
          <w:rFonts w:ascii="Times New Roman" w:hAnsi="Times New Roman" w:cs="Times New Roman"/>
        </w:rPr>
      </w:pPr>
    </w:p>
    <w:p w14:paraId="3F3E3C81" w14:textId="10329202" w:rsidR="00C22B24" w:rsidRPr="00920B12" w:rsidRDefault="00C22B24" w:rsidP="750671CE">
      <w:pPr>
        <w:pStyle w:val="NormalWeb"/>
        <w:tabs>
          <w:tab w:val="left" w:pos="720"/>
        </w:tabs>
        <w:spacing w:before="0" w:beforeAutospacing="0" w:after="0" w:afterAutospacing="0"/>
        <w:rPr>
          <w:rFonts w:ascii="Times New Roman" w:eastAsia="Times New Roman" w:hAnsi="Times New Roman"/>
          <w:sz w:val="24"/>
          <w:szCs w:val="24"/>
        </w:rPr>
      </w:pPr>
      <w:r>
        <w:rPr>
          <w:rFonts w:ascii="Times New Roman" w:hAnsi="Times New Roman"/>
          <w:sz w:val="24"/>
          <w:szCs w:val="24"/>
        </w:rPr>
        <w:tab/>
      </w:r>
      <w:r w:rsidRPr="750671CE">
        <w:rPr>
          <w:rFonts w:ascii="Times New Roman" w:eastAsia="Times New Roman" w:hAnsi="Times New Roman"/>
          <w:sz w:val="24"/>
          <w:szCs w:val="24"/>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Pr>
          <w:rFonts w:ascii="Times New Roman" w:eastAsia="Times New Roman" w:hAnsi="Times New Roman"/>
          <w:sz w:val="24"/>
          <w:szCs w:val="24"/>
        </w:rPr>
        <w:t>’</w:t>
      </w:r>
      <w:r w:rsidRPr="750671CE">
        <w:rPr>
          <w:rFonts w:ascii="Times New Roman" w:eastAsia="Times New Roman" w:hAnsi="Times New Roman"/>
          <w:sz w:val="24"/>
          <w:szCs w:val="24"/>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1BBE7297" w14:textId="5C17D2D9" w:rsidR="00C22B24" w:rsidRPr="00920B12" w:rsidRDefault="00C22B24" w:rsidP="750671CE">
      <w:pPr>
        <w:pStyle w:val="NormalWeb"/>
        <w:tabs>
          <w:tab w:val="left" w:pos="720"/>
        </w:tabs>
        <w:spacing w:before="0" w:beforeAutospacing="0" w:after="0" w:afterAutospacing="0"/>
        <w:ind w:firstLine="240"/>
        <w:rPr>
          <w:rFonts w:ascii="Times New Roman" w:eastAsia="Times New Roman" w:hAnsi="Times New Roman"/>
          <w:sz w:val="24"/>
          <w:szCs w:val="24"/>
        </w:rPr>
      </w:pPr>
      <w:r w:rsidRPr="750671CE">
        <w:rPr>
          <w:rFonts w:ascii="Times New Roman" w:eastAsia="Times New Roman" w:hAnsi="Times New Roman"/>
          <w:sz w:val="24"/>
          <w:szCs w:val="24"/>
        </w:rPr>
        <w:t xml:space="preserve"> </w:t>
      </w:r>
      <w:r w:rsidRPr="00920B12">
        <w:rPr>
          <w:rFonts w:ascii="Times New Roman" w:hAnsi="Times New Roman"/>
          <w:sz w:val="24"/>
          <w:szCs w:val="24"/>
        </w:rPr>
        <w:tab/>
      </w:r>
      <w:r w:rsidRPr="750671CE">
        <w:rPr>
          <w:rFonts w:ascii="Times New Roman" w:eastAsia="Times New Roman" w:hAnsi="Times New Roman"/>
          <w:sz w:val="24"/>
          <w:szCs w:val="24"/>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w:t>
      </w:r>
      <w:r w:rsidRPr="750671CE">
        <w:rPr>
          <w:rFonts w:ascii="Times New Roman" w:eastAsia="Times New Roman" w:hAnsi="Times New Roman"/>
          <w:sz w:val="24"/>
          <w:szCs w:val="24"/>
        </w:rPr>
        <w:lastRenderedPageBreak/>
        <w:t>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27BF218B" w14:textId="77777777" w:rsidR="00C22B24" w:rsidRPr="00920B12" w:rsidRDefault="00C22B24" w:rsidP="750671CE">
      <w:pPr>
        <w:pStyle w:val="NormalWeb"/>
        <w:tabs>
          <w:tab w:val="left" w:pos="720"/>
        </w:tabs>
        <w:spacing w:before="0" w:beforeAutospacing="0" w:after="0" w:afterAutospacing="0"/>
        <w:rPr>
          <w:rFonts w:ascii="Times New Roman" w:eastAsia="Times New Roman" w:hAnsi="Times New Roman"/>
          <w:sz w:val="24"/>
          <w:szCs w:val="24"/>
        </w:rPr>
      </w:pPr>
      <w:r w:rsidRPr="00920B12">
        <w:rPr>
          <w:rFonts w:ascii="Times New Roman" w:hAnsi="Times New Roman"/>
          <w:sz w:val="24"/>
          <w:szCs w:val="24"/>
        </w:rPr>
        <w:tab/>
      </w:r>
      <w:r w:rsidRPr="750671CE">
        <w:rPr>
          <w:rFonts w:ascii="Times New Roman" w:eastAsia="Times New Roman" w:hAnsi="Times New Roman"/>
          <w:sz w:val="24"/>
          <w:szCs w:val="24"/>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920B12" w:rsidRDefault="00C22B24" w:rsidP="00C22B24">
      <w:pPr>
        <w:pStyle w:val="NormalWeb"/>
        <w:tabs>
          <w:tab w:val="left" w:pos="720"/>
        </w:tabs>
        <w:spacing w:before="0" w:beforeAutospacing="0" w:after="0" w:afterAutospacing="0"/>
        <w:rPr>
          <w:rFonts w:ascii="Times New Roman" w:hAnsi="Times New Roman"/>
          <w:sz w:val="24"/>
          <w:szCs w:val="24"/>
        </w:rPr>
      </w:pPr>
    </w:p>
    <w:p w14:paraId="60FD48F0" w14:textId="77777777" w:rsidR="00C22B24" w:rsidRPr="00920B12" w:rsidRDefault="00C22B24" w:rsidP="750671CE">
      <w:pPr>
        <w:pStyle w:val="NormalWeb"/>
        <w:tabs>
          <w:tab w:val="left" w:pos="720"/>
        </w:tabs>
        <w:spacing w:before="0" w:beforeAutospacing="0" w:after="0" w:afterAutospacing="0"/>
        <w:rPr>
          <w:rFonts w:ascii="Times New Roman" w:eastAsia="Times New Roman" w:hAnsi="Times New Roman"/>
          <w:sz w:val="24"/>
          <w:szCs w:val="24"/>
        </w:rPr>
      </w:pPr>
      <w:r w:rsidRPr="00920B12">
        <w:rPr>
          <w:rFonts w:ascii="Times New Roman" w:hAnsi="Times New Roman"/>
          <w:sz w:val="24"/>
          <w:szCs w:val="24"/>
        </w:rPr>
        <w:tab/>
      </w:r>
      <w:r w:rsidRPr="750671CE">
        <w:rPr>
          <w:rFonts w:ascii="Times New Roman" w:eastAsia="Times New Roman" w:hAnsi="Times New Roman"/>
          <w:sz w:val="24"/>
          <w:szCs w:val="24"/>
        </w:rPr>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Default="00C22B24">
      <w:pPr>
        <w:pStyle w:val="NormalWeb"/>
        <w:tabs>
          <w:tab w:val="left" w:pos="720"/>
        </w:tabs>
        <w:spacing w:before="0" w:beforeAutospacing="0" w:after="0" w:afterAutospacing="0"/>
        <w:rPr>
          <w:rFonts w:ascii="Times New Roman" w:hAnsi="Times New Roman"/>
          <w:sz w:val="24"/>
          <w:szCs w:val="24"/>
        </w:rPr>
      </w:pPr>
    </w:p>
    <w:p w14:paraId="18035126" w14:textId="77777777" w:rsidR="00C22B24" w:rsidRPr="00920B12" w:rsidRDefault="00C22B24">
      <w:pPr>
        <w:pStyle w:val="NormalWeb"/>
        <w:tabs>
          <w:tab w:val="left" w:pos="720"/>
        </w:tabs>
        <w:spacing w:before="0" w:beforeAutospacing="0" w:after="0" w:afterAutospacing="0"/>
        <w:rPr>
          <w:rFonts w:ascii="Times New Roman" w:hAnsi="Times New Roman"/>
          <w:sz w:val="24"/>
          <w:szCs w:val="24"/>
        </w:rPr>
      </w:pPr>
    </w:p>
    <w:p w14:paraId="69BE53B8" w14:textId="2C9D317E" w:rsidR="00C22B24" w:rsidRDefault="00C22B24" w:rsidP="002502CC">
      <w:pPr>
        <w:pStyle w:val="Heading4"/>
      </w:pPr>
      <w:bookmarkStart w:id="192" w:name="_Toc364636086"/>
      <w:bookmarkStart w:id="193" w:name="_Toc518323265"/>
      <w:r w:rsidRPr="00920B12">
        <w:t>Notes</w:t>
      </w:r>
      <w:bookmarkEnd w:id="192"/>
      <w:bookmarkEnd w:id="193"/>
    </w:p>
    <w:p w14:paraId="6397F586" w14:textId="77777777" w:rsidR="00041F6F" w:rsidRDefault="00041F6F" w:rsidP="00F94B7E"/>
    <w:p w14:paraId="1FF14137" w14:textId="77777777" w:rsidR="00B67515" w:rsidRPr="002B28DF" w:rsidRDefault="00B67515" w:rsidP="00F94B7E"/>
    <w:p w14:paraId="459EB819" w14:textId="25806A58" w:rsidR="00C22B24" w:rsidRPr="00F94B7E" w:rsidRDefault="750671CE" w:rsidP="00F94B7E">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Vaughan v. Menlove</w:t>
      </w:r>
      <w:r w:rsidRPr="00F94B7E">
        <w:rPr>
          <w:rFonts w:ascii="Times New Roman" w:eastAsia="Times New Roman" w:hAnsi="Times New Roman" w:cs="Times New Roman"/>
        </w:rPr>
        <w:t xml:space="preserve"> and the Holmes excerpt above take up the question of which features, if any, particular to the party ought to be relevant to the evaluation of his conduct.  </w:t>
      </w:r>
      <w:r w:rsidRPr="00F94B7E">
        <w:rPr>
          <w:rFonts w:ascii="Times New Roman" w:eastAsia="Times New Roman" w:hAnsi="Times New Roman" w:cs="Times New Roman"/>
          <w:i/>
          <w:iCs/>
        </w:rPr>
        <w:t>Vaughan</w:t>
      </w:r>
      <w:r w:rsidRPr="00F94B7E">
        <w:rPr>
          <w:rFonts w:ascii="Times New Roman" w:eastAsia="Times New Roman" w:hAnsi="Times New Roman" w:cs="Times New Roman"/>
        </w:rPr>
        <w:t xml:space="preserve"> concludes that lack of ordinary intelligence is not an excuse for failing to live up to the standard of ordinary care.  It adopts what we call an objective approach to the reasonableness inquiry: we ask whether the defendant acted reasonably not on the basis of his subjective characteristics, but on the basis of an objective inquiry that abstracts away from the particular features of the defendant himself and asks whether his conduct was reasonable on the basis of a social standard external to him.   </w:t>
      </w:r>
    </w:p>
    <w:p w14:paraId="75097364" w14:textId="77777777" w:rsidR="00C22B24" w:rsidRDefault="00C22B24" w:rsidP="00C22B24">
      <w:pPr>
        <w:rPr>
          <w:rFonts w:ascii="Times New Roman" w:hAnsi="Times New Roman" w:cs="Times New Roman"/>
        </w:rPr>
      </w:pPr>
    </w:p>
    <w:p w14:paraId="069CBB24" w14:textId="77777777" w:rsidR="00C22B24" w:rsidRPr="00920B12" w:rsidRDefault="00C22B24" w:rsidP="00C22B24">
      <w:pPr>
        <w:rPr>
          <w:rFonts w:ascii="Times New Roman" w:hAnsi="Times New Roman" w:cs="Times New Roman"/>
        </w:rPr>
      </w:pPr>
    </w:p>
    <w:p w14:paraId="45C418A3" w14:textId="6383B5DE" w:rsidR="00C22B24" w:rsidRPr="00F94B7E" w:rsidRDefault="750671CE" w:rsidP="00F94B7E">
      <w:pPr>
        <w:pStyle w:val="ListParagraph"/>
        <w:numPr>
          <w:ilvl w:val="0"/>
          <w:numId w:val="83"/>
        </w:numPr>
        <w:ind w:left="0" w:firstLine="360"/>
        <w:rPr>
          <w:rFonts w:ascii="Times New Roman" w:eastAsia="Times New Roman" w:hAnsi="Times New Roman" w:cs="Times New Roman"/>
        </w:rPr>
      </w:pP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account of the reasonableness inquiry is more or less congruent with </w:t>
      </w:r>
      <w:r w:rsidRPr="00F94B7E">
        <w:rPr>
          <w:rFonts w:ascii="Times New Roman" w:eastAsia="Times New Roman" w:hAnsi="Times New Roman" w:cs="Times New Roman"/>
          <w:i/>
          <w:iCs/>
        </w:rPr>
        <w:t>Vaughan v. Menlove</w:t>
      </w:r>
      <w:r w:rsidRPr="00F94B7E">
        <w:rPr>
          <w:rFonts w:ascii="Times New Roman" w:eastAsia="Times New Roman" w:hAnsi="Times New Roman" w:cs="Times New Roman"/>
        </w:rPr>
        <w:t xml:space="preserve">, at least insofar as lack of intelligence goes.  But Holmes begins to introduce subjective considerations for certain characteristics such as blindness,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tender years,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certain forms (though not all forms) of insanity.  What explains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arguments in favor of taking certain characteristics into account but not others?  In what follows</w:t>
      </w:r>
      <w:r w:rsidR="00846C38">
        <w:rPr>
          <w:rFonts w:ascii="Times New Roman" w:eastAsia="Times New Roman" w:hAnsi="Times New Roman" w:cs="Times New Roman"/>
        </w:rPr>
        <w:t>,</w:t>
      </w:r>
      <w:r w:rsidRPr="00F94B7E">
        <w:rPr>
          <w:rFonts w:ascii="Times New Roman" w:eastAsia="Times New Roman" w:hAnsi="Times New Roman" w:cs="Times New Roman"/>
        </w:rPr>
        <w:t xml:space="preserve"> we will review the major controversies in this area of the law, beginning with the basic physical </w:t>
      </w:r>
      <w:r w:rsidR="00CD5325">
        <w:rPr>
          <w:rFonts w:ascii="Times New Roman" w:eastAsia="Times New Roman" w:hAnsi="Times New Roman" w:cs="Times New Roman"/>
        </w:rPr>
        <w:t>trait</w:t>
      </w:r>
      <w:r w:rsidRPr="00F94B7E">
        <w:rPr>
          <w:rFonts w:ascii="Times New Roman" w:eastAsia="Times New Roman" w:hAnsi="Times New Roman" w:cs="Times New Roman"/>
        </w:rPr>
        <w:t xml:space="preserve"> of blindness that Holmes introduced.  </w:t>
      </w:r>
    </w:p>
    <w:p w14:paraId="0EF206C6" w14:textId="77777777" w:rsidR="00C22B24" w:rsidRPr="00920B12" w:rsidRDefault="00C22B24" w:rsidP="00C22B24">
      <w:pPr>
        <w:rPr>
          <w:rFonts w:ascii="Times New Roman" w:hAnsi="Times New Roman" w:cs="Times New Roman"/>
        </w:rPr>
      </w:pPr>
    </w:p>
    <w:p w14:paraId="75FAA06F" w14:textId="77777777" w:rsidR="00C22B24" w:rsidRPr="00920B12" w:rsidRDefault="00C22B24" w:rsidP="00C22B24">
      <w:pPr>
        <w:rPr>
          <w:rFonts w:ascii="Times New Roman" w:hAnsi="Times New Roman" w:cs="Times New Roman"/>
        </w:rPr>
      </w:pPr>
    </w:p>
    <w:p w14:paraId="2AE9BF9B" w14:textId="239F9D51" w:rsidR="00C22B24" w:rsidRPr="00136C14" w:rsidRDefault="00C22B24" w:rsidP="00322687">
      <w:pPr>
        <w:pStyle w:val="Heading3"/>
      </w:pPr>
      <w:bookmarkStart w:id="194" w:name="_Toc364636087"/>
      <w:bookmarkStart w:id="195" w:name="_Toc255579855"/>
      <w:bookmarkStart w:id="196" w:name="_Toc518323266"/>
      <w:r>
        <w:t>2</w:t>
      </w:r>
      <w:r w:rsidRPr="00136C14">
        <w:t xml:space="preserve">.  Physical </w:t>
      </w:r>
      <w:r w:rsidR="0029559F">
        <w:t>Traits</w:t>
      </w:r>
      <w:bookmarkEnd w:id="194"/>
      <w:bookmarkEnd w:id="195"/>
      <w:bookmarkEnd w:id="196"/>
    </w:p>
    <w:p w14:paraId="64686BC2" w14:textId="77777777" w:rsidR="00C22B24" w:rsidRDefault="00C22B24" w:rsidP="00C22B24">
      <w:pPr>
        <w:rPr>
          <w:rFonts w:ascii="Times New Roman" w:hAnsi="Times New Roman" w:cs="Times New Roman"/>
          <w:b/>
          <w:u w:val="single"/>
        </w:rPr>
      </w:pPr>
    </w:p>
    <w:p w14:paraId="6273078F" w14:textId="0161C181" w:rsidR="00F05DCE" w:rsidRPr="00F05DCE" w:rsidRDefault="00F05DCE" w:rsidP="750671CE">
      <w:pPr>
        <w:rPr>
          <w:rFonts w:ascii="Times New Roman" w:eastAsia="Times New Roman" w:hAnsi="Times New Roman" w:cs="Times New Roman"/>
          <w:b/>
          <w:bCs/>
        </w:rPr>
      </w:pPr>
      <w:bookmarkStart w:id="197" w:name="_Toc518323267"/>
      <w:r w:rsidRPr="00F05DCE">
        <w:rPr>
          <w:rStyle w:val="Heading4Char"/>
        </w:rPr>
        <w:t>Smith v. Sneller</w:t>
      </w:r>
      <w:bookmarkEnd w:id="197"/>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26 A.2d 452 (Pa. 1942)</w:t>
      </w:r>
    </w:p>
    <w:p w14:paraId="71F5E511" w14:textId="77777777" w:rsidR="00F05DCE" w:rsidRPr="00F05DCE" w:rsidRDefault="00F05DCE" w:rsidP="00C22B24">
      <w:pPr>
        <w:rPr>
          <w:rFonts w:ascii="Times New Roman" w:hAnsi="Times New Roman" w:cs="Times New Roman"/>
        </w:rPr>
      </w:pPr>
    </w:p>
    <w:p w14:paraId="755C4853" w14:textId="77777777" w:rsidR="00C22B24" w:rsidRPr="00920B12" w:rsidRDefault="00C22B24" w:rsidP="00C22B24">
      <w:pPr>
        <w:rPr>
          <w:rFonts w:ascii="Times New Roman" w:hAnsi="Times New Roman" w:cs="Times New Roman"/>
        </w:rPr>
      </w:pPr>
    </w:p>
    <w:p w14:paraId="704FA085"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smallCaps/>
        </w:rPr>
        <w:t xml:space="preserve">Drew, J.   </w:t>
      </w:r>
      <w:r w:rsidRPr="750671CE">
        <w:rPr>
          <w:rFonts w:ascii="Times New Roman" w:eastAsia="Times New Roman" w:hAnsi="Times New Roman" w:cs="Times New Roman"/>
        </w:rPr>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920B12" w:rsidRDefault="00C22B24" w:rsidP="00C22B24">
      <w:pPr>
        <w:rPr>
          <w:rFonts w:ascii="Times New Roman" w:hAnsi="Times New Roman" w:cs="Times New Roman"/>
        </w:rPr>
      </w:pPr>
    </w:p>
    <w:p w14:paraId="2EAE717B"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920B12" w:rsidRDefault="00C22B24" w:rsidP="00C22B24">
      <w:pPr>
        <w:rPr>
          <w:rFonts w:ascii="Times New Roman" w:hAnsi="Times New Roman" w:cs="Times New Roman"/>
        </w:rPr>
      </w:pPr>
    </w:p>
    <w:p w14:paraId="593E6B1A"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He did not carry a cane and, because he was unable to see, did not have notice of the break in the pavement, the pile of earth on the sidewalk, nor the open trench in front of him.</w:t>
      </w:r>
    </w:p>
    <w:p w14:paraId="4A9FA255" w14:textId="77777777" w:rsidR="00C22B24" w:rsidRPr="00920B12" w:rsidRDefault="00C22B24" w:rsidP="00C22B24">
      <w:pPr>
        <w:rPr>
          <w:rFonts w:ascii="Times New Roman" w:hAnsi="Times New Roman" w:cs="Times New Roman"/>
        </w:rPr>
      </w:pPr>
    </w:p>
    <w:p w14:paraId="69236135" w14:textId="51887866"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Superior Court said further: </w:t>
      </w:r>
      <w:r w:rsidR="00B05F31">
        <w:rPr>
          <w:rFonts w:ascii="Times New Roman" w:eastAsia="Times New Roman" w:hAnsi="Times New Roman" w:cs="Times New Roman"/>
        </w:rPr>
        <w:t>“</w:t>
      </w:r>
      <w:r w:rsidRPr="750671CE">
        <w:rPr>
          <w:rFonts w:ascii="Times New Roman" w:eastAsia="Times New Roman" w:hAnsi="Times New Roman" w:cs="Times New Roman"/>
        </w:rPr>
        <w:t>Under somewhat similar circumstances, recovery was denied a blind plaintiff, who fell into an open cellarway extending into the sidewalk, in </w:t>
      </w:r>
      <w:r w:rsidRPr="750671CE">
        <w:rPr>
          <w:rFonts w:ascii="Times New Roman" w:eastAsia="Times New Roman" w:hAnsi="Times New Roman" w:cs="Times New Roman"/>
          <w:i/>
          <w:iCs/>
        </w:rPr>
        <w:t>Fraser v. Freeman</w:t>
      </w:r>
      <w:r w:rsidRPr="750671CE">
        <w:rPr>
          <w:rFonts w:ascii="Times New Roman" w:eastAsia="Times New Roman" w:hAnsi="Times New Roman" w:cs="Times New Roman"/>
        </w:rPr>
        <w:t xml:space="preserve">, 87 Pa. Superior Ct. 454, in which Judge Porter said: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w:t>
      </w:r>
      <w:r w:rsidRPr="750671CE">
        <w:rPr>
          <w:rFonts w:ascii="Times New Roman" w:eastAsia="Times New Roman" w:hAnsi="Times New Roman" w:cs="Times New Roman"/>
        </w:rPr>
        <w:lastRenderedPageBreak/>
        <w:t>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Pr>
          <w:rFonts w:ascii="Times New Roman" w:eastAsia="Times New Roman" w:hAnsi="Times New Roman" w:cs="Times New Roman"/>
        </w:rPr>
        <w:t>’”</w:t>
      </w:r>
    </w:p>
    <w:p w14:paraId="0D550F4A" w14:textId="77777777" w:rsidR="00C22B24" w:rsidRPr="00920B12" w:rsidRDefault="00C22B24" w:rsidP="00C22B24">
      <w:pPr>
        <w:ind w:firstLine="720"/>
        <w:rPr>
          <w:rFonts w:ascii="Times New Roman" w:hAnsi="Times New Roman" w:cs="Times New Roman"/>
        </w:rPr>
      </w:pPr>
    </w:p>
    <w:p w14:paraId="133845FA" w14:textId="472ED130"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cannot escape the conclusion of the Superior Court that the instant case is ruled by the </w:t>
      </w:r>
      <w:r w:rsidRPr="750671CE">
        <w:rPr>
          <w:rFonts w:ascii="Times New Roman" w:eastAsia="Times New Roman" w:hAnsi="Times New Roman" w:cs="Times New Roman"/>
          <w:i/>
          <w:iCs/>
        </w:rPr>
        <w:t>Fraser</w:t>
      </w:r>
      <w:r w:rsidRPr="750671CE">
        <w:rPr>
          <w:rFonts w:ascii="Times New Roman" w:eastAsia="Times New Roman" w:hAnsi="Times New Roman" w:cs="Times New Roman"/>
        </w:rPr>
        <w:t xml:space="preserve"> case. . . .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rPr>
          <w:rFonts w:ascii="Times New Roman" w:eastAsia="Times New Roman" w:hAnsi="Times New Roman" w:cs="Times New Roman"/>
        </w:rPr>
        <w:t>“</w:t>
      </w:r>
      <w:r w:rsidRPr="750671CE">
        <w:rPr>
          <w:rFonts w:ascii="Times New Roman" w:eastAsia="Times New Roman" w:hAnsi="Times New Roman" w:cs="Times New Roman"/>
        </w:rPr>
        <w:t>seeing-eye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920B12" w:rsidRDefault="00F05DCE" w:rsidP="00B16687">
      <w:pPr>
        <w:rPr>
          <w:rFonts w:ascii="Times New Roman" w:hAnsi="Times New Roman" w:cs="Times New Roman"/>
        </w:rPr>
      </w:pPr>
    </w:p>
    <w:p w14:paraId="70E15538" w14:textId="77777777" w:rsidR="00C22B24" w:rsidRDefault="00C22B24" w:rsidP="00C22B24">
      <w:pPr>
        <w:rPr>
          <w:rFonts w:ascii="Times New Roman" w:hAnsi="Times New Roman" w:cs="Times New Roman"/>
          <w:b/>
          <w:u w:val="single"/>
        </w:rPr>
      </w:pPr>
    </w:p>
    <w:p w14:paraId="6DEED0ED" w14:textId="7DD213D9" w:rsidR="00F05DCE" w:rsidRPr="00F05DCE" w:rsidRDefault="00F05DCE" w:rsidP="750671CE">
      <w:pPr>
        <w:rPr>
          <w:rFonts w:ascii="Times New Roman" w:eastAsia="Times New Roman" w:hAnsi="Times New Roman" w:cs="Times New Roman"/>
        </w:rPr>
      </w:pPr>
      <w:bookmarkStart w:id="198" w:name="_Toc518323268"/>
      <w:r w:rsidRPr="00F05DCE">
        <w:rPr>
          <w:rStyle w:val="Heading4Char"/>
        </w:rPr>
        <w:t>Davis v. Feinstein</w:t>
      </w:r>
      <w:bookmarkEnd w:id="198"/>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88 A.2d 695 (Pa. 1952)</w:t>
      </w:r>
    </w:p>
    <w:p w14:paraId="65AF2A3D" w14:textId="77777777" w:rsidR="00C22B24" w:rsidRPr="00920B12" w:rsidRDefault="00C22B24" w:rsidP="00C22B24">
      <w:pPr>
        <w:rPr>
          <w:rFonts w:ascii="Times New Roman" w:hAnsi="Times New Roman" w:cs="Times New Roman"/>
        </w:rPr>
      </w:pPr>
    </w:p>
    <w:p w14:paraId="0BF4616C" w14:textId="12C4C61B"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smallCaps/>
        </w:rPr>
        <w:t xml:space="preserve">Stearne, J.    </w:t>
      </w:r>
      <w:r w:rsidRPr="750671CE">
        <w:rPr>
          <w:rFonts w:ascii="Times New Roman" w:eastAsia="Times New Roman" w:hAnsi="Times New Roman" w:cs="Times New Roman"/>
        </w:rPr>
        <w:t>This is an appeal from judgment entered on a jury</w:t>
      </w:r>
      <w:r w:rsidR="00B05F31">
        <w:rPr>
          <w:rFonts w:ascii="Times New Roman" w:eastAsia="Times New Roman" w:hAnsi="Times New Roman" w:cs="Times New Roman"/>
        </w:rPr>
        <w:t>’</w:t>
      </w:r>
      <w:r w:rsidRPr="750671CE">
        <w:rPr>
          <w:rFonts w:ascii="Times New Roman" w:eastAsia="Times New Roman" w:hAnsi="Times New Roman" w:cs="Times New Roman"/>
        </w:rPr>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920B12" w:rsidRDefault="00C22B24" w:rsidP="00C22B24">
      <w:pPr>
        <w:rPr>
          <w:rFonts w:ascii="Times New Roman" w:hAnsi="Times New Roman" w:cs="Times New Roman"/>
        </w:rPr>
      </w:pPr>
    </w:p>
    <w:p w14:paraId="6A87481B"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hAnsi="Times New Roman"/>
          <w:sz w:val="24"/>
          <w:szCs w:val="24"/>
        </w:rPr>
      </w:pPr>
    </w:p>
    <w:p w14:paraId="34B3C545" w14:textId="77777777" w:rsidR="00C22B24"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Both sides agree with the statement of the learned court below that the controlling authority is </w:t>
      </w:r>
      <w:r w:rsidRPr="750671CE">
        <w:rPr>
          <w:rFonts w:ascii="Times New Roman" w:eastAsia="Times New Roman" w:hAnsi="Times New Roman"/>
          <w:i/>
          <w:iCs/>
          <w:sz w:val="24"/>
          <w:szCs w:val="24"/>
        </w:rPr>
        <w:t>Smith v. Sneller</w:t>
      </w:r>
      <w:r w:rsidRPr="750671CE">
        <w:rPr>
          <w:rFonts w:ascii="Times New Roman" w:eastAsia="Times New Roman" w:hAnsi="Times New Roman"/>
          <w:sz w:val="24"/>
          <w:szCs w:val="24"/>
        </w:rPr>
        <w:t xml:space="preserve">, 345 Pa. 68, 26 A. 2d 452. In that case the blind plaintiff employed no cane or other compensatory aid. . . . </w:t>
      </w:r>
    </w:p>
    <w:p w14:paraId="6FA3C546"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78D40D21" w14:textId="2B38DB9B" w:rsidR="00C22B24" w:rsidRPr="00920B12"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Even as a man with sight cannot say he did not observe that </w:t>
      </w:r>
      <w:r w:rsidRPr="750671CE">
        <w:rPr>
          <w:rFonts w:ascii="Times New Roman" w:eastAsia="Times New Roman" w:hAnsi="Times New Roman"/>
          <w:sz w:val="24"/>
          <w:szCs w:val="24"/>
        </w:rPr>
        <w:lastRenderedPageBreak/>
        <w:t>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Pr>
          <w:rFonts w:ascii="Times New Roman" w:eastAsia="Times New Roman" w:hAnsi="Times New Roman"/>
          <w:sz w:val="24"/>
          <w:szCs w:val="24"/>
        </w:rPr>
        <w:t>”</w:t>
      </w:r>
    </w:p>
    <w:p w14:paraId="7A08B12E" w14:textId="77777777" w:rsidR="00C22B24" w:rsidRPr="00920B12" w:rsidRDefault="00C22B24" w:rsidP="00C22B24">
      <w:pPr>
        <w:pStyle w:val="NormalWeb"/>
        <w:shd w:val="clear" w:color="auto" w:fill="FFFFFF"/>
        <w:tabs>
          <w:tab w:val="left" w:pos="1673"/>
        </w:tabs>
        <w:spacing w:before="0" w:beforeAutospacing="0" w:after="0" w:afterAutospacing="0"/>
        <w:textAlignment w:val="baseline"/>
        <w:rPr>
          <w:rFonts w:ascii="Times New Roman" w:hAnsi="Times New Roman"/>
          <w:sz w:val="24"/>
          <w:szCs w:val="24"/>
        </w:rPr>
      </w:pPr>
      <w:r w:rsidRPr="00920B12">
        <w:rPr>
          <w:rFonts w:ascii="Times New Roman" w:hAnsi="Times New Roman"/>
          <w:sz w:val="24"/>
          <w:szCs w:val="24"/>
        </w:rPr>
        <w:tab/>
      </w:r>
    </w:p>
    <w:p w14:paraId="3A823E34" w14:textId="7BE4C3D1" w:rsidR="00C22B24"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We did not so decide in </w:t>
      </w:r>
      <w:r w:rsidRPr="750671CE">
        <w:rPr>
          <w:rFonts w:ascii="Times New Roman" w:eastAsia="Times New Roman" w:hAnsi="Times New Roman"/>
          <w:i/>
          <w:iCs/>
          <w:sz w:val="24"/>
          <w:szCs w:val="24"/>
        </w:rPr>
        <w:t>Smith v. Sneller</w:t>
      </w:r>
      <w:r w:rsidRPr="750671CE">
        <w:rPr>
          <w:rFonts w:ascii="Times New Roman" w:eastAsia="Times New Roman" w:hAnsi="Times New Roman"/>
          <w:sz w:val="24"/>
          <w:szCs w:val="24"/>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Pr>
          <w:rFonts w:ascii="Times New Roman" w:eastAsia="Times New Roman" w:hAnsi="Times New Roman"/>
          <w:sz w:val="24"/>
          <w:szCs w:val="24"/>
        </w:rPr>
        <w:t>“</w:t>
      </w:r>
      <w:r w:rsidRPr="750671CE">
        <w:rPr>
          <w:rFonts w:ascii="Times New Roman" w:eastAsia="Times New Roman" w:hAnsi="Times New Roman"/>
          <w:sz w:val="24"/>
          <w:szCs w:val="24"/>
        </w:rPr>
        <w:t>Contributory negligence may be declared as a matter of law only when it is so clearly revealed that fair and reasonable persons cannot disagree as to its existence . . . .</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 </w:t>
      </w:r>
      <w:r w:rsidRPr="750671CE">
        <w:rPr>
          <w:rFonts w:ascii="Times New Roman" w:eastAsia="Times New Roman" w:hAnsi="Times New Roman"/>
          <w:i/>
          <w:iCs/>
          <w:sz w:val="24"/>
          <w:szCs w:val="24"/>
        </w:rPr>
        <w:t>Guca v. Pittsburgh Railways Company</w:t>
      </w:r>
      <w:r w:rsidRPr="750671CE">
        <w:rPr>
          <w:rFonts w:ascii="Times New Roman" w:eastAsia="Times New Roman" w:hAnsi="Times New Roman"/>
          <w:sz w:val="24"/>
          <w:szCs w:val="24"/>
        </w:rPr>
        <w:t>, 80 A. 2d 779.</w:t>
      </w:r>
    </w:p>
    <w:p w14:paraId="31991A8C"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599C358A" w14:textId="77777777" w:rsidR="00C22B24"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It was not unreasonable for the jury to have concluded that plaintiff exercised due care for his safety when he used his cane in the manner which he described. . . .</w:t>
      </w:r>
    </w:p>
    <w:p w14:paraId="58BED050"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2B4A7D75" w14:textId="77777777" w:rsidR="00C22B24" w:rsidRPr="00920B12" w:rsidRDefault="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Judgment affirmed.</w:t>
      </w:r>
    </w:p>
    <w:p w14:paraId="63BBB6A9" w14:textId="77777777" w:rsidR="00C22B24" w:rsidRDefault="00C22B24" w:rsidP="00041F6F">
      <w:pPr>
        <w:rPr>
          <w:rFonts w:ascii="Times New Roman" w:hAnsi="Times New Roman" w:cs="Times New Roman"/>
        </w:rPr>
      </w:pPr>
    </w:p>
    <w:p w14:paraId="2E7662C0" w14:textId="77777777" w:rsidR="00041F6F" w:rsidRPr="00920B12" w:rsidRDefault="00041F6F" w:rsidP="00041F6F">
      <w:pPr>
        <w:rPr>
          <w:rFonts w:ascii="Times New Roman" w:hAnsi="Times New Roman" w:cs="Times New Roman"/>
        </w:rPr>
      </w:pPr>
    </w:p>
    <w:p w14:paraId="335B6456" w14:textId="77777777" w:rsidR="00C22B24" w:rsidRPr="00814AAE" w:rsidRDefault="00C22B24" w:rsidP="002502CC">
      <w:pPr>
        <w:pStyle w:val="Heading4"/>
      </w:pPr>
      <w:bookmarkStart w:id="199" w:name="_Toc255579858"/>
      <w:bookmarkStart w:id="200" w:name="_Toc364636088"/>
      <w:bookmarkStart w:id="201" w:name="_Toc518323269"/>
      <w:r w:rsidRPr="00814AAE">
        <w:t>Note</w:t>
      </w:r>
      <w:bookmarkEnd w:id="199"/>
      <w:r>
        <w:t>s</w:t>
      </w:r>
      <w:bookmarkEnd w:id="200"/>
      <w:bookmarkEnd w:id="201"/>
    </w:p>
    <w:p w14:paraId="54250325" w14:textId="77777777" w:rsidR="00C22B24" w:rsidRDefault="00C22B24">
      <w:pPr>
        <w:rPr>
          <w:rFonts w:ascii="Times New Roman" w:hAnsi="Times New Roman" w:cs="Times New Roman"/>
          <w:b/>
          <w:u w:val="single"/>
        </w:rPr>
      </w:pPr>
    </w:p>
    <w:p w14:paraId="0EB7328D" w14:textId="77777777" w:rsidR="00041F6F" w:rsidRPr="00920B12" w:rsidRDefault="00041F6F" w:rsidP="00041F6F">
      <w:pPr>
        <w:rPr>
          <w:rFonts w:ascii="Times New Roman" w:hAnsi="Times New Roman" w:cs="Times New Roman"/>
          <w:b/>
          <w:u w:val="single"/>
        </w:rPr>
      </w:pPr>
    </w:p>
    <w:p w14:paraId="2AF67C5B" w14:textId="74ED5ECF" w:rsidR="00C22B24" w:rsidRPr="00F94B7E" w:rsidRDefault="750671CE" w:rsidP="00F94B7E">
      <w:pPr>
        <w:pStyle w:val="ListParagraph"/>
        <w:numPr>
          <w:ilvl w:val="0"/>
          <w:numId w:val="84"/>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Why take physical </w:t>
      </w:r>
      <w:r w:rsidR="0029559F" w:rsidRPr="00F94B7E">
        <w:rPr>
          <w:rFonts w:ascii="Times New Roman" w:eastAsia="Times New Roman" w:hAnsi="Times New Roman" w:cs="Times New Roman"/>
          <w:i/>
        </w:rPr>
        <w:t xml:space="preserve">traits </w:t>
      </w:r>
      <w:r w:rsidRPr="00F94B7E">
        <w:rPr>
          <w:rFonts w:ascii="Times New Roman" w:eastAsia="Times New Roman" w:hAnsi="Times New Roman" w:cs="Times New Roman"/>
          <w:i/>
        </w:rPr>
        <w:t>into account</w:t>
      </w:r>
      <w:r w:rsidR="001F4667" w:rsidRPr="00F94B7E">
        <w:rPr>
          <w:rFonts w:ascii="Times New Roman" w:eastAsia="Times New Roman" w:hAnsi="Times New Roman" w:cs="Times New Roman"/>
          <w:i/>
        </w:rPr>
        <w:t>?</w:t>
      </w:r>
      <w:r w:rsidR="001F4667">
        <w:rPr>
          <w:rFonts w:ascii="Times New Roman" w:eastAsia="Times New Roman" w:hAnsi="Times New Roman" w:cs="Times New Roman"/>
        </w:rPr>
        <w:t xml:space="preserve"> W</w:t>
      </w:r>
      <w:r w:rsidRPr="00F94B7E">
        <w:rPr>
          <w:rFonts w:ascii="Times New Roman" w:eastAsia="Times New Roman" w:hAnsi="Times New Roman" w:cs="Times New Roman"/>
        </w:rPr>
        <w:t>hy adopt a subjective approach to them</w:t>
      </w:r>
      <w:r w:rsidR="00002F2D" w:rsidRPr="00F94B7E">
        <w:rPr>
          <w:rFonts w:ascii="Times New Roman" w:eastAsia="Times New Roman" w:hAnsi="Times New Roman" w:cs="Times New Roman"/>
        </w:rPr>
        <w:t>—</w:t>
      </w:r>
      <w:r w:rsidRPr="00F94B7E">
        <w:rPr>
          <w:rFonts w:ascii="Times New Roman" w:eastAsia="Times New Roman" w:hAnsi="Times New Roman" w:cs="Times New Roman"/>
        </w:rPr>
        <w:t xml:space="preserve">where </w:t>
      </w:r>
      <w:r w:rsidRPr="00F94B7E">
        <w:rPr>
          <w:rFonts w:ascii="Times New Roman" w:eastAsia="Times New Roman" w:hAnsi="Times New Roman" w:cs="Times New Roman"/>
          <w:i/>
          <w:iCs/>
        </w:rPr>
        <w:t>Vaughan v. Menlove</w:t>
      </w:r>
      <w:r w:rsidRPr="00F94B7E">
        <w:rPr>
          <w:rFonts w:ascii="Times New Roman" w:eastAsia="Times New Roman" w:hAnsi="Times New Roman" w:cs="Times New Roman"/>
        </w:rPr>
        <w:t xml:space="preserve"> stands for an objective approach and the irrelevance of what Holmes called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infinite varieties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 human characteristics?  What, if anything, is different about blindness?  </w:t>
      </w:r>
    </w:p>
    <w:p w14:paraId="4D0D87B3" w14:textId="77777777" w:rsidR="00C22B24" w:rsidRDefault="00C22B24" w:rsidP="00C22B24">
      <w:pPr>
        <w:rPr>
          <w:rFonts w:ascii="Times New Roman" w:hAnsi="Times New Roman" w:cs="Times New Roman"/>
        </w:rPr>
      </w:pPr>
    </w:p>
    <w:p w14:paraId="1B1BB34C" w14:textId="77777777" w:rsidR="00C22B24" w:rsidRPr="00920B12" w:rsidRDefault="00C22B24" w:rsidP="00C22B24">
      <w:pPr>
        <w:rPr>
          <w:rFonts w:ascii="Times New Roman" w:hAnsi="Times New Roman" w:cs="Times New Roman"/>
        </w:rPr>
      </w:pPr>
    </w:p>
    <w:p w14:paraId="10BA3936" w14:textId="32187AAE" w:rsidR="00C22B24" w:rsidRPr="00F94B7E" w:rsidRDefault="750671CE" w:rsidP="00F94B7E">
      <w:pPr>
        <w:pStyle w:val="ListParagraph"/>
        <w:numPr>
          <w:ilvl w:val="0"/>
          <w:numId w:val="84"/>
        </w:numPr>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Would a </w:t>
      </w:r>
      <w:r w:rsidR="005B1656" w:rsidRPr="00F94B7E">
        <w:rPr>
          <w:rFonts w:ascii="Times New Roman" w:eastAsia="Times New Roman" w:hAnsi="Times New Roman" w:cs="Times New Roman"/>
        </w:rPr>
        <w:t xml:space="preserve">sighted </w:t>
      </w:r>
      <w:r w:rsidRPr="00F94B7E">
        <w:rPr>
          <w:rFonts w:ascii="Times New Roman" w:eastAsia="Times New Roman" w:hAnsi="Times New Roman" w:cs="Times New Roman"/>
        </w:rPr>
        <w:t>plaintiff have been contributorily negligent as a matter of law for failing to observe the open cellar door?</w:t>
      </w:r>
    </w:p>
    <w:p w14:paraId="533194D9" w14:textId="77777777" w:rsidR="00C22B24" w:rsidRDefault="00C22B24" w:rsidP="00C22B24">
      <w:pPr>
        <w:rPr>
          <w:rFonts w:ascii="Times New Roman" w:hAnsi="Times New Roman" w:cs="Times New Roman"/>
        </w:rPr>
      </w:pPr>
    </w:p>
    <w:p w14:paraId="30282692" w14:textId="77777777" w:rsidR="00C22B24" w:rsidRPr="00920B12" w:rsidRDefault="00C22B24" w:rsidP="00C22B24">
      <w:pPr>
        <w:rPr>
          <w:rFonts w:ascii="Times New Roman" w:hAnsi="Times New Roman" w:cs="Times New Roman"/>
        </w:rPr>
      </w:pPr>
    </w:p>
    <w:p w14:paraId="0F5C6B6F" w14:textId="2635FC23" w:rsidR="00C22B24" w:rsidRPr="00F94B7E" w:rsidRDefault="750671CE" w:rsidP="00F94B7E">
      <w:pPr>
        <w:pStyle w:val="ListParagraph"/>
        <w:numPr>
          <w:ilvl w:val="0"/>
          <w:numId w:val="84"/>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What about physical </w:t>
      </w:r>
      <w:r w:rsidR="00846C38" w:rsidRPr="00846C38">
        <w:rPr>
          <w:rFonts w:ascii="Times New Roman" w:eastAsia="Times New Roman" w:hAnsi="Times New Roman" w:cs="Times New Roman"/>
          <w:i/>
        </w:rPr>
        <w:t>t</w:t>
      </w:r>
      <w:r w:rsidR="00846C38" w:rsidRPr="00E30455">
        <w:rPr>
          <w:rFonts w:ascii="Times New Roman" w:eastAsia="Times New Roman" w:hAnsi="Times New Roman" w:cs="Times New Roman"/>
          <w:i/>
        </w:rPr>
        <w:t>raits</w:t>
      </w:r>
      <w:r w:rsidRPr="00F94B7E">
        <w:rPr>
          <w:rFonts w:ascii="Times New Roman" w:eastAsia="Times New Roman" w:hAnsi="Times New Roman" w:cs="Times New Roman"/>
          <w:i/>
        </w:rPr>
        <w:t xml:space="preserve"> that arise suddenly?</w:t>
      </w:r>
      <w:r w:rsidRPr="00F94B7E">
        <w:rPr>
          <w:rFonts w:ascii="Times New Roman" w:eastAsia="Times New Roman" w:hAnsi="Times New Roman" w:cs="Times New Roman"/>
        </w:rPr>
        <w:t xml:space="preserve"> See, for example, </w:t>
      </w:r>
      <w:r w:rsidRPr="00F94B7E">
        <w:rPr>
          <w:rFonts w:ascii="Times New Roman" w:eastAsia="Times New Roman" w:hAnsi="Times New Roman" w:cs="Times New Roman"/>
          <w:i/>
          <w:iCs/>
        </w:rPr>
        <w:t>Lehman v. Haynam</w:t>
      </w:r>
      <w:r w:rsidRPr="00F94B7E">
        <w:rPr>
          <w:rFonts w:ascii="Times New Roman" w:eastAsia="Times New Roman" w:hAnsi="Times New Roman" w:cs="Times New Roman"/>
        </w:rPr>
        <w:t>, 133 N.E.2d 97 (Ohio 1956), where the court ruled that 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sudden and unforeseeable unconsciousness would be relevant to the determination of whether he drove negligently when his car veered across the center line of a highway and struck the plaintiff.  The Ohio Supreme Court recently reaffirmed the </w:t>
      </w:r>
      <w:r w:rsidRPr="00F94B7E">
        <w:rPr>
          <w:rFonts w:ascii="Times New Roman" w:eastAsia="Times New Roman" w:hAnsi="Times New Roman" w:cs="Times New Roman"/>
          <w:i/>
          <w:iCs/>
        </w:rPr>
        <w:t>Lehman</w:t>
      </w:r>
      <w:r w:rsidRPr="00F94B7E">
        <w:rPr>
          <w:rFonts w:ascii="Times New Roman" w:eastAsia="Times New Roman" w:hAnsi="Times New Roman" w:cs="Times New Roman"/>
        </w:rPr>
        <w:t xml:space="preserve"> rule and noted that it is supported by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great weight of authority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common law jurisdictions.  </w:t>
      </w:r>
      <w:r w:rsidRPr="00F94B7E">
        <w:rPr>
          <w:rFonts w:ascii="Times New Roman" w:eastAsia="Times New Roman" w:hAnsi="Times New Roman" w:cs="Times New Roman"/>
          <w:i/>
          <w:iCs/>
        </w:rPr>
        <w:t>Roman v. Estate of Gobbo</w:t>
      </w:r>
      <w:r w:rsidRPr="00F94B7E">
        <w:rPr>
          <w:rFonts w:ascii="Times New Roman" w:eastAsia="Times New Roman" w:hAnsi="Times New Roman" w:cs="Times New Roman"/>
        </w:rPr>
        <w:t>, 791 N.E.2d 422, 427 (Ohio 2003).</w:t>
      </w:r>
    </w:p>
    <w:p w14:paraId="6792443C" w14:textId="77777777" w:rsidR="00C22B24" w:rsidRPr="00920B12" w:rsidRDefault="00C22B24" w:rsidP="00C22B24">
      <w:pPr>
        <w:rPr>
          <w:rFonts w:ascii="Times New Roman" w:eastAsia="Times New Roman" w:hAnsi="Times New Roman" w:cs="Times New Roman"/>
          <w:smallCaps/>
        </w:rPr>
      </w:pPr>
    </w:p>
    <w:p w14:paraId="71509380" w14:textId="472ACC4A" w:rsidR="00B16687" w:rsidRDefault="00B16687">
      <w:pPr>
        <w:rPr>
          <w:rFonts w:ascii="Times New Roman" w:hAnsi="Times New Roman" w:cs="Times New Roman"/>
        </w:rPr>
      </w:pPr>
      <w:r>
        <w:rPr>
          <w:rFonts w:ascii="Times New Roman" w:hAnsi="Times New Roman" w:cs="Times New Roman"/>
        </w:rPr>
        <w:br w:type="page"/>
      </w:r>
    </w:p>
    <w:p w14:paraId="3B37904F" w14:textId="77777777" w:rsidR="00C22B24" w:rsidRPr="00E3500C" w:rsidRDefault="00C22B24" w:rsidP="00322687">
      <w:pPr>
        <w:pStyle w:val="Heading3"/>
      </w:pPr>
      <w:bookmarkStart w:id="202" w:name="_Toc255579859"/>
      <w:bookmarkStart w:id="203" w:name="_Toc364636089"/>
      <w:bookmarkStart w:id="204" w:name="_Toc518323270"/>
      <w:r w:rsidRPr="004D0B12">
        <w:lastRenderedPageBreak/>
        <w:t>3.  Children</w:t>
      </w:r>
      <w:bookmarkEnd w:id="202"/>
      <w:bookmarkEnd w:id="203"/>
      <w:bookmarkEnd w:id="204"/>
    </w:p>
    <w:p w14:paraId="5DA7F573" w14:textId="77777777" w:rsidR="00C22B24" w:rsidRPr="00E30455" w:rsidRDefault="00C22B24" w:rsidP="00C22B24">
      <w:pPr>
        <w:rPr>
          <w:rFonts w:ascii="Times New Roman" w:hAnsi="Times New Roman" w:cs="Times New Roman"/>
          <w:b/>
          <w:u w:val="single"/>
        </w:rPr>
      </w:pPr>
    </w:p>
    <w:p w14:paraId="3DC59352" w14:textId="3AE63FBA" w:rsidR="00A76B62" w:rsidRPr="00B41D0B" w:rsidRDefault="00A76B62" w:rsidP="750671CE">
      <w:pPr>
        <w:rPr>
          <w:rFonts w:ascii="Times New Roman" w:eastAsia="Times New Roman" w:hAnsi="Times New Roman" w:cs="Times New Roman"/>
        </w:rPr>
      </w:pPr>
      <w:bookmarkStart w:id="205" w:name="_Toc518323271"/>
      <w:r w:rsidRPr="00744778">
        <w:rPr>
          <w:rStyle w:val="Heading4Char"/>
        </w:rPr>
        <w:t>Dellwo v. Pearson</w:t>
      </w:r>
      <w:bookmarkEnd w:id="205"/>
      <w:r w:rsidRPr="009D3DA7">
        <w:rPr>
          <w:rFonts w:ascii="Times New Roman" w:eastAsia="Times New Roman" w:hAnsi="Times New Roman" w:cs="Times New Roman"/>
        </w:rPr>
        <w:t xml:space="preserve">, </w:t>
      </w:r>
      <w:r w:rsidRPr="002A23B2">
        <w:rPr>
          <w:rFonts w:ascii="Times New Roman" w:eastAsia="Times New Roman" w:hAnsi="Times New Roman" w:cs="Times New Roman"/>
          <w:b/>
          <w:bCs/>
        </w:rPr>
        <w:t>107 N.W.2d 859 (Minn. 1961)</w:t>
      </w:r>
    </w:p>
    <w:p w14:paraId="5FB19677" w14:textId="77777777" w:rsidR="00A76B62" w:rsidRPr="00190B65" w:rsidRDefault="00A76B62" w:rsidP="00C22B24">
      <w:pPr>
        <w:rPr>
          <w:rFonts w:ascii="Times New Roman" w:hAnsi="Times New Roman" w:cs="Times New Roman"/>
        </w:rPr>
      </w:pPr>
    </w:p>
    <w:p w14:paraId="6C80B049" w14:textId="77777777" w:rsidR="00C22B24" w:rsidRPr="00B7582E" w:rsidRDefault="750671CE" w:rsidP="750671CE">
      <w:pPr>
        <w:ind w:right="1474"/>
        <w:rPr>
          <w:rFonts w:ascii="Times New Roman" w:eastAsia="Times New Roman" w:hAnsi="Times New Roman" w:cs="Times New Roman"/>
        </w:rPr>
      </w:pPr>
      <w:r w:rsidRPr="009418B2">
        <w:rPr>
          <w:rFonts w:ascii="Times New Roman" w:eastAsia="Times New Roman" w:hAnsi="Times New Roman" w:cs="Times New Roman"/>
        </w:rPr>
        <w:t>West Headnotes</w:t>
      </w:r>
    </w:p>
    <w:p w14:paraId="1FF7C2C1" w14:textId="77777777" w:rsidR="00C22B24" w:rsidRPr="00161E5A" w:rsidRDefault="00C22B24" w:rsidP="00C22B24">
      <w:pPr>
        <w:rPr>
          <w:rFonts w:ascii="Times New Roman" w:hAnsi="Times New Roman" w:cs="Times New Roman"/>
        </w:rPr>
      </w:pPr>
    </w:p>
    <w:p w14:paraId="7EF71EAE" w14:textId="001692F3" w:rsidR="00C22B24" w:rsidRPr="00E30455" w:rsidRDefault="750671CE" w:rsidP="750671CE">
      <w:pPr>
        <w:ind w:right="-34"/>
        <w:rPr>
          <w:rFonts w:ascii="Times New Roman" w:eastAsia="Times New Roman" w:hAnsi="Times New Roman" w:cs="Times New Roman"/>
        </w:rPr>
      </w:pPr>
      <w:r w:rsidRPr="00E30455">
        <w:rPr>
          <w:rFonts w:ascii="Times New Roman" w:eastAsia="Times New Roman" w:hAnsi="Times New Roman" w:cs="Times New Roman"/>
        </w:rPr>
        <w:t>. . .</w:t>
      </w:r>
    </w:p>
    <w:p w14:paraId="6960FEBB" w14:textId="77777777" w:rsidR="00C22B24" w:rsidRPr="00E30455" w:rsidRDefault="00C22B24" w:rsidP="00C22B24">
      <w:pPr>
        <w:rPr>
          <w:rFonts w:ascii="Times New Roman" w:hAnsi="Times New Roman" w:cs="Times New Roman"/>
        </w:rPr>
      </w:pPr>
    </w:p>
    <w:p w14:paraId="49194026" w14:textId="77777777" w:rsidR="00C22B24" w:rsidRPr="00E30455" w:rsidRDefault="750671CE" w:rsidP="750671CE">
      <w:pPr>
        <w:ind w:right="3099"/>
        <w:rPr>
          <w:rFonts w:ascii="Times New Roman" w:eastAsia="Times New Roman" w:hAnsi="Times New Roman" w:cs="Times New Roman"/>
        </w:rPr>
      </w:pPr>
      <w:r w:rsidRPr="00E30455">
        <w:rPr>
          <w:rFonts w:ascii="Times New Roman" w:eastAsia="Times New Roman" w:hAnsi="Times New Roman" w:cs="Times New Roman"/>
        </w:rPr>
        <w:t>[6] Infants k61</w:t>
      </w:r>
    </w:p>
    <w:p w14:paraId="68BEC114" w14:textId="77777777" w:rsidR="00C22B24" w:rsidRPr="00E30455" w:rsidRDefault="750671CE" w:rsidP="750671CE">
      <w:pPr>
        <w:ind w:right="3689"/>
        <w:rPr>
          <w:rFonts w:ascii="Times New Roman" w:eastAsia="Times New Roman" w:hAnsi="Times New Roman" w:cs="Times New Roman"/>
        </w:rPr>
      </w:pPr>
      <w:r w:rsidRPr="00E30455">
        <w:rPr>
          <w:rFonts w:ascii="Times New Roman" w:eastAsia="Times New Roman" w:hAnsi="Times New Roman" w:cs="Times New Roman"/>
        </w:rPr>
        <w:t>211k61</w:t>
      </w:r>
    </w:p>
    <w:p w14:paraId="7901FCD8" w14:textId="77777777" w:rsidR="00C22B24" w:rsidRPr="00E30455" w:rsidRDefault="00C22B24" w:rsidP="00C22B24">
      <w:pPr>
        <w:rPr>
          <w:rFonts w:ascii="Times New Roman" w:hAnsi="Times New Roman" w:cs="Times New Roman"/>
        </w:rPr>
      </w:pPr>
    </w:p>
    <w:p w14:paraId="5C4DEFD7" w14:textId="77777777" w:rsidR="00C22B24" w:rsidRPr="00E30455" w:rsidRDefault="750671CE" w:rsidP="750671CE">
      <w:pPr>
        <w:ind w:right="-30"/>
        <w:rPr>
          <w:rFonts w:ascii="Times New Roman" w:eastAsia="Times New Roman" w:hAnsi="Times New Roman" w:cs="Times New Roman"/>
        </w:rPr>
      </w:pPr>
      <w:r w:rsidRPr="00E30455">
        <w:rPr>
          <w:rFonts w:ascii="Times New Roman" w:eastAsia="Times New Roman" w:hAnsi="Times New Roman" w:cs="Times New Roman"/>
        </w:rPr>
        <w:t xml:space="preserve">In operation of automobile, airplane or powerboat, minor is to be held to same standard of care as adult. </w:t>
      </w:r>
    </w:p>
    <w:p w14:paraId="34F6F13C" w14:textId="77777777" w:rsidR="00C22B24" w:rsidRPr="00E30455" w:rsidRDefault="00C22B24" w:rsidP="00C22B24">
      <w:pPr>
        <w:ind w:right="-30"/>
        <w:rPr>
          <w:rFonts w:ascii="Times New Roman" w:hAnsi="Times New Roman" w:cs="Times New Roman"/>
        </w:rPr>
      </w:pPr>
    </w:p>
    <w:p w14:paraId="00915461" w14:textId="77777777" w:rsidR="00C22B24" w:rsidRPr="00E30455" w:rsidRDefault="750671CE" w:rsidP="750671CE">
      <w:pPr>
        <w:ind w:right="-30"/>
        <w:rPr>
          <w:rFonts w:ascii="Times New Roman" w:eastAsia="Times New Roman" w:hAnsi="Times New Roman" w:cs="Times New Roman"/>
        </w:rPr>
      </w:pPr>
      <w:r w:rsidRPr="00E30455">
        <w:rPr>
          <w:rFonts w:ascii="Times New Roman" w:eastAsia="Times New Roman" w:hAnsi="Times New Roman" w:cs="Times New Roman"/>
        </w:rPr>
        <w:t>Syllabus by the Court</w:t>
      </w:r>
    </w:p>
    <w:p w14:paraId="625ECEF3" w14:textId="77777777" w:rsidR="00C22B24" w:rsidRPr="00E30455" w:rsidRDefault="00C22B24" w:rsidP="00C22B24">
      <w:pPr>
        <w:rPr>
          <w:rFonts w:ascii="Times New Roman" w:hAnsi="Times New Roman" w:cs="Times New Roman"/>
        </w:rPr>
      </w:pPr>
    </w:p>
    <w:p w14:paraId="6A362594" w14:textId="7D102BA5" w:rsidR="00C22B24" w:rsidRPr="00E30455" w:rsidRDefault="750671CE" w:rsidP="750671CE">
      <w:pPr>
        <w:ind w:right="-31"/>
        <w:rPr>
          <w:rFonts w:ascii="Times New Roman" w:eastAsia="Times New Roman" w:hAnsi="Times New Roman" w:cs="Times New Roman"/>
        </w:rPr>
      </w:pPr>
      <w:r w:rsidRPr="00E30455">
        <w:rPr>
          <w:rFonts w:ascii="Times New Roman" w:eastAsia="Times New Roman" w:hAnsi="Times New Roman" w:cs="Times New Roman"/>
        </w:rPr>
        <w:t>. . .</w:t>
      </w:r>
    </w:p>
    <w:p w14:paraId="3A4C9A40" w14:textId="77777777" w:rsidR="00C22B24" w:rsidRPr="00E30455" w:rsidRDefault="00C22B24" w:rsidP="00C22B24">
      <w:pPr>
        <w:rPr>
          <w:rFonts w:ascii="Times New Roman" w:hAnsi="Times New Roman" w:cs="Times New Roman"/>
        </w:rPr>
      </w:pPr>
    </w:p>
    <w:p w14:paraId="7D0E667A" w14:textId="7067620F" w:rsidR="00C22B24" w:rsidRPr="00744778" w:rsidRDefault="750671CE" w:rsidP="00F94B7E">
      <w:pPr>
        <w:ind w:right="-31"/>
        <w:rPr>
          <w:rFonts w:ascii="Times New Roman" w:hAnsi="Times New Roman" w:cs="Times New Roman"/>
          <w:b/>
          <w:u w:val="single"/>
        </w:rPr>
      </w:pPr>
      <w:r w:rsidRPr="00E30455">
        <w:rPr>
          <w:rFonts w:ascii="Times New Roman" w:eastAsia="Times New Roman" w:hAnsi="Times New Roman" w:cs="Times New Roman"/>
        </w:rPr>
        <w:t>2. In the operation of an automobile, airplane, or powerboat, a minor is to be held to the same standard of care as an adult.</w:t>
      </w:r>
      <w:r w:rsidR="00C22B24" w:rsidRPr="00F94B7E">
        <w:rPr>
          <w:rFonts w:ascii="Times New Roman" w:hAnsi="Times New Roman" w:cs="Times New Roman"/>
        </w:rPr>
        <w:br/>
      </w:r>
    </w:p>
    <w:p w14:paraId="2C7E59AC" w14:textId="6E8B0BB9" w:rsidR="00C22B24" w:rsidRPr="00E30455" w:rsidRDefault="750671CE" w:rsidP="750671CE">
      <w:pPr>
        <w:ind w:right="81" w:firstLine="720"/>
        <w:rPr>
          <w:rFonts w:ascii="Times New Roman" w:eastAsia="Times New Roman" w:hAnsi="Times New Roman" w:cs="Times New Roman"/>
        </w:rPr>
      </w:pPr>
      <w:r w:rsidRPr="009D3DA7">
        <w:rPr>
          <w:rFonts w:ascii="Times New Roman" w:eastAsia="Times New Roman" w:hAnsi="Times New Roman" w:cs="Times New Roman"/>
          <w:smallCaps/>
        </w:rPr>
        <w:t xml:space="preserve">Loevinger, J.    </w:t>
      </w:r>
      <w:r w:rsidRPr="002A23B2">
        <w:rPr>
          <w:rFonts w:ascii="Times New Roman" w:eastAsia="Times New Roman" w:hAnsi="Times New Roman" w:cs="Times New Roman"/>
        </w:rPr>
        <w:t>This case arises out of a personal injury to Jeanet</w:t>
      </w:r>
      <w:r w:rsidRPr="00B41D0B">
        <w:rPr>
          <w:rFonts w:ascii="Times New Roman" w:eastAsia="Times New Roman" w:hAnsi="Times New Roman" w:cs="Times New Roman"/>
        </w:rPr>
        <w:t>te E. Dellwo, one of the plaintiffs. She and her husband, the other plaintiff, were fishing on one of Minnesota</w:t>
      </w:r>
      <w:r w:rsidR="00B05F31" w:rsidRPr="00190B65">
        <w:rPr>
          <w:rFonts w:ascii="Times New Roman" w:eastAsia="Times New Roman" w:hAnsi="Times New Roman" w:cs="Times New Roman"/>
        </w:rPr>
        <w:t>’</w:t>
      </w:r>
      <w:r w:rsidRPr="009418B2">
        <w:rPr>
          <w:rFonts w:ascii="Times New Roman" w:eastAsia="Times New Roman" w:hAnsi="Times New Roman" w:cs="Times New Roman"/>
        </w:rPr>
        <w:t>s numerous and beautiful lakes by trolling at a low speed with about 40 to 50 feet of line trailing behind the boat. Defendant, a 12-year-old bo</w:t>
      </w:r>
      <w:r w:rsidRPr="00B7582E">
        <w:rPr>
          <w:rFonts w:ascii="Times New Roman" w:eastAsia="Times New Roman" w:hAnsi="Times New Roman" w:cs="Times New Roman"/>
        </w:rPr>
        <w:t>y, operating a boat with an outboard motor, crossed behind plaintiffs</w:t>
      </w:r>
      <w:r w:rsidR="00B05F31" w:rsidRPr="00161E5A">
        <w:rPr>
          <w:rFonts w:ascii="Times New Roman" w:eastAsia="Times New Roman" w:hAnsi="Times New Roman" w:cs="Times New Roman"/>
        </w:rPr>
        <w:t>’</w:t>
      </w:r>
      <w:r w:rsidRPr="00E30455">
        <w:rPr>
          <w:rFonts w:ascii="Times New Roman" w:eastAsia="Times New Roman" w:hAnsi="Times New Roman" w:cs="Times New Roman"/>
        </w:rPr>
        <w:t xml:space="preserve">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w:t>
      </w:r>
      <w:r w:rsidR="00B05F31" w:rsidRPr="00E30455">
        <w:rPr>
          <w:rFonts w:ascii="Times New Roman" w:eastAsia="Times New Roman" w:hAnsi="Times New Roman" w:cs="Times New Roman"/>
        </w:rPr>
        <w:t>’</w:t>
      </w:r>
      <w:r w:rsidRPr="00E30455">
        <w:rPr>
          <w:rFonts w:ascii="Times New Roman" w:eastAsia="Times New Roman" w:hAnsi="Times New Roman" w:cs="Times New Roman"/>
        </w:rPr>
        <w:t>s glasses and injured her eye. Both parties then proceeded to a dock where inspection of defendant</w:t>
      </w:r>
      <w:r w:rsidR="00B05F31" w:rsidRPr="00E30455">
        <w:rPr>
          <w:rFonts w:ascii="Times New Roman" w:eastAsia="Times New Roman" w:hAnsi="Times New Roman" w:cs="Times New Roman"/>
        </w:rPr>
        <w:t>’</w:t>
      </w:r>
      <w:r w:rsidRPr="00E30455">
        <w:rPr>
          <w:rFonts w:ascii="Times New Roman" w:eastAsia="Times New Roman" w:hAnsi="Times New Roman" w:cs="Times New Roman"/>
        </w:rPr>
        <w:t>s motor disclosed 2 to 3 feet of fishing line wound about the propeller.</w:t>
      </w:r>
    </w:p>
    <w:p w14:paraId="0642DF00" w14:textId="77777777" w:rsidR="00C22B24" w:rsidRPr="00920B12" w:rsidRDefault="00C22B24" w:rsidP="00C22B24">
      <w:pPr>
        <w:rPr>
          <w:rFonts w:ascii="Times New Roman" w:hAnsi="Times New Roman" w:cs="Times New Roman"/>
        </w:rPr>
      </w:pPr>
    </w:p>
    <w:p w14:paraId="4E71A95D" w14:textId="77777777" w:rsidR="00C22B24" w:rsidRPr="00920B12" w:rsidRDefault="750671CE" w:rsidP="750671CE">
      <w:pPr>
        <w:ind w:right="84" w:firstLine="720"/>
        <w:rPr>
          <w:rFonts w:ascii="Times New Roman" w:eastAsia="Times New Roman" w:hAnsi="Times New Roman" w:cs="Times New Roman"/>
        </w:rPr>
      </w:pPr>
      <w:r w:rsidRPr="750671CE">
        <w:rPr>
          <w:rFonts w:ascii="Times New Roman" w:eastAsia="Times New Roman" w:hAnsi="Times New Roman" w:cs="Times New Roman"/>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920B12" w:rsidRDefault="00C22B24" w:rsidP="00C22B24">
      <w:pPr>
        <w:rPr>
          <w:rFonts w:ascii="Times New Roman" w:hAnsi="Times New Roman" w:cs="Times New Roman"/>
        </w:rPr>
      </w:pPr>
    </w:p>
    <w:p w14:paraId="05B881CD" w14:textId="77777777" w:rsidR="00C22B24" w:rsidRPr="00920B12" w:rsidRDefault="750671CE" w:rsidP="750671CE">
      <w:pPr>
        <w:ind w:right="87" w:firstLine="720"/>
        <w:rPr>
          <w:rFonts w:ascii="Times New Roman" w:eastAsia="Times New Roman" w:hAnsi="Times New Roman" w:cs="Times New Roman"/>
        </w:rPr>
      </w:pPr>
      <w:r w:rsidRPr="750671CE">
        <w:rPr>
          <w:rFonts w:ascii="Times New Roman" w:eastAsia="Times New Roman" w:hAnsi="Times New Roman" w:cs="Times New Roman"/>
        </w:rPr>
        <w:t>The jury returned a general verdict for defendant, and plaintiffs appeal. . . .</w:t>
      </w:r>
    </w:p>
    <w:p w14:paraId="125848A7" w14:textId="77777777" w:rsidR="00C22B24" w:rsidRPr="00920B12" w:rsidRDefault="00C22B24" w:rsidP="00C22B24">
      <w:pPr>
        <w:rPr>
          <w:rFonts w:ascii="Times New Roman" w:hAnsi="Times New Roman" w:cs="Times New Roman"/>
        </w:rPr>
      </w:pPr>
    </w:p>
    <w:p w14:paraId="5FE7E477" w14:textId="4929D083" w:rsidR="00C22B24" w:rsidRPr="00920B12" w:rsidRDefault="00C22B24" w:rsidP="750671CE">
      <w:pPr>
        <w:ind w:right="84" w:firstLine="720"/>
        <w:rPr>
          <w:rFonts w:ascii="Times New Roman" w:eastAsia="Times New Roman" w:hAnsi="Times New Roman" w:cs="Times New Roman"/>
        </w:rPr>
      </w:pPr>
      <w:r w:rsidRPr="750671CE">
        <w:rPr>
          <w:rFonts w:ascii="Times New Roman" w:eastAsia="Times New Roman" w:hAnsi="Times New Roman" w:cs="Times New Roman"/>
        </w:rPr>
        <w:t xml:space="preserve">There is no doubt that the instruction given substantially reflects the language of numerous decisions in this and other courts. </w:t>
      </w:r>
      <w:r w:rsidR="00F80BCE">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However, the great majority of these cases involve the issue of contributory negligence and the standard of care that may </w:t>
      </w:r>
      <w:r w:rsidRPr="750671CE">
        <w:rPr>
          <w:rFonts w:ascii="Times New Roman" w:eastAsia="Times New Roman" w:hAnsi="Times New Roman" w:cs="Times New Roman"/>
        </w:rPr>
        <w:lastRenderedPageBreak/>
        <w:t>properly be required of a child in protecting himself against some hazard.</w:t>
      </w:r>
      <w:r w:rsidRPr="750671CE">
        <w:rPr>
          <w:rStyle w:val="FootnoteReference"/>
          <w:rFonts w:ascii="Times New Roman" w:eastAsia="Times New Roman" w:hAnsi="Times New Roman" w:cs="Times New Roman"/>
        </w:rPr>
        <w:footnoteReference w:customMarkFollows="1" w:id="4"/>
        <w:t>11</w:t>
      </w:r>
      <w:r w:rsidRPr="750671CE">
        <w:rPr>
          <w:rFonts w:ascii="Times New Roman" w:eastAsia="Times New Roman" w:hAnsi="Times New Roman" w:cs="Times New Roman"/>
        </w:rPr>
        <w:t xml:space="preserve"> The standard of care stated is proper and appropriate for such situations.</w:t>
      </w:r>
    </w:p>
    <w:p w14:paraId="5E34931A" w14:textId="77777777" w:rsidR="00C22B24" w:rsidRPr="00920B12" w:rsidRDefault="00C22B24" w:rsidP="00C22B24">
      <w:pPr>
        <w:rPr>
          <w:rFonts w:ascii="Times New Roman" w:hAnsi="Times New Roman" w:cs="Times New Roman"/>
        </w:rPr>
      </w:pPr>
    </w:p>
    <w:p w14:paraId="21FC3F8A" w14:textId="466E2534" w:rsidR="00C22B24" w:rsidRPr="00920B12" w:rsidRDefault="00C22B24" w:rsidP="750671CE">
      <w:pPr>
        <w:ind w:right="-33" w:firstLine="720"/>
        <w:rPr>
          <w:rFonts w:ascii="Times New Roman" w:eastAsia="Times New Roman" w:hAnsi="Times New Roman" w:cs="Times New Roman"/>
        </w:rPr>
      </w:pPr>
      <w:r w:rsidRPr="750671CE">
        <w:rPr>
          <w:rFonts w:ascii="Times New Roman" w:eastAsia="Times New Roman" w:hAnsi="Times New Roman" w:cs="Times New Roman"/>
        </w:rPr>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rPr>
          <w:rFonts w:ascii="Times New Roman" w:eastAsia="Times New Roman" w:hAnsi="Times New Roman" w:cs="Times New Roman"/>
        </w:rPr>
        <w:t>. . .</w:t>
      </w:r>
      <w:r w:rsidRPr="750671CE">
        <w:rPr>
          <w:rFonts w:ascii="Times New Roman" w:eastAsia="Times New Roman" w:hAnsi="Times New Roman" w:cs="Times New Roman"/>
        </w:rPr>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750671CE">
        <w:rPr>
          <w:rStyle w:val="FootnoteReference"/>
          <w:rFonts w:ascii="Times New Roman" w:eastAsia="Times New Roman" w:hAnsi="Times New Roman" w:cs="Times New Roman"/>
        </w:rPr>
        <w:footnoteReference w:customMarkFollows="1" w:id="5"/>
        <w:t>13</w:t>
      </w:r>
    </w:p>
    <w:p w14:paraId="651E449B" w14:textId="77777777" w:rsidR="00C22B24" w:rsidRPr="00920B12" w:rsidRDefault="00C22B24" w:rsidP="00C22B24">
      <w:pPr>
        <w:rPr>
          <w:rFonts w:ascii="Times New Roman" w:hAnsi="Times New Roman" w:cs="Times New Roman"/>
        </w:rPr>
      </w:pPr>
    </w:p>
    <w:p w14:paraId="553AE658" w14:textId="3D16DE39" w:rsidR="00C22B24" w:rsidRPr="00920B12" w:rsidRDefault="750671CE" w:rsidP="750671CE">
      <w:pPr>
        <w:ind w:right="-34" w:firstLine="720"/>
        <w:rPr>
          <w:rFonts w:ascii="Times New Roman" w:eastAsia="Times New Roman" w:hAnsi="Times New Roman" w:cs="Times New Roman"/>
        </w:rPr>
      </w:pPr>
      <w:r w:rsidRPr="750671CE">
        <w:rPr>
          <w:rFonts w:ascii="Times New Roman" w:eastAsia="Times New Roman" w:hAnsi="Times New Roman" w:cs="Times New Roman"/>
        </w:rPr>
        <w:t>To give legal sanction to the operation of automobiles by teen-agers with less than ordinary care for the safety of others is impractical today, to say the least. We may take judicial notice of the hazards of automobile traffic, the frequency of accidents, the often</w:t>
      </w:r>
      <w:r w:rsidR="00F80B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w:t>
      </w:r>
      <w:r w:rsidR="00AD76FC">
        <w:rPr>
          <w:rFonts w:ascii="Times New Roman" w:eastAsia="Times New Roman" w:hAnsi="Times New Roman" w:cs="Times New Roman"/>
        </w:rPr>
        <w:t>. . .</w:t>
      </w:r>
      <w:r w:rsidRPr="750671CE">
        <w:rPr>
          <w:rFonts w:ascii="Times New Roman" w:eastAsia="Times New Roman" w:hAnsi="Times New Roman" w:cs="Times New Roman"/>
        </w:rPr>
        <w:t xml:space="preserve">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4FA3975C" w14:textId="77777777" w:rsidR="00C22B24" w:rsidRPr="00920B12" w:rsidRDefault="00C22B24" w:rsidP="00C22B24">
      <w:pPr>
        <w:rPr>
          <w:rFonts w:ascii="Times New Roman" w:hAnsi="Times New Roman" w:cs="Times New Roman"/>
        </w:rPr>
      </w:pPr>
    </w:p>
    <w:p w14:paraId="51F272A5" w14:textId="70003ECF" w:rsidR="00C22B24" w:rsidRPr="00920B12" w:rsidRDefault="00C22B24" w:rsidP="750671CE">
      <w:pPr>
        <w:ind w:right="-32" w:firstLine="620"/>
        <w:rPr>
          <w:rFonts w:ascii="Times New Roman" w:eastAsia="Times New Roman" w:hAnsi="Times New Roman" w:cs="Times New Roman"/>
        </w:rPr>
      </w:pPr>
      <w:r w:rsidRPr="750671CE">
        <w:rPr>
          <w:rFonts w:ascii="Times New Roman" w:eastAsia="Times New Roman" w:hAnsi="Times New Roman" w:cs="Times New Roman"/>
        </w:rPr>
        <w:t xml:space="preserve">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w:t>
      </w:r>
      <w:r w:rsidR="00B05F31">
        <w:rPr>
          <w:rFonts w:ascii="Times New Roman" w:eastAsia="Times New Roman" w:hAnsi="Times New Roman" w:cs="Times New Roman"/>
        </w:rPr>
        <w:t>“</w:t>
      </w:r>
      <w:r w:rsidRPr="750671CE">
        <w:rPr>
          <w:rFonts w:ascii="Times New Roman" w:eastAsia="Times New Roman" w:hAnsi="Times New Roman" w:cs="Times New Roman"/>
        </w:rPr>
        <w:t>in an activity which is normally undertaken only by adults, and for which adult qualifications are required.</w:t>
      </w:r>
      <w:r w:rsidR="00B05F31">
        <w:rPr>
          <w:rFonts w:ascii="Times New Roman" w:eastAsia="Times New Roman" w:hAnsi="Times New Roman" w:cs="Times New Roman"/>
        </w:rPr>
        <w:t>”</w:t>
      </w:r>
      <w:r w:rsidRPr="750671CE">
        <w:rPr>
          <w:rStyle w:val="FootnoteReference"/>
          <w:rFonts w:ascii="Times New Roman" w:eastAsia="Times New Roman" w:hAnsi="Times New Roman" w:cs="Times New Roman"/>
        </w:rPr>
        <w:footnoteReference w:customMarkFollows="1" w:id="6"/>
        <w:t>15</w:t>
      </w:r>
      <w:r w:rsidRPr="750671CE">
        <w:rPr>
          <w:rFonts w:ascii="Times New Roman" w:eastAsia="Times New Roman" w:hAnsi="Times New Roman" w:cs="Times New Roman"/>
        </w:rPr>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w:t>
      </w:r>
      <w:r w:rsidRPr="750671CE">
        <w:rPr>
          <w:rFonts w:ascii="Times New Roman" w:eastAsia="Times New Roman" w:hAnsi="Times New Roman" w:cs="Times New Roman"/>
        </w:rPr>
        <w:lastRenderedPageBreak/>
        <w:t>the operation of such vehicles, regardless of the age of the operator, appears to us to be required by the circumstances of contemporary life.</w:t>
      </w:r>
    </w:p>
    <w:p w14:paraId="5D25160E" w14:textId="77777777" w:rsidR="00C22B24" w:rsidRPr="00920B12" w:rsidRDefault="00C22B24">
      <w:pPr>
        <w:rPr>
          <w:rFonts w:ascii="Times New Roman" w:hAnsi="Times New Roman" w:cs="Times New Roman"/>
        </w:rPr>
      </w:pPr>
    </w:p>
    <w:p w14:paraId="72CC096C" w14:textId="77777777" w:rsidR="00C22B24" w:rsidRPr="00920B12" w:rsidRDefault="750671CE">
      <w:pPr>
        <w:ind w:left="50" w:right="1200" w:firstLine="570"/>
        <w:rPr>
          <w:rFonts w:ascii="Times New Roman" w:eastAsia="Times New Roman" w:hAnsi="Times New Roman" w:cs="Times New Roman"/>
        </w:rPr>
      </w:pPr>
      <w:r w:rsidRPr="750671CE">
        <w:rPr>
          <w:rFonts w:ascii="Times New Roman" w:eastAsia="Times New Roman" w:hAnsi="Times New Roman" w:cs="Times New Roman"/>
        </w:rPr>
        <w:t>Reversed and remanded for a new trial.</w:t>
      </w:r>
    </w:p>
    <w:p w14:paraId="18927B7C" w14:textId="77777777" w:rsidR="00C22B24" w:rsidRDefault="00C22B24" w:rsidP="00FB1320">
      <w:pPr>
        <w:rPr>
          <w:rFonts w:ascii="Times New Roman" w:hAnsi="Times New Roman" w:cs="Times New Roman"/>
        </w:rPr>
      </w:pPr>
    </w:p>
    <w:p w14:paraId="17EA4B30" w14:textId="77777777" w:rsidR="00FB1320" w:rsidRPr="00920B12" w:rsidRDefault="00FB1320" w:rsidP="00FB1320">
      <w:pPr>
        <w:rPr>
          <w:rFonts w:ascii="Times New Roman" w:hAnsi="Times New Roman" w:cs="Times New Roman"/>
        </w:rPr>
      </w:pPr>
    </w:p>
    <w:p w14:paraId="4697F247" w14:textId="77777777" w:rsidR="00C22B24" w:rsidRPr="00920B12" w:rsidRDefault="00C22B24" w:rsidP="002502CC">
      <w:pPr>
        <w:pStyle w:val="Heading4"/>
      </w:pPr>
      <w:bookmarkStart w:id="206" w:name="_Toc255579861"/>
      <w:bookmarkStart w:id="207" w:name="_Toc364636090"/>
      <w:bookmarkStart w:id="208" w:name="_Toc518323272"/>
      <w:r w:rsidRPr="00920B12">
        <w:t>Note</w:t>
      </w:r>
      <w:bookmarkEnd w:id="206"/>
      <w:r w:rsidRPr="00920B12">
        <w:t>s</w:t>
      </w:r>
      <w:bookmarkEnd w:id="207"/>
      <w:bookmarkEnd w:id="208"/>
    </w:p>
    <w:p w14:paraId="4E366A67" w14:textId="77777777" w:rsidR="00C22B24" w:rsidRDefault="00C22B24">
      <w:pPr>
        <w:rPr>
          <w:rFonts w:ascii="Times New Roman" w:hAnsi="Times New Roman" w:cs="Times New Roman"/>
          <w:b/>
          <w:u w:val="single"/>
        </w:rPr>
      </w:pPr>
    </w:p>
    <w:p w14:paraId="12533D78" w14:textId="77777777" w:rsidR="00FB1320" w:rsidRPr="00920B12" w:rsidRDefault="00FB1320" w:rsidP="00FB1320">
      <w:pPr>
        <w:rPr>
          <w:rFonts w:ascii="Times New Roman" w:hAnsi="Times New Roman" w:cs="Times New Roman"/>
          <w:b/>
          <w:u w:val="single"/>
        </w:rPr>
      </w:pPr>
    </w:p>
    <w:p w14:paraId="189CDEBE" w14:textId="0CA5E8A5" w:rsidR="00C22B24" w:rsidRPr="00F94B7E" w:rsidRDefault="750671CE" w:rsidP="00F94B7E">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headnote.</w:t>
      </w:r>
      <w:r w:rsidRPr="00F94B7E">
        <w:rPr>
          <w:rFonts w:ascii="Times New Roman" w:eastAsia="Times New Roman" w:hAnsi="Times New Roman" w:cs="Times New Roman"/>
        </w:rPr>
        <w:t xml:space="preserve">  What are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West Headnotes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with which the text above begins?  For that matter, what is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Syllabus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Are these statements of law?  Recall our discussion of holdings in the notes after </w:t>
      </w:r>
      <w:r w:rsidRPr="00F94B7E">
        <w:rPr>
          <w:rFonts w:ascii="Times New Roman" w:eastAsia="Times New Roman" w:hAnsi="Times New Roman" w:cs="Times New Roman"/>
          <w:i/>
          <w:iCs/>
        </w:rPr>
        <w:t>Brown v. Kendall</w:t>
      </w:r>
      <w:r w:rsidRPr="00F94B7E">
        <w:rPr>
          <w:rFonts w:ascii="Times New Roman" w:eastAsia="Times New Roman" w:hAnsi="Times New Roman" w:cs="Times New Roman"/>
        </w:rPr>
        <w:t xml:space="preserve"> in </w:t>
      </w:r>
      <w:r w:rsidR="00C21D6E">
        <w:rPr>
          <w:rFonts w:ascii="Times New Roman" w:eastAsia="Times New Roman" w:hAnsi="Times New Roman" w:cs="Times New Roman"/>
        </w:rPr>
        <w:t>Chapter 3</w:t>
      </w:r>
      <w:r w:rsidRPr="00F94B7E">
        <w:rPr>
          <w:rFonts w:ascii="Times New Roman" w:eastAsia="Times New Roman" w:hAnsi="Times New Roman" w:cs="Times New Roman"/>
        </w:rPr>
        <w:t xml:space="preserve">.  What is the holding of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w:t>
      </w:r>
    </w:p>
    <w:p w14:paraId="5519D306" w14:textId="77777777" w:rsidR="00C22B24" w:rsidRDefault="00C22B24" w:rsidP="00C22B24">
      <w:pPr>
        <w:rPr>
          <w:rFonts w:ascii="Times New Roman" w:hAnsi="Times New Roman" w:cs="Times New Roman"/>
        </w:rPr>
      </w:pPr>
    </w:p>
    <w:p w14:paraId="5AC16944" w14:textId="77777777" w:rsidR="00C22B24" w:rsidRPr="00920B12" w:rsidRDefault="00C22B24" w:rsidP="00C22B24">
      <w:pPr>
        <w:rPr>
          <w:rFonts w:ascii="Times New Roman" w:hAnsi="Times New Roman" w:cs="Times New Roman"/>
        </w:rPr>
      </w:pPr>
    </w:p>
    <w:p w14:paraId="48F0389C" w14:textId="08D33705" w:rsidR="00C22B24" w:rsidRPr="00F94B7E" w:rsidRDefault="750671CE" w:rsidP="00F94B7E">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What is a dangerous adult activity?</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Dellwo</w:t>
      </w:r>
      <w:r w:rsidRPr="00F94B7E">
        <w:rPr>
          <w:rFonts w:ascii="Times New Roman" w:eastAsia="Times New Roman" w:hAnsi="Times New Roman" w:cs="Times New Roman"/>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account is taken of their childhood.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10 </w:t>
      </w:r>
      <w:r w:rsidRPr="00F94B7E">
        <w:rPr>
          <w:rFonts w:ascii="Times New Roman" w:eastAsia="Times New Roman" w:hAnsi="Times New Roman" w:cs="Times New Roman"/>
        </w:rPr>
        <w:t>cmt. f (2010).</w:t>
      </w:r>
    </w:p>
    <w:p w14:paraId="42B88985" w14:textId="77777777" w:rsidR="00C22B24" w:rsidRPr="00920B12" w:rsidRDefault="00C22B24" w:rsidP="00C22B24">
      <w:pPr>
        <w:rPr>
          <w:rFonts w:ascii="Times New Roman" w:hAnsi="Times New Roman" w:cs="Times New Roman"/>
        </w:rPr>
      </w:pPr>
    </w:p>
    <w:p w14:paraId="3C808CC8"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question remains, however: what counts as a dangerous adult activity?  Courts have held that dangerous adult activities include operating a motor vehicle, </w:t>
      </w:r>
      <w:r w:rsidRPr="750671CE">
        <w:rPr>
          <w:rFonts w:ascii="Times New Roman" w:eastAsia="Times New Roman" w:hAnsi="Times New Roman" w:cs="Times New Roman"/>
          <w:i/>
          <w:iCs/>
        </w:rPr>
        <w:t>Harrelson v. Whitehead</w:t>
      </w:r>
      <w:r w:rsidRPr="750671CE">
        <w:rPr>
          <w:rFonts w:ascii="Times New Roman" w:eastAsia="Times New Roman" w:hAnsi="Times New Roman" w:cs="Times New Roman"/>
        </w:rPr>
        <w:t xml:space="preserve">, 365 S.W.2d 868 (Ark. 1963); operating farm equipment, </w:t>
      </w:r>
      <w:r w:rsidRPr="750671CE">
        <w:rPr>
          <w:rFonts w:ascii="Times New Roman" w:eastAsia="Times New Roman" w:hAnsi="Times New Roman" w:cs="Times New Roman"/>
          <w:i/>
          <w:iCs/>
        </w:rPr>
        <w:t>Jackson v. McCuiston,</w:t>
      </w:r>
      <w:r w:rsidRPr="750671CE">
        <w:rPr>
          <w:rFonts w:ascii="Times New Roman" w:eastAsia="Times New Roman" w:hAnsi="Times New Roman" w:cs="Times New Roman"/>
        </w:rPr>
        <w:t xml:space="preserve"> 448 S.W.2d 33 (Ark. 1969); operating a snowmobile, </w:t>
      </w:r>
      <w:r w:rsidRPr="750671CE">
        <w:rPr>
          <w:rFonts w:ascii="Times New Roman" w:eastAsia="Times New Roman" w:hAnsi="Times New Roman" w:cs="Times New Roman"/>
          <w:i/>
          <w:iCs/>
        </w:rPr>
        <w:t>Robinson v. Lindsay</w:t>
      </w:r>
      <w:r w:rsidRPr="750671CE">
        <w:rPr>
          <w:rFonts w:ascii="Times New Roman" w:eastAsia="Times New Roman" w:hAnsi="Times New Roman" w:cs="Times New Roman"/>
        </w:rPr>
        <w:t xml:space="preserve">, 598 P.2d 392 (Wash. 1979); and operating a minibike, </w:t>
      </w:r>
      <w:r w:rsidRPr="750671CE">
        <w:rPr>
          <w:rFonts w:ascii="Times New Roman" w:eastAsia="Times New Roman" w:hAnsi="Times New Roman" w:cs="Times New Roman"/>
          <w:i/>
          <w:iCs/>
        </w:rPr>
        <w:t>Frayer by Edenhofer v. Lovell,</w:t>
      </w:r>
      <w:r w:rsidRPr="750671CE">
        <w:rPr>
          <w:rFonts w:ascii="Times New Roman" w:eastAsia="Times New Roman" w:hAnsi="Times New Roman" w:cs="Times New Roman"/>
        </w:rPr>
        <w:t xml:space="preserve"> 529 N.W.2d 236 (Wis. Ct. App. 1995).</w:t>
      </w:r>
    </w:p>
    <w:p w14:paraId="2AA5A9DA" w14:textId="77777777" w:rsidR="00C22B24" w:rsidRPr="00920B12" w:rsidRDefault="00C22B24" w:rsidP="00C22B24">
      <w:pPr>
        <w:rPr>
          <w:rFonts w:ascii="Times New Roman" w:hAnsi="Times New Roman" w:cs="Times New Roman"/>
        </w:rPr>
      </w:pPr>
    </w:p>
    <w:p w14:paraId="3071D7D4" w14:textId="11866690" w:rsidR="00C22B24" w:rsidRPr="00920B12"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 xml:space="preserve">Firing a high-powered hunting rifle, however, is not a dangerous adult activity, at least not in Arkansas. </w:t>
      </w:r>
      <w:r w:rsidRPr="750671CE">
        <w:rPr>
          <w:rFonts w:ascii="Times New Roman" w:eastAsia="Times New Roman" w:hAnsi="Times New Roman" w:cs="Times New Roman"/>
          <w:i/>
          <w:iCs/>
        </w:rPr>
        <w:t>Purtle v. Shelton</w:t>
      </w:r>
      <w:r w:rsidRPr="750671CE">
        <w:rPr>
          <w:rFonts w:ascii="Times New Roman" w:eastAsia="Times New Roman" w:hAnsi="Times New Roman" w:cs="Times New Roman"/>
        </w:rPr>
        <w:t xml:space="preserve">, 474 S.W.2d 123 (Ark. 1971). Nor is skiing in New Jersey, </w:t>
      </w:r>
      <w:r w:rsidRPr="750671CE">
        <w:rPr>
          <w:rFonts w:ascii="Times New Roman" w:eastAsia="Times New Roman" w:hAnsi="Times New Roman" w:cs="Times New Roman"/>
          <w:i/>
          <w:iCs/>
        </w:rPr>
        <w:t xml:space="preserve">Goss v. Allen, </w:t>
      </w:r>
      <w:r w:rsidRPr="750671CE">
        <w:rPr>
          <w:rFonts w:ascii="Times New Roman" w:eastAsia="Times New Roman" w:hAnsi="Times New Roman" w:cs="Times New Roman"/>
        </w:rPr>
        <w:t>360 A.2d 388 (N.J. 1976)</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starting a campfire in Michigan, </w:t>
      </w:r>
      <w:r w:rsidRPr="750671CE">
        <w:rPr>
          <w:rFonts w:ascii="Times New Roman" w:eastAsia="Times New Roman" w:hAnsi="Times New Roman" w:cs="Times New Roman"/>
          <w:i/>
          <w:iCs/>
        </w:rPr>
        <w:t>Farm Bureau Ins. Group v. Phillips,</w:t>
      </w:r>
      <w:r w:rsidR="00075719" w:rsidRPr="750671CE">
        <w:rPr>
          <w:rFonts w:ascii="Times New Roman" w:eastAsia="Times New Roman" w:hAnsi="Times New Roman" w:cs="Times New Roman"/>
        </w:rPr>
        <w:t xml:space="preserve"> 323 N.W.2d 477 (Mich. </w:t>
      </w:r>
      <w:r w:rsidRPr="750671CE">
        <w:rPr>
          <w:rFonts w:ascii="Times New Roman" w:eastAsia="Times New Roman" w:hAnsi="Times New Roman" w:cs="Times New Roman"/>
        </w:rPr>
        <w:t>App. 1982)</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operating a golf cart in Oregon, </w:t>
      </w:r>
      <w:r w:rsidRPr="750671CE">
        <w:rPr>
          <w:rFonts w:ascii="Times New Roman" w:eastAsia="Times New Roman" w:hAnsi="Times New Roman" w:cs="Times New Roman"/>
          <w:i/>
          <w:iCs/>
        </w:rPr>
        <w:t>Hudson-Connor v. Putney</w:t>
      </w:r>
      <w:r w:rsidR="00075719" w:rsidRPr="750671CE">
        <w:rPr>
          <w:rFonts w:ascii="Times New Roman" w:eastAsia="Times New Roman" w:hAnsi="Times New Roman" w:cs="Times New Roman"/>
        </w:rPr>
        <w:t xml:space="preserve">, 86 P.3d 106 (Or. </w:t>
      </w:r>
      <w:r w:rsidRPr="750671CE">
        <w:rPr>
          <w:rFonts w:ascii="Times New Roman" w:eastAsia="Times New Roman" w:hAnsi="Times New Roman" w:cs="Times New Roman"/>
        </w:rPr>
        <w:t>App. 2004)</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or riding a bicyc</w:t>
      </w:r>
      <w:r w:rsidR="00075719" w:rsidRPr="750671CE">
        <w:rPr>
          <w:rFonts w:ascii="Times New Roman" w:eastAsia="Times New Roman" w:hAnsi="Times New Roman" w:cs="Times New Roman"/>
        </w:rPr>
        <w:t>le in Illinois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Conway v. Tamborini</w:t>
      </w:r>
      <w:r w:rsidR="00075719" w:rsidRPr="750671CE">
        <w:rPr>
          <w:rFonts w:ascii="Times New Roman" w:eastAsia="Times New Roman" w:hAnsi="Times New Roman" w:cs="Times New Roman"/>
        </w:rPr>
        <w:t xml:space="preserve">, 215 N.E.2d 303 (Ill. </w:t>
      </w:r>
      <w:r w:rsidRPr="750671CE">
        <w:rPr>
          <w:rFonts w:ascii="Times New Roman" w:eastAsia="Times New Roman" w:hAnsi="Times New Roman" w:cs="Times New Roman"/>
        </w:rPr>
        <w:t>App. 3d Dist. 1966)</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though Arizona courts disagree,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Barnes v. Tucson</w:t>
      </w:r>
      <w:r w:rsidR="00075719" w:rsidRPr="750671CE">
        <w:rPr>
          <w:rFonts w:ascii="Times New Roman" w:eastAsia="Times New Roman" w:hAnsi="Times New Roman" w:cs="Times New Roman"/>
        </w:rPr>
        <w:t xml:space="preserve">, 760 P.2d 566 (Ariz. </w:t>
      </w:r>
      <w:r w:rsidRPr="750671CE">
        <w:rPr>
          <w:rFonts w:ascii="Times New Roman" w:eastAsia="Times New Roman" w:hAnsi="Times New Roman" w:cs="Times New Roman"/>
        </w:rPr>
        <w:t xml:space="preserve">App. 1988). Firing an air rifle, </w:t>
      </w:r>
      <w:r w:rsidRPr="750671CE">
        <w:rPr>
          <w:rFonts w:ascii="Times New Roman" w:eastAsia="Times New Roman" w:hAnsi="Times New Roman" w:cs="Times New Roman"/>
          <w:i/>
          <w:iCs/>
        </w:rPr>
        <w:t>Swix v. Daisy Mfg. Co.</w:t>
      </w:r>
      <w:r w:rsidRPr="750671CE">
        <w:rPr>
          <w:rFonts w:ascii="Times New Roman" w:eastAsia="Times New Roman" w:hAnsi="Times New Roman" w:cs="Times New Roman"/>
        </w:rPr>
        <w:t xml:space="preserve">, 373 F.3d 678 (6th Cir. 2004), is not a dangerous adult activity. Nor is driving on private roads or property, </w:t>
      </w:r>
      <w:r w:rsidRPr="750671CE">
        <w:rPr>
          <w:rFonts w:ascii="Times New Roman" w:eastAsia="Times New Roman" w:hAnsi="Times New Roman" w:cs="Times New Roman"/>
          <w:i/>
          <w:iCs/>
        </w:rPr>
        <w:t>Ricketts v. Norfolk S. Ry.</w:t>
      </w:r>
      <w:r w:rsidRPr="750671CE">
        <w:rPr>
          <w:rFonts w:ascii="Times New Roman" w:eastAsia="Times New Roman" w:hAnsi="Times New Roman" w:cs="Times New Roman"/>
        </w:rPr>
        <w:t>, 686 So. 2d 1100 (Ala. 1996)</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firing a BB gun, </w:t>
      </w:r>
      <w:r w:rsidRPr="750671CE">
        <w:rPr>
          <w:rFonts w:ascii="Times New Roman" w:eastAsia="Times New Roman" w:hAnsi="Times New Roman" w:cs="Times New Roman"/>
          <w:i/>
          <w:iCs/>
        </w:rPr>
        <w:t>Huebner by Lane v. Koelfgren,</w:t>
      </w:r>
      <w:r w:rsidR="00075719" w:rsidRPr="750671CE">
        <w:rPr>
          <w:rFonts w:ascii="Times New Roman" w:eastAsia="Times New Roman" w:hAnsi="Times New Roman" w:cs="Times New Roman"/>
        </w:rPr>
        <w:t xml:space="preserve"> 519 N.W.2d 488 (Minn. </w:t>
      </w:r>
      <w:r w:rsidRPr="750671CE">
        <w:rPr>
          <w:rFonts w:ascii="Times New Roman" w:eastAsia="Times New Roman" w:hAnsi="Times New Roman" w:cs="Times New Roman"/>
        </w:rPr>
        <w:t>App. 1994)</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failing to yield the right of way, </w:t>
      </w:r>
      <w:r w:rsidRPr="750671CE">
        <w:rPr>
          <w:rFonts w:ascii="Times New Roman" w:eastAsia="Times New Roman" w:hAnsi="Times New Roman" w:cs="Times New Roman"/>
          <w:i/>
          <w:iCs/>
        </w:rPr>
        <w:t>Ruby v. Easton</w:t>
      </w:r>
      <w:r w:rsidRPr="750671CE">
        <w:rPr>
          <w:rFonts w:ascii="Times New Roman" w:eastAsia="Times New Roman" w:hAnsi="Times New Roman" w:cs="Times New Roman"/>
        </w:rPr>
        <w:t>, 207 N.W.2d 10 (Iowa 1973)</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firing a revolver, </w:t>
      </w:r>
      <w:r w:rsidRPr="750671CE">
        <w:rPr>
          <w:rFonts w:ascii="Times New Roman" w:eastAsia="Times New Roman" w:hAnsi="Times New Roman" w:cs="Times New Roman"/>
          <w:i/>
          <w:iCs/>
        </w:rPr>
        <w:t>LaBarge v. Stewart</w:t>
      </w:r>
      <w:r w:rsidR="00075719" w:rsidRPr="750671CE">
        <w:rPr>
          <w:rFonts w:ascii="Times New Roman" w:eastAsia="Times New Roman" w:hAnsi="Times New Roman" w:cs="Times New Roman"/>
        </w:rPr>
        <w:t>, 501 P.2d 666 (N.M.</w:t>
      </w:r>
      <w:r w:rsidRPr="750671CE">
        <w:rPr>
          <w:rFonts w:ascii="Times New Roman" w:eastAsia="Times New Roman" w:hAnsi="Times New Roman" w:cs="Times New Roman"/>
        </w:rPr>
        <w:t xml:space="preserve"> App. 1972)</w:t>
      </w:r>
      <w:r w:rsidR="00846C38">
        <w:rPr>
          <w:rFonts w:ascii="Times New Roman" w:eastAsia="Times New Roman" w:hAnsi="Times New Roman" w:cs="Times New Roman"/>
        </w:rPr>
        <w:t>;</w:t>
      </w:r>
      <w:r w:rsidRPr="750671CE">
        <w:rPr>
          <w:rFonts w:ascii="Times New Roman" w:eastAsia="Times New Roman" w:hAnsi="Times New Roman" w:cs="Times New Roman"/>
        </w:rPr>
        <w:t xml:space="preserve"> or playing softball, </w:t>
      </w:r>
      <w:r w:rsidRPr="750671CE">
        <w:rPr>
          <w:rFonts w:ascii="Times New Roman" w:eastAsia="Times New Roman" w:hAnsi="Times New Roman" w:cs="Times New Roman"/>
          <w:i/>
          <w:iCs/>
        </w:rPr>
        <w:t>Jones v. Cobb</w:t>
      </w:r>
      <w:r w:rsidR="00075719" w:rsidRPr="750671CE">
        <w:rPr>
          <w:rFonts w:ascii="Times New Roman" w:eastAsia="Times New Roman" w:hAnsi="Times New Roman" w:cs="Times New Roman"/>
        </w:rPr>
        <w:t xml:space="preserve">, 834 So. 2d 13 (La. </w:t>
      </w:r>
      <w:r w:rsidRPr="750671CE">
        <w:rPr>
          <w:rFonts w:ascii="Times New Roman" w:eastAsia="Times New Roman" w:hAnsi="Times New Roman" w:cs="Times New Roman"/>
        </w:rPr>
        <w:t xml:space="preserve">App. 2d Cir. 2002). Golfing is not a dangerous adult activity in North Dakota, </w:t>
      </w:r>
      <w:r w:rsidRPr="750671CE">
        <w:rPr>
          <w:rFonts w:ascii="Times New Roman" w:eastAsia="Times New Roman" w:hAnsi="Times New Roman" w:cs="Times New Roman"/>
          <w:i/>
          <w:iCs/>
        </w:rPr>
        <w:t>Kirchoffner v. Quam</w:t>
      </w:r>
      <w:r w:rsidRPr="750671CE">
        <w:rPr>
          <w:rFonts w:ascii="Times New Roman" w:eastAsia="Times New Roman" w:hAnsi="Times New Roman" w:cs="Times New Roman"/>
        </w:rPr>
        <w:t xml:space="preserve">, 264 N.W.2d 203 (N.D. 1978), but it is in New York, </w:t>
      </w:r>
      <w:r w:rsidRPr="750671CE">
        <w:rPr>
          <w:rFonts w:ascii="Times New Roman" w:eastAsia="Times New Roman" w:hAnsi="Times New Roman" w:cs="Times New Roman"/>
          <w:i/>
          <w:iCs/>
        </w:rPr>
        <w:t>Neumann v. Shlansky</w:t>
      </w:r>
      <w:r w:rsidRPr="750671CE">
        <w:rPr>
          <w:rFonts w:ascii="Times New Roman" w:eastAsia="Times New Roman" w:hAnsi="Times New Roman" w:cs="Times New Roman"/>
        </w:rPr>
        <w:t xml:space="preserve">, 312 N.Y.S.2d 951 (Sup. Ct. 1970). </w:t>
      </w:r>
    </w:p>
    <w:p w14:paraId="1A71AC5F" w14:textId="77777777" w:rsidR="00C22B24" w:rsidRDefault="00C22B24" w:rsidP="00C22B24">
      <w:pPr>
        <w:rPr>
          <w:rFonts w:ascii="Times New Roman" w:hAnsi="Times New Roman" w:cs="Times New Roman"/>
        </w:rPr>
      </w:pPr>
    </w:p>
    <w:p w14:paraId="15EE6F83" w14:textId="77777777" w:rsidR="00C22B24" w:rsidRPr="00920B12" w:rsidRDefault="00C22B24" w:rsidP="00C22B24">
      <w:pPr>
        <w:rPr>
          <w:rFonts w:ascii="Times New Roman" w:hAnsi="Times New Roman" w:cs="Times New Roman"/>
        </w:rPr>
      </w:pPr>
    </w:p>
    <w:p w14:paraId="7738B480" w14:textId="2EE4AD72" w:rsidR="00C22B24" w:rsidRPr="00F94B7E" w:rsidRDefault="00C22B24" w:rsidP="00F94B7E">
      <w:pPr>
        <w:pStyle w:val="ListParagraph"/>
        <w:numPr>
          <w:ilvl w:val="0"/>
          <w:numId w:val="85"/>
        </w:numPr>
        <w:ind w:left="0" w:firstLine="360"/>
        <w:rPr>
          <w:rFonts w:ascii="Times New Roman" w:eastAsia="Times New Roman" w:hAnsi="Times New Roman" w:cs="Times New Roman"/>
        </w:rPr>
      </w:pPr>
      <w:bookmarkStart w:id="209" w:name="_Toc255579862"/>
      <w:r w:rsidRPr="00F94B7E">
        <w:rPr>
          <w:rFonts w:ascii="Times New Roman" w:eastAsia="Times New Roman" w:hAnsi="Times New Roman" w:cs="Times New Roman"/>
          <w:i/>
          <w:iCs/>
        </w:rPr>
        <w:t>Beginners</w:t>
      </w:r>
      <w:bookmarkEnd w:id="209"/>
      <w:r w:rsidRPr="00F94B7E">
        <w:rPr>
          <w:rFonts w:ascii="Times New Roman" w:eastAsia="Times New Roman" w:hAnsi="Times New Roman" w:cs="Times New Roman"/>
        </w:rPr>
        <w:t>.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lack of expertise in determining whether he exercised reasonable care.  See, </w:t>
      </w:r>
      <w:r w:rsidR="00AB0F0C" w:rsidRPr="00F94B7E">
        <w:rPr>
          <w:rFonts w:ascii="Times New Roman" w:eastAsia="Times New Roman" w:hAnsi="Times New Roman" w:cs="Times New Roman"/>
        </w:rPr>
        <w:t>for example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Stevens v. Veenstra</w:t>
      </w:r>
      <w:r w:rsidRPr="00F94B7E">
        <w:rPr>
          <w:rFonts w:ascii="Times New Roman" w:eastAsia="Times New Roman" w:hAnsi="Times New Roman" w:cs="Times New Roman"/>
        </w:rPr>
        <w:t>, 573 N.W.2d 341 (Mich. App. 1997), in which the Michigan Court of Appeals held that an unlicensed driver in a drivers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education course had to conform to the same standard of care required of licensed drivers. </w:t>
      </w:r>
    </w:p>
    <w:p w14:paraId="55719061" w14:textId="77777777" w:rsidR="00C22B24" w:rsidRPr="00920B12" w:rsidRDefault="00C22B24" w:rsidP="00C22B24">
      <w:pPr>
        <w:rPr>
          <w:rFonts w:ascii="Times New Roman" w:hAnsi="Times New Roman" w:cs="Times New Roman"/>
        </w:rPr>
      </w:pPr>
    </w:p>
    <w:p w14:paraId="6314CD97" w14:textId="15DEC0FD" w:rsidR="00C22B24" w:rsidRPr="00920B12" w:rsidRDefault="750671CE" w:rsidP="00F94B7E">
      <w:pPr>
        <w:ind w:firstLine="720"/>
      </w:pPr>
      <w:r w:rsidRPr="750671CE">
        <w:rPr>
          <w:rFonts w:ascii="Times New Roman" w:eastAsia="Times New Roman" w:hAnsi="Times New Roman" w:cs="Times New Roman"/>
        </w:rPr>
        <w:t>A beginner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inexperience may be relevant to the standard of care owed to people with whom the beginner is in a preexisting relationship that gives notice of the relevant inexperience.  The classic example is the case of the driving instructor injured while his student is at the wheel.  </w:t>
      </w:r>
      <w:r w:rsidRPr="750671CE">
        <w:rPr>
          <w:rFonts w:ascii="Times New Roman" w:eastAsia="Times New Roman" w:hAnsi="Times New Roman" w:cs="Times New Roman"/>
          <w:i/>
          <w:iCs/>
        </w:rPr>
        <w:t>See</w:t>
      </w:r>
      <w:r w:rsidRPr="750671CE">
        <w:rPr>
          <w:rFonts w:ascii="Times New Roman" w:eastAsia="Times New Roman" w:hAnsi="Times New Roman" w:cs="Times New Roman"/>
          <w:i/>
          <w:iCs/>
          <w:smallCaps/>
        </w:rPr>
        <w:t xml:space="preserve"> </w:t>
      </w:r>
      <w:r w:rsidRPr="750671CE">
        <w:rPr>
          <w:rFonts w:ascii="Times New Roman" w:eastAsia="Times New Roman" w:hAnsi="Times New Roman" w:cs="Times New Roman"/>
          <w:smallCaps/>
        </w:rPr>
        <w:t xml:space="preserve">Restatement (Third) of Torts: Phys. &amp; Emot. Harm § 12 </w:t>
      </w:r>
      <w:r w:rsidRPr="750671CE">
        <w:rPr>
          <w:rFonts w:ascii="Times New Roman" w:eastAsia="Times New Roman" w:hAnsi="Times New Roman" w:cs="Times New Roman"/>
        </w:rPr>
        <w:t>cmt. b (2010) (concluding that a defendant driving student</w:t>
      </w:r>
      <w:r w:rsidR="00B05F31">
        <w:rPr>
          <w:rFonts w:ascii="Times New Roman" w:eastAsia="Times New Roman" w:hAnsi="Times New Roman" w:cs="Times New Roman"/>
        </w:rPr>
        <w:t>’</w:t>
      </w:r>
      <w:r w:rsidRPr="750671CE">
        <w:rPr>
          <w:rFonts w:ascii="Times New Roman" w:eastAsia="Times New Roman" w:hAnsi="Times New Roman" w:cs="Times New Roman"/>
        </w:rPr>
        <w:t>s inexperience should be taken into account in considering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negligence in a case brought by the instructor).  The same approach applies in the instance of flight instruction.  </w:t>
      </w:r>
      <w:r w:rsidRPr="750671CE">
        <w:rPr>
          <w:rFonts w:ascii="Times New Roman" w:eastAsia="Times New Roman" w:hAnsi="Times New Roman" w:cs="Times New Roman"/>
          <w:i/>
          <w:iCs/>
        </w:rPr>
        <w:t>See Vee Bar Airport v. De Vries</w:t>
      </w:r>
      <w:r w:rsidRPr="750671CE">
        <w:rPr>
          <w:rFonts w:ascii="Times New Roman" w:eastAsia="Times New Roman" w:hAnsi="Times New Roman" w:cs="Times New Roman"/>
        </w:rPr>
        <w:t xml:space="preserve">, 43 N.W.2d 369 (S.D. 1950). </w:t>
      </w:r>
    </w:p>
    <w:p w14:paraId="302002D5" w14:textId="77777777" w:rsidR="00C22B24" w:rsidRDefault="00C22B24" w:rsidP="00C22B24">
      <w:pPr>
        <w:rPr>
          <w:rFonts w:ascii="Times New Roman" w:hAnsi="Times New Roman" w:cs="Times New Roman"/>
          <w:b/>
          <w:u w:val="single"/>
        </w:rPr>
      </w:pPr>
    </w:p>
    <w:p w14:paraId="055FA6F6" w14:textId="77777777" w:rsidR="00B67515" w:rsidRPr="00920B12" w:rsidRDefault="00B67515" w:rsidP="00C22B24">
      <w:pPr>
        <w:rPr>
          <w:rFonts w:ascii="Times New Roman" w:hAnsi="Times New Roman" w:cs="Times New Roman"/>
          <w:b/>
          <w:u w:val="single"/>
        </w:rPr>
      </w:pPr>
    </w:p>
    <w:p w14:paraId="571976AD" w14:textId="1D9E63D5" w:rsidR="00C22B24" w:rsidRPr="00F94B7E" w:rsidRDefault="750671CE" w:rsidP="00F94B7E">
      <w:pPr>
        <w:pStyle w:val="ListParagraph"/>
        <w:numPr>
          <w:ilvl w:val="0"/>
          <w:numId w:val="8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Experts. </w:t>
      </w:r>
      <w:r w:rsidRPr="00F94B7E">
        <w:rPr>
          <w:rFonts w:ascii="Times New Roman" w:eastAsia="Times New Roman" w:hAnsi="Times New Roman" w:cs="Times New Roman"/>
        </w:rPr>
        <w:t xml:space="preserve"> What about parties with unusually developed expertise or skills?  Here, too, the question of encouraging or discouraging investment in expertise is raised.  The Restatement (Third) of Torts poses the following hypothetical: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Restatement (Third) of Torts: Phys. &amp; Emot. Harm § 12 </w:t>
      </w:r>
      <w:r w:rsidRPr="00F94B7E">
        <w:rPr>
          <w:rFonts w:ascii="Times New Roman" w:eastAsia="Times New Roman" w:hAnsi="Times New Roman" w:cs="Times New Roman"/>
        </w:rPr>
        <w:t xml:space="preserve">cmt. a (2010).  Because increased liability for experts will reduce incentives to invest in expertise, the Restatement reports that the best approach excludes expertise from consideration.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Southard v. Belanger</w:t>
      </w:r>
      <w:r w:rsidRPr="00F94B7E">
        <w:rPr>
          <w:rFonts w:ascii="Times New Roman" w:eastAsia="Times New Roman" w:hAnsi="Times New Roman" w:cs="Times New Roman"/>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920B12" w:rsidRDefault="00C22B24" w:rsidP="00C22B24">
      <w:pPr>
        <w:rPr>
          <w:rFonts w:ascii="Times New Roman" w:hAnsi="Times New Roman" w:cs="Times New Roman"/>
        </w:rPr>
      </w:pPr>
    </w:p>
    <w:p w14:paraId="7332A04E" w14:textId="20F1B256"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Some courts, however, have been uncomfortable allowing defendants to disclaim their expertise.  Experts who hold themselves out as expert professionals, for example, are held to the standard of similarly situated professionals.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Louisville &amp; Nashville R.R. v. Perry</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s Adm</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r</w:t>
      </w:r>
      <w:r w:rsidRPr="750671CE">
        <w:rPr>
          <w:rFonts w:ascii="Times New Roman" w:eastAsia="Times New Roman" w:hAnsi="Times New Roman" w:cs="Times New Roman"/>
        </w:rPr>
        <w:t>, 190 S.W. 1064, 1066 (Ky. Ct. App 1917) (</w:t>
      </w:r>
      <w:r w:rsidR="00B05F31">
        <w:rPr>
          <w:rFonts w:ascii="Times New Roman" w:eastAsia="Times New Roman" w:hAnsi="Times New Roman" w:cs="Times New Roman"/>
        </w:rPr>
        <w:t>“</w:t>
      </w:r>
      <w:r w:rsidRPr="750671CE">
        <w:rPr>
          <w:rFonts w:ascii="Times New Roman" w:eastAsia="Times New Roman" w:hAnsi="Times New Roman" w:cs="Times New Roman"/>
        </w:rPr>
        <w:t>When a Kentucky court says that an engineer must use ordinary care . . . , this implies such care as a competent engineer would exercise and the doing of such things as a capable engineer would do.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Donathan v. McConnell</w:t>
      </w:r>
      <w:r w:rsidRPr="750671CE">
        <w:rPr>
          <w:rFonts w:ascii="Times New Roman" w:eastAsia="Times New Roman" w:hAnsi="Times New Roman" w:cs="Times New Roman"/>
        </w:rPr>
        <w:t xml:space="preserve">, 193 P.2d 819, 825 (Mont. 1948) (holding </w:t>
      </w:r>
      <w:r w:rsidR="00426454">
        <w:rPr>
          <w:rFonts w:ascii="Times New Roman" w:eastAsia="Times New Roman" w:hAnsi="Times New Roman" w:cs="Times New Roman"/>
        </w:rPr>
        <w:t xml:space="preserve">that </w:t>
      </w:r>
      <w:r w:rsidRPr="750671CE">
        <w:rPr>
          <w:rFonts w:ascii="Times New Roman" w:eastAsia="Times New Roman" w:hAnsi="Times New Roman" w:cs="Times New Roman"/>
        </w:rPr>
        <w:t xml:space="preserve">dentists are required to exercise </w:t>
      </w:r>
      <w:r w:rsidR="00B05F31">
        <w:rPr>
          <w:rFonts w:ascii="Times New Roman" w:eastAsia="Times New Roman" w:hAnsi="Times New Roman" w:cs="Times New Roman"/>
        </w:rPr>
        <w:t>“</w:t>
      </w:r>
      <w:r w:rsidRPr="750671CE">
        <w:rPr>
          <w:rFonts w:ascii="Times New Roman" w:eastAsia="Times New Roman" w:hAnsi="Times New Roman" w:cs="Times New Roman"/>
        </w:rPr>
        <w:t>reasonable care and skill as is usually exercised by a dentist in good standing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Vigneault v. Dr. Hewson Dental Co.</w:t>
      </w:r>
      <w:r w:rsidRPr="750671CE">
        <w:rPr>
          <w:rFonts w:ascii="Times New Roman" w:eastAsia="Times New Roman" w:hAnsi="Times New Roman" w:cs="Times New Roman"/>
        </w:rPr>
        <w:t xml:space="preserve">, 15 N.E.2d 185 (Mass. 1938) (holding the same as </w:t>
      </w:r>
      <w:r w:rsidRPr="750671CE">
        <w:rPr>
          <w:rFonts w:ascii="Times New Roman" w:eastAsia="Times New Roman" w:hAnsi="Times New Roman" w:cs="Times New Roman"/>
          <w:i/>
          <w:iCs/>
        </w:rPr>
        <w:t>Donathan v. McConnell</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Cf</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Alfonso v. Robinson</w:t>
      </w:r>
      <w:r w:rsidRPr="750671CE">
        <w:rPr>
          <w:rFonts w:ascii="Times New Roman" w:eastAsia="Times New Roman" w:hAnsi="Times New Roman" w:cs="Times New Roman"/>
        </w:rPr>
        <w:t xml:space="preserve">, 514 </w:t>
      </w:r>
      <w:r w:rsidRPr="750671CE">
        <w:rPr>
          <w:rFonts w:ascii="Times New Roman" w:eastAsia="Times New Roman" w:hAnsi="Times New Roman" w:cs="Times New Roman"/>
        </w:rPr>
        <w:lastRenderedPageBreak/>
        <w:t>S.E.2d 615 (Va. 1999) (holding that defendant truck driver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professional expertise was relevant in determining whether his conduct amounted to willful and wanton negligence).  </w:t>
      </w:r>
    </w:p>
    <w:p w14:paraId="783CC093" w14:textId="77777777" w:rsidR="00C22B24" w:rsidRPr="00920B12" w:rsidRDefault="00C22B24" w:rsidP="00C22B24">
      <w:pPr>
        <w:rPr>
          <w:rFonts w:ascii="Times New Roman" w:hAnsi="Times New Roman" w:cs="Times New Roman"/>
        </w:rPr>
      </w:pPr>
    </w:p>
    <w:p w14:paraId="4DB4CB80" w14:textId="6068A583"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Restatement (Third) of Torts supports taking expertise into account in determining whether a defendant exercised reasonable care when (1) the defendant engages in an activity that poses </w:t>
      </w:r>
      <w:r w:rsidR="00B05F31">
        <w:rPr>
          <w:rFonts w:ascii="Times New Roman" w:eastAsia="Times New Roman" w:hAnsi="Times New Roman" w:cs="Times New Roman"/>
        </w:rPr>
        <w:t>“</w:t>
      </w:r>
      <w:r w:rsidRPr="750671CE">
        <w:rPr>
          <w:rFonts w:ascii="Times New Roman" w:eastAsia="Times New Roman" w:hAnsi="Times New Roman" w:cs="Times New Roman"/>
        </w:rPr>
        <w:t>distinctive and significant dangers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(2) a plaintiff with a preexisting relationship with the defendant has reasonably relied on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expertise.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Restatement (Third) of Torts: Phys. &amp; Emot. Harm § 12 </w:t>
      </w:r>
      <w:r w:rsidRPr="750671CE">
        <w:rPr>
          <w:rFonts w:ascii="Times New Roman" w:eastAsia="Times New Roman" w:hAnsi="Times New Roman" w:cs="Times New Roman"/>
        </w:rPr>
        <w:t>cmt. a (2010). Certain courts have applied the Restatement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view.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Levi v. Sw. La. Elec. Membership Coop.</w:t>
      </w:r>
      <w:r w:rsidRPr="750671CE">
        <w:rPr>
          <w:rFonts w:ascii="Times New Roman" w:eastAsia="Times New Roman" w:hAnsi="Times New Roman" w:cs="Times New Roman"/>
        </w:rPr>
        <w:t xml:space="preserve">, 542 So. 2d 1081, 1084 (La. 1989) (holding the employees of defendant power company to the standard of </w:t>
      </w:r>
      <w:r w:rsidR="00B05F31">
        <w:rPr>
          <w:rFonts w:ascii="Times New Roman" w:eastAsia="Times New Roman" w:hAnsi="Times New Roman" w:cs="Times New Roman"/>
        </w:rPr>
        <w:t>“</w:t>
      </w:r>
      <w:r w:rsidRPr="750671CE">
        <w:rPr>
          <w:rFonts w:ascii="Times New Roman" w:eastAsia="Times New Roman" w:hAnsi="Times New Roman" w:cs="Times New Roman"/>
        </w:rPr>
        <w:t>a reasonable person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with the </w:t>
      </w:r>
      <w:r w:rsidR="00B05F31">
        <w:rPr>
          <w:rFonts w:ascii="Times New Roman" w:eastAsia="Times New Roman" w:hAnsi="Times New Roman" w:cs="Times New Roman"/>
        </w:rPr>
        <w:t>“</w:t>
      </w:r>
      <w:r w:rsidRPr="750671CE">
        <w:rPr>
          <w:rFonts w:ascii="Times New Roman" w:eastAsia="Times New Roman" w:hAnsi="Times New Roman" w:cs="Times New Roman"/>
        </w:rPr>
        <w:t>superior attributes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experts in view of the </w:t>
      </w:r>
      <w:r w:rsidR="00B05F31">
        <w:rPr>
          <w:rFonts w:ascii="Times New Roman" w:eastAsia="Times New Roman" w:hAnsi="Times New Roman" w:cs="Times New Roman"/>
        </w:rPr>
        <w:t>“</w:t>
      </w:r>
      <w:r w:rsidRPr="750671CE">
        <w:rPr>
          <w:rFonts w:ascii="Times New Roman" w:eastAsia="Times New Roman" w:hAnsi="Times New Roman" w:cs="Times New Roman"/>
        </w:rPr>
        <w:t>distinctive and significant dangers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high power lines); </w:t>
      </w:r>
      <w:r w:rsidRPr="750671CE">
        <w:rPr>
          <w:rFonts w:ascii="Times New Roman" w:eastAsia="Times New Roman" w:hAnsi="Times New Roman" w:cs="Times New Roman"/>
          <w:i/>
          <w:iCs/>
        </w:rPr>
        <w:t>Everett v. Bucky Warren, Inc.</w:t>
      </w:r>
      <w:r w:rsidRPr="750671CE">
        <w:rPr>
          <w:rFonts w:ascii="Times New Roman" w:eastAsia="Times New Roman" w:hAnsi="Times New Roman" w:cs="Times New Roman"/>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920B12" w:rsidRDefault="00C22B24" w:rsidP="00C22B24">
      <w:pPr>
        <w:rPr>
          <w:rFonts w:ascii="Times New Roman" w:hAnsi="Times New Roman" w:cs="Times New Roman"/>
        </w:rPr>
      </w:pPr>
    </w:p>
    <w:p w14:paraId="2A1816C3" w14:textId="77777777" w:rsidR="00C22B24" w:rsidRPr="00920B12" w:rsidRDefault="750671CE" w:rsidP="750671CE">
      <w:pPr>
        <w:ind w:firstLine="720"/>
        <w:rPr>
          <w:rFonts w:ascii="Times New Roman" w:eastAsia="Times New Roman" w:hAnsi="Times New Roman" w:cs="Times New Roman"/>
          <w:u w:val="single"/>
        </w:rPr>
      </w:pPr>
      <w:r w:rsidRPr="750671CE">
        <w:rPr>
          <w:rFonts w:ascii="Times New Roman" w:eastAsia="Times New Roman" w:hAnsi="Times New Roman" w:cs="Times New Roman"/>
        </w:rPr>
        <w:t>Why are these cases not treated like those of the expert skiers and drivers who collide with strangers?</w:t>
      </w:r>
    </w:p>
    <w:p w14:paraId="792DEE0F" w14:textId="77777777" w:rsidR="00C22B24" w:rsidRPr="00920B12" w:rsidRDefault="00C22B24" w:rsidP="00C22B24">
      <w:pPr>
        <w:rPr>
          <w:rFonts w:ascii="Times New Roman" w:hAnsi="Times New Roman" w:cs="Times New Roman"/>
        </w:rPr>
      </w:pPr>
    </w:p>
    <w:p w14:paraId="7212B0A1" w14:textId="77777777" w:rsidR="00C22B24" w:rsidRPr="00920B12" w:rsidRDefault="00C22B24" w:rsidP="00C22B24">
      <w:pPr>
        <w:rPr>
          <w:rFonts w:ascii="Times New Roman" w:hAnsi="Times New Roman" w:cs="Times New Roman"/>
        </w:rPr>
      </w:pPr>
    </w:p>
    <w:p w14:paraId="520F0201" w14:textId="4B2E2B7F" w:rsidR="00C22B24" w:rsidRPr="004D0B12" w:rsidRDefault="00C22B24" w:rsidP="00322687">
      <w:pPr>
        <w:pStyle w:val="Heading3"/>
      </w:pPr>
      <w:bookmarkStart w:id="210" w:name="_Toc255579863"/>
      <w:bookmarkStart w:id="211" w:name="_Toc518323273"/>
      <w:bookmarkStart w:id="212" w:name="_Toc364636091"/>
      <w:r w:rsidRPr="004D0B12">
        <w:t xml:space="preserve">4.  </w:t>
      </w:r>
      <w:bookmarkEnd w:id="210"/>
      <w:r w:rsidR="0079232C">
        <w:t>Mental Illness</w:t>
      </w:r>
      <w:bookmarkEnd w:id="211"/>
      <w:r w:rsidRPr="004D0B12">
        <w:t xml:space="preserve"> </w:t>
      </w:r>
      <w:bookmarkEnd w:id="212"/>
    </w:p>
    <w:p w14:paraId="24CCC166" w14:textId="77777777" w:rsidR="00C22B24" w:rsidRPr="00E30455" w:rsidRDefault="00C22B24" w:rsidP="00C22B24">
      <w:pPr>
        <w:rPr>
          <w:rFonts w:ascii="Times New Roman" w:hAnsi="Times New Roman" w:cs="Times New Roman"/>
          <w:b/>
          <w:u w:val="single"/>
        </w:rPr>
      </w:pPr>
    </w:p>
    <w:p w14:paraId="02F22F72" w14:textId="276C1809" w:rsidR="00A76B62" w:rsidRPr="00E30455" w:rsidRDefault="00A76B62" w:rsidP="750671CE">
      <w:pPr>
        <w:rPr>
          <w:rFonts w:ascii="Times New Roman" w:eastAsia="Times New Roman" w:hAnsi="Times New Roman" w:cs="Times New Roman"/>
          <w:b/>
          <w:bCs/>
        </w:rPr>
      </w:pPr>
      <w:bookmarkStart w:id="213" w:name="_Toc518323274"/>
      <w:r w:rsidRPr="00E30455">
        <w:rPr>
          <w:rStyle w:val="Heading4Char"/>
        </w:rPr>
        <w:t>Breunig v. American Family Ins. Co</w:t>
      </w:r>
      <w:bookmarkEnd w:id="213"/>
      <w:r w:rsidRPr="00E30455">
        <w:rPr>
          <w:rFonts w:ascii="Times New Roman" w:eastAsia="Times New Roman" w:hAnsi="Times New Roman" w:cs="Times New Roman"/>
          <w:b/>
          <w:bCs/>
        </w:rPr>
        <w:t>., 173 N.W.2d 619 (Wis. 1970)</w:t>
      </w:r>
    </w:p>
    <w:p w14:paraId="6A750C77" w14:textId="77777777" w:rsidR="00A76B62" w:rsidRPr="00744778" w:rsidRDefault="00A76B62" w:rsidP="00C22B24">
      <w:pPr>
        <w:rPr>
          <w:rFonts w:ascii="Times New Roman" w:hAnsi="Times New Roman" w:cs="Times New Roman"/>
        </w:rPr>
      </w:pPr>
    </w:p>
    <w:p w14:paraId="251F9215" w14:textId="3D5DE032" w:rsidR="00C22B24" w:rsidRPr="00E30455" w:rsidRDefault="00C22B24" w:rsidP="750671CE">
      <w:pPr>
        <w:shd w:val="clear" w:color="auto" w:fill="FFFFFF" w:themeFill="background1"/>
        <w:textAlignment w:val="baseline"/>
        <w:rPr>
          <w:rFonts w:ascii="Times New Roman" w:eastAsia="Times New Roman" w:hAnsi="Times New Roman" w:cs="Times New Roman"/>
        </w:rPr>
      </w:pPr>
      <w:r w:rsidRPr="009D3DA7">
        <w:rPr>
          <w:rFonts w:ascii="Times New Roman" w:eastAsia="Times New Roman" w:hAnsi="Times New Roman" w:cs="Times New Roman"/>
        </w:rPr>
        <w:t xml:space="preserve"> </w:t>
      </w:r>
      <w:r w:rsidRPr="002A23B2">
        <w:rPr>
          <w:rFonts w:ascii="Times New Roman" w:hAnsi="Times New Roman" w:cs="Times New Roman"/>
        </w:rPr>
        <w:tab/>
      </w:r>
      <w:r w:rsidRPr="00B41D0B">
        <w:rPr>
          <w:rFonts w:ascii="Times New Roman" w:eastAsia="Times New Roman" w:hAnsi="Times New Roman" w:cs="Times New Roman"/>
        </w:rPr>
        <w:t>[Plaintiff Phi</w:t>
      </w:r>
      <w:r w:rsidRPr="00190B65">
        <w:rPr>
          <w:rFonts w:ascii="Times New Roman" w:eastAsia="Times New Roman" w:hAnsi="Times New Roman" w:cs="Times New Roman"/>
        </w:rPr>
        <w:t>llip A. Breunig</w:t>
      </w:r>
      <w:r w:rsidR="00B05F31" w:rsidRPr="009418B2">
        <w:rPr>
          <w:rFonts w:ascii="Times New Roman" w:eastAsia="Times New Roman" w:hAnsi="Times New Roman" w:cs="Times New Roman"/>
        </w:rPr>
        <w:t>’</w:t>
      </w:r>
      <w:r w:rsidRPr="00B7582E">
        <w:rPr>
          <w:rFonts w:ascii="Times New Roman" w:eastAsia="Times New Roman" w:hAnsi="Times New Roman" w:cs="Times New Roman"/>
        </w:rPr>
        <w:t xml:space="preserve">s truck was struck by an automobile driven by Erma Veith and insured by the defendant American Family Insurance Company. </w:t>
      </w:r>
      <w:r w:rsidR="007946FE" w:rsidRPr="00161E5A">
        <w:rPr>
          <w:rFonts w:ascii="Times New Roman" w:eastAsia="Times New Roman" w:hAnsi="Times New Roman" w:cs="Times New Roman"/>
        </w:rPr>
        <w:t xml:space="preserve"> Breunig suffered serious personal injuries.  </w:t>
      </w:r>
      <w:r w:rsidRPr="00E30455">
        <w:rPr>
          <w:rFonts w:ascii="Times New Roman" w:eastAsia="Times New Roman" w:hAnsi="Times New Roman" w:cs="Times New Roman"/>
        </w:rPr>
        <w:t>At the time of the accident, Veith</w:t>
      </w:r>
      <w:r w:rsidR="00B05F31" w:rsidRPr="00E30455">
        <w:rPr>
          <w:rFonts w:ascii="Times New Roman" w:eastAsia="Times New Roman" w:hAnsi="Times New Roman" w:cs="Times New Roman"/>
        </w:rPr>
        <w:t>’</w:t>
      </w:r>
      <w:r w:rsidRPr="00E30455">
        <w:rPr>
          <w:rFonts w:ascii="Times New Roman" w:eastAsia="Times New Roman" w:hAnsi="Times New Roman" w:cs="Times New Roman"/>
        </w:rPr>
        <w:t>s car was proceeding west in an eastbound lane. The jury returned a verdict for the plaintiff, and defendant insurance company appealed.]</w:t>
      </w:r>
    </w:p>
    <w:p w14:paraId="47340293" w14:textId="77777777" w:rsidR="00C22B24" w:rsidRPr="00920B12" w:rsidRDefault="00C22B24" w:rsidP="00C22B24">
      <w:pPr>
        <w:rPr>
          <w:rFonts w:ascii="Times New Roman" w:hAnsi="Times New Roman" w:cs="Times New Roman"/>
        </w:rPr>
      </w:pPr>
    </w:p>
    <w:p w14:paraId="31539E2A" w14:textId="77777777"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smallCaps/>
        </w:rPr>
        <w:t>Hallows, C.J.</w:t>
      </w:r>
      <w:r w:rsidRPr="750671CE">
        <w:rPr>
          <w:rFonts w:ascii="Times New Roman" w:eastAsia="Times New Roman" w:hAnsi="Times New Roman" w:cs="Times New Roman"/>
        </w:rPr>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920B12" w:rsidRDefault="00C22B24" w:rsidP="00C22B24">
      <w:pPr>
        <w:rPr>
          <w:rFonts w:ascii="Times New Roman" w:hAnsi="Times New Roman" w:cs="Times New Roman"/>
        </w:rPr>
      </w:pPr>
    </w:p>
    <w:p w14:paraId="2012584B" w14:textId="111D6C7D" w:rsidR="00C22B24"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rPr>
          <w:rFonts w:ascii="Times New Roman" w:eastAsia="Times New Roman" w:hAnsi="Times New Roman" w:cs="Times New Roman"/>
        </w:rPr>
        <w:t>’</w:t>
      </w:r>
      <w:r w:rsidRPr="750671CE">
        <w:rPr>
          <w:rFonts w:ascii="Times New Roman" w:eastAsia="Times New Roman" w:hAnsi="Times New Roman" w:cs="Times New Roman"/>
        </w:rPr>
        <w:t>s car continued west on Highway 19 for about a mile. . . . When a traffic officer came to the car to investigate the accident, he found Mrs. Veith sitting behind the wheel looking off into space. . . .</w:t>
      </w:r>
    </w:p>
    <w:p w14:paraId="7AD1EBB7" w14:textId="77777777" w:rsidR="00C22B24" w:rsidRPr="00920B12" w:rsidRDefault="00C22B24" w:rsidP="00C22B24">
      <w:pPr>
        <w:shd w:val="clear" w:color="auto" w:fill="FFFFFF"/>
        <w:ind w:firstLine="720"/>
        <w:textAlignment w:val="baseline"/>
        <w:rPr>
          <w:rFonts w:ascii="Times New Roman" w:hAnsi="Times New Roman" w:cs="Times New Roman"/>
        </w:rPr>
      </w:pPr>
    </w:p>
    <w:p w14:paraId="624CCDB4" w14:textId="09920AF8" w:rsidR="00C22B24"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750671CE">
        <w:rPr>
          <w:rFonts w:ascii="Times New Roman" w:eastAsia="Times New Roman" w:hAnsi="Times New Roman"/>
          <w:sz w:val="24"/>
          <w:szCs w:val="24"/>
        </w:rPr>
        <w:t xml:space="preserve">The psychiatrist testified Erma Veith was suffering from </w:t>
      </w:r>
      <w:r w:rsidR="00B05F31">
        <w:rPr>
          <w:rFonts w:ascii="Times New Roman" w:eastAsia="Times New Roman" w:hAnsi="Times New Roman"/>
          <w:sz w:val="24"/>
          <w:szCs w:val="24"/>
        </w:rPr>
        <w:t>“</w:t>
      </w:r>
      <w:r w:rsidRPr="750671CE">
        <w:rPr>
          <w:rFonts w:ascii="Times New Roman" w:eastAsia="Times New Roman" w:hAnsi="Times New Roman"/>
          <w:sz w:val="24"/>
          <w:szCs w:val="24"/>
        </w:rPr>
        <w:t>schizophrenic reaction, paranoid type, acute.</w:t>
      </w:r>
      <w:r w:rsidR="00B05F31">
        <w:rPr>
          <w:rFonts w:ascii="Times New Roman" w:eastAsia="Times New Roman" w:hAnsi="Times New Roman"/>
          <w:sz w:val="24"/>
          <w:szCs w:val="24"/>
        </w:rPr>
        <w:t>”</w:t>
      </w:r>
      <w:r w:rsidRPr="750671CE">
        <w:rPr>
          <w:rFonts w:ascii="Times New Roman" w:eastAsia="Times New Roman" w:hAnsi="Times New Roman"/>
          <w:sz w:val="24"/>
          <w:szCs w:val="24"/>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3A849711" w14:textId="77777777"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920B12" w:rsidRDefault="00C22B24" w:rsidP="00C22B24">
      <w:pPr>
        <w:shd w:val="clear" w:color="auto" w:fill="FFFFFF"/>
        <w:ind w:firstLine="720"/>
        <w:textAlignment w:val="baseline"/>
        <w:rPr>
          <w:rFonts w:ascii="Times New Roman" w:hAnsi="Times New Roman" w:cs="Times New Roman"/>
        </w:rPr>
      </w:pPr>
    </w:p>
    <w:p w14:paraId="35E958F0" w14:textId="77777777"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The case was tried on the theory that some forms of insanity are a defense to and preclude liability for negligence under the doctrine of </w:t>
      </w:r>
      <w:r w:rsidRPr="750671CE">
        <w:rPr>
          <w:rFonts w:ascii="Times New Roman" w:eastAsia="Times New Roman" w:hAnsi="Times New Roman" w:cs="Times New Roman"/>
          <w:i/>
          <w:iCs/>
        </w:rPr>
        <w:t>Theisen v. Milwaukee Automobile Mut. Ins. Co. </w:t>
      </w:r>
      <w:r w:rsidRPr="750671CE">
        <w:rPr>
          <w:rFonts w:ascii="Times New Roman" w:eastAsia="Times New Roman" w:hAnsi="Times New Roman" w:cs="Times New Roman"/>
        </w:rPr>
        <w:t>(1962), 18 Wis. 2d 91 . . . .</w:t>
      </w:r>
    </w:p>
    <w:p w14:paraId="5405C73A" w14:textId="77777777" w:rsidR="00C22B24" w:rsidRPr="00920B12" w:rsidRDefault="00C22B24" w:rsidP="00C22B24">
      <w:pPr>
        <w:shd w:val="clear" w:color="auto" w:fill="FFFFFF"/>
        <w:textAlignment w:val="baseline"/>
        <w:rPr>
          <w:rFonts w:ascii="Times New Roman" w:hAnsi="Times New Roman" w:cs="Times New Roman"/>
        </w:rPr>
      </w:pPr>
    </w:p>
    <w:p w14:paraId="7CB8E651" w14:textId="77777777"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In </w:t>
      </w:r>
      <w:r w:rsidRPr="750671CE">
        <w:rPr>
          <w:rFonts w:ascii="Times New Roman" w:eastAsia="Times New Roman" w:hAnsi="Times New Roman" w:cs="Times New Roman"/>
          <w:i/>
          <w:iCs/>
        </w:rPr>
        <w:t>Theisen</w:t>
      </w:r>
      <w:r w:rsidRPr="750671CE">
        <w:rPr>
          <w:rFonts w:ascii="Times New Roman" w:eastAsia="Times New Roman" w:hAnsi="Times New Roman" w:cs="Times New Roman"/>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920B12" w:rsidRDefault="00C22B24" w:rsidP="00C22B24">
      <w:pPr>
        <w:rPr>
          <w:rFonts w:ascii="Times New Roman" w:hAnsi="Times New Roman" w:cs="Times New Roman"/>
        </w:rPr>
      </w:pPr>
    </w:p>
    <w:p w14:paraId="34F51BF2"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920B12" w:rsidRDefault="00C22B24" w:rsidP="00C22B24">
      <w:pPr>
        <w:rPr>
          <w:rFonts w:ascii="Times New Roman" w:hAnsi="Times New Roman" w:cs="Times New Roman"/>
        </w:rPr>
      </w:pPr>
    </w:p>
    <w:p w14:paraId="74CA589E"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cases holding an insane person liable for his torts have generally dealt with pre-existing insanity of a permanent nature. . . .</w:t>
      </w:r>
    </w:p>
    <w:p w14:paraId="11B6A66E" w14:textId="77777777" w:rsidR="00C22B24" w:rsidRPr="00920B12" w:rsidRDefault="00C22B24" w:rsidP="00C22B24">
      <w:pPr>
        <w:rPr>
          <w:rFonts w:ascii="Times New Roman" w:hAnsi="Times New Roman" w:cs="Times New Roman"/>
        </w:rPr>
      </w:pPr>
    </w:p>
    <w:p w14:paraId="271B7559" w14:textId="77777777"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920B12" w:rsidRDefault="00C22B24" w:rsidP="00C22B24">
      <w:pPr>
        <w:shd w:val="clear" w:color="auto" w:fill="FFFFFF"/>
        <w:textAlignment w:val="baseline"/>
        <w:rPr>
          <w:rFonts w:ascii="Times New Roman" w:hAnsi="Times New Roman" w:cs="Times New Roman"/>
        </w:rPr>
      </w:pPr>
    </w:p>
    <w:p w14:paraId="16E10D9F" w14:textId="77777777"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lastRenderedPageBreak/>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920B12" w:rsidRDefault="00C22B24" w:rsidP="00C22B24">
      <w:pPr>
        <w:rPr>
          <w:rFonts w:ascii="Times New Roman" w:hAnsi="Times New Roman" w:cs="Times New Roman"/>
        </w:rPr>
      </w:pPr>
    </w:p>
    <w:p w14:paraId="3762EB49"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920B12" w:rsidRDefault="00C22B24" w:rsidP="00C22B24">
      <w:pPr>
        <w:rPr>
          <w:rFonts w:ascii="Times New Roman" w:hAnsi="Times New Roman" w:cs="Times New Roman"/>
        </w:rPr>
      </w:pPr>
    </w:p>
    <w:p w14:paraId="51DC3780" w14:textId="5DC98A83"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question is whether she had warning or knowledge which would reasonably lead her to believe that hallucinations would occur and be such as to affect her driving an automobile. Even though the doctor</w:t>
      </w:r>
      <w:r w:rsidR="00B05F31">
        <w:rPr>
          <w:rFonts w:ascii="Times New Roman" w:eastAsia="Times New Roman" w:hAnsi="Times New Roman" w:cs="Times New Roman"/>
        </w:rPr>
        <w:t>’</w:t>
      </w:r>
      <w:r w:rsidRPr="750671CE">
        <w:rPr>
          <w:rFonts w:ascii="Times New Roman" w:eastAsia="Times New Roman" w:hAnsi="Times New Roman" w:cs="Times New Roman"/>
        </w:rPr>
        <w:t>s testimony is uncontradicted, it need not be accepted by the jury. It is an expert</w:t>
      </w:r>
      <w:r w:rsidR="00B05F31">
        <w:rPr>
          <w:rFonts w:ascii="Times New Roman" w:eastAsia="Times New Roman" w:hAnsi="Times New Roman" w:cs="Times New Roman"/>
        </w:rPr>
        <w:t>’</w:t>
      </w:r>
      <w:r w:rsidRPr="750671CE">
        <w:rPr>
          <w:rFonts w:ascii="Times New Roman" w:eastAsia="Times New Roman" w:hAnsi="Times New Roman" w:cs="Times New Roman"/>
        </w:rPr>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920B12" w:rsidRDefault="00C22B24" w:rsidP="00C22B24">
      <w:pPr>
        <w:rPr>
          <w:rFonts w:ascii="Times New Roman" w:hAnsi="Times New Roman" w:cs="Times New Roman"/>
        </w:rPr>
      </w:pPr>
    </w:p>
    <w:p w14:paraId="1CEA35B3" w14:textId="77777777" w:rsidR="00C22B24" w:rsidRPr="00920B12"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rPr>
        <w:t>Judgment affirmed.</w:t>
      </w:r>
    </w:p>
    <w:p w14:paraId="601AD104" w14:textId="77777777" w:rsidR="00C22B24" w:rsidRDefault="00C22B24">
      <w:pPr>
        <w:rPr>
          <w:rFonts w:ascii="Times New Roman" w:hAnsi="Times New Roman" w:cs="Times New Roman"/>
        </w:rPr>
      </w:pPr>
    </w:p>
    <w:p w14:paraId="7FD1811B" w14:textId="77777777" w:rsidR="00C22B24" w:rsidRPr="00920B12" w:rsidRDefault="00C22B24">
      <w:pPr>
        <w:rPr>
          <w:rFonts w:ascii="Times New Roman" w:hAnsi="Times New Roman" w:cs="Times New Roman"/>
        </w:rPr>
      </w:pPr>
    </w:p>
    <w:p w14:paraId="2352F646" w14:textId="77777777" w:rsidR="00C22B24" w:rsidRPr="00136C14" w:rsidRDefault="00C22B24" w:rsidP="002502CC">
      <w:pPr>
        <w:pStyle w:val="Heading4"/>
      </w:pPr>
      <w:bookmarkStart w:id="214" w:name="_Toc255579865"/>
      <w:bookmarkStart w:id="215" w:name="_Toc364636092"/>
      <w:bookmarkStart w:id="216" w:name="_Toc518323275"/>
      <w:r w:rsidRPr="00136C14">
        <w:t>Note</w:t>
      </w:r>
      <w:bookmarkEnd w:id="214"/>
      <w:r w:rsidRPr="00136C14">
        <w:t>s</w:t>
      </w:r>
      <w:bookmarkEnd w:id="215"/>
      <w:bookmarkEnd w:id="216"/>
    </w:p>
    <w:p w14:paraId="40BEB2DF" w14:textId="77777777" w:rsidR="00C22B24" w:rsidRDefault="00C22B24" w:rsidP="00FB1320">
      <w:pPr>
        <w:shd w:val="clear" w:color="auto" w:fill="FFFFFF"/>
        <w:textAlignment w:val="baseline"/>
        <w:rPr>
          <w:rFonts w:ascii="Times New Roman" w:hAnsi="Times New Roman" w:cs="Times New Roman"/>
          <w:b/>
          <w:u w:val="single"/>
        </w:rPr>
      </w:pPr>
    </w:p>
    <w:p w14:paraId="6DB8AC60" w14:textId="77777777" w:rsidR="00FB1320" w:rsidRPr="00920B12" w:rsidRDefault="00FB1320" w:rsidP="00FB1320">
      <w:pPr>
        <w:shd w:val="clear" w:color="auto" w:fill="FFFFFF"/>
        <w:textAlignment w:val="baseline"/>
        <w:rPr>
          <w:rFonts w:ascii="Times New Roman" w:hAnsi="Times New Roman" w:cs="Times New Roman"/>
          <w:b/>
          <w:u w:val="single"/>
        </w:rPr>
      </w:pPr>
    </w:p>
    <w:p w14:paraId="6EE0EDE0" w14:textId="1C49CD8D" w:rsidR="00C22B24" w:rsidRPr="00F94B7E" w:rsidRDefault="0079232C" w:rsidP="00F94B7E">
      <w:pPr>
        <w:pStyle w:val="ListParagraph"/>
        <w:numPr>
          <w:ilvl w:val="0"/>
          <w:numId w:val="86"/>
        </w:numPr>
        <w:shd w:val="clear" w:color="auto" w:fill="FFFFFF" w:themeFill="background1"/>
        <w:ind w:left="0" w:firstLine="360"/>
        <w:textAlignment w:val="baseline"/>
        <w:rPr>
          <w:rFonts w:ascii="Times New Roman" w:eastAsia="Times New Roman" w:hAnsi="Times New Roman" w:cs="Times New Roman"/>
        </w:rPr>
      </w:pPr>
      <w:r>
        <w:rPr>
          <w:rFonts w:ascii="Times New Roman" w:eastAsia="Times New Roman" w:hAnsi="Times New Roman" w:cs="Times New Roman"/>
          <w:i/>
          <w:iCs/>
        </w:rPr>
        <w:t>Mental illness</w:t>
      </w:r>
      <w:r w:rsidR="750671CE" w:rsidRPr="00F94B7E">
        <w:rPr>
          <w:rFonts w:ascii="Times New Roman" w:eastAsia="Times New Roman" w:hAnsi="Times New Roman" w:cs="Times New Roman"/>
          <w:i/>
          <w:iCs/>
        </w:rPr>
        <w:t xml:space="preserve"> as an immunity or an accommodation?</w:t>
      </w:r>
      <w:r w:rsidR="750671CE" w:rsidRPr="00F94B7E">
        <w:rPr>
          <w:rFonts w:ascii="Times New Roman" w:eastAsia="Times New Roman" w:hAnsi="Times New Roman" w:cs="Times New Roman"/>
        </w:rPr>
        <w:t xml:space="preserve">  Is the </w:t>
      </w:r>
      <w:r w:rsidR="750671CE" w:rsidRPr="00F94B7E">
        <w:rPr>
          <w:rFonts w:ascii="Times New Roman" w:eastAsia="Times New Roman" w:hAnsi="Times New Roman" w:cs="Times New Roman"/>
          <w:i/>
          <w:iCs/>
        </w:rPr>
        <w:t>Breunig</w:t>
      </w:r>
      <w:r w:rsidR="750671CE" w:rsidRPr="00F94B7E">
        <w:rPr>
          <w:rFonts w:ascii="Times New Roman" w:eastAsia="Times New Roman" w:hAnsi="Times New Roman" w:cs="Times New Roman"/>
        </w:rPr>
        <w:t xml:space="preserve"> court suggesting that, absent foreknowledge, a suddenly </w:t>
      </w:r>
      <w:r>
        <w:rPr>
          <w:rFonts w:ascii="Times New Roman" w:eastAsia="Times New Roman" w:hAnsi="Times New Roman" w:cs="Times New Roman"/>
        </w:rPr>
        <w:t>ill</w:t>
      </w:r>
      <w:r w:rsidR="750671CE" w:rsidRPr="00F94B7E">
        <w:rPr>
          <w:rFonts w:ascii="Times New Roman" w:eastAsia="Times New Roman" w:hAnsi="Times New Roman" w:cs="Times New Roman"/>
        </w:rPr>
        <w:t xml:space="preserve"> defendant is immune </w:t>
      </w:r>
      <w:r w:rsidR="00E30455">
        <w:rPr>
          <w:rFonts w:ascii="Times New Roman" w:eastAsia="Times New Roman" w:hAnsi="Times New Roman" w:cs="Times New Roman"/>
        </w:rPr>
        <w:t>from</w:t>
      </w:r>
      <w:r w:rsidR="00E30455"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rPr>
        <w:t xml:space="preserve">tort liability?  Or is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something to be taken into account in determining what counts as reasonable?  Would this amount to the standard of a reasonable </w:t>
      </w:r>
      <w:r>
        <w:rPr>
          <w:rFonts w:ascii="Times New Roman" w:eastAsia="Times New Roman" w:hAnsi="Times New Roman" w:cs="Times New Roman"/>
        </w:rPr>
        <w:t>mentally ill</w:t>
      </w:r>
      <w:r w:rsidR="750671CE" w:rsidRPr="00F94B7E">
        <w:rPr>
          <w:rFonts w:ascii="Times New Roman" w:eastAsia="Times New Roman" w:hAnsi="Times New Roman" w:cs="Times New Roman"/>
        </w:rPr>
        <w:t xml:space="preserve"> person? What would that mean? Why not apply the rule of </w:t>
      </w:r>
      <w:r w:rsidR="750671CE" w:rsidRPr="00F94B7E">
        <w:rPr>
          <w:rFonts w:ascii="Times New Roman" w:eastAsia="Times New Roman" w:hAnsi="Times New Roman" w:cs="Times New Roman"/>
          <w:i/>
          <w:iCs/>
        </w:rPr>
        <w:t>Vaughan v. Menlove</w:t>
      </w:r>
      <w:r w:rsidR="750671CE" w:rsidRPr="00F94B7E">
        <w:rPr>
          <w:rFonts w:ascii="Times New Roman" w:eastAsia="Times New Roman" w:hAnsi="Times New Roman" w:cs="Times New Roman"/>
        </w:rPr>
        <w:t xml:space="preserve"> and exclude the mental disability as irrelevant to the reasonableness of the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conduct?  Is taking </w:t>
      </w:r>
      <w:r>
        <w:rPr>
          <w:rFonts w:ascii="Times New Roman" w:eastAsia="Times New Roman" w:hAnsi="Times New Roman" w:cs="Times New Roman"/>
        </w:rPr>
        <w:t>mental illness</w:t>
      </w:r>
      <w:r w:rsidR="750671CE" w:rsidRPr="00F94B7E">
        <w:rPr>
          <w:rFonts w:ascii="Times New Roman" w:eastAsia="Times New Roman" w:hAnsi="Times New Roman" w:cs="Times New Roman"/>
        </w:rPr>
        <w:t xml:space="preserve"> into account more defensible</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or less</w:t>
      </w:r>
      <w:r w:rsidR="00A13864" w:rsidRPr="00F94B7E">
        <w:rPr>
          <w:rFonts w:ascii="Times New Roman" w:eastAsia="Times New Roman" w:hAnsi="Times New Roman" w:cs="Times New Roman"/>
        </w:rPr>
        <w:t>—</w:t>
      </w:r>
      <w:r w:rsidR="750671CE" w:rsidRPr="00F94B7E">
        <w:rPr>
          <w:rFonts w:ascii="Times New Roman" w:eastAsia="Times New Roman" w:hAnsi="Times New Roman" w:cs="Times New Roman"/>
        </w:rPr>
        <w:t>when the condition is temporary rather than permanent?</w:t>
      </w:r>
    </w:p>
    <w:p w14:paraId="4612948C" w14:textId="77777777" w:rsidR="00C22B24" w:rsidRDefault="00C22B24" w:rsidP="00C22B24">
      <w:pPr>
        <w:shd w:val="clear" w:color="auto" w:fill="FFFFFF"/>
        <w:textAlignment w:val="baseline"/>
        <w:rPr>
          <w:rFonts w:ascii="Times New Roman" w:hAnsi="Times New Roman" w:cs="Times New Roman"/>
        </w:rPr>
      </w:pPr>
    </w:p>
    <w:p w14:paraId="51D9A789" w14:textId="77777777" w:rsidR="00C22B24" w:rsidRPr="00920B12" w:rsidRDefault="00C22B24" w:rsidP="00C22B24">
      <w:pPr>
        <w:shd w:val="clear" w:color="auto" w:fill="FFFFFF"/>
        <w:textAlignment w:val="baseline"/>
        <w:rPr>
          <w:rFonts w:ascii="Times New Roman" w:hAnsi="Times New Roman" w:cs="Times New Roman"/>
        </w:rPr>
      </w:pPr>
    </w:p>
    <w:p w14:paraId="25FD0318" w14:textId="18A84856" w:rsidR="00C22B24" w:rsidRPr="00F94B7E" w:rsidRDefault="750671CE" w:rsidP="00F94B7E">
      <w:pPr>
        <w:pStyle w:val="ListParagraph"/>
        <w:numPr>
          <w:ilvl w:val="0"/>
          <w:numId w:val="86"/>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lastRenderedPageBreak/>
        <w:t>Confusion in the caselaw.</w:t>
      </w:r>
      <w:r w:rsidRPr="00F94B7E">
        <w:rPr>
          <w:rFonts w:ascii="Times New Roman" w:eastAsia="Times New Roman" w:hAnsi="Times New Roman" w:cs="Times New Roman"/>
        </w:rPr>
        <w:t xml:space="preserve">  Not all courts have held that sudden </w:t>
      </w:r>
      <w:r w:rsidR="00D220D0">
        <w:rPr>
          <w:rFonts w:ascii="Times New Roman" w:eastAsia="Times New Roman" w:hAnsi="Times New Roman" w:cs="Times New Roman"/>
        </w:rPr>
        <w:t>mental illness</w:t>
      </w:r>
      <w:r w:rsidRPr="00F94B7E">
        <w:rPr>
          <w:rFonts w:ascii="Times New Roman" w:eastAsia="Times New Roman" w:hAnsi="Times New Roman" w:cs="Times New Roman"/>
        </w:rPr>
        <w:t xml:space="preserve"> is a defense to negligence. </w:t>
      </w:r>
      <w:r w:rsidRPr="00F94B7E">
        <w:rPr>
          <w:rFonts w:ascii="Times New Roman" w:eastAsia="Times New Roman" w:hAnsi="Times New Roman" w:cs="Times New Roman"/>
          <w:i/>
          <w:iCs/>
        </w:rPr>
        <w:t>See Bashi v. Wodarz</w:t>
      </w:r>
      <w:r w:rsidRPr="00F94B7E">
        <w:rPr>
          <w:rFonts w:ascii="Times New Roman" w:eastAsia="Times New Roman" w:hAnsi="Times New Roman" w:cs="Times New Roman"/>
        </w:rPr>
        <w:t xml:space="preserve">, 53 Cal. Rptr. 2d 635 (Cal. App. 1996) (holding that sudden and unanticipated mental illness does not preclude liability for negligence); </w:t>
      </w:r>
      <w:r w:rsidRPr="00F94B7E">
        <w:rPr>
          <w:rFonts w:ascii="Times New Roman" w:eastAsia="Times New Roman" w:hAnsi="Times New Roman" w:cs="Times New Roman"/>
          <w:i/>
          <w:iCs/>
        </w:rPr>
        <w:t>Turner v. Caldwell</w:t>
      </w:r>
      <w:r w:rsidRPr="00F94B7E">
        <w:rPr>
          <w:rFonts w:ascii="Times New Roman" w:eastAsia="Times New Roman" w:hAnsi="Times New Roman" w:cs="Times New Roman"/>
        </w:rPr>
        <w:t xml:space="preserve">, 421 A.2d 876 (Conn. Super. Ct. 1980) (refusing to accept a temporary insanity defense in automobile accidents); </w:t>
      </w:r>
      <w:r w:rsidRPr="00F94B7E">
        <w:rPr>
          <w:rFonts w:ascii="Times New Roman" w:eastAsia="Times New Roman" w:hAnsi="Times New Roman" w:cs="Times New Roman"/>
          <w:i/>
          <w:iCs/>
        </w:rPr>
        <w:t>Kuhn v. Zabotsky</w:t>
      </w:r>
      <w:r w:rsidRPr="00F94B7E">
        <w:rPr>
          <w:rFonts w:ascii="Times New Roman" w:eastAsia="Times New Roman" w:hAnsi="Times New Roman" w:cs="Times New Roman"/>
        </w:rPr>
        <w:t>, 224 N.E.2d 137 (Ohio 1967) (holding that a defendant who struck a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car could not use sudden mental illness as a defense). Far more common, however, is the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scenario, in which cases are resolved in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favor by reference to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foreknowledge of sudden disability or illness. </w:t>
      </w:r>
      <w:r w:rsidRPr="00F94B7E">
        <w:rPr>
          <w:rFonts w:ascii="Times New Roman" w:eastAsia="Times New Roman" w:hAnsi="Times New Roman" w:cs="Times New Roman"/>
          <w:i/>
          <w:iCs/>
        </w:rPr>
        <w:t>See Ramey v. Knorr</w:t>
      </w:r>
      <w:r w:rsidRPr="00F94B7E">
        <w:rPr>
          <w:rFonts w:ascii="Times New Roman" w:eastAsia="Times New Roman" w:hAnsi="Times New Roman" w:cs="Times New Roman"/>
        </w:rPr>
        <w:t xml:space="preserve">, 124 P.3d 314, 316 (Wash. App. 2005) (tortfeasor who wishes to plead sudden mental incapacity must establish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prior notice or forewarning of [his or her] potential for becoming disabled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Jankee v. Clark County</w:t>
      </w:r>
      <w:r w:rsidRPr="00F94B7E">
        <w:rPr>
          <w:rFonts w:ascii="Times New Roman" w:eastAsia="Times New Roman" w:hAnsi="Times New Roman" w:cs="Times New Roman"/>
        </w:rPr>
        <w:t xml:space="preserve">, 612 N.W.2d 297, 301-04 (Wis. 2000) (patient with notice of his manic depressive illness was contributorily negligent in injuries sustained after escaping from a mental health center). Note that the foreknowledge solution is not limited exclusively to </w:t>
      </w:r>
      <w:r w:rsidR="00D220D0">
        <w:rPr>
          <w:rFonts w:ascii="Times New Roman" w:eastAsia="Times New Roman" w:hAnsi="Times New Roman" w:cs="Times New Roman"/>
        </w:rPr>
        <w:t>mental illness</w:t>
      </w:r>
      <w:r w:rsidRPr="00F94B7E">
        <w:rPr>
          <w:rFonts w:ascii="Times New Roman" w:eastAsia="Times New Roman" w:hAnsi="Times New Roman" w:cs="Times New Roman"/>
        </w:rPr>
        <w:t xml:space="preserve"> or delusion cases. Certain cases relating to the standard of care for beginners might also be characterized as foreknowledge cases. </w:t>
      </w:r>
      <w:r w:rsidRPr="00F94B7E">
        <w:rPr>
          <w:rFonts w:ascii="Times New Roman" w:eastAsia="Times New Roman" w:hAnsi="Times New Roman" w:cs="Times New Roman"/>
          <w:i/>
          <w:iCs/>
        </w:rPr>
        <w:t>See Navailles v. Dielman</w:t>
      </w:r>
      <w:r w:rsidRPr="00F94B7E">
        <w:rPr>
          <w:rFonts w:ascii="Times New Roman" w:eastAsia="Times New Roman" w:hAnsi="Times New Roman" w:cs="Times New Roman"/>
        </w:rPr>
        <w:t xml:space="preserve">, 50 So. 449, 450 (La. 1909) (holding that the defendant, an inexperienced driver, could be held liable for his negligence because 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ventured upon the streets in an automobile without knowing how to make an emergency stop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t>
      </w:r>
    </w:p>
    <w:p w14:paraId="766C7EC4" w14:textId="77777777" w:rsidR="00C22B24" w:rsidRDefault="00C22B24" w:rsidP="00C22B24">
      <w:pPr>
        <w:shd w:val="clear" w:color="auto" w:fill="FFFFFF"/>
        <w:textAlignment w:val="baseline"/>
        <w:rPr>
          <w:rFonts w:ascii="Times New Roman" w:hAnsi="Times New Roman" w:cs="Times New Roman"/>
        </w:rPr>
      </w:pPr>
    </w:p>
    <w:p w14:paraId="3B48173F" w14:textId="77777777" w:rsidR="00C22B24" w:rsidRPr="00920B12" w:rsidRDefault="00C22B24" w:rsidP="00C22B24">
      <w:pPr>
        <w:shd w:val="clear" w:color="auto" w:fill="FFFFFF"/>
        <w:textAlignment w:val="baseline"/>
        <w:rPr>
          <w:rFonts w:ascii="Times New Roman" w:hAnsi="Times New Roman" w:cs="Times New Roman"/>
        </w:rPr>
      </w:pPr>
    </w:p>
    <w:p w14:paraId="57B0910B" w14:textId="452E26ED" w:rsidR="00C22B24" w:rsidRPr="00F94B7E" w:rsidRDefault="750671CE" w:rsidP="00F94B7E">
      <w:pPr>
        <w:pStyle w:val="ListParagraph"/>
        <w:numPr>
          <w:ilvl w:val="0"/>
          <w:numId w:val="86"/>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Sudden physical ailments?</w:t>
      </w:r>
      <w:r w:rsidRPr="00F94B7E">
        <w:rPr>
          <w:rFonts w:ascii="Times New Roman" w:eastAsia="Times New Roman" w:hAnsi="Times New Roman" w:cs="Times New Roman"/>
        </w:rPr>
        <w:t xml:space="preserve">  The Wisconsin Supreme Court has applied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narrowly in subsequent decisions. </w:t>
      </w:r>
      <w:r w:rsidRPr="00F94B7E">
        <w:rPr>
          <w:rFonts w:ascii="Times New Roman" w:eastAsia="Times New Roman" w:hAnsi="Times New Roman" w:cs="Times New Roman"/>
          <w:i/>
          <w:iCs/>
        </w:rPr>
        <w:t>See Burch v. American Family Mut. Ins. Co.</w:t>
      </w:r>
      <w:r w:rsidRPr="00F94B7E">
        <w:rPr>
          <w:rFonts w:ascii="Times New Roman" w:eastAsia="Times New Roman" w:hAnsi="Times New Roman" w:cs="Times New Roman"/>
        </w:rPr>
        <w:t>, 543 N.W.2d 277, 281 (Wis. 1996) (holding that a developmentally disabled defendant driver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mental capacity was not relevant to determining her liability for negligence). The Wisconsin Supreme Court has also stressed that the rule of special treatment for sudden </w:t>
      </w:r>
      <w:r w:rsidR="005C5DDC">
        <w:rPr>
          <w:rFonts w:ascii="Times New Roman" w:eastAsia="Times New Roman" w:hAnsi="Times New Roman" w:cs="Times New Roman"/>
        </w:rPr>
        <w:t>mental illness</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is limited and that the objective standard of care generally applies in </w:t>
      </w:r>
      <w:r w:rsidR="005C5DDC">
        <w:rPr>
          <w:rFonts w:ascii="Times New Roman" w:eastAsia="Times New Roman" w:hAnsi="Times New Roman" w:cs="Times New Roman"/>
        </w:rPr>
        <w:t>mental illness</w:t>
      </w:r>
      <w:r w:rsidRPr="00F94B7E">
        <w:rPr>
          <w:rFonts w:ascii="Times New Roman" w:eastAsia="Times New Roman" w:hAnsi="Times New Roman" w:cs="Times New Roman"/>
        </w:rPr>
        <w:t xml:space="preserve"> cases. </w:t>
      </w:r>
      <w:r w:rsidRPr="00F94B7E">
        <w:rPr>
          <w:rFonts w:ascii="Times New Roman" w:eastAsia="Times New Roman" w:hAnsi="Times New Roman" w:cs="Times New Roman"/>
          <w:i/>
          <w:iCs/>
        </w:rPr>
        <w:t>See Jankee v. Clark County</w:t>
      </w:r>
      <w:r w:rsidRPr="00F94B7E">
        <w:rPr>
          <w:rFonts w:ascii="Times New Roman" w:eastAsia="Times New Roman" w:hAnsi="Times New Roman" w:cs="Times New Roman"/>
        </w:rPr>
        <w:t>, 612 N.W.2d 297, 314 (Wis. 2000).</w:t>
      </w:r>
    </w:p>
    <w:p w14:paraId="2BB945F0" w14:textId="77777777" w:rsidR="00C22B24" w:rsidRDefault="00C22B24" w:rsidP="00C22B24">
      <w:pPr>
        <w:shd w:val="clear" w:color="auto" w:fill="FFFFFF"/>
        <w:textAlignment w:val="baseline"/>
        <w:rPr>
          <w:rFonts w:ascii="Times New Roman" w:hAnsi="Times New Roman" w:cs="Times New Roman"/>
        </w:rPr>
      </w:pPr>
    </w:p>
    <w:p w14:paraId="7DBCD416" w14:textId="77777777" w:rsidR="00C22B24" w:rsidRPr="00920B12" w:rsidRDefault="00C22B24" w:rsidP="00C22B24">
      <w:pPr>
        <w:shd w:val="clear" w:color="auto" w:fill="FFFFFF"/>
        <w:textAlignment w:val="baseline"/>
        <w:rPr>
          <w:rFonts w:ascii="Times New Roman" w:hAnsi="Times New Roman" w:cs="Times New Roman"/>
        </w:rPr>
      </w:pPr>
    </w:p>
    <w:p w14:paraId="50215045" w14:textId="7AC55F0C" w:rsidR="00C22B24" w:rsidRPr="00F94B7E" w:rsidRDefault="750671CE" w:rsidP="00F94B7E">
      <w:pPr>
        <w:pStyle w:val="ListParagraph"/>
        <w:numPr>
          <w:ilvl w:val="0"/>
          <w:numId w:val="86"/>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rPr>
        <w:t xml:space="preserve">Is there a basis for distinguishing cases like </w:t>
      </w:r>
      <w:r w:rsidRPr="00F94B7E">
        <w:rPr>
          <w:rFonts w:ascii="Times New Roman" w:eastAsia="Times New Roman" w:hAnsi="Times New Roman" w:cs="Times New Roman"/>
          <w:i/>
          <w:iCs/>
        </w:rPr>
        <w:t>Breunig</w:t>
      </w:r>
      <w:r w:rsidRPr="00F94B7E">
        <w:rPr>
          <w:rFonts w:ascii="Times New Roman" w:eastAsia="Times New Roman" w:hAnsi="Times New Roman" w:cs="Times New Roman"/>
        </w:rPr>
        <w:t xml:space="preserve"> from cases like </w:t>
      </w:r>
      <w:r w:rsidRPr="00F94B7E">
        <w:rPr>
          <w:rFonts w:ascii="Times New Roman" w:eastAsia="Times New Roman" w:hAnsi="Times New Roman" w:cs="Times New Roman"/>
          <w:i/>
          <w:iCs/>
        </w:rPr>
        <w:t>Lehman v. Haynam</w:t>
      </w:r>
      <w:r w:rsidRPr="00F94B7E">
        <w:rPr>
          <w:rFonts w:ascii="Times New Roman" w:eastAsia="Times New Roman" w:hAnsi="Times New Roman" w:cs="Times New Roman"/>
        </w:rPr>
        <w:t>, 133 N.E.2d 97 (Ohio 1956), discussed in the notes above, in which defendants suffer from sudden physical ailments illnesses like epilepsy, heart attacks, or unconsciousness? What are the relevant considerations for sorting out an 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responsibility for injuries arising out of sudden and unanticipated conditions?</w:t>
      </w:r>
    </w:p>
    <w:p w14:paraId="29113FB5" w14:textId="77777777" w:rsidR="00C22B24" w:rsidRDefault="00C22B24" w:rsidP="00C22B24">
      <w:pPr>
        <w:shd w:val="clear" w:color="auto" w:fill="FFFFFF"/>
        <w:textAlignment w:val="baseline"/>
        <w:rPr>
          <w:rFonts w:ascii="Times New Roman" w:hAnsi="Times New Roman" w:cs="Times New Roman"/>
        </w:rPr>
      </w:pPr>
    </w:p>
    <w:p w14:paraId="15C5D806" w14:textId="77777777" w:rsidR="00C22B24" w:rsidRPr="00920B12" w:rsidRDefault="00C22B24" w:rsidP="00C22B24">
      <w:pPr>
        <w:shd w:val="clear" w:color="auto" w:fill="FFFFFF"/>
        <w:textAlignment w:val="baseline"/>
        <w:rPr>
          <w:rFonts w:ascii="Times New Roman" w:hAnsi="Times New Roman" w:cs="Times New Roman"/>
        </w:rPr>
      </w:pPr>
    </w:p>
    <w:p w14:paraId="61FD2CC7" w14:textId="26A99269" w:rsidR="00C22B24" w:rsidRPr="00F94B7E" w:rsidRDefault="750671CE" w:rsidP="00F94B7E">
      <w:pPr>
        <w:pStyle w:val="ListParagraph"/>
        <w:numPr>
          <w:ilvl w:val="0"/>
          <w:numId w:val="86"/>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rPr>
        <w:t>What if the party alleging negligence had notice of the allegedly negligent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condition?  Would that change the general treatment of </w:t>
      </w:r>
      <w:r w:rsidR="005C5DDC">
        <w:rPr>
          <w:rFonts w:ascii="Times New Roman" w:eastAsia="Times New Roman" w:hAnsi="Times New Roman" w:cs="Times New Roman"/>
        </w:rPr>
        <w:t>mental illness</w:t>
      </w:r>
      <w:r w:rsidRPr="00F94B7E">
        <w:rPr>
          <w:rFonts w:ascii="Times New Roman" w:eastAsia="Times New Roman" w:hAnsi="Times New Roman" w:cs="Times New Roman"/>
        </w:rPr>
        <w:t>? Consider the next case:</w:t>
      </w:r>
    </w:p>
    <w:p w14:paraId="48ABBCE3" w14:textId="24F713BD" w:rsidR="00BA0F87" w:rsidRDefault="00BA0F87">
      <w:pPr>
        <w:rPr>
          <w:rFonts w:ascii="Times New Roman" w:hAnsi="Times New Roman" w:cs="Times New Roman"/>
        </w:rPr>
      </w:pPr>
      <w:r>
        <w:rPr>
          <w:rFonts w:ascii="Times New Roman" w:hAnsi="Times New Roman" w:cs="Times New Roman"/>
        </w:rPr>
        <w:br w:type="page"/>
      </w:r>
    </w:p>
    <w:p w14:paraId="78E2CCD6" w14:textId="2FD91718" w:rsidR="00A76B62" w:rsidRPr="00920B12" w:rsidRDefault="00A76B62" w:rsidP="750671CE">
      <w:pPr>
        <w:shd w:val="clear" w:color="auto" w:fill="FFFFFF" w:themeFill="background1"/>
        <w:textAlignment w:val="baseline"/>
        <w:rPr>
          <w:rFonts w:ascii="Times New Roman" w:eastAsia="Times New Roman" w:hAnsi="Times New Roman" w:cs="Times New Roman"/>
        </w:rPr>
      </w:pPr>
      <w:bookmarkStart w:id="217" w:name="_Toc518323276"/>
      <w:r w:rsidRPr="00A76B62">
        <w:rPr>
          <w:rStyle w:val="Heading4Char"/>
        </w:rPr>
        <w:lastRenderedPageBreak/>
        <w:t>Gould v. American Family Mut. Ins. Co</w:t>
      </w:r>
      <w:bookmarkEnd w:id="217"/>
      <w:r w:rsidRPr="750671CE">
        <w:rPr>
          <w:rFonts w:ascii="Times New Roman" w:eastAsia="Times New Roman" w:hAnsi="Times New Roman" w:cs="Times New Roman"/>
          <w:b/>
          <w:bCs/>
        </w:rPr>
        <w:t>., 543 N.W.2d 282 (Wis. 2000)</w:t>
      </w:r>
    </w:p>
    <w:p w14:paraId="7F7A2E32" w14:textId="77777777" w:rsidR="00C22B24" w:rsidRPr="00920B12" w:rsidRDefault="00C22B24" w:rsidP="00C22B24">
      <w:pPr>
        <w:shd w:val="clear" w:color="auto" w:fill="FFFFFF"/>
        <w:textAlignment w:val="baseline"/>
        <w:rPr>
          <w:rFonts w:ascii="Times New Roman" w:hAnsi="Times New Roman" w:cs="Times New Roman"/>
        </w:rPr>
      </w:pPr>
    </w:p>
    <w:p w14:paraId="62E89ED4" w14:textId="3A2AE3DC"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smallCaps/>
        </w:rPr>
        <w:t>Bradley, J</w:t>
      </w:r>
      <w:r w:rsidRPr="750671CE">
        <w:rPr>
          <w:rFonts w:ascii="Times New Roman" w:eastAsia="Times New Roman" w:hAnsi="Times New Roman" w:cs="Times New Roman"/>
        </w:rPr>
        <w:t>. . . .  The judgment imposed liability against American Family for personal injuries caused by its insured, Roland Monicken, who was institutionalized suffering from Alzheimer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disease. . . . </w:t>
      </w:r>
    </w:p>
    <w:p w14:paraId="11222082" w14:textId="77777777" w:rsidR="00C22B24" w:rsidRPr="00920B12" w:rsidRDefault="00C22B24" w:rsidP="00C22B24">
      <w:pPr>
        <w:shd w:val="clear" w:color="auto" w:fill="FFFFFF"/>
        <w:textAlignment w:val="baseline"/>
        <w:rPr>
          <w:rFonts w:ascii="Times New Roman" w:hAnsi="Times New Roman" w:cs="Times New Roman"/>
        </w:rPr>
      </w:pPr>
    </w:p>
    <w:p w14:paraId="6545C782" w14:textId="62623838"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Monicken was diagnosed with Alzheimer</w:t>
      </w:r>
      <w:r w:rsidR="00B05F31">
        <w:rPr>
          <w:rFonts w:ascii="Times New Roman" w:eastAsia="Times New Roman" w:hAnsi="Times New Roman" w:cs="Times New Roman"/>
        </w:rPr>
        <w:t>’</w:t>
      </w:r>
      <w:r w:rsidRPr="750671CE">
        <w:rPr>
          <w:rFonts w:ascii="Times New Roman" w:eastAsia="Times New Roman" w:hAnsi="Times New Roman" w:cs="Times New Roman"/>
        </w:rPr>
        <w:t>s disease after displaying bizarre and irrational behavior. As a result of his deteriorating condition, his family was later forced to admit him to the St. Croix Health Care Center. Sheri Gould [the plaintiff] was the head nurse of the center</w:t>
      </w:r>
      <w:r w:rsidR="00B05F31">
        <w:rPr>
          <w:rFonts w:ascii="Times New Roman" w:eastAsia="Times New Roman" w:hAnsi="Times New Roman" w:cs="Times New Roman"/>
        </w:rPr>
        <w:t>’</w:t>
      </w:r>
      <w:r w:rsidRPr="750671CE">
        <w:rPr>
          <w:rFonts w:ascii="Times New Roman" w:eastAsia="Times New Roman" w:hAnsi="Times New Roman" w:cs="Times New Roman"/>
        </w:rPr>
        <w:t>s dementia unit and took care of him on several occasions.</w:t>
      </w:r>
    </w:p>
    <w:p w14:paraId="4103AD7A" w14:textId="77777777" w:rsidR="00C22B24" w:rsidRPr="00920B12" w:rsidRDefault="00C22B24" w:rsidP="00C22B24">
      <w:pPr>
        <w:shd w:val="clear" w:color="auto" w:fill="FFFFFF"/>
        <w:textAlignment w:val="baseline"/>
        <w:rPr>
          <w:rFonts w:ascii="Times New Roman" w:hAnsi="Times New Roman" w:cs="Times New Roman"/>
        </w:rPr>
      </w:pPr>
    </w:p>
    <w:p w14:paraId="78ABB839" w14:textId="508A7242" w:rsidR="00C22B24" w:rsidRPr="00717B4D" w:rsidRDefault="750671CE" w:rsidP="750671CE">
      <w:pPr>
        <w:shd w:val="clear" w:color="auto" w:fill="FFFFFF" w:themeFill="background1"/>
        <w:ind w:firstLine="720"/>
        <w:textAlignment w:val="baseline"/>
        <w:rPr>
          <w:rFonts w:ascii="Times New Roman" w:eastAsia="Times New Roman" w:hAnsi="Times New Roman" w:cs="Times New Roman"/>
          <w:b/>
          <w:bCs/>
          <w:u w:val="single"/>
        </w:rPr>
      </w:pPr>
      <w:r w:rsidRPr="750671CE">
        <w:rPr>
          <w:rFonts w:ascii="Times New Roman" w:eastAsia="Times New Roman" w:hAnsi="Times New Roman" w:cs="Times New Roman"/>
        </w:rPr>
        <w:t>Monicken</w:t>
      </w:r>
      <w:r w:rsidR="00B05F31">
        <w:rPr>
          <w:rFonts w:ascii="Times New Roman" w:eastAsia="Times New Roman" w:hAnsi="Times New Roman" w:cs="Times New Roman"/>
        </w:rPr>
        <w:t>’</w:t>
      </w:r>
      <w:r w:rsidRPr="750671CE">
        <w:rPr>
          <w:rFonts w:ascii="Times New Roman" w:eastAsia="Times New Roman" w:hAnsi="Times New Roman" w:cs="Times New Roman"/>
        </w:rPr>
        <w:t>s records from St. Croix indicate that he was often disoriented, resistant to care, and occasionally combative. When not physically restrained, he often went into other patients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920B12" w:rsidRDefault="00C22B24" w:rsidP="00C22B24">
      <w:pPr>
        <w:shd w:val="clear" w:color="auto" w:fill="FFFFFF"/>
        <w:textAlignment w:val="baseline"/>
        <w:rPr>
          <w:rFonts w:ascii="Times New Roman" w:hAnsi="Times New Roman" w:cs="Times New Roman"/>
          <w:b/>
          <w:bCs/>
          <w:u w:val="single"/>
          <w:bdr w:val="single" w:sz="6" w:space="0" w:color="0B9C00" w:frame="1"/>
          <w:shd w:val="clear" w:color="auto" w:fill="E4F9DF"/>
        </w:rPr>
      </w:pPr>
    </w:p>
    <w:p w14:paraId="735548F0" w14:textId="77777777" w:rsidR="00C22B24" w:rsidRPr="00920B12" w:rsidRDefault="00C22B24"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750671CE">
        <w:rPr>
          <w:rFonts w:ascii="Times New Roman" w:eastAsia="Times New Roman" w:hAnsi="Times New Roman" w:cs="Times New Roman"/>
          <w:bdr w:val="none" w:sz="0" w:space="0" w:color="auto" w:frame="1"/>
        </w:rPr>
        <w:t xml:space="preserve"> </w:t>
      </w:r>
    </w:p>
    <w:p w14:paraId="29DC1F64"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7CAD1112" w14:textId="7F874468" w:rsidR="00C22B24" w:rsidRPr="002A4B45" w:rsidRDefault="00C22B24"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In </w:t>
      </w:r>
      <w:r w:rsidRPr="750671CE">
        <w:rPr>
          <w:rFonts w:ascii="Times New Roman" w:eastAsia="Times New Roman" w:hAnsi="Times New Roman" w:cs="Times New Roman"/>
          <w:i/>
          <w:iCs/>
          <w:bdr w:val="none" w:sz="0" w:space="0" w:color="auto" w:frame="1"/>
        </w:rPr>
        <w:t>Breunig</w:t>
      </w:r>
      <w:r w:rsidRPr="750671CE">
        <w:rPr>
          <w:rFonts w:ascii="Times New Roman" w:eastAsia="Times New Roman" w:hAnsi="Times New Roman" w:cs="Times New Roman"/>
          <w:bdr w:val="none" w:sz="0" w:space="0" w:color="auto" w:frame="1"/>
        </w:rPr>
        <w:t xml:space="preserve">, [supra] . . . [t]his court created a limited exception to the common law rule, holding that insanity could be a defense in the rare case </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xml:space="preserve"> . . .</w:t>
      </w:r>
    </w:p>
    <w:p w14:paraId="1674E643"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1DB26299" w14:textId="5FCB6DD9" w:rsidR="00C22B24" w:rsidRPr="00920B12" w:rsidRDefault="00717B4D" w:rsidP="00F94B7E">
      <w:pPr>
        <w:pStyle w:val="blockquote"/>
      </w:pPr>
      <w:r w:rsidRPr="750671CE">
        <w:rPr>
          <w:bdr w:val="none" w:sz="0" w:space="0" w:color="auto" w:frame="1"/>
        </w:rPr>
        <w:t>[T]</w:t>
      </w:r>
      <w:r w:rsidR="00C22B24" w:rsidRPr="750671CE">
        <w:rPr>
          <w:bdr w:val="none" w:sz="0" w:space="0" w:color="auto" w:frame="1"/>
        </w:rPr>
        <w:t>he actual holding was very limited:</w:t>
      </w:r>
    </w:p>
    <w:p w14:paraId="5F7D3B48" w14:textId="77777777" w:rsidR="00C22B24" w:rsidRPr="00920B12" w:rsidRDefault="00C22B24" w:rsidP="00F94B7E">
      <w:pPr>
        <w:pStyle w:val="blockquote"/>
      </w:pPr>
    </w:p>
    <w:p w14:paraId="62581FBB" w14:textId="77777777" w:rsidR="00C22B24" w:rsidRPr="00920B12" w:rsidRDefault="00C22B24" w:rsidP="00F94B7E">
      <w:pPr>
        <w:pStyle w:val="blockquote"/>
      </w:pPr>
      <w:r w:rsidRPr="750671CE">
        <w:rPr>
          <w:bdr w:val="none" w:sz="0" w:space="0" w:color="auto" w:frame="1"/>
        </w:rPr>
        <w:t>All we hold is that</w:t>
      </w:r>
      <w:r w:rsidRPr="750671CE">
        <w:rPr>
          <w:b/>
          <w:bCs/>
          <w:i/>
          <w:iCs/>
          <w:bdr w:val="none" w:sz="0" w:space="0" w:color="auto" w:frame="1"/>
        </w:rPr>
        <w:t> </w:t>
      </w:r>
      <w:r w:rsidRPr="750671CE">
        <w:rPr>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920B12" w:rsidRDefault="00C22B24" w:rsidP="00C22B24">
      <w:pPr>
        <w:shd w:val="clear" w:color="auto" w:fill="FFFFFF"/>
        <w:ind w:left="720"/>
        <w:textAlignment w:val="baseline"/>
        <w:rPr>
          <w:rFonts w:ascii="Times New Roman" w:hAnsi="Times New Roman" w:cs="Times New Roman"/>
        </w:rPr>
      </w:pPr>
    </w:p>
    <w:p w14:paraId="080F6EC4" w14:textId="79F87E0D" w:rsidR="00C22B24" w:rsidRPr="00717B4D" w:rsidRDefault="00C22B24" w:rsidP="750671CE">
      <w:pPr>
        <w:rPr>
          <w:rFonts w:ascii="Times New Roman" w:eastAsia="Times New Roman" w:hAnsi="Times New Roman" w:cs="Times New Roman"/>
        </w:rPr>
      </w:pPr>
      <w:r w:rsidRPr="750671CE">
        <w:rPr>
          <w:rFonts w:ascii="Times New Roman" w:eastAsia="Times New Roman" w:hAnsi="Times New Roman" w:cs="Times New Roman"/>
          <w:i/>
          <w:iCs/>
          <w:bdr w:val="none" w:sz="0" w:space="0" w:color="auto" w:frame="1"/>
          <w:shd w:val="clear" w:color="auto" w:fill="FFFFFF"/>
        </w:rPr>
        <w:t>Breunig</w:t>
      </w:r>
      <w:r w:rsidR="00717B4D">
        <w:rPr>
          <w:rFonts w:ascii="Times New Roman" w:eastAsia="Times New Roman" w:hAnsi="Times New Roman" w:cs="Times New Roman"/>
          <w:bdr w:val="none" w:sz="0" w:space="0" w:color="auto" w:frame="1"/>
          <w:shd w:val="clear" w:color="auto" w:fill="FFFFFF"/>
        </w:rPr>
        <w:t>, 45 Wis. 2d at 544</w:t>
      </w:r>
      <w:r w:rsidRPr="750671CE">
        <w:rPr>
          <w:rFonts w:ascii="Times New Roman" w:eastAsia="Times New Roman" w:hAnsi="Times New Roman" w:cs="Times New Roman"/>
        </w:rPr>
        <w:t xml:space="preserve">. . . . </w:t>
      </w:r>
    </w:p>
    <w:p w14:paraId="5318FCEA" w14:textId="77777777" w:rsidR="00C22B24" w:rsidRPr="00920B12" w:rsidRDefault="00C22B24" w:rsidP="00C22B24">
      <w:pPr>
        <w:shd w:val="clear" w:color="auto" w:fill="FFFFFF"/>
        <w:textAlignment w:val="baseline"/>
        <w:rPr>
          <w:rFonts w:ascii="Times New Roman" w:hAnsi="Times New Roman" w:cs="Times New Roman"/>
        </w:rPr>
      </w:pPr>
    </w:p>
    <w:p w14:paraId="00AB8131" w14:textId="1B1409F3" w:rsidR="00C22B24" w:rsidRPr="00920B12" w:rsidRDefault="00C22B24"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750671CE">
        <w:rPr>
          <w:rFonts w:ascii="Times New Roman" w:eastAsia="Times New Roman" w:hAnsi="Times New Roman" w:cs="Times New Roman"/>
        </w:rPr>
        <w:t>It is undisputed that Gould, as head nurse of the dementia unit, knew Monicken was diagnosed with Alzheimer</w:t>
      </w:r>
      <w:r w:rsidR="00B05F31">
        <w:rPr>
          <w:rFonts w:ascii="Times New Roman" w:eastAsia="Times New Roman" w:hAnsi="Times New Roman" w:cs="Times New Roman"/>
        </w:rPr>
        <w:t>’</w:t>
      </w:r>
      <w:r w:rsidRPr="750671CE">
        <w:rPr>
          <w:rFonts w:ascii="Times New Roman" w:eastAsia="Times New Roman" w:hAnsi="Times New Roman" w:cs="Times New Roman"/>
        </w:rPr>
        <w:t>s disease and was aware of his disorientation and his potential for violent outbursts. Her own notes indicate that Monicken was angry and resisted being removed from another patient</w:t>
      </w:r>
      <w:r w:rsidR="00B05F31">
        <w:rPr>
          <w:rFonts w:ascii="Times New Roman" w:eastAsia="Times New Roman" w:hAnsi="Times New Roman" w:cs="Times New Roman"/>
        </w:rPr>
        <w:t>’</w:t>
      </w:r>
      <w:r w:rsidRPr="750671CE">
        <w:rPr>
          <w:rFonts w:ascii="Times New Roman" w:eastAsia="Times New Roman" w:hAnsi="Times New Roman" w:cs="Times New Roman"/>
        </w:rPr>
        <w:t>s room on the day of her injury.</w:t>
      </w:r>
    </w:p>
    <w:p w14:paraId="4E87E2A8" w14:textId="77777777" w:rsidR="00C22B24" w:rsidRPr="00920B12" w:rsidRDefault="00C22B24" w:rsidP="00C22B24">
      <w:pPr>
        <w:shd w:val="clear" w:color="auto" w:fill="FFFFFF"/>
        <w:textAlignment w:val="baseline"/>
        <w:rPr>
          <w:rFonts w:ascii="Times New Roman" w:hAnsi="Times New Roman" w:cs="Times New Roman"/>
        </w:rPr>
      </w:pPr>
    </w:p>
    <w:p w14:paraId="4E0F272A" w14:textId="035846A7" w:rsidR="00C22B24" w:rsidRPr="00920B12" w:rsidRDefault="00C22B24" w:rsidP="00F94B7E">
      <w:pPr>
        <w:shd w:val="clear" w:color="auto" w:fill="FFFFFF" w:themeFill="background1"/>
        <w:textAlignment w:val="baseline"/>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 . .</w:t>
      </w:r>
    </w:p>
    <w:p w14:paraId="365E5D49" w14:textId="77777777" w:rsidR="00C22B24" w:rsidRPr="00920B12" w:rsidRDefault="00C22B24" w:rsidP="00C22B24">
      <w:pPr>
        <w:shd w:val="clear" w:color="auto" w:fill="FFFFFF"/>
        <w:textAlignment w:val="baseline"/>
        <w:rPr>
          <w:rFonts w:ascii="Times New Roman" w:hAnsi="Times New Roman" w:cs="Times New Roman"/>
        </w:rPr>
      </w:pPr>
    </w:p>
    <w:p w14:paraId="5D2D89FE" w14:textId="33B97613" w:rsidR="00C22B24" w:rsidRPr="00920B12" w:rsidRDefault="00C22B24"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rPr>
          <w:rFonts w:ascii="Times New Roman" w:eastAsia="Times New Roman" w:hAnsi="Times New Roman" w:cs="Times New Roman"/>
        </w:rPr>
        <w:t>“</w:t>
      </w:r>
      <w:r w:rsidRPr="750671CE">
        <w:rPr>
          <w:rFonts w:ascii="Times New Roman" w:eastAsia="Times New Roman" w:hAnsi="Times New Roman" w:cs="Times New Roman"/>
        </w:rPr>
        <w:t>innocent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the risk involved. </w:t>
      </w:r>
      <w:r w:rsidRPr="750671CE">
        <w:rPr>
          <w:rFonts w:ascii="Times New Roman" w:eastAsia="Times New Roman" w:hAnsi="Times New Roman" w:cs="Times New Roman"/>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3713B243"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09AA77C7" w14:textId="77777777" w:rsidR="00C22B24" w:rsidRPr="00920B12" w:rsidRDefault="00C22B24">
      <w:pPr>
        <w:shd w:val="clear" w:color="auto" w:fill="FFFFFF"/>
        <w:textAlignment w:val="baseline"/>
        <w:rPr>
          <w:rFonts w:ascii="Times New Roman" w:hAnsi="Times New Roman" w:cs="Times New Roman"/>
          <w:bdr w:val="none" w:sz="0" w:space="0" w:color="auto" w:frame="1"/>
        </w:rPr>
      </w:pPr>
    </w:p>
    <w:p w14:paraId="6BC1D30D" w14:textId="7A4BF086" w:rsidR="00C22B24" w:rsidRPr="00920B12" w:rsidRDefault="00C22B24" w:rsidP="002502CC">
      <w:pPr>
        <w:pStyle w:val="Heading4"/>
        <w:rPr>
          <w:bdr w:val="none" w:sz="0" w:space="0" w:color="auto" w:frame="1"/>
        </w:rPr>
      </w:pPr>
      <w:bookmarkStart w:id="218" w:name="_Toc364636093"/>
      <w:bookmarkStart w:id="219" w:name="_Toc518323277"/>
      <w:r w:rsidRPr="00920B12">
        <w:rPr>
          <w:bdr w:val="none" w:sz="0" w:space="0" w:color="auto" w:frame="1"/>
        </w:rPr>
        <w:t>Note</w:t>
      </w:r>
      <w:r w:rsidR="002B28DF">
        <w:rPr>
          <w:bdr w:val="none" w:sz="0" w:space="0" w:color="auto" w:frame="1"/>
        </w:rPr>
        <w:t>s</w:t>
      </w:r>
      <w:bookmarkEnd w:id="218"/>
      <w:bookmarkEnd w:id="219"/>
    </w:p>
    <w:p w14:paraId="05CA77B0" w14:textId="77777777" w:rsidR="00C22B24" w:rsidRDefault="00C22B24">
      <w:pPr>
        <w:shd w:val="clear" w:color="auto" w:fill="FFFFFF"/>
        <w:textAlignment w:val="baseline"/>
        <w:rPr>
          <w:rFonts w:ascii="Times New Roman" w:hAnsi="Times New Roman" w:cs="Times New Roman"/>
          <w:bdr w:val="none" w:sz="0" w:space="0" w:color="auto" w:frame="1"/>
        </w:rPr>
      </w:pPr>
    </w:p>
    <w:p w14:paraId="5D381BD0" w14:textId="77777777" w:rsidR="00FB1320" w:rsidRPr="00920B12" w:rsidRDefault="00FB1320">
      <w:pPr>
        <w:shd w:val="clear" w:color="auto" w:fill="FFFFFF"/>
        <w:textAlignment w:val="baseline"/>
        <w:rPr>
          <w:rFonts w:ascii="Times New Roman" w:hAnsi="Times New Roman" w:cs="Times New Roman"/>
          <w:bdr w:val="none" w:sz="0" w:space="0" w:color="auto" w:frame="1"/>
        </w:rPr>
      </w:pPr>
    </w:p>
    <w:p w14:paraId="435E4605" w14:textId="6326E816" w:rsidR="00C22B24" w:rsidRPr="00F94B7E" w:rsidRDefault="003932F8" w:rsidP="00F94B7E">
      <w:pPr>
        <w:pStyle w:val="ListParagraph"/>
        <w:numPr>
          <w:ilvl w:val="0"/>
          <w:numId w:val="58"/>
        </w:numPr>
        <w:shd w:val="clear" w:color="auto" w:fill="FFFFFF" w:themeFill="background1"/>
        <w:ind w:left="0" w:firstLine="360"/>
        <w:textAlignment w:val="baseline"/>
        <w:rPr>
          <w:rFonts w:ascii="Times New Roman" w:eastAsia="Times New Roman" w:hAnsi="Times New Roman" w:cs="Times New Roman"/>
        </w:rPr>
      </w:pPr>
      <w:r>
        <w:rPr>
          <w:rFonts w:ascii="Times New Roman" w:eastAsia="Times New Roman" w:hAnsi="Times New Roman" w:cs="Times New Roman"/>
          <w:i/>
          <w:iCs/>
          <w:bdr w:val="none" w:sz="0" w:space="0" w:color="auto" w:frame="1"/>
        </w:rPr>
        <w:t>Mental illness</w:t>
      </w:r>
      <w:r w:rsidR="00C22B24" w:rsidRPr="00F94B7E">
        <w:rPr>
          <w:rFonts w:ascii="Times New Roman" w:eastAsia="Times New Roman" w:hAnsi="Times New Roman" w:cs="Times New Roman"/>
          <w:i/>
          <w:iCs/>
          <w:bdr w:val="none" w:sz="0" w:space="0" w:color="auto" w:frame="1"/>
        </w:rPr>
        <w:t xml:space="preserve"> and caretakers.</w:t>
      </w:r>
      <w:r w:rsidR="00C22B24" w:rsidRPr="00F94B7E">
        <w:rPr>
          <w:rFonts w:ascii="Times New Roman" w:eastAsia="Times New Roman" w:hAnsi="Times New Roman" w:cs="Times New Roman"/>
          <w:bdr w:val="none" w:sz="0" w:space="0" w:color="auto" w:frame="1"/>
        </w:rPr>
        <w:t xml:space="preserve">  Why immunize mentally disabled defendants from liability under such circumstances?  Would it be an alternative to make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s condition a relevant consideration in the inquiry into whether the defendant</w:t>
      </w:r>
      <w:r w:rsidR="00B05F31" w:rsidRPr="00F94B7E">
        <w:rPr>
          <w:rFonts w:ascii="Times New Roman" w:eastAsia="Times New Roman" w:hAnsi="Times New Roman" w:cs="Times New Roman"/>
          <w:bdr w:val="none" w:sz="0" w:space="0" w:color="auto" w:frame="1"/>
        </w:rPr>
        <w:t>’</w:t>
      </w:r>
      <w:r w:rsidR="00C22B24" w:rsidRPr="00F94B7E">
        <w:rPr>
          <w:rFonts w:ascii="Times New Roman" w:eastAsia="Times New Roman" w:hAnsi="Times New Roman" w:cs="Times New Roman"/>
          <w:bdr w:val="none" w:sz="0" w:space="0" w:color="auto" w:frame="1"/>
        </w:rPr>
        <w:t>s conduct was negligent?  Or, if it is nonsensical to describe such defendants as behaving reasonably or unreasonably, what about an approach that hinges the allocation of losses from caretaker injuries on whether the plaintiff caretaker had notice of the kind of conduct that injured her?</w:t>
      </w:r>
    </w:p>
    <w:p w14:paraId="4E225A41" w14:textId="77777777" w:rsidR="00D21852" w:rsidRDefault="00D21852" w:rsidP="00D21852">
      <w:pPr>
        <w:shd w:val="clear" w:color="auto" w:fill="FFFFFF" w:themeFill="background1"/>
        <w:textAlignment w:val="baseline"/>
        <w:rPr>
          <w:rFonts w:ascii="Times New Roman" w:eastAsia="Times New Roman" w:hAnsi="Times New Roman" w:cs="Times New Roman"/>
        </w:rPr>
      </w:pPr>
    </w:p>
    <w:p w14:paraId="4C8FDA9F" w14:textId="77777777" w:rsidR="00FB1320" w:rsidRDefault="00FB1320" w:rsidP="00D21852">
      <w:pPr>
        <w:shd w:val="clear" w:color="auto" w:fill="FFFFFF" w:themeFill="background1"/>
        <w:textAlignment w:val="baseline"/>
        <w:rPr>
          <w:rFonts w:ascii="Times New Roman" w:eastAsia="Times New Roman" w:hAnsi="Times New Roman" w:cs="Times New Roman"/>
        </w:rPr>
      </w:pPr>
    </w:p>
    <w:p w14:paraId="77BAAAE9" w14:textId="195328FA" w:rsidR="00B67515" w:rsidRPr="00F94B7E" w:rsidRDefault="00D21852" w:rsidP="00F94B7E">
      <w:pPr>
        <w:pStyle w:val="ListParagraph"/>
        <w:numPr>
          <w:ilvl w:val="0"/>
          <w:numId w:val="58"/>
        </w:numPr>
        <w:shd w:val="clear" w:color="auto" w:fill="FFFFFF" w:themeFill="background1"/>
        <w:ind w:left="0" w:firstLine="360"/>
        <w:textAlignment w:val="baseline"/>
        <w:rPr>
          <w:rFonts w:ascii="Times New Roman" w:eastAsia="Times New Roman" w:hAnsi="Times New Roman" w:cs="Times New Roman"/>
        </w:rPr>
      </w:pPr>
      <w:r>
        <w:rPr>
          <w:rFonts w:ascii="Times New Roman" w:hAnsi="Times New Roman" w:cs="Times New Roman"/>
          <w:i/>
        </w:rPr>
        <w:t xml:space="preserve">The </w:t>
      </w:r>
      <w:r w:rsidR="005804A9">
        <w:rPr>
          <w:rFonts w:ascii="Times New Roman" w:hAnsi="Times New Roman" w:cs="Times New Roman"/>
          <w:i/>
        </w:rPr>
        <w:t>r</w:t>
      </w:r>
      <w:r>
        <w:rPr>
          <w:rFonts w:ascii="Times New Roman" w:hAnsi="Times New Roman" w:cs="Times New Roman"/>
          <w:i/>
        </w:rPr>
        <w:t xml:space="preserve">easonable </w:t>
      </w:r>
      <w:r w:rsidR="005804A9">
        <w:rPr>
          <w:rFonts w:ascii="Times New Roman" w:hAnsi="Times New Roman" w:cs="Times New Roman"/>
          <w:i/>
        </w:rPr>
        <w:t>p</w:t>
      </w:r>
      <w:r>
        <w:rPr>
          <w:rFonts w:ascii="Times New Roman" w:hAnsi="Times New Roman" w:cs="Times New Roman"/>
          <w:i/>
        </w:rPr>
        <w:t xml:space="preserve">erson in the </w:t>
      </w:r>
      <w:r w:rsidR="005804A9">
        <w:rPr>
          <w:rFonts w:ascii="Times New Roman" w:hAnsi="Times New Roman" w:cs="Times New Roman"/>
          <w:i/>
        </w:rPr>
        <w:t>e</w:t>
      </w:r>
      <w:r>
        <w:rPr>
          <w:rFonts w:ascii="Times New Roman" w:hAnsi="Times New Roman" w:cs="Times New Roman"/>
          <w:i/>
        </w:rPr>
        <w:t xml:space="preserve">ra of </w:t>
      </w:r>
      <w:r w:rsidR="005804A9">
        <w:rPr>
          <w:rFonts w:ascii="Times New Roman" w:hAnsi="Times New Roman" w:cs="Times New Roman"/>
          <w:i/>
        </w:rPr>
        <w:t>b</w:t>
      </w:r>
      <w:r>
        <w:rPr>
          <w:rFonts w:ascii="Times New Roman" w:hAnsi="Times New Roman" w:cs="Times New Roman"/>
          <w:i/>
        </w:rPr>
        <w:t xml:space="preserve">ig </w:t>
      </w:r>
      <w:r w:rsidR="005804A9">
        <w:rPr>
          <w:rFonts w:ascii="Times New Roman" w:hAnsi="Times New Roman" w:cs="Times New Roman"/>
          <w:i/>
        </w:rPr>
        <w:t>d</w:t>
      </w:r>
      <w:r>
        <w:rPr>
          <w:rFonts w:ascii="Times New Roman" w:hAnsi="Times New Roman" w:cs="Times New Roman"/>
          <w:i/>
        </w:rPr>
        <w:t>ata</w:t>
      </w:r>
      <w:r>
        <w:rPr>
          <w:rFonts w:ascii="Times New Roman" w:hAnsi="Times New Roman" w:cs="Times New Roman"/>
        </w:rPr>
        <w:t xml:space="preserve">. Scholar Ariel Porat has argued that with the advent of “Big Data,” we now have the ability to develop standards of care tailored to each person in society and their </w:t>
      </w:r>
      <w:r w:rsidR="00DE32B2">
        <w:rPr>
          <w:rFonts w:ascii="Times New Roman" w:hAnsi="Times New Roman" w:cs="Times New Roman"/>
        </w:rPr>
        <w:t xml:space="preserve">particular </w:t>
      </w:r>
      <w:r>
        <w:rPr>
          <w:rFonts w:ascii="Times New Roman" w:hAnsi="Times New Roman" w:cs="Times New Roman"/>
        </w:rPr>
        <w:t>ability to reduce risk, which he calls the “reasonable you standard</w:t>
      </w:r>
      <w:r w:rsidR="00E30455">
        <w:rPr>
          <w:rFonts w:ascii="Times New Roman" w:hAnsi="Times New Roman" w:cs="Times New Roman"/>
        </w:rPr>
        <w:t>.</w:t>
      </w:r>
      <w:r>
        <w:rPr>
          <w:rFonts w:ascii="Times New Roman" w:hAnsi="Times New Roman" w:cs="Times New Roman"/>
        </w:rPr>
        <w:t xml:space="preserve">” Omri Ben-Shahar &amp; Ariel Porat, </w:t>
      </w:r>
      <w:r>
        <w:rPr>
          <w:rFonts w:ascii="Times New Roman" w:hAnsi="Times New Roman" w:cs="Times New Roman"/>
          <w:i/>
        </w:rPr>
        <w:t>Personalizing Negligence Law</w:t>
      </w:r>
      <w:r>
        <w:rPr>
          <w:rFonts w:ascii="Times New Roman" w:hAnsi="Times New Roman" w:cs="Times New Roman"/>
        </w:rPr>
        <w:t>, 91 N.Y.U. L</w:t>
      </w:r>
      <w:r w:rsidRPr="00F94B7E">
        <w:rPr>
          <w:rFonts w:ascii="Times New Roman" w:hAnsi="Times New Roman" w:cs="Times New Roman"/>
          <w:smallCaps/>
        </w:rPr>
        <w:t>. Rev.</w:t>
      </w:r>
      <w:r>
        <w:rPr>
          <w:rFonts w:ascii="Times New Roman" w:hAnsi="Times New Roman" w:cs="Times New Roman"/>
        </w:rPr>
        <w:t xml:space="preserve"> 627 (2016). For example, if a 65-year-old man hit a small child with his car while driving 35mph, rather than asking whether that was a reasonable speed for any driver, the “reasonable you” standard looks to Big Data to determine what speed is slow enough to enable a 65-year-old man to react in time to stop before hitting the child. </w:t>
      </w:r>
      <w:r>
        <w:rPr>
          <w:rFonts w:ascii="Times New Roman" w:hAnsi="Times New Roman" w:cs="Times New Roman"/>
          <w:i/>
        </w:rPr>
        <w:t>Id.</w:t>
      </w:r>
      <w:r>
        <w:rPr>
          <w:rFonts w:ascii="Times New Roman" w:hAnsi="Times New Roman" w:cs="Times New Roman"/>
        </w:rPr>
        <w:t xml:space="preserve"> at 630-32. But not all 65-year-olds have the same reflexes, so the standard could also incorporate the stop time for various vehicles</w:t>
      </w:r>
      <w:r w:rsidR="00E30455">
        <w:rPr>
          <w:rFonts w:ascii="Times New Roman" w:hAnsi="Times New Roman" w:cs="Times New Roman"/>
        </w:rPr>
        <w:t>—</w:t>
      </w:r>
      <w:r>
        <w:rPr>
          <w:rFonts w:ascii="Times New Roman" w:hAnsi="Times New Roman" w:cs="Times New Roman"/>
        </w:rPr>
        <w:t>the driver of a nimble sports car that can stop on a dime would therefore be treated differently than the driver of a clunky old truck—and so on. If the rationale for a universal “reasonable person” standard was the unknowability of the capacities of each individual, is it now out of date in the era of Big Data? Or does some other justification, such as setting society-wide norms, underlie the “reasonable person” standard?</w:t>
      </w:r>
    </w:p>
    <w:p w14:paraId="12B118AB" w14:textId="77777777" w:rsidR="00C22B24" w:rsidRPr="00B67515" w:rsidRDefault="00C22B24" w:rsidP="00F94B7E">
      <w:pPr>
        <w:pStyle w:val="ListParagraph"/>
        <w:shd w:val="clear" w:color="auto" w:fill="FFFFFF" w:themeFill="background1"/>
        <w:ind w:left="360"/>
        <w:textAlignment w:val="baseline"/>
        <w:rPr>
          <w:bdr w:val="none" w:sz="0" w:space="0" w:color="auto" w:frame="1"/>
        </w:rPr>
      </w:pPr>
      <w:bookmarkStart w:id="220" w:name="_Toc255579867"/>
    </w:p>
    <w:p w14:paraId="2F0C0C59" w14:textId="77777777" w:rsidR="00C22B24" w:rsidRPr="00920B12" w:rsidRDefault="00C22B24" w:rsidP="00C22B24">
      <w:pPr>
        <w:rPr>
          <w:rFonts w:ascii="Times New Roman" w:hAnsi="Times New Roman" w:cs="Times New Roman"/>
        </w:rPr>
      </w:pPr>
    </w:p>
    <w:p w14:paraId="7C427CF5" w14:textId="77777777" w:rsidR="00C22B24" w:rsidRPr="00136C14" w:rsidRDefault="00C22B24" w:rsidP="00322687">
      <w:pPr>
        <w:pStyle w:val="Heading3"/>
        <w:rPr>
          <w:bdr w:val="none" w:sz="0" w:space="0" w:color="auto" w:frame="1"/>
        </w:rPr>
      </w:pPr>
      <w:bookmarkStart w:id="221" w:name="_Toc364636094"/>
      <w:bookmarkStart w:id="222" w:name="_Toc518323278"/>
      <w:r>
        <w:rPr>
          <w:bdr w:val="none" w:sz="0" w:space="0" w:color="auto" w:frame="1"/>
        </w:rPr>
        <w:t>5</w:t>
      </w:r>
      <w:r w:rsidRPr="00136C14">
        <w:rPr>
          <w:bdr w:val="none" w:sz="0" w:space="0" w:color="auto" w:frame="1"/>
        </w:rPr>
        <w:t>.  Rationale</w:t>
      </w:r>
      <w:bookmarkEnd w:id="220"/>
      <w:r w:rsidRPr="00136C14">
        <w:rPr>
          <w:bdr w:val="none" w:sz="0" w:space="0" w:color="auto" w:frame="1"/>
        </w:rPr>
        <w:t>s for Choosing Between Subjective and Objective?</w:t>
      </w:r>
      <w:bookmarkEnd w:id="221"/>
      <w:bookmarkEnd w:id="222"/>
      <w:r w:rsidRPr="750671CE">
        <w:t xml:space="preserve"> </w:t>
      </w:r>
    </w:p>
    <w:p w14:paraId="1DC0BFE9"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068F1FB2" w14:textId="4FE8DB5E" w:rsidR="00C22B24" w:rsidRPr="00920B12" w:rsidRDefault="00C22B24"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 xml:space="preserve">Are there general considerations cutting across these cases on subjective and objective standards of care that explain why the law takes certain considerations into account, but not others?  </w:t>
      </w:r>
      <w:r w:rsidR="003D02FE">
        <w:rPr>
          <w:rFonts w:ascii="Times New Roman" w:eastAsia="Times New Roman" w:hAnsi="Times New Roman" w:cs="Times New Roman"/>
          <w:bdr w:val="none" w:sz="0" w:space="0" w:color="auto" w:frame="1"/>
        </w:rPr>
        <w:t xml:space="preserve">Professor Sarah </w:t>
      </w:r>
      <w:r w:rsidRPr="750671CE">
        <w:rPr>
          <w:rFonts w:ascii="Times New Roman" w:eastAsia="Times New Roman" w:hAnsi="Times New Roman" w:cs="Times New Roman"/>
          <w:bdr w:val="none" w:sz="0" w:space="0" w:color="auto" w:frame="1"/>
        </w:rPr>
        <w:t xml:space="preserve">Seo and </w:t>
      </w:r>
      <w:r w:rsidR="003D02FE">
        <w:rPr>
          <w:rFonts w:ascii="Times New Roman" w:eastAsia="Times New Roman" w:hAnsi="Times New Roman" w:cs="Times New Roman"/>
          <w:bdr w:val="none" w:sz="0" w:space="0" w:color="auto" w:frame="1"/>
        </w:rPr>
        <w:t xml:space="preserve">your author </w:t>
      </w:r>
      <w:r w:rsidRPr="750671CE">
        <w:rPr>
          <w:rFonts w:ascii="Times New Roman" w:eastAsia="Times New Roman" w:hAnsi="Times New Roman" w:cs="Times New Roman"/>
          <w:bdr w:val="none" w:sz="0" w:space="0" w:color="auto" w:frame="1"/>
        </w:rPr>
        <w:t xml:space="preserve">argue that common law judges have typically tried to allocate the obligation to take care to the party with the best information about the risks in question.  Call this the </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notice principle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judges ch</w:t>
      </w:r>
      <w:r w:rsidR="00075719" w:rsidRPr="750671CE">
        <w:rPr>
          <w:rFonts w:ascii="Times New Roman" w:eastAsia="Times New Roman" w:hAnsi="Times New Roman" w:cs="Times New Roman"/>
          <w:bdr w:val="none" w:sz="0" w:space="0" w:color="auto" w:frame="1"/>
        </w:rPr>
        <w:t>o</w:t>
      </w:r>
      <w:r w:rsidRPr="750671CE">
        <w:rPr>
          <w:rFonts w:ascii="Times New Roman" w:eastAsia="Times New Roman" w:hAnsi="Times New Roman" w:cs="Times New Roman"/>
          <w:bdr w:val="none" w:sz="0" w:space="0" w:color="auto" w:frame="1"/>
        </w:rPr>
        <w:t xml:space="preserve">ose </w:t>
      </w:r>
      <w:r w:rsidRPr="750671CE">
        <w:rPr>
          <w:rFonts w:ascii="Times New Roman" w:eastAsia="Times New Roman" w:hAnsi="Times New Roman" w:cs="Times New Roman"/>
          <w:bdr w:val="none" w:sz="0" w:space="0" w:color="auto" w:frame="1"/>
        </w:rPr>
        <w:lastRenderedPageBreak/>
        <w:t>between subjective and objective standard by asking which party had good information about the relevant disability and its likely risks in the relevan</w:t>
      </w:r>
      <w:r w:rsidR="00075719" w:rsidRPr="750671CE">
        <w:rPr>
          <w:rFonts w:ascii="Times New Roman" w:eastAsia="Times New Roman" w:hAnsi="Times New Roman" w:cs="Times New Roman"/>
          <w:bdr w:val="none" w:sz="0" w:space="0" w:color="auto" w:frame="1"/>
        </w:rPr>
        <w:t xml:space="preserve">t setting.  In nineteenth-century cases, </w:t>
      </w:r>
      <w:r w:rsidR="003D02FE">
        <w:rPr>
          <w:rFonts w:ascii="Times New Roman" w:eastAsia="Times New Roman" w:hAnsi="Times New Roman" w:cs="Times New Roman"/>
          <w:bdr w:val="none" w:sz="0" w:space="0" w:color="auto" w:frame="1"/>
        </w:rPr>
        <w:t>contend</w:t>
      </w:r>
      <w:r w:rsidRPr="750671CE">
        <w:rPr>
          <w:rFonts w:ascii="Times New Roman" w:eastAsia="Times New Roman" w:hAnsi="Times New Roman" w:cs="Times New Roman"/>
          <w:bdr w:val="none" w:sz="0" w:space="0" w:color="auto" w:frame="1"/>
        </w:rPr>
        <w:t xml:space="preserve"> Seo and Witt, </w:t>
      </w:r>
      <w:r w:rsidR="00075719" w:rsidRPr="750671CE">
        <w:rPr>
          <w:rFonts w:ascii="Times New Roman" w:eastAsia="Times New Roman" w:hAnsi="Times New Roman" w:cs="Times New Roman"/>
          <w:bdr w:val="none" w:sz="0" w:space="0" w:color="auto" w:frame="1"/>
        </w:rPr>
        <w:t>such a principle</w:t>
      </w:r>
      <w:r w:rsidRPr="750671CE">
        <w:rPr>
          <w:rFonts w:ascii="Times New Roman" w:eastAsia="Times New Roman" w:hAnsi="Times New Roman" w:cs="Times New Roman"/>
          <w:bdr w:val="none" w:sz="0" w:space="0" w:color="auto" w:frame="1"/>
        </w:rPr>
        <w:t xml:space="preserve"> </w:t>
      </w:r>
    </w:p>
    <w:p w14:paraId="3BBF9F2B"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414A149B" w14:textId="7B65A85B" w:rsidR="00C22B24" w:rsidRPr="00920B12" w:rsidRDefault="750671CE" w:rsidP="00F94B7E">
      <w:pPr>
        <w:pStyle w:val="blockquote"/>
      </w:pPr>
      <w:r w:rsidRPr="750671CE">
        <w:t>essentially worked as a burden-shifting rule from the objective to the subjective standard when one party was on notice or was aware of another</w:t>
      </w:r>
      <w:r w:rsidR="00B05F31">
        <w:t>’</w:t>
      </w:r>
      <w:r w:rsidRPr="750671CE">
        <w:t>s disability.  For instance, if a train conductor noticed that a pedestrian suffered from a mental illness that prevented exercise of requisite care when crossing the tracks, then it became the conductor</w:t>
      </w:r>
      <w:r w:rsidR="00B05F31">
        <w:t>’</w:t>
      </w:r>
      <w:r w:rsidRPr="750671CE">
        <w:t>s duty to take more care than the objective standard required to avoid a collision; and in the case of an accident, the pedestrian 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52054BEF" w14:textId="77777777" w:rsidR="00C22B24" w:rsidRPr="00920B12" w:rsidRDefault="00C22B24" w:rsidP="00F94B7E">
      <w:pPr>
        <w:pStyle w:val="blockquote"/>
      </w:pPr>
    </w:p>
    <w:p w14:paraId="303EF08F" w14:textId="77777777" w:rsidR="00C22B24" w:rsidRPr="00920B12" w:rsidRDefault="750671CE" w:rsidP="00F94B7E">
      <w:pPr>
        <w:pStyle w:val="blockquote"/>
      </w:pPr>
      <w:r w:rsidRPr="750671CE">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799F6487" w14:textId="77777777" w:rsidR="00C22B24" w:rsidRPr="00920B12" w:rsidRDefault="00C22B24" w:rsidP="00C22B24">
      <w:pPr>
        <w:shd w:val="clear" w:color="auto" w:fill="FFFFFF"/>
        <w:textAlignment w:val="baseline"/>
        <w:rPr>
          <w:rFonts w:ascii="Times New Roman" w:hAnsi="Times New Roman" w:cs="Times New Roman"/>
          <w:bdr w:val="none" w:sz="0" w:space="0" w:color="auto" w:frame="1"/>
        </w:rPr>
      </w:pPr>
    </w:p>
    <w:p w14:paraId="72E0934A" w14:textId="7B1D465F" w:rsidR="00C22B24" w:rsidRPr="00920B12" w:rsidRDefault="00C22B24" w:rsidP="750671CE">
      <w:pPr>
        <w:pStyle w:val="NoSpacing"/>
        <w:rPr>
          <w:rFonts w:ascii="Times New Roman" w:eastAsia="Times New Roman" w:hAnsi="Times New Roman" w:cs="Times New Roman"/>
        </w:rPr>
      </w:pPr>
      <w:r w:rsidRPr="750671CE">
        <w:rPr>
          <w:rFonts w:ascii="Times New Roman" w:eastAsia="Times New Roman" w:hAnsi="Times New Roman" w:cs="Times New Roman"/>
        </w:rPr>
        <w:t>Sarah A. Seo &amp; John Fabian Witt</w:t>
      </w:r>
      <w:r w:rsidRPr="750671CE">
        <w:rPr>
          <w:rFonts w:ascii="Times New Roman" w:eastAsia="Times New Roman" w:hAnsi="Times New Roman" w:cs="Times New Roman"/>
          <w:b/>
          <w:bCs/>
          <w:bdr w:val="none" w:sz="0" w:space="0" w:color="auto" w:frame="1"/>
        </w:rPr>
        <w:t xml:space="preserve">, </w:t>
      </w:r>
      <w:r w:rsidRPr="750671CE">
        <w:rPr>
          <w:rFonts w:ascii="Times New Roman" w:eastAsia="Times New Roman" w:hAnsi="Times New Roman" w:cs="Times New Roman"/>
          <w:i/>
          <w:iCs/>
          <w:bdr w:val="none" w:sz="0" w:space="0" w:color="auto" w:frame="1"/>
        </w:rPr>
        <w:t xml:space="preserve">The Metaphysics of the Mind and </w:t>
      </w:r>
      <w:r w:rsidRPr="750671CE">
        <w:rPr>
          <w:rFonts w:ascii="Times New Roman" w:eastAsia="Times New Roman" w:hAnsi="Times New Roman" w:cs="Times New Roman"/>
          <w:i/>
          <w:iCs/>
        </w:rPr>
        <w:t>the</w:t>
      </w:r>
      <w:r w:rsidRPr="750671CE">
        <w:rPr>
          <w:rFonts w:ascii="Times New Roman" w:eastAsia="Times New Roman" w:hAnsi="Times New Roman" w:cs="Times New Roman"/>
          <w:i/>
          <w:iCs/>
          <w:bdr w:val="none" w:sz="0" w:space="0" w:color="auto" w:frame="1"/>
        </w:rPr>
        <w:t xml:space="preserve"> Practical Science of the Law</w:t>
      </w:r>
      <w:r w:rsidRPr="750671CE">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rPr>
        <w:t xml:space="preserve"> 26 </w:t>
      </w:r>
      <w:r w:rsidRPr="750671CE">
        <w:rPr>
          <w:rFonts w:ascii="Times New Roman" w:eastAsia="Times New Roman" w:hAnsi="Times New Roman" w:cs="Times New Roman"/>
          <w:smallCaps/>
        </w:rPr>
        <w:t>L. &amp; Hist. Rev.</w:t>
      </w:r>
      <w:r w:rsidRPr="750671CE">
        <w:rPr>
          <w:rFonts w:ascii="Times New Roman" w:eastAsia="Times New Roman" w:hAnsi="Times New Roman" w:cs="Times New Roman"/>
        </w:rPr>
        <w:t xml:space="preserve"> 161, 165-66 (2006).  Recall that Holmes stated a version of the notice principle in a passage above: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When a man has </w:t>
      </w:r>
      <w:r w:rsidRPr="750671CE">
        <w:rPr>
          <w:rFonts w:ascii="Times New Roman" w:eastAsia="Times New Roman" w:hAnsi="Times New Roman" w:cs="Times New Roman"/>
          <w:i/>
          <w:iCs/>
        </w:rPr>
        <w:t>a distinct defect of such a nature that all can recognize it</w:t>
      </w:r>
      <w:r w:rsidRPr="750671CE">
        <w:rPr>
          <w:rFonts w:ascii="Times New Roman" w:eastAsia="Times New Roman" w:hAnsi="Times New Roman" w:cs="Times New Roman"/>
        </w:rPr>
        <w:t xml:space="preserve"> as making certain precautions impossible, he will not be held answerable for not taking them.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notice principle might make sense of the Restatement and </w:t>
      </w:r>
      <w:r w:rsidR="00717B4D" w:rsidRPr="750671CE">
        <w:rPr>
          <w:rFonts w:ascii="Times New Roman" w:eastAsia="Times New Roman" w:hAnsi="Times New Roman" w:cs="Times New Roman"/>
          <w:i/>
          <w:iCs/>
        </w:rPr>
        <w:t>Dellwo</w:t>
      </w:r>
      <w:r w:rsidRPr="750671CE">
        <w:rPr>
          <w:rFonts w:ascii="Times New Roman" w:eastAsia="Times New Roman" w:hAnsi="Times New Roman" w:cs="Times New Roman"/>
        </w:rPr>
        <w:t xml:space="preserve"> approach to cases involving youth as well.  (Recall that the </w:t>
      </w:r>
      <w:r w:rsidR="00717B4D" w:rsidRPr="750671CE">
        <w:rPr>
          <w:rFonts w:ascii="Times New Roman" w:eastAsia="Times New Roman" w:hAnsi="Times New Roman" w:cs="Times New Roman"/>
          <w:i/>
          <w:iCs/>
        </w:rPr>
        <w:t>Dellwo</w:t>
      </w:r>
      <w:r w:rsidRPr="750671CE">
        <w:rPr>
          <w:rFonts w:ascii="Times New Roman" w:eastAsia="Times New Roman" w:hAnsi="Times New Roman" w:cs="Times New Roman"/>
        </w:rPr>
        <w:t xml:space="preserve"> court specifically observed that the age of children engaged in driving, boating, or flying would not b</w:t>
      </w:r>
      <w:r w:rsidR="005A48FE" w:rsidRPr="750671CE">
        <w:rPr>
          <w:rFonts w:ascii="Times New Roman" w:eastAsia="Times New Roman" w:hAnsi="Times New Roman" w:cs="Times New Roman"/>
        </w:rPr>
        <w:t>e observable by third parties.)</w:t>
      </w:r>
    </w:p>
    <w:p w14:paraId="2C7F6EA7" w14:textId="77777777" w:rsidR="00C22B24" w:rsidRDefault="00C22B24" w:rsidP="00C22B24">
      <w:pPr>
        <w:pStyle w:val="NoSpacing"/>
        <w:rPr>
          <w:rFonts w:ascii="Times New Roman" w:hAnsi="Times New Roman" w:cs="Times New Roman"/>
        </w:rPr>
      </w:pPr>
    </w:p>
    <w:p w14:paraId="6C70391D" w14:textId="77777777" w:rsidR="00BD4562" w:rsidRPr="00BB0DAA" w:rsidRDefault="00BD4562" w:rsidP="00F94B7E">
      <w:pPr>
        <w:pStyle w:val="NoSpacing"/>
        <w:ind w:firstLine="720"/>
        <w:rPr>
          <w:rFonts w:ascii="Times New Roman" w:hAnsi="Times New Roman" w:cs="Times New Roman"/>
        </w:rPr>
      </w:pPr>
      <w:r>
        <w:rPr>
          <w:rFonts w:ascii="Times New Roman" w:hAnsi="Times New Roman" w:cs="Times New Roman"/>
        </w:rPr>
        <w:t>Tort law often takes different approaches to evaluating the reasonableness of conduct for plaintiffs and defendants. Avihay Dorfmann offers the following hypothetical:</w:t>
      </w:r>
    </w:p>
    <w:p w14:paraId="284BF6E3" w14:textId="77777777" w:rsidR="00BD4562" w:rsidRDefault="00BD4562" w:rsidP="00BD4562">
      <w:pPr>
        <w:rPr>
          <w:rFonts w:ascii="Times New Roman" w:eastAsia="Times New Roman" w:hAnsi="Times New Roman" w:cs="Times New Roman"/>
          <w:lang w:eastAsia="en-US"/>
        </w:rPr>
      </w:pPr>
    </w:p>
    <w:p w14:paraId="054B24EE" w14:textId="0B339579" w:rsidR="00BD4562" w:rsidRPr="00F41C62" w:rsidRDefault="00BD4562" w:rsidP="00F94B7E">
      <w:pPr>
        <w:ind w:left="720" w:right="720"/>
        <w:jc w:val="both"/>
        <w:rPr>
          <w:rFonts w:ascii="Times New Roman" w:eastAsia="Times New Roman" w:hAnsi="Times New Roman" w:cs="Times New Roman"/>
          <w:lang w:eastAsia="en-US"/>
        </w:rPr>
      </w:pPr>
      <w:r w:rsidRPr="00F41C62">
        <w:rPr>
          <w:rFonts w:ascii="Times New Roman" w:eastAsia="Times New Roman" w:hAnsi="Times New Roman" w:cs="Times New Roman"/>
          <w:lang w:eastAsia="en-US"/>
        </w:rPr>
        <w:t xml:space="preserve">(1)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w:t>
      </w:r>
      <w:r w:rsidRPr="00F41C62">
        <w:rPr>
          <w:rFonts w:ascii="Times New Roman" w:eastAsia="Times New Roman" w:hAnsi="Times New Roman" w:cs="Times New Roman"/>
          <w:lang w:eastAsia="en-US"/>
        </w:rPr>
        <w:lastRenderedPageBreak/>
        <w:t>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w:t>
      </w:r>
      <w:r>
        <w:rPr>
          <w:rFonts w:ascii="Times New Roman" w:eastAsia="Times New Roman" w:hAnsi="Times New Roman" w:cs="Times New Roman"/>
          <w:lang w:eastAsia="en-US"/>
        </w:rPr>
        <w:t>ed or even avoided altogether.</w:t>
      </w:r>
      <w:r w:rsidRPr="00F41C62">
        <w:rPr>
          <w:rFonts w:ascii="Times New Roman" w:eastAsia="Times New Roman" w:hAnsi="Times New Roman" w:cs="Times New Roman"/>
          <w:lang w:eastAsia="en-US"/>
        </w:rPr>
        <w:t xml:space="preserve"> For the sake of clarity, suppose that the only risk produced by Roger </w:t>
      </w:r>
      <w:r w:rsidR="00F94B7E">
        <w:rPr>
          <w:rFonts w:ascii="Times New Roman" w:eastAsia="Times New Roman" w:hAnsi="Times New Roman" w:cs="Times New Roman"/>
          <w:lang w:eastAsia="en-US"/>
        </w:rPr>
        <w:t xml:space="preserve">[as] </w:t>
      </w:r>
      <w:r w:rsidRPr="00F41C62">
        <w:rPr>
          <w:rFonts w:ascii="Times New Roman" w:eastAsia="Times New Roman" w:hAnsi="Times New Roman" w:cs="Times New Roman"/>
          <w:lang w:eastAsia="en-US"/>
        </w:rPr>
        <w:t xml:space="preserve">the pedestrian is risk to </w:t>
      </w:r>
      <w:r>
        <w:rPr>
          <w:rFonts w:ascii="Times New Roman" w:eastAsia="Times New Roman" w:hAnsi="Times New Roman" w:cs="Times New Roman"/>
          <w:lang w:eastAsia="en-US"/>
        </w:rPr>
        <w:t>himself . . .</w:t>
      </w:r>
      <w:r w:rsidRPr="00F41C62">
        <w:rPr>
          <w:rFonts w:ascii="Times New Roman" w:eastAsia="Times New Roman" w:hAnsi="Times New Roman" w:cs="Times New Roman"/>
          <w:lang w:eastAsia="en-US"/>
        </w:rPr>
        <w:t xml:space="preserve"> </w:t>
      </w:r>
      <w:r w:rsidR="00E30455">
        <w:rPr>
          <w:rFonts w:ascii="Times New Roman" w:eastAsia="Times New Roman" w:hAnsi="Times New Roman" w:cs="Times New Roman"/>
          <w:lang w:eastAsia="en-US"/>
        </w:rPr>
        <w:t xml:space="preserve">. </w:t>
      </w:r>
      <w:r w:rsidRPr="00F41C62">
        <w:rPr>
          <w:rFonts w:ascii="Times New Roman" w:eastAsia="Times New Roman" w:hAnsi="Times New Roman" w:cs="Times New Roman"/>
          <w:lang w:eastAsia="en-US"/>
        </w:rPr>
        <w:t>In both cases, the conduct of Roger is assessed against the baseline of reasonableness. 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w:t>
      </w:r>
      <w:r>
        <w:rPr>
          <w:rFonts w:ascii="Times New Roman" w:eastAsia="Times New Roman" w:hAnsi="Times New Roman" w:cs="Times New Roman"/>
          <w:lang w:eastAsia="en-US"/>
        </w:rPr>
        <w:t>ry or comparatively negligent.</w:t>
      </w:r>
    </w:p>
    <w:p w14:paraId="2ED4765C" w14:textId="77777777" w:rsidR="00BD4562" w:rsidRDefault="00BD4562" w:rsidP="00BD4562">
      <w:pPr>
        <w:pStyle w:val="NoSpacing"/>
        <w:rPr>
          <w:rFonts w:ascii="Times New Roman" w:hAnsi="Times New Roman" w:cs="Times New Roman"/>
        </w:rPr>
      </w:pPr>
    </w:p>
    <w:p w14:paraId="3487F274" w14:textId="0A21D1FC" w:rsidR="00BD4562" w:rsidRDefault="00BD4562" w:rsidP="00C22B24">
      <w:pPr>
        <w:pStyle w:val="NoSpacing"/>
        <w:rPr>
          <w:rFonts w:ascii="Times New Roman" w:hAnsi="Times New Roman" w:cs="Times New Roman"/>
        </w:rPr>
      </w:pPr>
      <w:r>
        <w:rPr>
          <w:rFonts w:ascii="Times New Roman" w:hAnsi="Times New Roman" w:cs="Times New Roman"/>
        </w:rPr>
        <w:t xml:space="preserve">Avihay Dorfmann, </w:t>
      </w:r>
      <w:r w:rsidR="00E30455">
        <w:rPr>
          <w:rFonts w:ascii="Times New Roman" w:hAnsi="Times New Roman" w:cs="Times New Roman"/>
          <w:i/>
        </w:rPr>
        <w:t>Negligence</w:t>
      </w:r>
      <w:r>
        <w:rPr>
          <w:rFonts w:ascii="Times New Roman" w:hAnsi="Times New Roman" w:cs="Times New Roman"/>
          <w:i/>
        </w:rPr>
        <w:t xml:space="preserve"> and </w:t>
      </w:r>
      <w:r w:rsidR="00E30455">
        <w:rPr>
          <w:rFonts w:ascii="Times New Roman" w:hAnsi="Times New Roman" w:cs="Times New Roman"/>
          <w:i/>
        </w:rPr>
        <w:t>Accommodation</w:t>
      </w:r>
      <w:r>
        <w:rPr>
          <w:rFonts w:ascii="Times New Roman" w:hAnsi="Times New Roman" w:cs="Times New Roman"/>
        </w:rPr>
        <w:t>, Legal Theory (2017, forthcoming), at 6. How</w:t>
      </w:r>
      <w:r w:rsidR="00E30455">
        <w:rPr>
          <w:rFonts w:ascii="Times New Roman" w:hAnsi="Times New Roman" w:cs="Times New Roman"/>
        </w:rPr>
        <w:t>,</w:t>
      </w:r>
      <w:r>
        <w:rPr>
          <w:rFonts w:ascii="Times New Roman" w:hAnsi="Times New Roman" w:cs="Times New Roman"/>
        </w:rPr>
        <w:t xml:space="preserve"> then, should courts treat Roger’s age in each of these scenarios? Should his age work in his favor because in Scenario #1 it might excuse his behavior, or in Scenario #2 it may result in more costly injuries? Or, should his age work against him, obliging him to expend additional effort in order to meet a standard of reasonable care?  Dorfmann suggests that in the caselaw whether a subjective or objective test is used depends, without justification, on whether Roger is the plaintiff or the defendant. </w:t>
      </w:r>
      <w:r>
        <w:rPr>
          <w:rFonts w:ascii="Times New Roman" w:hAnsi="Times New Roman" w:cs="Times New Roman"/>
          <w:i/>
        </w:rPr>
        <w:t>Id.</w:t>
      </w:r>
      <w:r>
        <w:rPr>
          <w:rFonts w:ascii="Times New Roman" w:hAnsi="Times New Roman" w:cs="Times New Roman"/>
        </w:rPr>
        <w:t xml:space="preserve"> at 12. Are there underlying rationales that explain this asymmetry? </w:t>
      </w:r>
    </w:p>
    <w:p w14:paraId="29C8748B" w14:textId="77777777" w:rsidR="00C22B24" w:rsidRDefault="00C22B24" w:rsidP="00C22B24">
      <w:pPr>
        <w:tabs>
          <w:tab w:val="left" w:pos="3389"/>
        </w:tabs>
        <w:rPr>
          <w:rFonts w:ascii="Times New Roman" w:hAnsi="Times New Roman" w:cs="Times New Roman"/>
        </w:rPr>
      </w:pPr>
    </w:p>
    <w:p w14:paraId="4BC41AD9" w14:textId="77777777" w:rsidR="00C22B24" w:rsidRDefault="00C22B24" w:rsidP="00C22B24">
      <w:pPr>
        <w:rPr>
          <w:rFonts w:ascii="Times New Roman" w:hAnsi="Times New Roman" w:cs="Times New Roman"/>
          <w:b/>
        </w:rPr>
      </w:pPr>
    </w:p>
    <w:p w14:paraId="3D46D804" w14:textId="77777777" w:rsidR="00C22B24" w:rsidRPr="00CD1B9F" w:rsidRDefault="00C22B24" w:rsidP="00322687">
      <w:pPr>
        <w:pStyle w:val="Heading3"/>
      </w:pPr>
      <w:bookmarkStart w:id="223" w:name="_Toc364636095"/>
      <w:bookmarkStart w:id="224" w:name="_Toc518323279"/>
      <w:r>
        <w:t>6</w:t>
      </w:r>
      <w:r w:rsidRPr="00CD1B9F">
        <w:t>.  Unreasonable Faiths?</w:t>
      </w:r>
      <w:bookmarkEnd w:id="223"/>
      <w:bookmarkEnd w:id="224"/>
    </w:p>
    <w:p w14:paraId="61D9DB7B" w14:textId="77777777" w:rsidR="00C22B24" w:rsidRDefault="00C22B24" w:rsidP="00C22B24">
      <w:pPr>
        <w:ind w:firstLine="720"/>
        <w:rPr>
          <w:rFonts w:ascii="Times New Roman" w:hAnsi="Times New Roman" w:cs="Times New Roman"/>
        </w:rPr>
      </w:pPr>
    </w:p>
    <w:p w14:paraId="7DC5E934" w14:textId="661CF1CC" w:rsidR="00C22B24" w:rsidRPr="00780889"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Are a person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religious convictions relevant in determinations of reasonableness? Consider </w:t>
      </w:r>
      <w:r w:rsidRPr="750671CE">
        <w:rPr>
          <w:rFonts w:ascii="Times New Roman" w:eastAsia="Times New Roman" w:hAnsi="Times New Roman" w:cs="Times New Roman"/>
          <w:i/>
          <w:iCs/>
        </w:rPr>
        <w:t>Friedman v. New York</w:t>
      </w:r>
      <w:r w:rsidRPr="750671CE">
        <w:rPr>
          <w:rFonts w:ascii="Times New Roman" w:eastAsia="Times New Roman" w:hAnsi="Times New Roman" w:cs="Times New Roman"/>
        </w:rPr>
        <w:t>, 282 N.Y.S.2d 858 (N.Y. Ct. Cl. 1967). Stranded on a broken chair lift with her male co-worker as darkness was approaching and after screaming in vain for help, a sixteen-year-old Orthodox Jew named Ruth Friedman jumped off the ski lift, fell 20-25 feet</w:t>
      </w:r>
      <w:r w:rsidR="00E30455">
        <w:rPr>
          <w:rFonts w:ascii="Times New Roman" w:eastAsia="Times New Roman" w:hAnsi="Times New Roman" w:cs="Times New Roman"/>
        </w:rPr>
        <w:t>,</w:t>
      </w:r>
      <w:r w:rsidRPr="750671CE">
        <w:rPr>
          <w:rFonts w:ascii="Times New Roman" w:eastAsia="Times New Roman" w:hAnsi="Times New Roman" w:cs="Times New Roman"/>
        </w:rPr>
        <w:t xml:space="preserve"> and injured herself. Friedman sued the state of New York, which operated the ski lift, claiming damages. The state argued that Friedman had been contributorily negligent for jumping. Friedman countered that her belief in </w:t>
      </w:r>
      <w:r w:rsidR="00B05F31">
        <w:rPr>
          <w:rFonts w:ascii="Times New Roman" w:eastAsia="Times New Roman" w:hAnsi="Times New Roman" w:cs="Times New Roman"/>
        </w:rPr>
        <w:t>“</w:t>
      </w:r>
      <w:r w:rsidRPr="750671CE">
        <w:rPr>
          <w:rFonts w:ascii="Times New Roman" w:eastAsia="Times New Roman" w:hAnsi="Times New Roman" w:cs="Times New Roman"/>
        </w:rPr>
        <w:t>the Jichud, which absolutely forbids a woman to stay with a man in a place which is not available to a third person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compelled her to act as she did. </w:t>
      </w: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at 862. The court took into account her religious beliefs and found that she was not contributorily negligent. More recent cases have not been as accommodating of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religious beliefs. </w:t>
      </w:r>
      <w:r w:rsidRPr="750671CE">
        <w:rPr>
          <w:rFonts w:ascii="Times New Roman" w:eastAsia="Times New Roman" w:hAnsi="Times New Roman" w:cs="Times New Roman"/>
          <w:i/>
          <w:iCs/>
        </w:rPr>
        <w:t>See Munn v. Algee</w:t>
      </w:r>
      <w:r w:rsidRPr="750671CE">
        <w:rPr>
          <w:rFonts w:ascii="Times New Roman" w:eastAsia="Times New Roman" w:hAnsi="Times New Roman" w:cs="Times New Roman"/>
        </w:rPr>
        <w:t>, 924 F.2d 568 (5th Cir. 1991) (holding as a matter of Mississippi law that plaintiff</w:t>
      </w:r>
      <w:r w:rsidR="00B05F31">
        <w:rPr>
          <w:rFonts w:ascii="Times New Roman" w:eastAsia="Times New Roman" w:hAnsi="Times New Roman" w:cs="Times New Roman"/>
        </w:rPr>
        <w:t>’</w:t>
      </w:r>
      <w:r w:rsidRPr="750671CE">
        <w:rPr>
          <w:rFonts w:ascii="Times New Roman" w:eastAsia="Times New Roman" w:hAnsi="Times New Roman" w:cs="Times New Roman"/>
        </w:rPr>
        <w:t>s Jehovah</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Witness faith was irrelevant in determining the reasonableness of her decision to refuse blood transfusions); </w:t>
      </w:r>
      <w:r w:rsidRPr="750671CE">
        <w:rPr>
          <w:rFonts w:ascii="Times New Roman" w:eastAsia="Times New Roman" w:hAnsi="Times New Roman" w:cs="Times New Roman"/>
          <w:i/>
          <w:iCs/>
        </w:rPr>
        <w:t>Braverman v. Granger</w:t>
      </w:r>
      <w:r w:rsidRPr="750671CE">
        <w:rPr>
          <w:rFonts w:ascii="Times New Roman" w:eastAsia="Times New Roman" w:hAnsi="Times New Roman" w:cs="Times New Roman"/>
        </w:rPr>
        <w:t xml:space="preserve">, 844 N.W.2d 485, 496 (Mich. App. 2014) (holding that </w:t>
      </w:r>
      <w:r w:rsidR="00B05F31">
        <w:rPr>
          <w:rFonts w:ascii="Times New Roman" w:eastAsia="Times New Roman" w:hAnsi="Times New Roman" w:cs="Times New Roman"/>
        </w:rPr>
        <w:t>“</w:t>
      </w:r>
      <w:r w:rsidRPr="750671CE">
        <w:rPr>
          <w:rFonts w:ascii="Times New Roman" w:eastAsia="Times New Roman" w:hAnsi="Times New Roman" w:cs="Times New Roman"/>
        </w:rPr>
        <w:t>the proper inquiry is not [into] a person</w:t>
      </w:r>
      <w:r w:rsidR="00B05F31">
        <w:rPr>
          <w:rFonts w:ascii="Times New Roman" w:eastAsia="Times New Roman" w:hAnsi="Times New Roman" w:cs="Times New Roman"/>
        </w:rPr>
        <w:t>’</w:t>
      </w:r>
      <w:r w:rsidRPr="750671CE">
        <w:rPr>
          <w:rFonts w:ascii="Times New Roman" w:eastAsia="Times New Roman" w:hAnsi="Times New Roman" w:cs="Times New Roman"/>
        </w:rPr>
        <w:t>s subjective reasons [but rather] whether the blood transfusion was an objectively reasonable means to avoid or minimize damages</w:t>
      </w:r>
      <w:r w:rsidR="00B05F31">
        <w:rPr>
          <w:rFonts w:ascii="Times New Roman" w:eastAsia="Times New Roman" w:hAnsi="Times New Roman" w:cs="Times New Roman"/>
        </w:rPr>
        <w:t>”</w:t>
      </w:r>
      <w:r w:rsidRPr="750671CE">
        <w:rPr>
          <w:rFonts w:ascii="Times New Roman" w:eastAsia="Times New Roman" w:hAnsi="Times New Roman" w:cs="Times New Roman"/>
        </w:rPr>
        <w:t>). Would taking a party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religious beliefs into account require courts to engage in constitutionally problematic evaluations of the reasonableness of particular religious views? See, for example, </w:t>
      </w:r>
      <w:r w:rsidRPr="750671CE">
        <w:rPr>
          <w:rFonts w:ascii="Times New Roman" w:eastAsia="Times New Roman" w:hAnsi="Times New Roman" w:cs="Times New Roman"/>
          <w:i/>
          <w:iCs/>
        </w:rPr>
        <w:t>Williams v. Bright</w:t>
      </w:r>
      <w:r w:rsidRPr="750671CE">
        <w:rPr>
          <w:rFonts w:ascii="Times New Roman" w:eastAsia="Times New Roman" w:hAnsi="Times New Roman" w:cs="Times New Roman"/>
        </w:rPr>
        <w:t xml:space="preserve">, 658 N.Y.S.2d 910 (N.Y. App. Div. 1997), where the court ruled that instructing the jury to consider the </w:t>
      </w:r>
      <w:r w:rsidRPr="750671CE">
        <w:rPr>
          <w:rFonts w:ascii="Times New Roman" w:eastAsia="Times New Roman" w:hAnsi="Times New Roman" w:cs="Times New Roman"/>
        </w:rPr>
        <w:lastRenderedPageBreak/>
        <w:t>reasonableness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by reference to the tenets of her own religion would constitute a </w:t>
      </w:r>
      <w:r w:rsidR="00B05F31">
        <w:rPr>
          <w:rFonts w:ascii="Times New Roman" w:eastAsia="Times New Roman" w:hAnsi="Times New Roman" w:cs="Times New Roman"/>
        </w:rPr>
        <w:t>“</w:t>
      </w:r>
      <w:r w:rsidRPr="750671CE">
        <w:rPr>
          <w:rFonts w:ascii="Times New Roman" w:eastAsia="Times New Roman" w:hAnsi="Times New Roman" w:cs="Times New Roman"/>
        </w:rPr>
        <w:t>government endorsement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her religious beliefs. </w:t>
      </w:r>
    </w:p>
    <w:p w14:paraId="2C9062D5" w14:textId="77777777" w:rsidR="00C22B24" w:rsidRPr="00780889" w:rsidRDefault="00C22B24" w:rsidP="00C22B24">
      <w:pPr>
        <w:ind w:firstLine="720"/>
        <w:rPr>
          <w:rFonts w:ascii="Times New Roman" w:hAnsi="Times New Roman"/>
        </w:rPr>
      </w:pPr>
    </w:p>
    <w:p w14:paraId="3A2C516F" w14:textId="6F3F506A"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all of the cases above, injured plaintiffs asked that the reasonableness inquiry take into account the fact of their religious convictions. Should the inquiry be any different when defendants contend that faith led them to adopt what objectively would be a less than reasonable level of care? Some have argued that while subjective religious beliefs may sometimes be relevant to the inquiry into the reasonableness of a plaintiff-victim</w:t>
      </w:r>
      <w:r w:rsidR="00B05F31">
        <w:rPr>
          <w:rFonts w:ascii="Times New Roman" w:eastAsia="Times New Roman" w:hAnsi="Times New Roman" w:cs="Times New Roman"/>
        </w:rPr>
        <w:t>’</w:t>
      </w:r>
      <w:r w:rsidRPr="750671CE">
        <w:rPr>
          <w:rFonts w:ascii="Times New Roman" w:eastAsia="Times New Roman" w:hAnsi="Times New Roman" w:cs="Times New Roman"/>
        </w:rPr>
        <w:t>s conduct, such subjective beliefs ought not be taken into account in evaluating the reasonableness of a defendant-injurer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w:t>
      </w:r>
      <w:r w:rsidRPr="750671CE">
        <w:rPr>
          <w:rFonts w:ascii="Times New Roman" w:eastAsia="Times New Roman" w:hAnsi="Times New Roman" w:cs="Times New Roman"/>
          <w:i/>
          <w:iCs/>
        </w:rPr>
        <w:t xml:space="preserve">See </w:t>
      </w:r>
      <w:r w:rsidRPr="00F94B7E">
        <w:rPr>
          <w:rFonts w:ascii="Times New Roman" w:eastAsia="Times New Roman" w:hAnsi="Times New Roman" w:cs="Times New Roman"/>
          <w:smallCaps/>
        </w:rPr>
        <w:t>Guido Calabresi</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iCs/>
          <w:smallCaps/>
        </w:rPr>
        <w:t>Ideals, Beliefs, Attitudes, and the Law: Private Law Perspectives on a Public Law Problem</w:t>
      </w:r>
      <w:r w:rsidRPr="750671CE">
        <w:rPr>
          <w:rFonts w:ascii="Times New Roman" w:eastAsia="Times New Roman" w:hAnsi="Times New Roman" w:cs="Times New Roman"/>
        </w:rPr>
        <w:t xml:space="preserve"> 66 (1985); </w:t>
      </w:r>
      <w:r w:rsidRPr="750671CE">
        <w:rPr>
          <w:rFonts w:ascii="Times New Roman" w:eastAsia="Times New Roman" w:hAnsi="Times New Roman" w:cs="Times New Roman"/>
          <w:i/>
          <w:iCs/>
        </w:rPr>
        <w:t>see also Lange v. Hoyt</w:t>
      </w:r>
      <w:r w:rsidRPr="750671CE">
        <w:rPr>
          <w:rFonts w:ascii="Times New Roman" w:eastAsia="Times New Roman" w:hAnsi="Times New Roman" w:cs="Times New Roman"/>
        </w:rPr>
        <w:t>, 159 A. 575 (Conn. 1932) (assuming for purposes of argument that a Christian Scientist mother might be found negligent for failing to seek medical attention for her injured daughter). Does this distinction make sense? If accommodating plaintiff-victim A</w:t>
      </w:r>
      <w:r w:rsidR="00B05F31">
        <w:rPr>
          <w:rFonts w:ascii="Times New Roman" w:eastAsia="Times New Roman" w:hAnsi="Times New Roman" w:cs="Times New Roman"/>
        </w:rPr>
        <w:t>’</w:t>
      </w:r>
      <w:r w:rsidRPr="750671CE">
        <w:rPr>
          <w:rFonts w:ascii="Times New Roman" w:eastAsia="Times New Roman" w:hAnsi="Times New Roman" w:cs="Times New Roman"/>
        </w:rPr>
        <w:t>s subjective religious beliefs effectively shifts the costs of injuries caused by those beliefs to defendant-injurer B, isn</w:t>
      </w:r>
      <w:r w:rsidR="00B05F31">
        <w:rPr>
          <w:rFonts w:ascii="Times New Roman" w:eastAsia="Times New Roman" w:hAnsi="Times New Roman" w:cs="Times New Roman"/>
        </w:rPr>
        <w:t>’</w:t>
      </w:r>
      <w:r w:rsidRPr="750671CE">
        <w:rPr>
          <w:rFonts w:ascii="Times New Roman" w:eastAsia="Times New Roman" w:hAnsi="Times New Roman" w:cs="Times New Roman"/>
        </w:rPr>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DF6C7A" w:rsidRDefault="00C22B24" w:rsidP="00C22B24">
      <w:pPr>
        <w:ind w:firstLine="720"/>
        <w:rPr>
          <w:rFonts w:ascii="Times New Roman" w:hAnsi="Times New Roman"/>
        </w:rPr>
      </w:pPr>
    </w:p>
    <w:p w14:paraId="25238BF6" w14:textId="0DDBFDD1" w:rsidR="00C22B24" w:rsidRDefault="00C22B24" w:rsidP="750671CE">
      <w:pPr>
        <w:spacing w:after="24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shd w:val="clear" w:color="auto" w:fill="FFFFFF"/>
        </w:rPr>
        <w:t>The Religious Freedom Restoration Act, or RFRA, might be understood to require that tort law accommodate plaintiffs</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 and defendants</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 religious exercise equally.  RFRA, enacted in 1993, provides that </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[g]overnment shall not substantially burden a person</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s exercise of religion even if the burden results from a rule of general applicability</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 unless the government</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s actions are </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in furtherance of a compelling governmental interest and [are] the least restrictive means of furthering that . . . interest.</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 Religious Freedom Restoration Act, 42 U.S.C. § 2000bb-1 (2012). While Congress intended for RFRA to apply to both state and federal governments, the Supreme Court found RFRA as it applies to state governments unconstitutional on the grounds that such application was beyond Congress</w:t>
      </w:r>
      <w:r w:rsidR="00B05F31">
        <w:rPr>
          <w:rFonts w:ascii="Times New Roman" w:eastAsia="Times New Roman" w:hAnsi="Times New Roman" w:cs="Times New Roman"/>
          <w:color w:val="000000"/>
          <w:shd w:val="clear" w:color="auto" w:fill="FFFFFF"/>
        </w:rPr>
        <w:t>’</w:t>
      </w:r>
      <w:r w:rsidRPr="750671CE">
        <w:rPr>
          <w:rFonts w:ascii="Times New Roman" w:eastAsia="Times New Roman" w:hAnsi="Times New Roman" w:cs="Times New Roman"/>
          <w:color w:val="000000"/>
          <w:shd w:val="clear" w:color="auto" w:fill="FFFFFF"/>
        </w:rPr>
        <w:t xml:space="preserve">s power to enforce the rights guaranteed by the 14th Amendment. </w:t>
      </w:r>
      <w:r w:rsidRPr="750671CE">
        <w:rPr>
          <w:rFonts w:ascii="Times New Roman" w:eastAsia="Times New Roman" w:hAnsi="Times New Roman" w:cs="Times New Roman"/>
          <w:i/>
          <w:iCs/>
          <w:color w:val="000000"/>
          <w:shd w:val="clear" w:color="auto" w:fill="FFFFFF"/>
        </w:rPr>
        <w:t>See</w:t>
      </w:r>
      <w:r w:rsidRPr="750671CE">
        <w:rPr>
          <w:rFonts w:ascii="Times New Roman" w:eastAsia="Times New Roman" w:hAnsi="Times New Roman" w:cs="Times New Roman"/>
          <w:color w:val="000000"/>
          <w:shd w:val="clear" w:color="auto" w:fill="FFFFFF"/>
        </w:rPr>
        <w:t xml:space="preserve"> </w:t>
      </w:r>
      <w:r w:rsidRPr="750671CE">
        <w:rPr>
          <w:rFonts w:ascii="Times New Roman" w:eastAsia="Times New Roman" w:hAnsi="Times New Roman" w:cs="Times New Roman"/>
          <w:i/>
          <w:iCs/>
          <w:color w:val="000000"/>
          <w:shd w:val="clear" w:color="auto" w:fill="FFFFFF"/>
        </w:rPr>
        <w:t>City of Boerne v. Flores</w:t>
      </w:r>
      <w:r w:rsidRPr="750671CE">
        <w:rPr>
          <w:rFonts w:ascii="Times New Roman" w:eastAsia="Times New Roman" w:hAnsi="Times New Roman" w:cs="Times New Roman"/>
          <w:color w:val="000000"/>
          <w:shd w:val="clear" w:color="auto" w:fill="FFFFFF"/>
        </w:rPr>
        <w:t xml:space="preserve">, 521 U.S. 507, 508 (1997).  In reaction to </w:t>
      </w:r>
      <w:r w:rsidRPr="750671CE">
        <w:rPr>
          <w:rFonts w:ascii="Times New Roman" w:eastAsia="Times New Roman" w:hAnsi="Times New Roman" w:cs="Times New Roman"/>
          <w:i/>
          <w:iCs/>
          <w:color w:val="000000"/>
          <w:shd w:val="clear" w:color="auto" w:fill="FFFFFF"/>
        </w:rPr>
        <w:t>Boerne</w:t>
      </w:r>
      <w:r w:rsidRPr="750671CE">
        <w:rPr>
          <w:rFonts w:ascii="Times New Roman" w:eastAsia="Times New Roman" w:hAnsi="Times New Roman" w:cs="Times New Roman"/>
          <w:color w:val="000000"/>
          <w:shd w:val="clear" w:color="auto" w:fill="FFFFFF"/>
        </w:rPr>
        <w:t xml:space="preserve">, however, 31 states, as of 2015, have adopted mini RFRAs at the state level, either through legislation or court rulings, explicitly limiting </w:t>
      </w:r>
      <w:r w:rsidR="00075719" w:rsidRPr="750671CE">
        <w:rPr>
          <w:rFonts w:ascii="Times New Roman" w:eastAsia="Times New Roman" w:hAnsi="Times New Roman" w:cs="Times New Roman"/>
          <w:color w:val="000000"/>
          <w:shd w:val="clear" w:color="auto" w:fill="FFFFFF"/>
        </w:rPr>
        <w:t>state government interference with</w:t>
      </w:r>
      <w:r w:rsidRPr="750671CE">
        <w:rPr>
          <w:rFonts w:ascii="Times New Roman" w:eastAsia="Times New Roman" w:hAnsi="Times New Roman" w:cs="Times New Roman"/>
          <w:color w:val="000000"/>
          <w:shd w:val="clear" w:color="auto" w:fill="FFFFFF"/>
        </w:rPr>
        <w:t xml:space="preserve"> religious practice.  </w:t>
      </w:r>
    </w:p>
    <w:p w14:paraId="5FBD3262" w14:textId="4BA4EA35" w:rsidR="00C22B24" w:rsidRPr="00CD1B9F" w:rsidRDefault="00C22B24" w:rsidP="00F94B7E">
      <w:pPr>
        <w:ind w:firstLine="720"/>
        <w:rPr>
          <w:rFonts w:ascii="Times New Roman" w:eastAsia="Times New Roman" w:hAnsi="Times New Roman" w:cs="Times New Roman"/>
          <w:color w:val="000000" w:themeColor="text1"/>
        </w:rPr>
      </w:pPr>
      <w:r w:rsidRPr="00780889">
        <w:rPr>
          <w:rFonts w:ascii="Times New Roman" w:eastAsia="Times New Roman" w:hAnsi="Times New Roman" w:cs="Times New Roman"/>
          <w:color w:val="000000"/>
          <w:shd w:val="clear" w:color="auto" w:fill="FFFFFF"/>
        </w:rPr>
        <w:t xml:space="preserve">Can common law standards of reasonableness </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substantially burden</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 xml:space="preserve"> a party</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s exercise of religious freedom</w:t>
      </w:r>
      <w:r>
        <w:rPr>
          <w:rFonts w:ascii="Times New Roman" w:eastAsia="Times New Roman" w:hAnsi="Times New Roman" w:cs="Times New Roman"/>
          <w:color w:val="000000"/>
          <w:shd w:val="clear" w:color="auto" w:fill="FFFFFF"/>
        </w:rPr>
        <w:t xml:space="preserve"> under the mini RFRAs</w:t>
      </w:r>
      <w:r w:rsidRPr="00780889">
        <w:rPr>
          <w:rFonts w:ascii="Times New Roman" w:eastAsia="Times New Roman" w:hAnsi="Times New Roman" w:cs="Times New Roman"/>
          <w:color w:val="000000"/>
          <w:shd w:val="clear" w:color="auto" w:fill="FFFFFF"/>
        </w:rPr>
        <w:t xml:space="preserve">? Some courts have </w:t>
      </w:r>
      <w:r>
        <w:rPr>
          <w:rFonts w:ascii="Times New Roman" w:eastAsia="Times New Roman" w:hAnsi="Times New Roman" w:cs="Times New Roman"/>
          <w:color w:val="000000"/>
          <w:shd w:val="clear" w:color="auto" w:fill="FFFFFF"/>
        </w:rPr>
        <w:t>said no.</w:t>
      </w:r>
      <w:r w:rsidRPr="00780889">
        <w:rPr>
          <w:rFonts w:ascii="Times New Roman" w:eastAsia="Times New Roman" w:hAnsi="Times New Roman" w:cs="Times New Roman"/>
          <w:color w:val="000000"/>
          <w:shd w:val="clear" w:color="auto" w:fill="FFFFFF"/>
        </w:rPr>
        <w:t xml:space="preserve"> </w:t>
      </w:r>
      <w:r w:rsidRPr="750671CE">
        <w:rPr>
          <w:rFonts w:ascii="Times New Roman" w:eastAsia="Times New Roman" w:hAnsi="Times New Roman" w:cs="Times New Roman"/>
          <w:i/>
          <w:iCs/>
          <w:color w:val="000000"/>
          <w:shd w:val="clear" w:color="auto" w:fill="FFFFFF"/>
        </w:rPr>
        <w:t>See Osborne v. Power</w:t>
      </w:r>
      <w:r w:rsidRPr="00780889">
        <w:rPr>
          <w:rFonts w:ascii="Times New Roman" w:eastAsia="Times New Roman" w:hAnsi="Times New Roman" w:cs="Times New Roman"/>
          <w:color w:val="000000"/>
          <w:shd w:val="clear" w:color="auto" w:fill="FFFFFF"/>
        </w:rPr>
        <w:t>, 890 S.W.2d 574 (Ark. 1994)</w:t>
      </w:r>
      <w:r>
        <w:rPr>
          <w:rFonts w:ascii="Times New Roman" w:eastAsia="Times New Roman" w:hAnsi="Times New Roman" w:cs="Times New Roman"/>
          <w:color w:val="000000"/>
          <w:shd w:val="clear" w:color="auto" w:fill="FFFFFF"/>
        </w:rPr>
        <w:t xml:space="preserve"> (holding </w:t>
      </w:r>
      <w:r w:rsidRPr="00780889">
        <w:rPr>
          <w:rFonts w:ascii="Times New Roman" w:eastAsia="Times New Roman" w:hAnsi="Times New Roman" w:cs="Times New Roman"/>
          <w:color w:val="000000"/>
          <w:shd w:val="clear" w:color="auto" w:fill="FFFFFF"/>
        </w:rPr>
        <w:t>that common law nuisance prohibitions against obnoxious</w:t>
      </w:r>
      <w:r>
        <w:rPr>
          <w:rFonts w:ascii="Times New Roman" w:eastAsia="Times New Roman" w:hAnsi="Times New Roman" w:cs="Times New Roman"/>
          <w:color w:val="000000"/>
          <w:shd w:val="clear" w:color="auto" w:fill="FFFFFF"/>
        </w:rPr>
        <w:t xml:space="preserve"> Christmas lights displays do not</w:t>
      </w:r>
      <w:r w:rsidRPr="00780889">
        <w:rPr>
          <w:rFonts w:ascii="Times New Roman" w:eastAsia="Times New Roman" w:hAnsi="Times New Roman" w:cs="Times New Roman"/>
          <w:color w:val="000000"/>
          <w:shd w:val="clear" w:color="auto" w:fill="FFFFFF"/>
        </w:rPr>
        <w:t xml:space="preserve"> substantially burden </w:t>
      </w:r>
      <w:r>
        <w:rPr>
          <w:rFonts w:ascii="Times New Roman" w:eastAsia="Times New Roman" w:hAnsi="Times New Roman" w:cs="Times New Roman"/>
          <w:color w:val="000000"/>
          <w:shd w:val="clear" w:color="auto" w:fill="FFFFFF"/>
        </w:rPr>
        <w:t>a</w:t>
      </w:r>
      <w:r w:rsidRPr="00780889">
        <w:rPr>
          <w:rFonts w:ascii="Times New Roman" w:eastAsia="Times New Roman" w:hAnsi="Times New Roman" w:cs="Times New Roman"/>
          <w:color w:val="000000"/>
          <w:shd w:val="clear" w:color="auto" w:fill="FFFFFF"/>
        </w:rPr>
        <w:t xml:space="preserve"> homeowner</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s free exercise rights</w:t>
      </w:r>
      <w:r>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 xml:space="preserve">. Other courts </w:t>
      </w:r>
      <w:r>
        <w:rPr>
          <w:rFonts w:ascii="Times New Roman" w:eastAsia="Times New Roman" w:hAnsi="Times New Roman" w:cs="Times New Roman"/>
          <w:color w:val="000000"/>
          <w:shd w:val="clear" w:color="auto" w:fill="FFFFFF"/>
        </w:rPr>
        <w:t xml:space="preserve">seem to </w:t>
      </w:r>
      <w:r w:rsidRPr="00780889">
        <w:rPr>
          <w:rFonts w:ascii="Times New Roman" w:eastAsia="Times New Roman" w:hAnsi="Times New Roman" w:cs="Times New Roman"/>
          <w:color w:val="000000"/>
          <w:shd w:val="clear" w:color="auto" w:fill="FFFFFF"/>
        </w:rPr>
        <w:t>have held that state religious freedom legislation may prohibit a reasonableness inquiry into the exercise of a party</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s religion freedom.  In Connecticut, a plaintiff who fell and hit her head during a prayer healing session sued for ne</w:t>
      </w:r>
      <w:r>
        <w:rPr>
          <w:rFonts w:ascii="Times New Roman" w:eastAsia="Times New Roman" w:hAnsi="Times New Roman" w:cs="Times New Roman"/>
          <w:color w:val="000000"/>
          <w:shd w:val="clear" w:color="auto" w:fill="FFFFFF"/>
        </w:rPr>
        <w:t>gligence.  The court</w:t>
      </w:r>
      <w:r w:rsidRPr="00780889">
        <w:rPr>
          <w:rFonts w:ascii="Times New Roman" w:eastAsia="Times New Roman" w:hAnsi="Times New Roman" w:cs="Times New Roman"/>
          <w:color w:val="000000"/>
          <w:shd w:val="clear" w:color="auto" w:fill="FFFFFF"/>
        </w:rPr>
        <w:t xml:space="preserve"> held that a reasonableness inquiry would have substantially burdened the defendant</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 xml:space="preserve">s rights of free exercise and that there was no </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compelling State interest in permitting the court to evaluate the plaintiff</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s claims in this case.</w:t>
      </w:r>
      <w:r w:rsidR="00B05F31">
        <w:rPr>
          <w:rFonts w:ascii="Times New Roman" w:eastAsia="Times New Roman" w:hAnsi="Times New Roman" w:cs="Times New Roman"/>
          <w:color w:val="000000"/>
          <w:shd w:val="clear" w:color="auto" w:fill="FFFFFF"/>
        </w:rPr>
        <w:t>”</w:t>
      </w:r>
      <w:r w:rsidRPr="00780889">
        <w:rPr>
          <w:rFonts w:ascii="Times New Roman" w:eastAsia="Times New Roman" w:hAnsi="Times New Roman" w:cs="Times New Roman"/>
          <w:color w:val="000000"/>
          <w:shd w:val="clear" w:color="auto" w:fill="FFFFFF"/>
        </w:rPr>
        <w:t xml:space="preserve"> </w:t>
      </w:r>
      <w:r w:rsidRPr="750671CE">
        <w:rPr>
          <w:rFonts w:ascii="Times New Roman" w:eastAsia="Times New Roman" w:hAnsi="Times New Roman" w:cs="Times New Roman"/>
          <w:i/>
          <w:iCs/>
          <w:color w:val="000000"/>
          <w:shd w:val="clear" w:color="auto" w:fill="FFFFFF"/>
        </w:rPr>
        <w:t>Kubala v. Hartford Roman Catholic Diocese</w:t>
      </w:r>
      <w:r w:rsidRPr="00780889">
        <w:rPr>
          <w:rFonts w:ascii="Times New Roman" w:eastAsia="Times New Roman" w:hAnsi="Times New Roman" w:cs="Times New Roman"/>
          <w:color w:val="000000"/>
          <w:shd w:val="clear" w:color="auto" w:fill="FFFFFF"/>
        </w:rPr>
        <w:t>, 41 A.3d 351</w:t>
      </w:r>
      <w:r>
        <w:rPr>
          <w:rFonts w:ascii="Times New Roman" w:eastAsia="Times New Roman" w:hAnsi="Times New Roman" w:cs="Times New Roman"/>
          <w:color w:val="000000"/>
          <w:shd w:val="clear" w:color="auto" w:fill="FFFFFF"/>
        </w:rPr>
        <w:t>, 365 (Conn. Super. Ct. 2011)</w:t>
      </w:r>
      <w:r w:rsidRPr="00780889">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In contrast, a different Connecticut court found the state</w:t>
      </w:r>
      <w:r w:rsidR="00B05F31">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s RFRA did not </w:t>
      </w:r>
      <w:r w:rsidR="00B05F31">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preclude a plaintiff from holding a religious institution responsible for its torts in the </w:t>
      </w:r>
      <w:r>
        <w:rPr>
          <w:rFonts w:ascii="Times New Roman" w:eastAsia="Times New Roman" w:hAnsi="Times New Roman" w:cs="Times New Roman"/>
          <w:color w:val="000000"/>
          <w:shd w:val="clear" w:color="auto" w:fill="FFFFFF"/>
        </w:rPr>
        <w:lastRenderedPageBreak/>
        <w:t>context of sexual abuse of a child by a clergyman.</w:t>
      </w:r>
      <w:r w:rsidR="00B05F31">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w:t>
      </w:r>
      <w:r w:rsidRPr="750671CE">
        <w:rPr>
          <w:rFonts w:ascii="Times New Roman" w:eastAsia="Times New Roman" w:hAnsi="Times New Roman" w:cs="Times New Roman"/>
          <w:i/>
          <w:iCs/>
          <w:color w:val="000000"/>
          <w:shd w:val="clear" w:color="auto" w:fill="FFFFFF"/>
        </w:rPr>
        <w:t>Noll v. Hartford Roman Catholic Diocesan Corp.</w:t>
      </w:r>
      <w:r>
        <w:rPr>
          <w:rFonts w:ascii="Times New Roman" w:eastAsia="Times New Roman" w:hAnsi="Times New Roman" w:cs="Times New Roman"/>
          <w:color w:val="000000"/>
          <w:shd w:val="clear" w:color="auto" w:fill="FFFFFF"/>
        </w:rPr>
        <w:t>, 46 Conn. L. Rptr. 527, 532 (Conn. Super. Ct. 2008).</w:t>
      </w:r>
      <w:r w:rsidRPr="00780889">
        <w:rPr>
          <w:rFonts w:ascii="Times New Roman" w:eastAsia="Times New Roman" w:hAnsi="Times New Roman" w:cs="Times New Roman"/>
          <w:sz w:val="20"/>
          <w:szCs w:val="20"/>
        </w:rPr>
        <w:t xml:space="preserve"> </w:t>
      </w:r>
      <w:r w:rsidR="005A48FE">
        <w:rPr>
          <w:rFonts w:ascii="Times New Roman" w:eastAsia="Times New Roman" w:hAnsi="Times New Roman" w:cs="Times New Roman"/>
          <w:sz w:val="20"/>
          <w:szCs w:val="20"/>
        </w:rPr>
        <w:br/>
      </w:r>
    </w:p>
    <w:p w14:paraId="7842C785" w14:textId="77777777" w:rsidR="00C22B24" w:rsidRDefault="00C22B24" w:rsidP="00FB1320">
      <w:pPr>
        <w:tabs>
          <w:tab w:val="left" w:pos="3389"/>
        </w:tabs>
        <w:rPr>
          <w:rFonts w:ascii="Times New Roman" w:hAnsi="Times New Roman" w:cs="Times New Roman"/>
        </w:rPr>
      </w:pPr>
    </w:p>
    <w:p w14:paraId="5CA8ED98" w14:textId="77777777" w:rsidR="00FB1320" w:rsidRDefault="00FB1320" w:rsidP="00FB1320">
      <w:pPr>
        <w:tabs>
          <w:tab w:val="left" w:pos="3389"/>
        </w:tabs>
        <w:rPr>
          <w:rFonts w:ascii="Times New Roman" w:hAnsi="Times New Roman" w:cs="Times New Roman"/>
        </w:rPr>
      </w:pPr>
    </w:p>
    <w:p w14:paraId="57AFC31F" w14:textId="77777777" w:rsidR="00FB1320" w:rsidRPr="00920B12" w:rsidRDefault="00FB1320" w:rsidP="00FB1320">
      <w:pPr>
        <w:tabs>
          <w:tab w:val="left" w:pos="3389"/>
        </w:tabs>
        <w:rPr>
          <w:rFonts w:ascii="Times New Roman" w:hAnsi="Times New Roman" w:cs="Times New Roman"/>
        </w:rPr>
      </w:pPr>
    </w:p>
    <w:p w14:paraId="08B3B873" w14:textId="77777777" w:rsidR="00C22B24" w:rsidRPr="00136C14" w:rsidRDefault="00C22B24" w:rsidP="00322687">
      <w:pPr>
        <w:pStyle w:val="Heading3"/>
      </w:pPr>
      <w:bookmarkStart w:id="225" w:name="_Toc255579868"/>
      <w:bookmarkStart w:id="226" w:name="_Toc364636096"/>
      <w:bookmarkStart w:id="227" w:name="_Toc518323280"/>
      <w:r>
        <w:t>7</w:t>
      </w:r>
      <w:r w:rsidRPr="00136C14">
        <w:t>.  Unreasonable Women?</w:t>
      </w:r>
      <w:bookmarkEnd w:id="225"/>
      <w:bookmarkEnd w:id="226"/>
      <w:bookmarkEnd w:id="227"/>
    </w:p>
    <w:p w14:paraId="71B7BAE3" w14:textId="77777777" w:rsidR="00C22B24" w:rsidRPr="00920B12" w:rsidRDefault="00C22B24">
      <w:pPr>
        <w:rPr>
          <w:rFonts w:ascii="Times New Roman" w:hAnsi="Times New Roman" w:cs="Times New Roman"/>
        </w:rPr>
      </w:pPr>
    </w:p>
    <w:p w14:paraId="30898FA0" w14:textId="10B9BE56" w:rsidR="00C22B24" w:rsidRPr="00920B12" w:rsidRDefault="00C22B24" w:rsidP="750671CE">
      <w:pPr>
        <w:ind w:left="120" w:right="394" w:firstLine="600"/>
        <w:rPr>
          <w:rFonts w:ascii="Times New Roman" w:eastAsia="Times New Roman" w:hAnsi="Times New Roman" w:cs="Times New Roman"/>
        </w:rPr>
      </w:pPr>
      <w:r w:rsidRPr="00920B12">
        <w:rPr>
          <w:rFonts w:ascii="Times New Roman" w:eastAsia="Times New Roman" w:hAnsi="Times New Roman" w:cs="Times New Roman"/>
        </w:rPr>
        <w:t xml:space="preserve">So far we have talked about departures from the typical.  But of course, as </w:t>
      </w:r>
      <w:r>
        <w:rPr>
          <w:rFonts w:ascii="Times New Roman" w:eastAsia="Times New Roman" w:hAnsi="Times New Roman" w:cs="Times New Roman"/>
        </w:rPr>
        <w:t xml:space="preserve">Cole Porter once observed, in a line immortalized by </w:t>
      </w:r>
      <w:r w:rsidRPr="00920B12">
        <w:rPr>
          <w:rFonts w:ascii="Times New Roman" w:eastAsia="Times New Roman" w:hAnsi="Times New Roman" w:cs="Times New Roman"/>
        </w:rPr>
        <w:t xml:space="preserve">the jazz singer Ella Fitzgerald, there are no </w:t>
      </w:r>
      <w:r>
        <w:rPr>
          <w:rFonts w:ascii="Times New Roman" w:eastAsia="Times New Roman" w:hAnsi="Times New Roman" w:cs="Times New Roman"/>
        </w:rPr>
        <w:t xml:space="preserve">actually existing </w:t>
      </w:r>
      <w:r w:rsidRPr="00920B12">
        <w:rPr>
          <w:rFonts w:ascii="Times New Roman" w:eastAsia="Times New Roman" w:hAnsi="Times New Roman" w:cs="Times New Roman"/>
        </w:rPr>
        <w:t xml:space="preserve">average </w:t>
      </w:r>
      <w:r>
        <w:rPr>
          <w:rFonts w:ascii="Times New Roman" w:eastAsia="Times New Roman" w:hAnsi="Times New Roman" w:cs="Times New Roman"/>
        </w:rPr>
        <w:t>men</w:t>
      </w:r>
      <w:r w:rsidRPr="00920B12">
        <w:rPr>
          <w:rFonts w:ascii="Times New Roman" w:eastAsia="Times New Roman" w:hAnsi="Times New Roman" w:cs="Times New Roman"/>
        </w:rPr>
        <w:t>.</w:t>
      </w:r>
      <w:r w:rsidRPr="00920B12">
        <w:rPr>
          <w:rStyle w:val="FootnoteReference"/>
          <w:rFonts w:ascii="Times New Roman" w:eastAsia="Times New Roman" w:hAnsi="Times New Roman" w:cs="Times New Roman"/>
        </w:rPr>
        <w:footnoteReference w:id="7"/>
      </w:r>
      <w:r w:rsidRPr="00920B12">
        <w:rPr>
          <w:rFonts w:ascii="Times New Roman" w:eastAsia="Times New Roman" w:hAnsi="Times New Roman" w:cs="Times New Roman"/>
        </w:rPr>
        <w:t xml:space="preserve">  </w:t>
      </w:r>
      <w:r>
        <w:rPr>
          <w:rFonts w:ascii="Times New Roman" w:eastAsia="Times New Roman" w:hAnsi="Times New Roman" w:cs="Times New Roman"/>
        </w:rPr>
        <w:t>Human beings</w:t>
      </w:r>
      <w:r w:rsidRPr="00920B12">
        <w:rPr>
          <w:rFonts w:ascii="Times New Roman" w:eastAsia="Times New Roman" w:hAnsi="Times New Roman" w:cs="Times New Roman"/>
        </w:rPr>
        <w:t xml:space="preserve"> come embodied</w:t>
      </w:r>
      <w:r>
        <w:rPr>
          <w:rFonts w:ascii="Times New Roman" w:eastAsia="Times New Roman" w:hAnsi="Times New Roman" w:cs="Times New Roman"/>
        </w:rPr>
        <w:t xml:space="preserve">.  They are constituted by </w:t>
      </w:r>
      <w:r w:rsidRPr="00920B12">
        <w:rPr>
          <w:rFonts w:ascii="Times New Roman" w:eastAsia="Times New Roman" w:hAnsi="Times New Roman" w:cs="Times New Roman"/>
        </w:rPr>
        <w:t xml:space="preserve">actual characteristics, including sex and gender.  Should sex and gender be taken into account like age and physical disability in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aking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inations? </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 xml:space="preserve">The law of personal injury today generally does not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ake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inations turn on the sex or gender of the actor.  But a century ago, courts often took gender into account in such cases:</w:t>
      </w:r>
    </w:p>
    <w:p w14:paraId="2857BC07" w14:textId="77777777" w:rsidR="00C22B24" w:rsidRPr="00920B12" w:rsidRDefault="00C22B24" w:rsidP="00C22B24">
      <w:pPr>
        <w:rPr>
          <w:rFonts w:ascii="Times New Roman" w:hAnsi="Times New Roman" w:cs="Times New Roman"/>
        </w:rPr>
      </w:pPr>
    </w:p>
    <w:p w14:paraId="48D51649" w14:textId="1FA1D32B" w:rsidR="00C22B24" w:rsidRPr="00920B12" w:rsidRDefault="00C22B24" w:rsidP="00F94B7E">
      <w:pPr>
        <w:pStyle w:val="blockquote"/>
      </w:pPr>
      <w:r w:rsidRPr="00920B12">
        <w:t>[A] range of doctrinal options existed for a court confronting an accident involving a fe</w:t>
      </w:r>
      <w:r w:rsidRPr="00920B12">
        <w:rPr>
          <w:spacing w:val="-2"/>
        </w:rPr>
        <w:t>m</w:t>
      </w:r>
      <w:r w:rsidRPr="00920B12">
        <w:t>ale driver and a claim</w:t>
      </w:r>
      <w:r w:rsidRPr="00920B12">
        <w:rPr>
          <w:spacing w:val="-2"/>
        </w:rPr>
        <w:t xml:space="preserve"> </w:t>
      </w:r>
      <w:r w:rsidRPr="00920B12">
        <w:t>that gender difference was relevant: wo</w:t>
      </w:r>
      <w:r w:rsidRPr="00920B12">
        <w:rPr>
          <w:spacing w:val="-2"/>
        </w:rPr>
        <w:t>m</w:t>
      </w:r>
      <w:r w:rsidRPr="00920B12">
        <w:t xml:space="preserve">en </w:t>
      </w:r>
      <w:r w:rsidRPr="00920B12">
        <w:rPr>
          <w:spacing w:val="-2"/>
        </w:rPr>
        <w:t>m</w:t>
      </w:r>
      <w:r w:rsidRPr="00920B12">
        <w:rPr>
          <w:spacing w:val="1"/>
        </w:rPr>
        <w:t>i</w:t>
      </w:r>
      <w:r w:rsidRPr="00920B12">
        <w:t xml:space="preserve">ght be bound to take </w:t>
      </w:r>
      <w:r w:rsidRPr="00920B12">
        <w:rPr>
          <w:spacing w:val="-2"/>
        </w:rPr>
        <w:t>m</w:t>
      </w:r>
      <w:r w:rsidRPr="00920B12">
        <w:t>ore care to co</w:t>
      </w:r>
      <w:r w:rsidRPr="00920B12">
        <w:rPr>
          <w:spacing w:val="-2"/>
        </w:rPr>
        <w:t>m</w:t>
      </w:r>
      <w:r w:rsidRPr="00920B12">
        <w:t>pensate for their lack of skill; wo</w:t>
      </w:r>
      <w:r w:rsidRPr="00920B12">
        <w:rPr>
          <w:spacing w:val="-2"/>
        </w:rPr>
        <w:t>m</w:t>
      </w:r>
      <w:r w:rsidRPr="00920B12">
        <w:t xml:space="preserve">en </w:t>
      </w:r>
      <w:r w:rsidRPr="00920B12">
        <w:rPr>
          <w:spacing w:val="-2"/>
        </w:rPr>
        <w:t>m</w:t>
      </w:r>
      <w:r w:rsidRPr="00920B12">
        <w:rPr>
          <w:spacing w:val="1"/>
        </w:rPr>
        <w:t>i</w:t>
      </w:r>
      <w:r w:rsidRPr="00920B12">
        <w:t>ght be held to co</w:t>
      </w:r>
      <w:r w:rsidRPr="00920B12">
        <w:rPr>
          <w:spacing w:val="-2"/>
        </w:rPr>
        <w:t>mm</w:t>
      </w:r>
      <w:r w:rsidRPr="00920B12">
        <w:t>it contributory negligence si</w:t>
      </w:r>
      <w:r w:rsidRPr="00920B12">
        <w:rPr>
          <w:spacing w:val="-2"/>
        </w:rPr>
        <w:t>m</w:t>
      </w:r>
      <w:r w:rsidRPr="00920B12">
        <w:t>ply by driving; wo</w:t>
      </w:r>
      <w:r w:rsidRPr="00920B12">
        <w:rPr>
          <w:spacing w:val="-2"/>
        </w:rPr>
        <w:t>m</w:t>
      </w:r>
      <w:r w:rsidRPr="00920B12">
        <w:t>en</w:t>
      </w:r>
      <w:r w:rsidRPr="750671CE">
        <w:t xml:space="preserve"> </w:t>
      </w:r>
      <w:r w:rsidRPr="00920B12">
        <w:rPr>
          <w:spacing w:val="-2"/>
        </w:rPr>
        <w:t>m</w:t>
      </w:r>
      <w:r w:rsidRPr="00920B12">
        <w:rPr>
          <w:spacing w:val="1"/>
        </w:rPr>
        <w:t>i</w:t>
      </w:r>
      <w:r w:rsidRPr="00920B12">
        <w:t>ght be held to a standard of care that referenced only other wo</w:t>
      </w:r>
      <w:r w:rsidRPr="00920B12">
        <w:rPr>
          <w:spacing w:val="-2"/>
        </w:rPr>
        <w:t>m</w:t>
      </w:r>
      <w:r w:rsidRPr="00920B12">
        <w:t xml:space="preserve">en drivers (in practice, then, their perceived lesser skill could excuse what otherwise </w:t>
      </w:r>
      <w:r w:rsidRPr="00920B12">
        <w:rPr>
          <w:spacing w:val="-2"/>
        </w:rPr>
        <w:t>m</w:t>
      </w:r>
      <w:r w:rsidRPr="00920B12">
        <w:rPr>
          <w:spacing w:val="1"/>
        </w:rPr>
        <w:t>i</w:t>
      </w:r>
      <w:r w:rsidRPr="00920B12">
        <w:t xml:space="preserve">ght be contributory negligence), or to a </w:t>
      </w:r>
      <w:r w:rsidRPr="00920B12">
        <w:rPr>
          <w:spacing w:val="-2"/>
        </w:rPr>
        <w:t>m</w:t>
      </w:r>
      <w:r w:rsidRPr="00920B12">
        <w:t xml:space="preserve">ale standard of care, or to a bi-gender standard of care; defendants </w:t>
      </w:r>
      <w:r w:rsidRPr="00920B12">
        <w:rPr>
          <w:spacing w:val="-2"/>
        </w:rPr>
        <w:t>m</w:t>
      </w:r>
      <w:r w:rsidRPr="00920B12">
        <w:rPr>
          <w:spacing w:val="1"/>
        </w:rPr>
        <w:t>i</w:t>
      </w:r>
      <w:r w:rsidRPr="00920B12">
        <w:t xml:space="preserve">ght be required to take </w:t>
      </w:r>
      <w:r w:rsidRPr="00920B12">
        <w:rPr>
          <w:spacing w:val="-2"/>
        </w:rPr>
        <w:t>m</w:t>
      </w:r>
      <w:r w:rsidRPr="00920B12">
        <w:t>ore care to acco</w:t>
      </w:r>
      <w:r w:rsidRPr="00920B12">
        <w:rPr>
          <w:spacing w:val="-2"/>
        </w:rPr>
        <w:t>mm</w:t>
      </w:r>
      <w:r w:rsidRPr="00920B12">
        <w:t>odate wo</w:t>
      </w:r>
      <w:r w:rsidRPr="00920B12">
        <w:rPr>
          <w:spacing w:val="-2"/>
        </w:rPr>
        <w:t>m</w:t>
      </w:r>
      <w:r w:rsidRPr="00920B12">
        <w:t>en</w:t>
      </w:r>
      <w:r w:rsidR="00B05F31">
        <w:rPr>
          <w:spacing w:val="-1"/>
        </w:rPr>
        <w:t>’</w:t>
      </w:r>
      <w:r w:rsidRPr="00920B12">
        <w:t>s needs as drivers. There are cases weighing each of these options, but no one approach appears to have prevailed.</w:t>
      </w:r>
    </w:p>
    <w:p w14:paraId="31C4BBC6" w14:textId="77777777" w:rsidR="00C22B24" w:rsidRPr="00920B12" w:rsidRDefault="00C22B24" w:rsidP="00C22B24">
      <w:pPr>
        <w:rPr>
          <w:rFonts w:ascii="Times New Roman" w:hAnsi="Times New Roman" w:cs="Times New Roman"/>
        </w:rPr>
      </w:pPr>
    </w:p>
    <w:p w14:paraId="636458D2" w14:textId="5582E0C3" w:rsidR="00C22B24" w:rsidRPr="00920B12" w:rsidRDefault="00C22B24" w:rsidP="750671CE">
      <w:pPr>
        <w:ind w:left="120"/>
        <w:rPr>
          <w:rFonts w:ascii="Times New Roman" w:eastAsia="Times New Roman" w:hAnsi="Times New Roman" w:cs="Times New Roman"/>
        </w:rPr>
      </w:pPr>
      <w:r w:rsidRPr="00920B12">
        <w:rPr>
          <w:rFonts w:ascii="Times New Roman" w:eastAsia="Times New Roman" w:hAnsi="Times New Roman" w:cs="Times New Roman"/>
        </w:rPr>
        <w:t xml:space="preserve">Margo Schlanger, </w:t>
      </w:r>
      <w:r w:rsidRPr="750671CE">
        <w:rPr>
          <w:rFonts w:ascii="Times New Roman" w:eastAsia="Times New Roman" w:hAnsi="Times New Roman" w:cs="Times New Roman"/>
          <w:i/>
          <w:iCs/>
        </w:rPr>
        <w:t>Injured Women Before Common Law Courts, 1860-1930</w:t>
      </w:r>
      <w:r w:rsidRPr="00920B12">
        <w:rPr>
          <w:rFonts w:ascii="Times New Roman" w:eastAsia="Times New Roman" w:hAnsi="Times New Roman" w:cs="Times New Roman"/>
        </w:rPr>
        <w:t>, 21 H</w:t>
      </w:r>
      <w:r>
        <w:rPr>
          <w:rFonts w:ascii="Times New Roman" w:eastAsia="Times New Roman" w:hAnsi="Times New Roman" w:cs="Times New Roman"/>
          <w:smallCaps/>
        </w:rPr>
        <w:t>arv</w:t>
      </w:r>
      <w:r w:rsidRPr="00920B12">
        <w:rPr>
          <w:rFonts w:ascii="Times New Roman" w:eastAsia="Times New Roman" w:hAnsi="Times New Roman" w:cs="Times New Roman"/>
        </w:rPr>
        <w:t>.</w:t>
      </w:r>
      <w:r w:rsidRPr="00920B12">
        <w:rPr>
          <w:rFonts w:ascii="Times New Roman" w:eastAsia="Times New Roman" w:hAnsi="Times New Roman" w:cs="Times New Roman"/>
          <w:spacing w:val="-8"/>
        </w:rPr>
        <w:t xml:space="preserve"> </w:t>
      </w:r>
      <w:r>
        <w:rPr>
          <w:rFonts w:ascii="Times New Roman" w:eastAsia="Times New Roman" w:hAnsi="Times New Roman" w:cs="Times New Roman"/>
          <w:smallCaps/>
          <w:spacing w:val="-2"/>
        </w:rPr>
        <w:t>Women</w:t>
      </w:r>
      <w:r w:rsidR="00B05F31">
        <w:rPr>
          <w:rFonts w:ascii="Times New Roman" w:eastAsia="Times New Roman" w:hAnsi="Times New Roman" w:cs="Times New Roman"/>
          <w:smallCaps/>
          <w:spacing w:val="-2"/>
        </w:rPr>
        <w:t>’</w:t>
      </w:r>
      <w:r>
        <w:rPr>
          <w:rFonts w:ascii="Times New Roman" w:eastAsia="Times New Roman" w:hAnsi="Times New Roman" w:cs="Times New Roman"/>
          <w:smallCaps/>
          <w:spacing w:val="-2"/>
        </w:rPr>
        <w:t>s</w:t>
      </w:r>
      <w:r w:rsidRPr="00920B12">
        <w:rPr>
          <w:rFonts w:ascii="Times New Roman" w:eastAsia="Times New Roman" w:hAnsi="Times New Roman" w:cs="Times New Roman"/>
          <w:w w:val="101"/>
        </w:rPr>
        <w:t xml:space="preserve"> </w:t>
      </w:r>
      <w:r w:rsidRPr="00920B12">
        <w:rPr>
          <w:rFonts w:ascii="Times New Roman" w:eastAsia="Times New Roman" w:hAnsi="Times New Roman" w:cs="Times New Roman"/>
        </w:rPr>
        <w:t xml:space="preserve">L.J. 79 (1998).  Professor Schlanger finds that </w:t>
      </w:r>
      <w:r w:rsidR="00B05F31">
        <w:rPr>
          <w:rFonts w:ascii="Times New Roman" w:eastAsia="Times New Roman" w:hAnsi="Times New Roman" w:cs="Times New Roman"/>
        </w:rPr>
        <w:t>“</w:t>
      </w:r>
      <w:r w:rsidRPr="00920B12">
        <w:rPr>
          <w:rFonts w:ascii="Times New Roman" w:eastAsia="Times New Roman" w:hAnsi="Times New Roman" w:cs="Times New Roman"/>
          <w:spacing w:val="-1"/>
        </w:rPr>
        <w:t>[</w:t>
      </w:r>
      <w:r w:rsidRPr="00920B12">
        <w:rPr>
          <w:rFonts w:ascii="Times New Roman" w:eastAsia="Times New Roman" w:hAnsi="Times New Roman" w:cs="Times New Roman"/>
        </w:rPr>
        <w:t>t]he largest constellation of early personal injury cases in which gender appears, in text and subtext, arose when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 passengers of trains and streetcars were injured, usually boarding or d</w:t>
      </w:r>
      <w:r w:rsidRPr="00920B12">
        <w:rPr>
          <w:rFonts w:ascii="Times New Roman" w:eastAsia="Times New Roman" w:hAnsi="Times New Roman" w:cs="Times New Roman"/>
          <w:spacing w:val="1"/>
        </w:rPr>
        <w:t>i</w:t>
      </w:r>
      <w:r w:rsidRPr="00920B12">
        <w:rPr>
          <w:rFonts w:ascii="Times New Roman" w:eastAsia="Times New Roman" w:hAnsi="Times New Roman" w:cs="Times New Roman"/>
        </w:rPr>
        <w:t>se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barking.</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The </w:t>
      </w:r>
      <w:r w:rsidR="00B05F31">
        <w:rPr>
          <w:rFonts w:ascii="Times New Roman" w:eastAsia="Times New Roman" w:hAnsi="Times New Roman" w:cs="Times New Roman"/>
        </w:rPr>
        <w:t>“</w:t>
      </w:r>
      <w:r w:rsidRPr="00920B12">
        <w:rPr>
          <w:rFonts w:ascii="Times New Roman" w:eastAsia="Times New Roman" w:hAnsi="Times New Roman" w:cs="Times New Roman"/>
        </w:rPr>
        <w:t>[f]irst and fore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ost</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problem for courts was how to deal with the fact that </w:t>
      </w:r>
      <w:r w:rsidR="00B05F31">
        <w:rPr>
          <w:rFonts w:ascii="Times New Roman" w:eastAsia="Times New Roman" w:hAnsi="Times New Roman" w:cs="Times New Roman"/>
        </w:rPr>
        <w:t>“</w:t>
      </w:r>
      <w:r w:rsidRPr="00920B12">
        <w:rPr>
          <w:rFonts w:ascii="Times New Roman" w:eastAsia="Times New Roman" w:hAnsi="Times New Roman" w:cs="Times New Roman"/>
        </w:rPr>
        <w:t>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w:t>
      </w:r>
      <w:r w:rsidR="00B05F31">
        <w:rPr>
          <w:rFonts w:ascii="Times New Roman" w:eastAsia="Times New Roman" w:hAnsi="Times New Roman" w:cs="Times New Roman"/>
          <w:spacing w:val="-1"/>
        </w:rPr>
        <w:t>’</w:t>
      </w:r>
      <w:r w:rsidRPr="00920B12">
        <w:rPr>
          <w:rFonts w:ascii="Times New Roman" w:eastAsia="Times New Roman" w:hAnsi="Times New Roman" w:cs="Times New Roman"/>
        </w:rPr>
        <w:t>s physical agility was 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paired by long skirts, corsets, and, often, high heels.</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w:t>
      </w:r>
      <w:r w:rsidRPr="00920B12">
        <w:rPr>
          <w:rFonts w:ascii="Times New Roman" w:eastAsia="Times New Roman" w:hAnsi="Times New Roman" w:cs="Times New Roman"/>
          <w:spacing w:val="1"/>
        </w:rPr>
        <w:t xml:space="preserve"> </w:t>
      </w:r>
      <w:r w:rsidRPr="00F94B7E">
        <w:rPr>
          <w:rFonts w:ascii="Times New Roman" w:eastAsia="Times New Roman" w:hAnsi="Times New Roman" w:cs="Times New Roman"/>
          <w:i/>
        </w:rPr>
        <w:t>See also</w:t>
      </w:r>
      <w:r w:rsidRPr="750671CE">
        <w:rPr>
          <w:rFonts w:ascii="Times New Roman" w:eastAsia="Times New Roman" w:hAnsi="Times New Roman" w:cs="Times New Roman"/>
          <w:i/>
          <w:iCs/>
        </w:rPr>
        <w:t xml:space="preserve"> </w:t>
      </w:r>
      <w:r w:rsidRPr="00920B12">
        <w:rPr>
          <w:rFonts w:ascii="Times New Roman" w:eastAsia="Times New Roman" w:hAnsi="Times New Roman" w:cs="Times New Roman"/>
        </w:rPr>
        <w:t xml:space="preserve">Barbara Y. </w:t>
      </w:r>
      <w:r w:rsidRPr="00920B12">
        <w:rPr>
          <w:rFonts w:ascii="Times New Roman" w:eastAsia="Times New Roman" w:hAnsi="Times New Roman" w:cs="Times New Roman"/>
          <w:spacing w:val="-2"/>
        </w:rPr>
        <w:t>W</w:t>
      </w:r>
      <w:r w:rsidRPr="00920B12">
        <w:rPr>
          <w:rFonts w:ascii="Times New Roman" w:eastAsia="Times New Roman" w:hAnsi="Times New Roman" w:cs="Times New Roman"/>
        </w:rPr>
        <w:t xml:space="preserve">elke, </w:t>
      </w:r>
      <w:r w:rsidRPr="750671CE">
        <w:rPr>
          <w:rFonts w:ascii="Times New Roman" w:eastAsia="Times New Roman" w:hAnsi="Times New Roman" w:cs="Times New Roman"/>
          <w:i/>
          <w:iCs/>
        </w:rPr>
        <w:t>Unreasonable Women: Gender and the Law of Accidental Injury, 1870-192</w:t>
      </w:r>
      <w:r w:rsidRPr="750671CE">
        <w:rPr>
          <w:rFonts w:ascii="Times New Roman" w:eastAsia="Times New Roman" w:hAnsi="Times New Roman" w:cs="Times New Roman"/>
          <w:i/>
          <w:iCs/>
          <w:spacing w:val="2"/>
        </w:rPr>
        <w:t>0</w:t>
      </w:r>
      <w:r w:rsidRPr="00920B12">
        <w:rPr>
          <w:rFonts w:ascii="Times New Roman" w:eastAsia="Times New Roman" w:hAnsi="Times New Roman" w:cs="Times New Roman"/>
        </w:rPr>
        <w:t xml:space="preserve">, 19 </w:t>
      </w:r>
      <w:r>
        <w:rPr>
          <w:rFonts w:ascii="Times New Roman" w:eastAsia="Times New Roman" w:hAnsi="Times New Roman" w:cs="Times New Roman"/>
          <w:smallCaps/>
        </w:rPr>
        <w:t>Law &amp; Soc. Inq.</w:t>
      </w:r>
      <w:r w:rsidRPr="00920B12">
        <w:rPr>
          <w:rFonts w:ascii="Times New Roman" w:eastAsia="Times New Roman" w:hAnsi="Times New Roman" w:cs="Times New Roman"/>
          <w:spacing w:val="3"/>
        </w:rPr>
        <w:t xml:space="preserve"> </w:t>
      </w:r>
      <w:r w:rsidRPr="00920B12">
        <w:rPr>
          <w:rFonts w:ascii="Times New Roman" w:eastAsia="Times New Roman" w:hAnsi="Times New Roman" w:cs="Times New Roman"/>
        </w:rPr>
        <w:t>369 (1994).</w:t>
      </w:r>
    </w:p>
    <w:p w14:paraId="1BB04B7B" w14:textId="77777777" w:rsidR="00C22B24" w:rsidRPr="00920B12" w:rsidRDefault="00C22B24" w:rsidP="00C22B24">
      <w:pPr>
        <w:rPr>
          <w:rFonts w:ascii="Times New Roman" w:hAnsi="Times New Roman" w:cs="Times New Roman"/>
        </w:rPr>
      </w:pPr>
    </w:p>
    <w:p w14:paraId="554C6355" w14:textId="31F1D73B" w:rsidR="00C22B24" w:rsidRPr="00920B12" w:rsidRDefault="00C22B24" w:rsidP="750671CE">
      <w:pPr>
        <w:ind w:left="120" w:firstLine="720"/>
        <w:rPr>
          <w:rFonts w:ascii="Times New Roman" w:eastAsia="Times New Roman" w:hAnsi="Times New Roman" w:cs="Times New Roman"/>
        </w:rPr>
      </w:pPr>
      <w:r w:rsidRPr="00920B12">
        <w:rPr>
          <w:rFonts w:ascii="Times New Roman" w:eastAsia="Times New Roman" w:hAnsi="Times New Roman" w:cs="Times New Roman"/>
        </w:rPr>
        <w:t>Si</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ilar questions have arisen in recent years around reasonableness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inations in sex harass</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cases.  In the early 1990s, so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 courts, notably the United States Court of Appeals</w:t>
      </w:r>
      <w:r w:rsidRPr="750671CE">
        <w:rPr>
          <w:rFonts w:ascii="Times New Roman" w:eastAsia="Times New Roman" w:hAnsi="Times New Roman" w:cs="Times New Roman"/>
        </w:rPr>
        <w:t xml:space="preserve"> </w:t>
      </w:r>
      <w:r w:rsidRPr="00920B12">
        <w:rPr>
          <w:rFonts w:ascii="Times New Roman" w:eastAsia="Times New Roman" w:hAnsi="Times New Roman" w:cs="Times New Roman"/>
        </w:rPr>
        <w:t xml:space="preserve">for the Ninth Circuit, adopted a </w:t>
      </w:r>
      <w:r w:rsidR="00B05F31">
        <w:rPr>
          <w:rFonts w:ascii="Times New Roman" w:eastAsia="Times New Roman" w:hAnsi="Times New Roman" w:cs="Times New Roman"/>
        </w:rPr>
        <w:t>“</w:t>
      </w:r>
      <w:r w:rsidRPr="00920B12">
        <w:rPr>
          <w:rFonts w:ascii="Times New Roman" w:eastAsia="Times New Roman" w:hAnsi="Times New Roman" w:cs="Times New Roman"/>
        </w:rPr>
        <w:t>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standard for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ining whether a fe</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ale plainti</w:t>
      </w:r>
      <w:r w:rsidRPr="00920B12">
        <w:rPr>
          <w:rFonts w:ascii="Times New Roman" w:eastAsia="Times New Roman" w:hAnsi="Times New Roman" w:cs="Times New Roman"/>
          <w:spacing w:val="-1"/>
        </w:rPr>
        <w:t>f</w:t>
      </w:r>
      <w:r w:rsidRPr="00920B12">
        <w:rPr>
          <w:rFonts w:ascii="Times New Roman" w:eastAsia="Times New Roman" w:hAnsi="Times New Roman" w:cs="Times New Roman"/>
        </w:rPr>
        <w:t>f</w:t>
      </w:r>
      <w:r w:rsidRPr="00920B12">
        <w:rPr>
          <w:rFonts w:ascii="Times New Roman" w:eastAsia="Times New Roman" w:hAnsi="Times New Roman" w:cs="Times New Roman"/>
          <w:spacing w:val="-1"/>
        </w:rPr>
        <w:t xml:space="preserve"> </w:t>
      </w:r>
      <w:r w:rsidRPr="00920B12">
        <w:rPr>
          <w:rFonts w:ascii="Times New Roman" w:eastAsia="Times New Roman" w:hAnsi="Times New Roman" w:cs="Times New Roman"/>
        </w:rPr>
        <w:t>had been subjected to a sexually harassing hostile work environ</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 in violation of Title VII of the Civil Rights Act of 1964:</w:t>
      </w:r>
    </w:p>
    <w:p w14:paraId="6E8B8FD0" w14:textId="77777777" w:rsidR="00C22B24" w:rsidRPr="00920B12" w:rsidRDefault="00C22B24" w:rsidP="00C22B24">
      <w:pPr>
        <w:rPr>
          <w:rFonts w:ascii="Times New Roman" w:hAnsi="Times New Roman" w:cs="Times New Roman"/>
        </w:rPr>
      </w:pPr>
    </w:p>
    <w:p w14:paraId="7B1919E4" w14:textId="77777777" w:rsidR="00C22B24" w:rsidRPr="00920B12" w:rsidRDefault="00C22B24" w:rsidP="00F94B7E">
      <w:pPr>
        <w:pStyle w:val="blockquote"/>
      </w:pPr>
      <w:r w:rsidRPr="00920B12">
        <w:lastRenderedPageBreak/>
        <w:t>[</w:t>
      </w:r>
      <w:r w:rsidRPr="00920B12">
        <w:rPr>
          <w:spacing w:val="-2"/>
        </w:rPr>
        <w:t>W</w:t>
      </w:r>
      <w:r w:rsidRPr="00920B12">
        <w:t>]e believe that in evaluating the severity and pervasiveness of sexual harass</w:t>
      </w:r>
      <w:r w:rsidRPr="00920B12">
        <w:rPr>
          <w:spacing w:val="-2"/>
        </w:rPr>
        <w:t>m</w:t>
      </w:r>
      <w:r w:rsidRPr="00920B12">
        <w:t>ent, we should focus on the perspective of the victi</w:t>
      </w:r>
      <w:r w:rsidRPr="00920B12">
        <w:rPr>
          <w:spacing w:val="-2"/>
        </w:rPr>
        <w:t>m</w:t>
      </w:r>
      <w:r w:rsidRPr="00920B12">
        <w:t>. . . .  If we only exa</w:t>
      </w:r>
      <w:r w:rsidRPr="00920B12">
        <w:rPr>
          <w:spacing w:val="-2"/>
        </w:rPr>
        <w:t>m</w:t>
      </w:r>
      <w:r w:rsidRPr="00920B12">
        <w:t>ined whether a reasonable person wou</w:t>
      </w:r>
      <w:r w:rsidRPr="750671CE">
        <w:t xml:space="preserve">ld engage in allegedly harassing conduct, we would run the risk of reinforcing the prevailing level of discrimination. </w:t>
      </w:r>
      <w:r w:rsidRPr="00920B12">
        <w:t xml:space="preserve">Harassers could continue to harass </w:t>
      </w:r>
      <w:r w:rsidRPr="00920B12">
        <w:rPr>
          <w:spacing w:val="-2"/>
        </w:rPr>
        <w:t>m</w:t>
      </w:r>
      <w:r w:rsidRPr="00920B12">
        <w:t>erely because a particular discri</w:t>
      </w:r>
      <w:r w:rsidRPr="00920B12">
        <w:rPr>
          <w:spacing w:val="-2"/>
        </w:rPr>
        <w:t>m</w:t>
      </w:r>
      <w:r w:rsidRPr="00920B12">
        <w:rPr>
          <w:spacing w:val="1"/>
        </w:rPr>
        <w:t>i</w:t>
      </w:r>
      <w:r w:rsidRPr="00920B12">
        <w:t>natory practice was co</w:t>
      </w:r>
      <w:r w:rsidRPr="00920B12">
        <w:rPr>
          <w:spacing w:val="-2"/>
        </w:rPr>
        <w:t>mm</w:t>
      </w:r>
      <w:r w:rsidRPr="00920B12">
        <w:t>on, and victi</w:t>
      </w:r>
      <w:r w:rsidRPr="00920B12">
        <w:rPr>
          <w:spacing w:val="-2"/>
        </w:rPr>
        <w:t>m</w:t>
      </w:r>
      <w:r w:rsidRPr="00920B12">
        <w:t>s of harass</w:t>
      </w:r>
      <w:r w:rsidRPr="00920B12">
        <w:rPr>
          <w:spacing w:val="-2"/>
        </w:rPr>
        <w:t>m</w:t>
      </w:r>
      <w:r w:rsidRPr="00920B12">
        <w:t>ent would have no re</w:t>
      </w:r>
      <w:r w:rsidRPr="00920B12">
        <w:rPr>
          <w:spacing w:val="-2"/>
        </w:rPr>
        <w:t>m</w:t>
      </w:r>
      <w:r w:rsidRPr="00920B12">
        <w:t>edy.</w:t>
      </w:r>
    </w:p>
    <w:p w14:paraId="0D033F6F" w14:textId="77777777" w:rsidR="00C22B24" w:rsidRPr="00920B12" w:rsidRDefault="00C22B24" w:rsidP="00F94B7E">
      <w:pPr>
        <w:pStyle w:val="blockquote"/>
      </w:pPr>
    </w:p>
    <w:p w14:paraId="50A545B0" w14:textId="7317451F" w:rsidR="00C22B24" w:rsidRPr="00920B12" w:rsidRDefault="00C22B24" w:rsidP="00F94B7E">
      <w:pPr>
        <w:pStyle w:val="blockquote"/>
      </w:pPr>
      <w:r w:rsidRPr="00920B12">
        <w:rPr>
          <w:spacing w:val="-2"/>
        </w:rPr>
        <w:t>W</w:t>
      </w:r>
      <w:r w:rsidRPr="00920B12">
        <w:t>e therefore prefer to analyze harass</w:t>
      </w:r>
      <w:r w:rsidRPr="00920B12">
        <w:rPr>
          <w:spacing w:val="-2"/>
        </w:rPr>
        <w:t>m</w:t>
      </w:r>
      <w:r w:rsidRPr="00920B12">
        <w:t>ent from</w:t>
      </w:r>
      <w:r w:rsidRPr="00920B12">
        <w:rPr>
          <w:spacing w:val="-2"/>
        </w:rPr>
        <w:t xml:space="preserve"> </w:t>
      </w:r>
      <w:r w:rsidRPr="00920B12">
        <w:t>the victi</w:t>
      </w:r>
      <w:r w:rsidRPr="00920B12">
        <w:rPr>
          <w:spacing w:val="-2"/>
        </w:rPr>
        <w:t>m</w:t>
      </w:r>
      <w:r w:rsidR="00B05F31">
        <w:rPr>
          <w:spacing w:val="-1"/>
        </w:rPr>
        <w:t>’</w:t>
      </w:r>
      <w:r w:rsidRPr="00920B12">
        <w:t>s perspective. A co</w:t>
      </w:r>
      <w:r w:rsidRPr="00920B12">
        <w:rPr>
          <w:spacing w:val="-2"/>
        </w:rPr>
        <w:t>m</w:t>
      </w:r>
      <w:r w:rsidRPr="00920B12">
        <w:t>plete understanding of the victi</w:t>
      </w:r>
      <w:r w:rsidRPr="00920B12">
        <w:rPr>
          <w:spacing w:val="-2"/>
        </w:rPr>
        <w:t>m</w:t>
      </w:r>
      <w:r w:rsidR="00B05F31">
        <w:rPr>
          <w:spacing w:val="-1"/>
        </w:rPr>
        <w:t>’</w:t>
      </w:r>
      <w:r w:rsidRPr="00920B12">
        <w:t>s view requires, a</w:t>
      </w:r>
      <w:r w:rsidRPr="00920B12">
        <w:rPr>
          <w:spacing w:val="-2"/>
        </w:rPr>
        <w:t>m</w:t>
      </w:r>
      <w:r w:rsidRPr="00920B12">
        <w:t xml:space="preserve">ong other things, an analysis of the different perspectives of </w:t>
      </w:r>
      <w:r w:rsidRPr="00920B12">
        <w:rPr>
          <w:spacing w:val="-2"/>
        </w:rPr>
        <w:t>m</w:t>
      </w:r>
      <w:r w:rsidRPr="00920B12">
        <w:t>en and wo</w:t>
      </w:r>
      <w:r w:rsidRPr="00920B12">
        <w:rPr>
          <w:spacing w:val="-2"/>
        </w:rPr>
        <w:t>m</w:t>
      </w:r>
      <w:r w:rsidRPr="00920B12">
        <w:t xml:space="preserve">en. Conduct that </w:t>
      </w:r>
      <w:r w:rsidRPr="00920B12">
        <w:rPr>
          <w:spacing w:val="-2"/>
        </w:rPr>
        <w:t>m</w:t>
      </w:r>
      <w:r w:rsidRPr="00920B12">
        <w:t xml:space="preserve">any </w:t>
      </w:r>
      <w:r w:rsidRPr="00920B12">
        <w:rPr>
          <w:spacing w:val="-2"/>
        </w:rPr>
        <w:t>m</w:t>
      </w:r>
      <w:r w:rsidRPr="00920B12">
        <w:t xml:space="preserve">en consider unobjectionable </w:t>
      </w:r>
      <w:r w:rsidRPr="00920B12">
        <w:rPr>
          <w:spacing w:val="-2"/>
        </w:rPr>
        <w:t>m</w:t>
      </w:r>
      <w:r w:rsidRPr="00920B12">
        <w:t xml:space="preserve">ay offend </w:t>
      </w:r>
      <w:r w:rsidRPr="00920B12">
        <w:rPr>
          <w:spacing w:val="-2"/>
        </w:rPr>
        <w:t>m</w:t>
      </w:r>
      <w:r w:rsidRPr="00920B12">
        <w:t>any wo</w:t>
      </w:r>
      <w:r w:rsidRPr="00920B12">
        <w:rPr>
          <w:spacing w:val="-2"/>
        </w:rPr>
        <w:t>m</w:t>
      </w:r>
      <w:r w:rsidRPr="00920B12">
        <w:t>en.</w:t>
      </w:r>
      <w:r w:rsidRPr="00920B12">
        <w:rPr>
          <w:spacing w:val="59"/>
        </w:rPr>
        <w:t xml:space="preserve"> </w:t>
      </w:r>
      <w:r w:rsidRPr="750671CE">
        <w:rPr>
          <w:i/>
          <w:iCs/>
        </w:rPr>
        <w:t>See, e.g.</w:t>
      </w:r>
      <w:r w:rsidRPr="00920B12">
        <w:t xml:space="preserve">, </w:t>
      </w:r>
      <w:r w:rsidRPr="750671CE">
        <w:rPr>
          <w:i/>
          <w:iCs/>
        </w:rPr>
        <w:t>Lipsett v. University of Puerto Rico</w:t>
      </w:r>
      <w:r w:rsidRPr="00920B12">
        <w:t>, 864 F.2d 881, 898 (1st Cir.1988) (</w:t>
      </w:r>
      <w:r w:rsidR="00B05F31">
        <w:t>“</w:t>
      </w:r>
      <w:r w:rsidRPr="00920B12">
        <w:t xml:space="preserve">A </w:t>
      </w:r>
      <w:r w:rsidRPr="00920B12">
        <w:rPr>
          <w:spacing w:val="-2"/>
        </w:rPr>
        <w:t>m</w:t>
      </w:r>
      <w:r w:rsidRPr="00920B12">
        <w:t xml:space="preserve">ale supervisor </w:t>
      </w:r>
      <w:r w:rsidRPr="00920B12">
        <w:rPr>
          <w:spacing w:val="-2"/>
        </w:rPr>
        <w:t>m</w:t>
      </w:r>
      <w:r w:rsidRPr="00920B12">
        <w:rPr>
          <w:spacing w:val="1"/>
        </w:rPr>
        <w:t>i</w:t>
      </w:r>
      <w:r w:rsidRPr="00920B12">
        <w:t xml:space="preserve">ght believe, </w:t>
      </w:r>
      <w:r w:rsidRPr="00920B12">
        <w:rPr>
          <w:spacing w:val="-1"/>
        </w:rPr>
        <w:t>f</w:t>
      </w:r>
      <w:r w:rsidRPr="00920B12">
        <w:t>or exa</w:t>
      </w:r>
      <w:r w:rsidRPr="00920B12">
        <w:rPr>
          <w:spacing w:val="-2"/>
        </w:rPr>
        <w:t>m</w:t>
      </w:r>
      <w:r w:rsidRPr="00920B12">
        <w:t>ple, that it is legiti</w:t>
      </w:r>
      <w:r w:rsidRPr="00920B12">
        <w:rPr>
          <w:spacing w:val="-2"/>
        </w:rPr>
        <w:t>m</w:t>
      </w:r>
      <w:r w:rsidRPr="00920B12">
        <w:t xml:space="preserve">ate </w:t>
      </w:r>
      <w:r w:rsidRPr="00920B12">
        <w:rPr>
          <w:spacing w:val="-1"/>
        </w:rPr>
        <w:t>f</w:t>
      </w:r>
      <w:r w:rsidRPr="00920B12">
        <w:t>or him</w:t>
      </w:r>
      <w:r w:rsidRPr="00920B12">
        <w:rPr>
          <w:spacing w:val="-2"/>
        </w:rPr>
        <w:t xml:space="preserve"> </w:t>
      </w:r>
      <w:r w:rsidRPr="00920B12">
        <w:t xml:space="preserve">to tell a </w:t>
      </w:r>
      <w:r w:rsidRPr="00920B12">
        <w:rPr>
          <w:spacing w:val="-1"/>
        </w:rPr>
        <w:t>f</w:t>
      </w:r>
      <w:r w:rsidRPr="00920B12">
        <w:t>e</w:t>
      </w:r>
      <w:r w:rsidRPr="00920B12">
        <w:rPr>
          <w:spacing w:val="-2"/>
        </w:rPr>
        <w:t>m</w:t>
      </w:r>
      <w:r w:rsidRPr="00920B12">
        <w:t xml:space="preserve">ale subordinate that she has a </w:t>
      </w:r>
      <w:r w:rsidR="00B05F31">
        <w:t>‘</w:t>
      </w:r>
      <w:r w:rsidRPr="00920B12">
        <w:t>great figure</w:t>
      </w:r>
      <w:r w:rsidR="00B05F31">
        <w:t>’</w:t>
      </w:r>
      <w:r w:rsidRPr="00920B12">
        <w:t xml:space="preserve"> or </w:t>
      </w:r>
      <w:r w:rsidR="00B05F31">
        <w:t>‘</w:t>
      </w:r>
      <w:r w:rsidRPr="00920B12">
        <w:t>nice legs.</w:t>
      </w:r>
      <w:r w:rsidR="00B05F31">
        <w:t>’</w:t>
      </w:r>
      <w:r w:rsidRPr="00920B12">
        <w:t xml:space="preserve"> The fe</w:t>
      </w:r>
      <w:r w:rsidRPr="00920B12">
        <w:rPr>
          <w:spacing w:val="-2"/>
        </w:rPr>
        <w:t>m</w:t>
      </w:r>
      <w:r w:rsidRPr="00920B12">
        <w:t xml:space="preserve">ale subordinate, however, </w:t>
      </w:r>
      <w:r w:rsidRPr="00920B12">
        <w:rPr>
          <w:spacing w:val="-2"/>
        </w:rPr>
        <w:t>m</w:t>
      </w:r>
      <w:r w:rsidRPr="00920B12">
        <w:t>ay find such co</w:t>
      </w:r>
      <w:r w:rsidRPr="00920B12">
        <w:rPr>
          <w:spacing w:val="-2"/>
        </w:rPr>
        <w:t>mm</w:t>
      </w:r>
      <w:r w:rsidRPr="00920B12">
        <w:t>ents offensive</w:t>
      </w:r>
      <w:r w:rsidR="00B05F31">
        <w:t>”</w:t>
      </w:r>
      <w:r w:rsidRPr="00920B12">
        <w:t xml:space="preserve">) . . . . </w:t>
      </w:r>
      <w:r w:rsidRPr="750671CE">
        <w:rPr>
          <w:i/>
          <w:iCs/>
        </w:rPr>
        <w:t xml:space="preserve">See also </w:t>
      </w:r>
      <w:r w:rsidR="00744778">
        <w:rPr>
          <w:iCs/>
        </w:rPr>
        <w:t xml:space="preserve">Nancy S. </w:t>
      </w:r>
      <w:r w:rsidRPr="00920B12">
        <w:t xml:space="preserve">Ehrenreich, </w:t>
      </w:r>
      <w:r w:rsidRPr="750671CE">
        <w:rPr>
          <w:i/>
          <w:iCs/>
        </w:rPr>
        <w:t>Pluralist Myths and Powerless Men: The Ideology of Reasonableness in Sexual Harassment La</w:t>
      </w:r>
      <w:r w:rsidRPr="750671CE">
        <w:rPr>
          <w:i/>
          <w:iCs/>
          <w:spacing w:val="-1"/>
        </w:rPr>
        <w:t>w</w:t>
      </w:r>
      <w:r w:rsidRPr="00920B12">
        <w:t xml:space="preserve">, 99 </w:t>
      </w:r>
      <w:r w:rsidRPr="00F94B7E">
        <w:rPr>
          <w:smallCaps/>
        </w:rPr>
        <w:t>Y</w:t>
      </w:r>
      <w:r w:rsidR="005F297D" w:rsidRPr="00F94B7E">
        <w:rPr>
          <w:smallCaps/>
        </w:rPr>
        <w:t>ale</w:t>
      </w:r>
      <w:r w:rsidRPr="00920B12">
        <w:rPr>
          <w:spacing w:val="5"/>
        </w:rPr>
        <w:t xml:space="preserve"> </w:t>
      </w:r>
      <w:r w:rsidRPr="00920B12">
        <w:t>L.J. 1177, 1207-08 (1990) (</w:t>
      </w:r>
      <w:r w:rsidR="00744778">
        <w:t xml:space="preserve">finding </w:t>
      </w:r>
      <w:r w:rsidRPr="00920B12">
        <w:rPr>
          <w:spacing w:val="-2"/>
        </w:rPr>
        <w:t>m</w:t>
      </w:r>
      <w:r w:rsidRPr="00920B12">
        <w:t>en tend to view so</w:t>
      </w:r>
      <w:r w:rsidRPr="00920B12">
        <w:rPr>
          <w:spacing w:val="-2"/>
        </w:rPr>
        <w:t>m</w:t>
      </w:r>
      <w:r w:rsidRPr="00920B12">
        <w:t>e for</w:t>
      </w:r>
      <w:r w:rsidRPr="00920B12">
        <w:rPr>
          <w:spacing w:val="-2"/>
        </w:rPr>
        <w:t>m</w:t>
      </w:r>
      <w:r w:rsidRPr="00920B12">
        <w:t>s of sexual harass</w:t>
      </w:r>
      <w:r w:rsidRPr="00920B12">
        <w:rPr>
          <w:spacing w:val="-2"/>
        </w:rPr>
        <w:t>m</w:t>
      </w:r>
      <w:r w:rsidRPr="00920B12">
        <w:t xml:space="preserve">ent as </w:t>
      </w:r>
      <w:r w:rsidR="00B05F31">
        <w:t>“</w:t>
      </w:r>
      <w:r w:rsidRPr="00920B12">
        <w:t>har</w:t>
      </w:r>
      <w:r w:rsidRPr="00920B12">
        <w:rPr>
          <w:spacing w:val="-2"/>
        </w:rPr>
        <w:t>m</w:t>
      </w:r>
      <w:r w:rsidRPr="00920B12">
        <w:rPr>
          <w:spacing w:val="1"/>
        </w:rPr>
        <w:t>l</w:t>
      </w:r>
      <w:r w:rsidRPr="00920B12">
        <w:t>ess social interactions to which only</w:t>
      </w:r>
      <w:r w:rsidRPr="750671CE">
        <w:t xml:space="preserve"> </w:t>
      </w:r>
      <w:r w:rsidRPr="00920B12">
        <w:t>overly-sensitive wo</w:t>
      </w:r>
      <w:r w:rsidRPr="00920B12">
        <w:rPr>
          <w:spacing w:val="-2"/>
        </w:rPr>
        <w:t>m</w:t>
      </w:r>
      <w:r w:rsidRPr="00920B12">
        <w:t>en would object</w:t>
      </w:r>
      <w:r w:rsidR="00B05F31">
        <w:t>”</w:t>
      </w:r>
      <w:r w:rsidRPr="00920B12">
        <w:t>) . . . .</w:t>
      </w:r>
    </w:p>
    <w:p w14:paraId="6F6F4BE6" w14:textId="77777777" w:rsidR="00C22B24" w:rsidRPr="00920B12" w:rsidRDefault="00C22B24" w:rsidP="00F94B7E">
      <w:pPr>
        <w:pStyle w:val="blockquote"/>
      </w:pPr>
    </w:p>
    <w:p w14:paraId="1BBFA407" w14:textId="06C16A7D" w:rsidR="00C22B24" w:rsidRPr="00920B12" w:rsidRDefault="00C22B24" w:rsidP="00F94B7E">
      <w:pPr>
        <w:pStyle w:val="blockquote"/>
      </w:pPr>
      <w:r w:rsidRPr="00920B12">
        <w:rPr>
          <w:spacing w:val="-2"/>
        </w:rPr>
        <w:t>W</w:t>
      </w:r>
      <w:r w:rsidRPr="00920B12">
        <w:t>e realize that there is a broad range of viewpoints a</w:t>
      </w:r>
      <w:r w:rsidRPr="00920B12">
        <w:rPr>
          <w:spacing w:val="-2"/>
        </w:rPr>
        <w:t>m</w:t>
      </w:r>
      <w:r w:rsidRPr="00920B12">
        <w:t>ong wo</w:t>
      </w:r>
      <w:r w:rsidRPr="00920B12">
        <w:rPr>
          <w:spacing w:val="-2"/>
        </w:rPr>
        <w:t>m</w:t>
      </w:r>
      <w:r w:rsidRPr="00920B12">
        <w:t xml:space="preserve">en as a group, but we believe that </w:t>
      </w:r>
      <w:r w:rsidRPr="00920B12">
        <w:rPr>
          <w:spacing w:val="-2"/>
        </w:rPr>
        <w:t>m</w:t>
      </w:r>
      <w:r w:rsidRPr="00920B12">
        <w:t>any wo</w:t>
      </w:r>
      <w:r w:rsidRPr="00920B12">
        <w:rPr>
          <w:spacing w:val="-2"/>
        </w:rPr>
        <w:t>m</w:t>
      </w:r>
      <w:r w:rsidRPr="00920B12">
        <w:t>en share co</w:t>
      </w:r>
      <w:r w:rsidRPr="00920B12">
        <w:rPr>
          <w:spacing w:val="-2"/>
        </w:rPr>
        <w:t>mm</w:t>
      </w:r>
      <w:r w:rsidRPr="00920B12">
        <w:t xml:space="preserve">on concerns which </w:t>
      </w:r>
      <w:r w:rsidRPr="00920B12">
        <w:rPr>
          <w:spacing w:val="-2"/>
        </w:rPr>
        <w:t>m</w:t>
      </w:r>
      <w:r w:rsidRPr="00920B12">
        <w:t>en do not necessarily share.</w:t>
      </w:r>
      <w:r w:rsidRPr="00920B12">
        <w:rPr>
          <w:rStyle w:val="FootnoteReference"/>
        </w:rPr>
        <w:footnoteReference w:customMarkFollows="1" w:id="8"/>
        <w:t>9</w:t>
      </w:r>
      <w:r w:rsidRPr="00920B12">
        <w:rPr>
          <w:spacing w:val="26"/>
          <w:position w:val="10"/>
        </w:rPr>
        <w:t xml:space="preserve"> </w:t>
      </w:r>
      <w:r w:rsidRPr="00920B12">
        <w:t>For exa</w:t>
      </w:r>
      <w:r w:rsidRPr="00920B12">
        <w:rPr>
          <w:spacing w:val="-2"/>
        </w:rPr>
        <w:t>m</w:t>
      </w:r>
      <w:r w:rsidRPr="00920B12">
        <w:t>ple, because wo</w:t>
      </w:r>
      <w:r w:rsidRPr="00920B12">
        <w:rPr>
          <w:spacing w:val="-2"/>
        </w:rPr>
        <w:t>m</w:t>
      </w:r>
      <w:r w:rsidRPr="00920B12">
        <w:t>en are disproportionately victi</w:t>
      </w:r>
      <w:r w:rsidRPr="00920B12">
        <w:rPr>
          <w:spacing w:val="-2"/>
        </w:rPr>
        <w:t>m</w:t>
      </w:r>
      <w:r w:rsidRPr="00920B12">
        <w:t>s of rape and sexual assault, wo</w:t>
      </w:r>
      <w:r w:rsidRPr="00920B12">
        <w:rPr>
          <w:spacing w:val="-2"/>
        </w:rPr>
        <w:t>m</w:t>
      </w:r>
      <w:r w:rsidRPr="00920B12">
        <w:t xml:space="preserve">en have a stronger incentive to be concerned with sexual behavior. </w:t>
      </w:r>
      <w:r w:rsidRPr="00920B12">
        <w:rPr>
          <w:spacing w:val="-2"/>
        </w:rPr>
        <w:t>W</w:t>
      </w:r>
      <w:r w:rsidRPr="00920B12">
        <w:t>o</w:t>
      </w:r>
      <w:r w:rsidRPr="00920B12">
        <w:rPr>
          <w:spacing w:val="-2"/>
        </w:rPr>
        <w:t>m</w:t>
      </w:r>
      <w:r w:rsidRPr="00920B12">
        <w:t>en who are victi</w:t>
      </w:r>
      <w:r w:rsidRPr="00920B12">
        <w:rPr>
          <w:spacing w:val="-2"/>
        </w:rPr>
        <w:t>m</w:t>
      </w:r>
      <w:r w:rsidRPr="00920B12">
        <w:t xml:space="preserve">s of </w:t>
      </w:r>
      <w:r w:rsidRPr="00920B12">
        <w:rPr>
          <w:spacing w:val="-2"/>
        </w:rPr>
        <w:t>m</w:t>
      </w:r>
      <w:r w:rsidRPr="00920B12">
        <w:t>ild for</w:t>
      </w:r>
      <w:r w:rsidRPr="00920B12">
        <w:rPr>
          <w:spacing w:val="-2"/>
        </w:rPr>
        <w:t>m</w:t>
      </w:r>
      <w:r w:rsidRPr="00920B12">
        <w:t>s of sexual harass</w:t>
      </w:r>
      <w:r w:rsidRPr="00920B12">
        <w:rPr>
          <w:spacing w:val="-2"/>
        </w:rPr>
        <w:t>m</w:t>
      </w:r>
      <w:r w:rsidRPr="00920B12">
        <w:t xml:space="preserve">ent </w:t>
      </w:r>
      <w:r w:rsidRPr="00920B12">
        <w:rPr>
          <w:spacing w:val="-2"/>
        </w:rPr>
        <w:t>m</w:t>
      </w:r>
      <w:r w:rsidRPr="00920B12">
        <w:t>ay understandably worry whether a harasser</w:t>
      </w:r>
      <w:r w:rsidR="00B05F31">
        <w:t>’</w:t>
      </w:r>
      <w:r w:rsidRPr="00920B12">
        <w:t xml:space="preserve">s conduct is </w:t>
      </w:r>
      <w:r w:rsidRPr="00920B12">
        <w:rPr>
          <w:spacing w:val="-2"/>
        </w:rPr>
        <w:t>m</w:t>
      </w:r>
      <w:r w:rsidRPr="00920B12">
        <w:t>erely a prelude to violent sexual assault. Men, who are rarely victi</w:t>
      </w:r>
      <w:r w:rsidRPr="00920B12">
        <w:rPr>
          <w:spacing w:val="-2"/>
        </w:rPr>
        <w:t>m</w:t>
      </w:r>
      <w:r w:rsidRPr="00920B12">
        <w:t xml:space="preserve">s of sexual assault, </w:t>
      </w:r>
      <w:r w:rsidRPr="00920B12">
        <w:rPr>
          <w:spacing w:val="-2"/>
        </w:rPr>
        <w:t>m</w:t>
      </w:r>
      <w:r w:rsidRPr="00920B12">
        <w:t>ay view sexual conduct in a vacuum</w:t>
      </w:r>
      <w:r w:rsidRPr="00920B12">
        <w:rPr>
          <w:spacing w:val="-2"/>
        </w:rPr>
        <w:t xml:space="preserve"> </w:t>
      </w:r>
      <w:r w:rsidRPr="00920B12">
        <w:t>without a full appreciation of the social setting or the underlying threat of violence that a wo</w:t>
      </w:r>
      <w:r w:rsidRPr="00920B12">
        <w:rPr>
          <w:spacing w:val="-2"/>
        </w:rPr>
        <w:t>m</w:t>
      </w:r>
      <w:r w:rsidRPr="00920B12">
        <w:t xml:space="preserve">an </w:t>
      </w:r>
      <w:r w:rsidRPr="00920B12">
        <w:rPr>
          <w:spacing w:val="-2"/>
        </w:rPr>
        <w:t>m</w:t>
      </w:r>
      <w:r w:rsidRPr="00920B12">
        <w:t>ay perceive.</w:t>
      </w:r>
    </w:p>
    <w:p w14:paraId="2204628F" w14:textId="77777777" w:rsidR="00C22B24" w:rsidRPr="00920B12" w:rsidRDefault="00C22B24" w:rsidP="00F94B7E">
      <w:pPr>
        <w:pStyle w:val="blockquote"/>
      </w:pPr>
    </w:p>
    <w:p w14:paraId="1D45BC67" w14:textId="77777777" w:rsidR="00C22B24" w:rsidRPr="00920B12" w:rsidRDefault="00C22B24" w:rsidP="00F94B7E">
      <w:pPr>
        <w:pStyle w:val="blockquote"/>
      </w:pPr>
      <w:r w:rsidRPr="00920B12">
        <w:t>In order to shield e</w:t>
      </w:r>
      <w:r w:rsidRPr="00920B12">
        <w:rPr>
          <w:spacing w:val="-2"/>
        </w:rPr>
        <w:t>m</w:t>
      </w:r>
      <w:r w:rsidRPr="00920B12">
        <w:t>ployers from</w:t>
      </w:r>
      <w:r w:rsidRPr="00920B12">
        <w:rPr>
          <w:spacing w:val="-2"/>
        </w:rPr>
        <w:t xml:space="preserve"> </w:t>
      </w:r>
      <w:r w:rsidRPr="00920B12">
        <w:t>having to acco</w:t>
      </w:r>
      <w:r w:rsidRPr="00920B12">
        <w:rPr>
          <w:spacing w:val="-2"/>
        </w:rPr>
        <w:t>mm</w:t>
      </w:r>
      <w:r w:rsidRPr="00920B12">
        <w:t>odate the</w:t>
      </w:r>
      <w:r>
        <w:t xml:space="preserve"> i</w:t>
      </w:r>
      <w:r w:rsidRPr="00920B12">
        <w:t>diosyncratic concerns of the rare hyper-sensitive e</w:t>
      </w:r>
      <w:r w:rsidRPr="00920B12">
        <w:rPr>
          <w:spacing w:val="-2"/>
        </w:rPr>
        <w:t>m</w:t>
      </w:r>
      <w:r w:rsidRPr="00920B12">
        <w:t>ployee, we hold that a fe</w:t>
      </w:r>
      <w:r w:rsidRPr="00920B12">
        <w:rPr>
          <w:spacing w:val="-2"/>
        </w:rPr>
        <w:t>m</w:t>
      </w:r>
      <w:r w:rsidRPr="00920B12">
        <w:t>ale plainti</w:t>
      </w:r>
      <w:r w:rsidRPr="00920B12">
        <w:rPr>
          <w:spacing w:val="-1"/>
        </w:rPr>
        <w:t>f</w:t>
      </w:r>
      <w:r w:rsidRPr="00920B12">
        <w:t>f</w:t>
      </w:r>
      <w:r w:rsidRPr="00920B12">
        <w:rPr>
          <w:spacing w:val="-1"/>
        </w:rPr>
        <w:t xml:space="preserve"> </w:t>
      </w:r>
      <w:r w:rsidRPr="00920B12">
        <w:t>states a pri</w:t>
      </w:r>
      <w:r w:rsidRPr="00920B12">
        <w:rPr>
          <w:spacing w:val="-2"/>
        </w:rPr>
        <w:t>m</w:t>
      </w:r>
      <w:r w:rsidRPr="00920B12">
        <w:t xml:space="preserve">a </w:t>
      </w:r>
      <w:r w:rsidRPr="00920B12">
        <w:rPr>
          <w:spacing w:val="-1"/>
        </w:rPr>
        <w:t>f</w:t>
      </w:r>
      <w:r w:rsidRPr="00920B12">
        <w:t>acie case of</w:t>
      </w:r>
      <w:r w:rsidRPr="00920B12">
        <w:rPr>
          <w:spacing w:val="-1"/>
        </w:rPr>
        <w:t xml:space="preserve"> </w:t>
      </w:r>
      <w:r w:rsidRPr="00920B12">
        <w:t>hostile environ</w:t>
      </w:r>
      <w:r w:rsidRPr="00920B12">
        <w:rPr>
          <w:spacing w:val="-2"/>
        </w:rPr>
        <w:t>m</w:t>
      </w:r>
      <w:r w:rsidRPr="00920B12">
        <w:t xml:space="preserve">ent sexual </w:t>
      </w:r>
      <w:r w:rsidRPr="00920B12">
        <w:lastRenderedPageBreak/>
        <w:t>harass</w:t>
      </w:r>
      <w:r w:rsidRPr="00920B12">
        <w:rPr>
          <w:spacing w:val="-2"/>
        </w:rPr>
        <w:t>m</w:t>
      </w:r>
      <w:r w:rsidRPr="00920B12">
        <w:t>ent when she alleges conduct which a reasonable wo</w:t>
      </w:r>
      <w:r w:rsidRPr="00920B12">
        <w:rPr>
          <w:spacing w:val="-2"/>
        </w:rPr>
        <w:t>m</w:t>
      </w:r>
      <w:r w:rsidRPr="00920B12">
        <w:t>a</w:t>
      </w:r>
      <w:r w:rsidRPr="00920B12">
        <w:rPr>
          <w:spacing w:val="-1"/>
        </w:rPr>
        <w:t>n</w:t>
      </w:r>
      <w:r w:rsidRPr="00920B12">
        <w:rPr>
          <w:rStyle w:val="FootnoteReference"/>
          <w:spacing w:val="-1"/>
        </w:rPr>
        <w:footnoteReference w:customMarkFollows="1" w:id="9"/>
        <w:t>11</w:t>
      </w:r>
      <w:r w:rsidRPr="00920B12">
        <w:rPr>
          <w:spacing w:val="28"/>
          <w:position w:val="10"/>
        </w:rPr>
        <w:t xml:space="preserve"> </w:t>
      </w:r>
      <w:r w:rsidRPr="00920B12">
        <w:t>would consider sufficiently severe or pervasive to alter the conditions of e</w:t>
      </w:r>
      <w:r w:rsidRPr="00920B12">
        <w:rPr>
          <w:spacing w:val="-2"/>
        </w:rPr>
        <w:t>m</w:t>
      </w:r>
      <w:r w:rsidRPr="00920B12">
        <w:t>ploy</w:t>
      </w:r>
      <w:r w:rsidRPr="00920B12">
        <w:rPr>
          <w:spacing w:val="-2"/>
        </w:rPr>
        <w:t>m</w:t>
      </w:r>
      <w:r w:rsidRPr="00920B12">
        <w:t>ent and create an abusive working environ</w:t>
      </w:r>
      <w:r w:rsidRPr="00920B12">
        <w:rPr>
          <w:spacing w:val="-2"/>
        </w:rPr>
        <w:t>m</w:t>
      </w:r>
      <w:r w:rsidRPr="00920B12">
        <w:t>ent.</w:t>
      </w:r>
    </w:p>
    <w:p w14:paraId="17597497" w14:textId="77777777" w:rsidR="00C22B24" w:rsidRPr="00920B12" w:rsidRDefault="00C22B24" w:rsidP="00F94B7E">
      <w:pPr>
        <w:pStyle w:val="blockquote"/>
      </w:pPr>
    </w:p>
    <w:p w14:paraId="5DDA8F08" w14:textId="519CE33E" w:rsidR="00C22B24" w:rsidRPr="00920B12" w:rsidRDefault="00C22B24" w:rsidP="00F94B7E">
      <w:pPr>
        <w:pStyle w:val="blockquote"/>
      </w:pPr>
      <w:r w:rsidRPr="00920B12">
        <w:rPr>
          <w:spacing w:val="-2"/>
        </w:rPr>
        <w:t>W</w:t>
      </w:r>
      <w:r w:rsidRPr="00920B12">
        <w:t>e adopt the perspective of a reasonable wo</w:t>
      </w:r>
      <w:r w:rsidRPr="00920B12">
        <w:rPr>
          <w:spacing w:val="-2"/>
        </w:rPr>
        <w:t>m</w:t>
      </w:r>
      <w:r w:rsidRPr="00920B12">
        <w:t>an pri</w:t>
      </w:r>
      <w:r w:rsidRPr="00920B12">
        <w:rPr>
          <w:spacing w:val="-2"/>
        </w:rPr>
        <w:t>m</w:t>
      </w:r>
      <w:r w:rsidRPr="00920B12">
        <w:t xml:space="preserve">arily because we believe that a sex-blind reasonable person standard tends to be </w:t>
      </w:r>
      <w:r w:rsidRPr="00920B12">
        <w:rPr>
          <w:spacing w:val="-2"/>
        </w:rPr>
        <w:t>m</w:t>
      </w:r>
      <w:r w:rsidRPr="00920B12">
        <w:t>ale-biased and tends to syste</w:t>
      </w:r>
      <w:r w:rsidRPr="00920B12">
        <w:rPr>
          <w:spacing w:val="-2"/>
        </w:rPr>
        <w:t>m</w:t>
      </w:r>
      <w:r w:rsidRPr="00920B12">
        <w:t>atically ignore the experiences of wo</w:t>
      </w:r>
      <w:r w:rsidRPr="00920B12">
        <w:rPr>
          <w:spacing w:val="-2"/>
        </w:rPr>
        <w:t>m</w:t>
      </w:r>
      <w:r w:rsidRPr="00920B12">
        <w:t>en. The reasonable wo</w:t>
      </w:r>
      <w:r w:rsidRPr="00920B12">
        <w:rPr>
          <w:spacing w:val="-2"/>
        </w:rPr>
        <w:t>m</w:t>
      </w:r>
      <w:r w:rsidRPr="00920B12">
        <w:t>an standard does not establish a higher level of protection for wo</w:t>
      </w:r>
      <w:r w:rsidRPr="00920B12">
        <w:rPr>
          <w:spacing w:val="-2"/>
        </w:rPr>
        <w:t>m</w:t>
      </w:r>
      <w:r w:rsidRPr="00920B12">
        <w:t xml:space="preserve">en than </w:t>
      </w:r>
      <w:r w:rsidRPr="00920B12">
        <w:rPr>
          <w:spacing w:val="-2"/>
        </w:rPr>
        <w:t>m</w:t>
      </w:r>
      <w:r w:rsidRPr="00920B12">
        <w:t xml:space="preserve">en. </w:t>
      </w:r>
      <w:r w:rsidRPr="750671CE">
        <w:rPr>
          <w:i/>
          <w:iCs/>
        </w:rPr>
        <w:t>Cf. Rosenfeld v. Southern Pacific Co.</w:t>
      </w:r>
      <w:r w:rsidRPr="00920B12">
        <w:t>, 444 F.2d 1219, 1225-1227 (9th Cir.1971) (invalidating under Title VII paternalistic state labor laws restricting e</w:t>
      </w:r>
      <w:r w:rsidRPr="00920B12">
        <w:rPr>
          <w:spacing w:val="-2"/>
        </w:rPr>
        <w:t>m</w:t>
      </w:r>
      <w:r w:rsidRPr="00920B12">
        <w:t>ploy</w:t>
      </w:r>
      <w:r w:rsidRPr="00920B12">
        <w:rPr>
          <w:spacing w:val="-2"/>
        </w:rPr>
        <w:t>m</w:t>
      </w:r>
      <w:r w:rsidRPr="00920B12">
        <w:t>ent opportunities for wo</w:t>
      </w:r>
      <w:r w:rsidRPr="00920B12">
        <w:rPr>
          <w:spacing w:val="-2"/>
        </w:rPr>
        <w:t>m</w:t>
      </w:r>
      <w:r w:rsidRPr="00920B12">
        <w:t>en).  Instead, a gender-conscious exa</w:t>
      </w:r>
      <w:r w:rsidRPr="00920B12">
        <w:rPr>
          <w:spacing w:val="-2"/>
        </w:rPr>
        <w:t>m</w:t>
      </w:r>
      <w:r w:rsidRPr="00920B12">
        <w:t>ination of sexual harass</w:t>
      </w:r>
      <w:r w:rsidRPr="00920B12">
        <w:rPr>
          <w:spacing w:val="-2"/>
        </w:rPr>
        <w:t>m</w:t>
      </w:r>
      <w:r w:rsidRPr="00920B12">
        <w:t>ent enables wo</w:t>
      </w:r>
      <w:r w:rsidRPr="00920B12">
        <w:rPr>
          <w:spacing w:val="-2"/>
        </w:rPr>
        <w:t>m</w:t>
      </w:r>
      <w:r w:rsidRPr="00920B12">
        <w:t xml:space="preserve">en to participate in the workplace on an equal footing with </w:t>
      </w:r>
      <w:r w:rsidRPr="00920B12">
        <w:rPr>
          <w:spacing w:val="-2"/>
        </w:rPr>
        <w:t>m</w:t>
      </w:r>
      <w:r w:rsidRPr="00920B12">
        <w:t>en. By acknowledging and not trivializing the effects of sexual harass</w:t>
      </w:r>
      <w:r w:rsidRPr="00920B12">
        <w:rPr>
          <w:spacing w:val="-2"/>
        </w:rPr>
        <w:t>m</w:t>
      </w:r>
      <w:r w:rsidRPr="00920B12">
        <w:t>ent on reasonable wo</w:t>
      </w:r>
      <w:r w:rsidRPr="00920B12">
        <w:rPr>
          <w:spacing w:val="-2"/>
        </w:rPr>
        <w:t>m</w:t>
      </w:r>
      <w:r w:rsidRPr="00920B12">
        <w:t xml:space="preserve">en, courts can work towards ensuring that neither </w:t>
      </w:r>
      <w:r w:rsidRPr="00920B12">
        <w:rPr>
          <w:spacing w:val="-2"/>
        </w:rPr>
        <w:t>m</w:t>
      </w:r>
      <w:r w:rsidRPr="00920B12">
        <w:t>en nor wo</w:t>
      </w:r>
      <w:r w:rsidRPr="00920B12">
        <w:rPr>
          <w:spacing w:val="-2"/>
        </w:rPr>
        <w:t>m</w:t>
      </w:r>
      <w:r w:rsidRPr="00920B12">
        <w:t xml:space="preserve">en will have to </w:t>
      </w:r>
      <w:r w:rsidR="00B05F31">
        <w:t>“</w:t>
      </w:r>
      <w:r w:rsidRPr="00920B12">
        <w:t>run a gauntlet of</w:t>
      </w:r>
      <w:r w:rsidRPr="00920B12">
        <w:rPr>
          <w:spacing w:val="-1"/>
        </w:rPr>
        <w:t xml:space="preserve"> </w:t>
      </w:r>
      <w:r w:rsidRPr="00920B12">
        <w:t xml:space="preserve">sexual abuse in return </w:t>
      </w:r>
      <w:r w:rsidRPr="00920B12">
        <w:rPr>
          <w:spacing w:val="-1"/>
        </w:rPr>
        <w:t>f</w:t>
      </w:r>
      <w:r w:rsidRPr="00920B12">
        <w:t xml:space="preserve">or the privilege of being allowed to work and </w:t>
      </w:r>
      <w:r w:rsidRPr="00920B12">
        <w:rPr>
          <w:spacing w:val="-2"/>
        </w:rPr>
        <w:t>m</w:t>
      </w:r>
      <w:r w:rsidRPr="00920B12">
        <w:t>ake a living.</w:t>
      </w:r>
      <w:r w:rsidR="00B05F31">
        <w:t>”</w:t>
      </w:r>
    </w:p>
    <w:p w14:paraId="24AE1F5E" w14:textId="77777777" w:rsidR="00C22B24" w:rsidRPr="00920B12" w:rsidRDefault="00C22B24" w:rsidP="00C22B24">
      <w:pPr>
        <w:ind w:left="840" w:right="874" w:firstLine="720"/>
        <w:rPr>
          <w:rFonts w:ascii="Times New Roman" w:eastAsia="Times New Roman" w:hAnsi="Times New Roman" w:cs="Times New Roman"/>
        </w:rPr>
      </w:pPr>
    </w:p>
    <w:p w14:paraId="46F61D7C" w14:textId="77777777" w:rsidR="00C22B24" w:rsidRPr="00920B12" w:rsidRDefault="00C22B24" w:rsidP="00C22B24">
      <w:pPr>
        <w:rPr>
          <w:rFonts w:ascii="Times New Roman" w:hAnsi="Times New Roman" w:cs="Times New Roman"/>
        </w:rPr>
      </w:pPr>
    </w:p>
    <w:p w14:paraId="6AD5EAB2"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Ellison v. Brady</w:t>
      </w:r>
      <w:r w:rsidRPr="750671CE">
        <w:rPr>
          <w:rFonts w:ascii="Times New Roman" w:eastAsia="Times New Roman" w:hAnsi="Times New Roman" w:cs="Times New Roman"/>
        </w:rPr>
        <w:t>, 924 F.2d 872 (9th Cir. 1991) (Beezer, C.J.).</w:t>
      </w:r>
    </w:p>
    <w:p w14:paraId="2B99A7E6" w14:textId="77777777" w:rsidR="00C22B24" w:rsidRPr="00920B12" w:rsidRDefault="00C22B24" w:rsidP="00C22B24">
      <w:pPr>
        <w:ind w:left="820" w:right="804"/>
        <w:rPr>
          <w:rFonts w:ascii="Times New Roman" w:hAnsi="Times New Roman" w:cs="Times New Roman"/>
        </w:rPr>
      </w:pPr>
    </w:p>
    <w:p w14:paraId="45AC0717" w14:textId="5EC3AB99" w:rsidR="00C22B24" w:rsidRPr="00920B12" w:rsidRDefault="00C22B24" w:rsidP="00F94B7E">
      <w:pPr>
        <w:pStyle w:val="blockquote"/>
        <w:ind w:left="0" w:firstLine="720"/>
      </w:pPr>
      <w:r w:rsidRPr="00920B12">
        <w:t>In 1993, however, the U.S. Supre</w:t>
      </w:r>
      <w:r w:rsidRPr="00920B12">
        <w:rPr>
          <w:spacing w:val="-2"/>
        </w:rPr>
        <w:t>m</w:t>
      </w:r>
      <w:r w:rsidRPr="00920B12">
        <w:t xml:space="preserve">e Court decided </w:t>
      </w:r>
      <w:r w:rsidRPr="750671CE">
        <w:rPr>
          <w:i/>
          <w:iCs/>
        </w:rPr>
        <w:t>Harris v. Forklift Systems, Inc.</w:t>
      </w:r>
      <w:r w:rsidRPr="00920B12">
        <w:t>, 510</w:t>
      </w:r>
      <w:r w:rsidR="008C1C85">
        <w:t xml:space="preserve"> </w:t>
      </w:r>
      <w:r w:rsidRPr="00920B12">
        <w:t xml:space="preserve">U.S. 17 (1993), which adopted a </w:t>
      </w:r>
      <w:r w:rsidR="00B05F31">
        <w:t>“</w:t>
      </w:r>
      <w:r w:rsidRPr="00920B12">
        <w:t>reasonable person</w:t>
      </w:r>
      <w:r w:rsidR="00B05F31">
        <w:t>”</w:t>
      </w:r>
      <w:r w:rsidRPr="00920B12">
        <w:t xml:space="preserve"> standard rather than the </w:t>
      </w:r>
      <w:r w:rsidR="00B05F31">
        <w:t>“</w:t>
      </w:r>
      <w:r w:rsidRPr="00920B12">
        <w:t>reasonable wo</w:t>
      </w:r>
      <w:r w:rsidRPr="00920B12">
        <w:rPr>
          <w:spacing w:val="-2"/>
        </w:rPr>
        <w:t>m</w:t>
      </w:r>
      <w:r w:rsidRPr="00920B12">
        <w:t>an</w:t>
      </w:r>
      <w:r w:rsidR="00B05F31">
        <w:t>”</w:t>
      </w:r>
      <w:r w:rsidRPr="00920B12">
        <w:t xml:space="preserve"> standard of </w:t>
      </w:r>
      <w:r w:rsidRPr="750671CE">
        <w:rPr>
          <w:i/>
          <w:iCs/>
        </w:rPr>
        <w:t>Ellison</w:t>
      </w:r>
      <w:r w:rsidRPr="00920B12">
        <w:t>:</w:t>
      </w:r>
    </w:p>
    <w:p w14:paraId="7398C6DB" w14:textId="77777777" w:rsidR="00C22B24" w:rsidRPr="00920B12" w:rsidRDefault="00C22B24" w:rsidP="00F94B7E">
      <w:pPr>
        <w:pStyle w:val="blockquote"/>
      </w:pPr>
    </w:p>
    <w:p w14:paraId="4711C707" w14:textId="3B2170E7" w:rsidR="00C22B24" w:rsidRPr="00920B12" w:rsidRDefault="00C22B24" w:rsidP="00F94B7E">
      <w:pPr>
        <w:pStyle w:val="blockquote"/>
      </w:pPr>
      <w:r w:rsidRPr="00920B12">
        <w:t>This standard, which we reaffirm</w:t>
      </w:r>
      <w:r w:rsidRPr="00920B12">
        <w:rPr>
          <w:spacing w:val="-2"/>
        </w:rPr>
        <w:t xml:space="preserve"> </w:t>
      </w:r>
      <w:r w:rsidRPr="00920B12">
        <w:t xml:space="preserve">today, takes a </w:t>
      </w:r>
      <w:r w:rsidRPr="00920B12">
        <w:rPr>
          <w:spacing w:val="-2"/>
        </w:rPr>
        <w:t>m</w:t>
      </w:r>
      <w:r w:rsidRPr="00920B12">
        <w:rPr>
          <w:spacing w:val="1"/>
        </w:rPr>
        <w:t>i</w:t>
      </w:r>
      <w:r w:rsidRPr="00920B12">
        <w:t xml:space="preserve">ddle path between </w:t>
      </w:r>
      <w:r w:rsidRPr="00920B12">
        <w:rPr>
          <w:spacing w:val="-2"/>
        </w:rPr>
        <w:t>m</w:t>
      </w:r>
      <w:r w:rsidRPr="00920B12">
        <w:t xml:space="preserve">aking actionable any conduct that is merely offensive and requiring the conduct to cause a tangible psychological injury. As we pointed out in </w:t>
      </w:r>
      <w:r w:rsidRPr="750671CE">
        <w:rPr>
          <w:i/>
          <w:iCs/>
        </w:rPr>
        <w:t>Meritor</w:t>
      </w:r>
      <w:r w:rsidRPr="00920B12">
        <w:t xml:space="preserve">, </w:t>
      </w:r>
      <w:r w:rsidR="00B05F31">
        <w:t>“</w:t>
      </w:r>
      <w:r w:rsidRPr="00920B12">
        <w:rPr>
          <w:spacing w:val="-2"/>
        </w:rPr>
        <w:t>m</w:t>
      </w:r>
      <w:r w:rsidRPr="00920B12">
        <w:t>ere utterance of an . . . epithet which engenders offensive feelings in a e</w:t>
      </w:r>
      <w:r w:rsidRPr="00920B12">
        <w:rPr>
          <w:spacing w:val="-2"/>
        </w:rPr>
        <w:t>m</w:t>
      </w:r>
      <w:r w:rsidRPr="00920B12">
        <w:t>ployee,</w:t>
      </w:r>
      <w:r w:rsidR="00B05F31">
        <w:t>”</w:t>
      </w:r>
      <w:r w:rsidRPr="00920B12">
        <w:t xml:space="preserve"> . . . does not sufficiently affect the conditions of</w:t>
      </w:r>
      <w:r w:rsidRPr="750671CE">
        <w:t xml:space="preserve"> </w:t>
      </w:r>
      <w:r w:rsidRPr="00920B12">
        <w:t>e</w:t>
      </w:r>
      <w:r w:rsidRPr="00920B12">
        <w:rPr>
          <w:spacing w:val="-2"/>
        </w:rPr>
        <w:t>m</w:t>
      </w:r>
      <w:r w:rsidRPr="00920B12">
        <w:t>ploy</w:t>
      </w:r>
      <w:r w:rsidRPr="00920B12">
        <w:rPr>
          <w:spacing w:val="-2"/>
        </w:rPr>
        <w:t>m</w:t>
      </w:r>
      <w:r w:rsidRPr="00920B12">
        <w:t>ent to i</w:t>
      </w:r>
      <w:r w:rsidRPr="00920B12">
        <w:rPr>
          <w:spacing w:val="-2"/>
        </w:rPr>
        <w:t>m</w:t>
      </w:r>
      <w:r w:rsidRPr="00920B12">
        <w:t>plicate Title VII.  Conduct that is not severe or pervasive enough to create an objectively hostile or abusive work environ</w:t>
      </w:r>
      <w:r w:rsidRPr="00920B12">
        <w:rPr>
          <w:spacing w:val="-2"/>
        </w:rPr>
        <w:t>m</w:t>
      </w:r>
      <w:r w:rsidRPr="00920B12">
        <w:t>ent</w:t>
      </w:r>
      <w:r w:rsidR="00AE4655" w:rsidRPr="00AE4655">
        <w:t>—</w:t>
      </w:r>
      <w:r w:rsidRPr="750671CE">
        <w:rPr>
          <w:i/>
          <w:iCs/>
        </w:rPr>
        <w:t>an environ</w:t>
      </w:r>
      <w:r w:rsidRPr="750671CE">
        <w:rPr>
          <w:i/>
          <w:iCs/>
          <w:spacing w:val="-2"/>
        </w:rPr>
        <w:t>m</w:t>
      </w:r>
      <w:r w:rsidRPr="750671CE">
        <w:rPr>
          <w:i/>
          <w:iCs/>
        </w:rPr>
        <w:t>ent that a reasonable person would find hostile or abusive</w:t>
      </w:r>
      <w:r w:rsidR="00AE4655" w:rsidRPr="00AE4655">
        <w:rPr>
          <w:i/>
          <w:iCs/>
        </w:rPr>
        <w:t>—</w:t>
      </w:r>
      <w:r w:rsidRPr="00920B12">
        <w:t>is beyond Title VII</w:t>
      </w:r>
      <w:r w:rsidR="00B05F31">
        <w:rPr>
          <w:spacing w:val="-1"/>
        </w:rPr>
        <w:t>’</w:t>
      </w:r>
      <w:r w:rsidRPr="00920B12">
        <w:t>s purview. Likewise, if</w:t>
      </w:r>
      <w:r w:rsidRPr="00920B12">
        <w:rPr>
          <w:spacing w:val="-1"/>
        </w:rPr>
        <w:t xml:space="preserve"> </w:t>
      </w:r>
      <w:r w:rsidRPr="00920B12">
        <w:t>the victim</w:t>
      </w:r>
      <w:r w:rsidRPr="00920B12">
        <w:rPr>
          <w:spacing w:val="-2"/>
        </w:rPr>
        <w:t xml:space="preserve"> </w:t>
      </w:r>
      <w:r w:rsidRPr="00920B12">
        <w:t>does not subjectively perceive the environ</w:t>
      </w:r>
      <w:r w:rsidRPr="00920B12">
        <w:rPr>
          <w:spacing w:val="-2"/>
        </w:rPr>
        <w:t>m</w:t>
      </w:r>
      <w:r w:rsidRPr="00920B12">
        <w:t>ent to be abusive, the conduct has not actually altered the conditions of the victi</w:t>
      </w:r>
      <w:r w:rsidRPr="00920B12">
        <w:rPr>
          <w:spacing w:val="-2"/>
        </w:rPr>
        <w:t>m</w:t>
      </w:r>
      <w:r w:rsidR="00B05F31">
        <w:rPr>
          <w:spacing w:val="-1"/>
        </w:rPr>
        <w:t>’</w:t>
      </w:r>
      <w:r w:rsidRPr="00920B12">
        <w:t>s e</w:t>
      </w:r>
      <w:r w:rsidRPr="00920B12">
        <w:rPr>
          <w:spacing w:val="-2"/>
        </w:rPr>
        <w:t>m</w:t>
      </w:r>
      <w:r w:rsidRPr="00920B12">
        <w:t>ploy</w:t>
      </w:r>
      <w:r w:rsidRPr="00920B12">
        <w:rPr>
          <w:spacing w:val="-2"/>
        </w:rPr>
        <w:t>m</w:t>
      </w:r>
      <w:r w:rsidRPr="00920B12">
        <w:t>ent, and there is no Title VII violation.</w:t>
      </w:r>
    </w:p>
    <w:p w14:paraId="100D40F8" w14:textId="77777777" w:rsidR="00C22B24" w:rsidRPr="00920B12" w:rsidRDefault="00C22B24" w:rsidP="00C22B24">
      <w:pPr>
        <w:rPr>
          <w:rFonts w:ascii="Times New Roman" w:hAnsi="Times New Roman" w:cs="Times New Roman"/>
        </w:rPr>
      </w:pPr>
    </w:p>
    <w:p w14:paraId="6782335F"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510 U.S. at 21 (emphasis added).</w:t>
      </w:r>
    </w:p>
    <w:p w14:paraId="08F9B615" w14:textId="77777777" w:rsidR="00C22B24" w:rsidRPr="00920B12" w:rsidRDefault="00C22B24" w:rsidP="00C22B24">
      <w:pPr>
        <w:rPr>
          <w:rFonts w:ascii="Times New Roman" w:hAnsi="Times New Roman" w:cs="Times New Roman"/>
        </w:rPr>
      </w:pPr>
    </w:p>
    <w:p w14:paraId="6ECAECB0" w14:textId="33CD0051" w:rsidR="00C22B24" w:rsidRPr="00920B12" w:rsidRDefault="00C22B24" w:rsidP="750671CE">
      <w:pPr>
        <w:ind w:firstLine="720"/>
        <w:rPr>
          <w:rFonts w:ascii="Times New Roman" w:eastAsia="Times New Roman" w:hAnsi="Times New Roman" w:cs="Times New Roman"/>
        </w:rPr>
      </w:pPr>
      <w:r w:rsidRPr="00920B12">
        <w:rPr>
          <w:rFonts w:ascii="Times New Roman" w:eastAsia="Times New Roman" w:hAnsi="Times New Roman" w:cs="Times New Roman"/>
        </w:rPr>
        <w:t xml:space="preserve">Many interpreted </w:t>
      </w:r>
      <w:r w:rsidRPr="750671CE">
        <w:rPr>
          <w:rFonts w:ascii="Times New Roman" w:eastAsia="Times New Roman" w:hAnsi="Times New Roman" w:cs="Times New Roman"/>
          <w:i/>
          <w:iCs/>
        </w:rPr>
        <w:t xml:space="preserve">Harris </w:t>
      </w:r>
      <w:r w:rsidRPr="00920B12">
        <w:rPr>
          <w:rFonts w:ascii="Times New Roman" w:eastAsia="Times New Roman" w:hAnsi="Times New Roman" w:cs="Times New Roman"/>
        </w:rPr>
        <w:t>as rejecting the Ninth Circuit</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s </w:t>
      </w:r>
      <w:r w:rsidR="00B05F31">
        <w:rPr>
          <w:rFonts w:ascii="Times New Roman" w:eastAsia="Times New Roman" w:hAnsi="Times New Roman" w:cs="Times New Roman"/>
        </w:rPr>
        <w:t>“</w:t>
      </w:r>
      <w:r w:rsidRPr="00920B12">
        <w:rPr>
          <w:rFonts w:ascii="Times New Roman" w:eastAsia="Times New Roman" w:hAnsi="Times New Roman" w:cs="Times New Roman"/>
        </w:rPr>
        <w:t>reasonable wo</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an</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standard, but the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 xml:space="preserve">atter is not quite so clear.  After the </w:t>
      </w:r>
      <w:r w:rsidRPr="750671CE">
        <w:rPr>
          <w:rFonts w:ascii="Times New Roman" w:eastAsia="Times New Roman" w:hAnsi="Times New Roman" w:cs="Times New Roman"/>
          <w:i/>
          <w:iCs/>
        </w:rPr>
        <w:t xml:space="preserve">Harris </w:t>
      </w:r>
      <w:r w:rsidRPr="00920B12">
        <w:rPr>
          <w:rFonts w:ascii="Times New Roman" w:eastAsia="Times New Roman" w:hAnsi="Times New Roman" w:cs="Times New Roman"/>
        </w:rPr>
        <w:t xml:space="preserve">decision, the Ninth Circuit held that </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[w]hether the workplace is objectively hostile </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ust be deter</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ined from</w:t>
      </w:r>
      <w:r w:rsidRPr="00920B12">
        <w:rPr>
          <w:rFonts w:ascii="Times New Roman" w:eastAsia="Times New Roman" w:hAnsi="Times New Roman" w:cs="Times New Roman"/>
          <w:spacing w:val="-2"/>
        </w:rPr>
        <w:t xml:space="preserve"> </w:t>
      </w:r>
      <w:r w:rsidRPr="00920B12">
        <w:rPr>
          <w:rFonts w:ascii="Times New Roman" w:eastAsia="Times New Roman" w:hAnsi="Times New Roman" w:cs="Times New Roman"/>
        </w:rPr>
        <w:t xml:space="preserve">the </w:t>
      </w:r>
      <w:r w:rsidRPr="00920B12">
        <w:rPr>
          <w:rFonts w:ascii="Times New Roman" w:eastAsia="Times New Roman" w:hAnsi="Times New Roman" w:cs="Times New Roman"/>
        </w:rPr>
        <w:lastRenderedPageBreak/>
        <w:t>perspective of a reasonable person with the sa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 funda</w:t>
      </w:r>
      <w:r w:rsidRPr="00920B12">
        <w:rPr>
          <w:rFonts w:ascii="Times New Roman" w:eastAsia="Times New Roman" w:hAnsi="Times New Roman" w:cs="Times New Roman"/>
          <w:spacing w:val="-2"/>
        </w:rPr>
        <w:t>m</w:t>
      </w:r>
      <w:r w:rsidRPr="00920B12">
        <w:rPr>
          <w:rFonts w:ascii="Times New Roman" w:eastAsia="Times New Roman" w:hAnsi="Times New Roman" w:cs="Times New Roman"/>
        </w:rPr>
        <w:t>ental characteristics,</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citing to its pre-</w:t>
      </w:r>
      <w:r w:rsidRPr="750671CE">
        <w:rPr>
          <w:rFonts w:ascii="Times New Roman" w:eastAsia="Times New Roman" w:hAnsi="Times New Roman" w:cs="Times New Roman"/>
          <w:i/>
          <w:iCs/>
        </w:rPr>
        <w:t xml:space="preserve">Harris </w:t>
      </w:r>
      <w:r w:rsidRPr="00920B12">
        <w:rPr>
          <w:rFonts w:ascii="Times New Roman" w:eastAsia="Times New Roman" w:hAnsi="Times New Roman" w:cs="Times New Roman"/>
        </w:rPr>
        <w:t xml:space="preserve">decision in </w:t>
      </w:r>
      <w:r w:rsidRPr="750671CE">
        <w:rPr>
          <w:rFonts w:ascii="Times New Roman" w:eastAsia="Times New Roman" w:hAnsi="Times New Roman" w:cs="Times New Roman"/>
          <w:i/>
          <w:iCs/>
        </w:rPr>
        <w:t>Ellison</w:t>
      </w:r>
      <w:r w:rsidRPr="00920B12">
        <w:rPr>
          <w:rFonts w:ascii="Times New Roman" w:eastAsia="Times New Roman" w:hAnsi="Times New Roman" w:cs="Times New Roman"/>
        </w:rPr>
        <w:t xml:space="preserve">.  </w:t>
      </w:r>
      <w:r w:rsidRPr="750671CE">
        <w:rPr>
          <w:rFonts w:ascii="Times New Roman" w:eastAsia="Times New Roman" w:hAnsi="Times New Roman" w:cs="Times New Roman"/>
          <w:i/>
          <w:iCs/>
        </w:rPr>
        <w:t>See Fuller v. City of Oakland</w:t>
      </w:r>
      <w:r w:rsidRPr="00920B12">
        <w:rPr>
          <w:rFonts w:ascii="Times New Roman" w:eastAsia="Times New Roman" w:hAnsi="Times New Roman" w:cs="Times New Roman"/>
        </w:rPr>
        <w:t>, 47 F.3d 1522, 1527 (9th</w:t>
      </w:r>
      <w:r w:rsidRPr="00920B12">
        <w:rPr>
          <w:rFonts w:ascii="Times New Roman" w:eastAsia="Times New Roman" w:hAnsi="Times New Roman" w:cs="Times New Roman"/>
          <w:spacing w:val="27"/>
          <w:position w:val="10"/>
        </w:rPr>
        <w:t xml:space="preserve"> </w:t>
      </w:r>
      <w:r w:rsidRPr="00920B12">
        <w:rPr>
          <w:rFonts w:ascii="Times New Roman" w:eastAsia="Times New Roman" w:hAnsi="Times New Roman" w:cs="Times New Roman"/>
        </w:rPr>
        <w:t xml:space="preserve">Cir. 1995).  Is gender one of the </w:t>
      </w:r>
      <w:r w:rsidRPr="750671CE">
        <w:rPr>
          <w:rFonts w:ascii="Times New Roman" w:eastAsia="Times New Roman" w:hAnsi="Times New Roman" w:cs="Times New Roman"/>
          <w:i/>
          <w:iCs/>
        </w:rPr>
        <w:t>Fuller</w:t>
      </w:r>
      <w:r w:rsidRPr="00920B12">
        <w:rPr>
          <w:rFonts w:ascii="Times New Roman" w:eastAsia="Times New Roman" w:hAnsi="Times New Roman" w:cs="Times New Roman"/>
        </w:rPr>
        <w:t xml:space="preserve"> decision</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s </w:t>
      </w:r>
      <w:r w:rsidR="00B05F31">
        <w:rPr>
          <w:rFonts w:ascii="Times New Roman" w:eastAsia="Times New Roman" w:hAnsi="Times New Roman" w:cs="Times New Roman"/>
        </w:rPr>
        <w:t>“</w:t>
      </w:r>
      <w:r w:rsidRPr="00920B12">
        <w:rPr>
          <w:rFonts w:ascii="Times New Roman" w:eastAsia="Times New Roman" w:hAnsi="Times New Roman" w:cs="Times New Roman"/>
        </w:rPr>
        <w:t>fundamental characteristics</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If so, did the Ninth Circuit smuggle gender back in, despite the apparent rejection of gender by the Supreme Court in </w:t>
      </w:r>
      <w:r w:rsidRPr="750671CE">
        <w:rPr>
          <w:rFonts w:ascii="Times New Roman" w:eastAsia="Times New Roman" w:hAnsi="Times New Roman" w:cs="Times New Roman"/>
          <w:i/>
          <w:iCs/>
        </w:rPr>
        <w:t>Harris</w:t>
      </w:r>
      <w:r w:rsidRPr="00920B12">
        <w:rPr>
          <w:rFonts w:ascii="Times New Roman" w:eastAsia="Times New Roman" w:hAnsi="Times New Roman" w:cs="Times New Roman"/>
        </w:rPr>
        <w:t xml:space="preserve">?  More recently, the Ninth Circuit has been explicit about its view that the sex harassment question requires an inquiry into the view of the </w:t>
      </w:r>
      <w:r w:rsidR="00B05F31">
        <w:rPr>
          <w:rFonts w:ascii="Times New Roman" w:eastAsia="Times New Roman" w:hAnsi="Times New Roman" w:cs="Times New Roman"/>
        </w:rPr>
        <w:t>“</w:t>
      </w:r>
      <w:r w:rsidRPr="00920B12">
        <w:rPr>
          <w:rFonts w:ascii="Times New Roman" w:eastAsia="Times New Roman" w:hAnsi="Times New Roman" w:cs="Times New Roman"/>
        </w:rPr>
        <w:t>reasonable woman.</w:t>
      </w:r>
      <w:r w:rsidR="00B05F31">
        <w:rPr>
          <w:rFonts w:ascii="Times New Roman" w:eastAsia="Times New Roman" w:hAnsi="Times New Roman" w:cs="Times New Roman"/>
        </w:rPr>
        <w:t>”</w:t>
      </w:r>
      <w:r w:rsidRPr="00920B12">
        <w:rPr>
          <w:rFonts w:ascii="Times New Roman" w:eastAsia="Times New Roman" w:hAnsi="Times New Roman" w:cs="Times New Roman"/>
        </w:rPr>
        <w:t xml:space="preserve"> </w:t>
      </w:r>
      <w:r w:rsidRPr="750671CE">
        <w:rPr>
          <w:rFonts w:ascii="Times New Roman" w:eastAsia="Times New Roman" w:hAnsi="Times New Roman" w:cs="Times New Roman"/>
          <w:i/>
          <w:iCs/>
        </w:rPr>
        <w:t>Brooks v. City of San Mateo</w:t>
      </w:r>
      <w:r w:rsidRPr="750671CE">
        <w:rPr>
          <w:rFonts w:ascii="Times New Roman" w:eastAsia="Times New Roman" w:hAnsi="Times New Roman" w:cs="Times New Roman"/>
        </w:rPr>
        <w:t xml:space="preserve">, 229 F.3d 917, 922 (9th Cir. 2000); </w:t>
      </w:r>
      <w:r w:rsidRPr="750671CE">
        <w:rPr>
          <w:rFonts w:ascii="Times New Roman" w:eastAsia="Times New Roman" w:hAnsi="Times New Roman" w:cs="Times New Roman"/>
          <w:i/>
          <w:iCs/>
        </w:rPr>
        <w:t>see also Hamilton v. RDI/Caesars Riverboat Casino, LLC</w:t>
      </w:r>
      <w:r w:rsidRPr="750671CE">
        <w:rPr>
          <w:rFonts w:ascii="Times New Roman" w:eastAsia="Times New Roman" w:hAnsi="Times New Roman" w:cs="Times New Roman"/>
        </w:rPr>
        <w:t>, 179 F. Supp. 2d 929 (S.D. Ind. 2002).</w:t>
      </w:r>
    </w:p>
    <w:p w14:paraId="79E70A74" w14:textId="77777777" w:rsidR="00C22B24" w:rsidRPr="00920B12" w:rsidRDefault="00C22B24" w:rsidP="005A48FE">
      <w:pPr>
        <w:rPr>
          <w:rFonts w:ascii="Times New Roman" w:eastAsia="Times New Roman" w:hAnsi="Times New Roman" w:cs="Times New Roman"/>
        </w:rPr>
      </w:pPr>
    </w:p>
    <w:p w14:paraId="2F890159" w14:textId="55C24D7C"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Second Circuit, by contrast, explicitly rejects the inclusion of gender in the analysis of reasonableness. In </w:t>
      </w:r>
      <w:r w:rsidRPr="750671CE">
        <w:rPr>
          <w:rFonts w:ascii="Times New Roman" w:eastAsia="Times New Roman" w:hAnsi="Times New Roman" w:cs="Times New Roman"/>
          <w:i/>
          <w:iCs/>
        </w:rPr>
        <w:t>Richardson v. New York State Dep</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t of Correctional Serv.</w:t>
      </w:r>
      <w:r w:rsidRPr="750671CE">
        <w:rPr>
          <w:rFonts w:ascii="Times New Roman" w:eastAsia="Times New Roman" w:hAnsi="Times New Roman" w:cs="Times New Roman"/>
        </w:rPr>
        <w:t xml:space="preserve">, 180 F.3d 426, 436 </w:t>
      </w:r>
      <w:r w:rsidR="00744778">
        <w:rPr>
          <w:rFonts w:ascii="Times New Roman" w:eastAsia="Times New Roman" w:hAnsi="Times New Roman" w:cs="Times New Roman"/>
        </w:rPr>
        <w:t xml:space="preserve">n.3 </w:t>
      </w:r>
      <w:r w:rsidRPr="750671CE">
        <w:rPr>
          <w:rFonts w:ascii="Times New Roman" w:eastAsia="Times New Roman" w:hAnsi="Times New Roman" w:cs="Times New Roman"/>
        </w:rPr>
        <w:t xml:space="preserve">(2d Cir. 1999), the court adopted a </w:t>
      </w:r>
      <w:r w:rsidR="00B05F31">
        <w:rPr>
          <w:rFonts w:ascii="Times New Roman" w:eastAsia="Times New Roman" w:hAnsi="Times New Roman" w:cs="Times New Roman"/>
        </w:rPr>
        <w:t>“</w:t>
      </w:r>
      <w:r w:rsidRPr="750671CE">
        <w:rPr>
          <w:rFonts w:ascii="Times New Roman" w:eastAsia="Times New Roman" w:hAnsi="Times New Roman" w:cs="Times New Roman"/>
        </w:rPr>
        <w:t>reasonable person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standard for Title VII sex harassment cases and explained:</w:t>
      </w:r>
    </w:p>
    <w:p w14:paraId="36057AE4" w14:textId="77777777" w:rsidR="00C22B24" w:rsidRPr="00920B12" w:rsidRDefault="00C22B24" w:rsidP="00C22B24">
      <w:pPr>
        <w:ind w:right="183" w:firstLine="720"/>
        <w:rPr>
          <w:rFonts w:ascii="Times New Roman" w:hAnsi="Times New Roman" w:cs="Times New Roman"/>
        </w:rPr>
      </w:pPr>
    </w:p>
    <w:p w14:paraId="0B484237" w14:textId="19C30E7B" w:rsidR="00C22B24" w:rsidRPr="00920B12" w:rsidRDefault="00744778" w:rsidP="00F94B7E">
      <w:pPr>
        <w:pStyle w:val="blockquote"/>
      </w:pPr>
      <w:r>
        <w:t>[W]</w:t>
      </w:r>
      <w:r w:rsidR="750671CE" w:rsidRPr="750671CE">
        <w:t xml:space="preserve">e reject the view of those courts that look to the perspective of the particular ethnic or gender group, </w:t>
      </w:r>
      <w:r w:rsidR="750671CE" w:rsidRPr="750671CE">
        <w:rPr>
          <w:i/>
          <w:iCs/>
        </w:rPr>
        <w:t>e.g.,</w:t>
      </w:r>
      <w:r w:rsidR="750671CE" w:rsidRPr="750671CE">
        <w:t xml:space="preserve"> a </w:t>
      </w:r>
      <w:r w:rsidR="00B05F31">
        <w:t>“</w:t>
      </w:r>
      <w:r w:rsidR="750671CE" w:rsidRPr="750671CE">
        <w:t>reasonable African</w:t>
      </w:r>
      <w:r w:rsidR="000E182D">
        <w:t>-</w:t>
      </w:r>
      <w:r w:rsidR="750671CE" w:rsidRPr="750671CE">
        <w:t>American</w:t>
      </w:r>
      <w:r w:rsidR="00B05F31">
        <w:t>”</w:t>
      </w:r>
      <w:r w:rsidR="750671CE" w:rsidRPr="750671CE">
        <w:t xml:space="preserve"> or a </w:t>
      </w:r>
      <w:r w:rsidR="00B05F31">
        <w:t>“</w:t>
      </w:r>
      <w:r w:rsidR="750671CE" w:rsidRPr="750671CE">
        <w:t>reasonable Jew.</w:t>
      </w:r>
      <w:r w:rsidR="00B05F31">
        <w:t>”</w:t>
      </w:r>
      <w:r w:rsidR="750671CE" w:rsidRPr="750671CE">
        <w:t xml:space="preserve"> While we recognize that there is dicta in this circuit supporting such an approach, we believe that examining hostile environment claims from the perspective of a </w:t>
      </w:r>
      <w:r w:rsidR="00B05F31">
        <w:t>“</w:t>
      </w:r>
      <w:r w:rsidR="750671CE" w:rsidRPr="750671CE">
        <w:t>reasonable person who is the target of racially or ethnically oriented remarks</w:t>
      </w:r>
      <w:r w:rsidR="00B05F31">
        <w:t>”</w:t>
      </w:r>
      <w:r w:rsidR="750671CE" w:rsidRPr="750671CE">
        <w:t xml:space="preserve">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6E20F319" w14:textId="77777777" w:rsidR="00C22B24" w:rsidRPr="00920B12" w:rsidRDefault="00C22B24" w:rsidP="00C22B24">
      <w:pPr>
        <w:ind w:right="183" w:firstLine="720"/>
        <w:rPr>
          <w:rFonts w:ascii="Times New Roman" w:eastAsia="Times New Roman" w:hAnsi="Times New Roman" w:cs="Times New Roman"/>
        </w:rPr>
      </w:pPr>
    </w:p>
    <w:p w14:paraId="011AEBFD" w14:textId="6B0F3948"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Which federal circuit has the better of argument, the Second or the Ninth? Is the incorporation of gender considerations a return to the bad old days of nineteenth-century assumptions and status-based stereotypes?  Or is it a valuable recognition of different views of sexual behavior commonly held among actually existing men and women?  What about people who identify as transgender or genderqueer?  Is it even useful to think about this issue in terms of actually existing people of one or another gender identity, or is it preferable to start with ideal types? Do ideal types have gender? </w:t>
      </w:r>
    </w:p>
    <w:p w14:paraId="00DBFD97" w14:textId="77777777" w:rsidR="00C22B24" w:rsidRPr="00920B12" w:rsidRDefault="00C22B24" w:rsidP="00C22B24">
      <w:pPr>
        <w:tabs>
          <w:tab w:val="left" w:pos="1658"/>
        </w:tabs>
        <w:rPr>
          <w:rFonts w:ascii="Times New Roman" w:hAnsi="Times New Roman" w:cs="Times New Roman"/>
        </w:rPr>
      </w:pPr>
    </w:p>
    <w:p w14:paraId="129C3192" w14:textId="77777777" w:rsidR="00C22B24" w:rsidRPr="00920B12" w:rsidRDefault="00C22B24" w:rsidP="00C22B24">
      <w:pPr>
        <w:tabs>
          <w:tab w:val="left" w:pos="1658"/>
        </w:tabs>
        <w:rPr>
          <w:rFonts w:ascii="Times New Roman" w:hAnsi="Times New Roman" w:cs="Times New Roman"/>
        </w:rPr>
      </w:pPr>
    </w:p>
    <w:p w14:paraId="0D26775C" w14:textId="77777777" w:rsidR="00C22B24" w:rsidRPr="00136C14" w:rsidRDefault="00C22B24" w:rsidP="00225E70">
      <w:pPr>
        <w:pStyle w:val="Heading2"/>
      </w:pPr>
      <w:bookmarkStart w:id="228" w:name="_Toc364636097"/>
      <w:bookmarkStart w:id="229" w:name="_Toc518323281"/>
      <w:r w:rsidRPr="00136C14">
        <w:t>B.  Cost / Benefit Calculations and the Learned Hand Formula</w:t>
      </w:r>
      <w:bookmarkEnd w:id="228"/>
      <w:bookmarkEnd w:id="229"/>
    </w:p>
    <w:p w14:paraId="17BDA9ED" w14:textId="77777777" w:rsidR="00C22B24" w:rsidRDefault="00C22B24" w:rsidP="00C22B24">
      <w:pPr>
        <w:tabs>
          <w:tab w:val="left" w:pos="1658"/>
        </w:tabs>
        <w:rPr>
          <w:rFonts w:ascii="Times New Roman" w:hAnsi="Times New Roman" w:cs="Times New Roman"/>
        </w:rPr>
      </w:pPr>
    </w:p>
    <w:p w14:paraId="0CDD737A" w14:textId="77777777" w:rsidR="00FB1320" w:rsidRPr="00920B12" w:rsidRDefault="00FB1320" w:rsidP="00C22B24">
      <w:pPr>
        <w:tabs>
          <w:tab w:val="left" w:pos="1658"/>
        </w:tabs>
        <w:rPr>
          <w:rFonts w:ascii="Times New Roman" w:hAnsi="Times New Roman" w:cs="Times New Roman"/>
        </w:rPr>
      </w:pPr>
    </w:p>
    <w:p w14:paraId="622CAC58" w14:textId="7115B59B" w:rsidR="00C22B24" w:rsidRPr="00920B12" w:rsidRDefault="750671CE" w:rsidP="00C22B24">
      <w:pPr>
        <w:pStyle w:val="Cards"/>
        <w:ind w:left="0" w:right="0" w:firstLine="720"/>
      </w:pPr>
      <w:r>
        <w:t>How does the reasonable person behave?  What kinds of precautions does she take?  What level of safety does she aim to achieve?  These sorts of questions have proven to be just as vexing as questions about how to deal with the idiosyncratic features of particular litigants, perhaps even more so.</w:t>
      </w:r>
    </w:p>
    <w:p w14:paraId="66DC99D9" w14:textId="77777777" w:rsidR="00C22B24" w:rsidRPr="00920B12" w:rsidRDefault="00C22B24" w:rsidP="00C22B24">
      <w:pPr>
        <w:pStyle w:val="Nothing"/>
      </w:pPr>
    </w:p>
    <w:p w14:paraId="38071551" w14:textId="5E745D2F" w:rsidR="00C22B24" w:rsidRPr="00920B12" w:rsidRDefault="00C22B24" w:rsidP="00C22B24">
      <w:pPr>
        <w:pStyle w:val="Nothing"/>
      </w:pPr>
      <w:r w:rsidRPr="00920B12">
        <w:tab/>
        <w:t>In this section</w:t>
      </w:r>
      <w:r w:rsidR="00744778">
        <w:t>,</w:t>
      </w:r>
      <w:r w:rsidRPr="00920B12">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920B12" w:rsidRDefault="00C22B24" w:rsidP="00C22B24">
      <w:pPr>
        <w:pStyle w:val="Nothing"/>
      </w:pPr>
    </w:p>
    <w:p w14:paraId="080393D5" w14:textId="1BC78B9C" w:rsidR="00C22B24" w:rsidRPr="00920B12" w:rsidRDefault="00C22B24" w:rsidP="00C22B24">
      <w:pPr>
        <w:pStyle w:val="Nothing"/>
      </w:pPr>
      <w:r w:rsidRPr="00920B12">
        <w:tab/>
        <w:t>As we shall see, however, the cost-benefit approach is not the only approach to evaluating reasonableness.  In the actual practice of torts judges</w:t>
      </w:r>
      <w:r w:rsidR="00744778">
        <w:t>,</w:t>
      </w:r>
      <w:r w:rsidRPr="00920B12">
        <w:t xml:space="preserve"> it is rarely invoked, though many believe that it plays a large (even if tacit) role.  Our first pair of cases</w:t>
      </w:r>
      <w:r>
        <w:t xml:space="preserve"> </w:t>
      </w:r>
      <w:r w:rsidRPr="00920B12">
        <w:t>do</w:t>
      </w:r>
      <w:r w:rsidR="001F7F76">
        <w:t>es</w:t>
      </w:r>
      <w:r w:rsidRPr="00920B12">
        <w:t xml:space="preserve"> not seem to involve cost-benefit reasoning at all.  </w:t>
      </w:r>
    </w:p>
    <w:p w14:paraId="0C4B0902" w14:textId="77777777" w:rsidR="00C22B24" w:rsidRPr="00920B12" w:rsidRDefault="00C22B24" w:rsidP="00C22B24">
      <w:pPr>
        <w:pStyle w:val="Nothing"/>
      </w:pPr>
    </w:p>
    <w:p w14:paraId="35A545CB" w14:textId="77777777" w:rsidR="00C22B24" w:rsidRPr="00920B12" w:rsidRDefault="00C22B24" w:rsidP="00C22B24">
      <w:pPr>
        <w:pStyle w:val="Nothing"/>
      </w:pPr>
    </w:p>
    <w:p w14:paraId="2073508C" w14:textId="77777777" w:rsidR="00C22B24" w:rsidRPr="00920B12" w:rsidRDefault="00C22B24" w:rsidP="00322687">
      <w:pPr>
        <w:pStyle w:val="Heading3"/>
      </w:pPr>
      <w:bookmarkStart w:id="230" w:name="_Toc364636098"/>
      <w:bookmarkStart w:id="231" w:name="_Toc518323282"/>
      <w:r w:rsidRPr="00136C14">
        <w:t>1.  Negligence Basics</w:t>
      </w:r>
      <w:bookmarkEnd w:id="230"/>
      <w:bookmarkEnd w:id="231"/>
    </w:p>
    <w:p w14:paraId="02E5C89B" w14:textId="77777777" w:rsidR="00C22B24" w:rsidRPr="00920B12" w:rsidRDefault="00C22B24" w:rsidP="00C22B24">
      <w:pPr>
        <w:pStyle w:val="Nothing"/>
      </w:pPr>
    </w:p>
    <w:p w14:paraId="444D8932" w14:textId="77777777" w:rsidR="00C22B24" w:rsidRPr="00920B12" w:rsidRDefault="00C22B24" w:rsidP="750671CE">
      <w:pPr>
        <w:pStyle w:val="Nothing"/>
        <w:rPr>
          <w:b/>
          <w:bCs/>
        </w:rPr>
      </w:pPr>
      <w:bookmarkStart w:id="232" w:name="_Toc518323283"/>
      <w:r w:rsidRPr="00B83AF7">
        <w:rPr>
          <w:rStyle w:val="Heading4Char"/>
        </w:rPr>
        <w:t>Stone v. Bolton</w:t>
      </w:r>
      <w:bookmarkEnd w:id="232"/>
      <w:r w:rsidRPr="750671CE">
        <w:rPr>
          <w:b/>
          <w:bCs/>
        </w:rPr>
        <w:t>, [1950] 1 K.B. 201 (C.A.)</w:t>
      </w:r>
    </w:p>
    <w:p w14:paraId="6D95276B" w14:textId="77777777" w:rsidR="00C22B24" w:rsidRPr="00920B12" w:rsidRDefault="00C22B24" w:rsidP="00C22B24">
      <w:pPr>
        <w:pStyle w:val="Nothing"/>
      </w:pPr>
    </w:p>
    <w:p w14:paraId="0E162611" w14:textId="12581224" w:rsidR="00C22B24" w:rsidRPr="00920B12" w:rsidRDefault="750671CE" w:rsidP="00C22B24">
      <w:pPr>
        <w:pStyle w:val="Nothing"/>
        <w:ind w:firstLine="720"/>
      </w:pPr>
      <w: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t>“</w:t>
      </w:r>
      <w:r>
        <w:t>hit</w:t>
      </w:r>
      <w:r w:rsidR="00B05F31">
        <w:t>”</w:t>
      </w:r>
      <w:r>
        <w:t xml:space="preserve"> in question was described by a member of the club with long experience as </w:t>
      </w:r>
      <w:r w:rsidR="00B05F31">
        <w:t>“</w:t>
      </w:r>
      <w:r>
        <w:t>quite the biggest seen on that ground,</w:t>
      </w:r>
      <w:r w:rsidR="00B05F31">
        <w:t>”</w:t>
      </w:r>
      <w:r>
        <w:t xml:space="preserve"> but evidence was adduced at the trial that on some six to ten occasions cricket balls had been hit over the fence into the road in the past 30 years.  </w:t>
      </w:r>
    </w:p>
    <w:p w14:paraId="02BF06C3" w14:textId="77777777" w:rsidR="00C22B24" w:rsidRPr="00920B12" w:rsidRDefault="00C22B24" w:rsidP="00C22B24">
      <w:pPr>
        <w:pStyle w:val="Nothing"/>
      </w:pPr>
      <w:r w:rsidRPr="00920B12">
        <w:tab/>
      </w:r>
    </w:p>
    <w:p w14:paraId="75731D3C" w14:textId="77777777" w:rsidR="00C22B24" w:rsidRPr="00920B12" w:rsidRDefault="750671CE" w:rsidP="00C22B24">
      <w:pPr>
        <w:pStyle w:val="Nothing"/>
        <w:ind w:firstLine="720"/>
      </w:pPr>
      <w: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920B12" w:rsidRDefault="00C22B24" w:rsidP="00C22B24">
      <w:pPr>
        <w:pStyle w:val="Nothing"/>
      </w:pPr>
    </w:p>
    <w:p w14:paraId="0BCB3C37" w14:textId="77777777" w:rsidR="00C22B24" w:rsidRPr="00920B12" w:rsidRDefault="750671CE" w:rsidP="00C22B24">
      <w:pPr>
        <w:pStyle w:val="Nothing"/>
        <w:ind w:firstLine="720"/>
      </w:pPr>
      <w:r>
        <w:t>J</w:t>
      </w:r>
      <w:r w:rsidRPr="750671CE">
        <w:rPr>
          <w:smallCaps/>
        </w:rPr>
        <w:t xml:space="preserve">enkins </w:t>
      </w:r>
      <w:r>
        <w:t xml:space="preserve">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w:t>
      </w:r>
      <w:r>
        <w:lastRenderedPageBreak/>
        <w:t>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920B12" w:rsidRDefault="00C22B24" w:rsidP="00C22B24">
      <w:pPr>
        <w:pStyle w:val="Nothing"/>
      </w:pPr>
    </w:p>
    <w:p w14:paraId="1E752DA7" w14:textId="77777777" w:rsidR="00C22B24" w:rsidRPr="00920B12" w:rsidRDefault="750671CE" w:rsidP="00C22B24">
      <w:pPr>
        <w:pStyle w:val="Nothing"/>
        <w:ind w:firstLine="720"/>
      </w:pPr>
      <w: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920B12" w:rsidRDefault="00C22B24" w:rsidP="00C22B24">
      <w:pPr>
        <w:pStyle w:val="Nothing"/>
      </w:pPr>
    </w:p>
    <w:p w14:paraId="1492F677" w14:textId="20F596B4" w:rsidR="00C22B24" w:rsidRPr="00920B12" w:rsidRDefault="750671CE" w:rsidP="00C22B24">
      <w:pPr>
        <w:pStyle w:val="Nothing"/>
        <w:ind w:firstLine="720"/>
      </w:pPr>
      <w: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w:t>
      </w:r>
      <w:r w:rsidR="00B05F31">
        <w:t>’</w:t>
      </w:r>
      <w: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920B12" w:rsidRDefault="00C22B24" w:rsidP="00C22B24">
      <w:pPr>
        <w:pStyle w:val="Nothing"/>
      </w:pPr>
    </w:p>
    <w:p w14:paraId="2ED51AE7" w14:textId="77777777" w:rsidR="00C22B24" w:rsidRPr="00920B12" w:rsidRDefault="750671CE" w:rsidP="00C22B24">
      <w:pPr>
        <w:pStyle w:val="Nothing"/>
        <w:ind w:firstLine="720"/>
      </w:pPr>
      <w:r>
        <w:t xml:space="preserve">The hitting of a ball into the road </w:t>
      </w:r>
      <w:r w:rsidRPr="750671CE">
        <w:rPr>
          <w:i/>
          <w:iCs/>
        </w:rPr>
        <w:t xml:space="preserve">was </w:t>
      </w:r>
      <w: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920B12" w:rsidRDefault="00C22B24" w:rsidP="00C22B24">
      <w:pPr>
        <w:pStyle w:val="Nothing"/>
      </w:pPr>
    </w:p>
    <w:p w14:paraId="02261C3C" w14:textId="77777777" w:rsidR="00C22B24" w:rsidRPr="00920B12" w:rsidRDefault="750671CE" w:rsidP="00C22B24">
      <w:pPr>
        <w:pStyle w:val="Nothing"/>
        <w:ind w:firstLine="720"/>
      </w:pPr>
      <w:r>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w:t>
      </w:r>
      <w:r>
        <w:lastRenderedPageBreak/>
        <w:t xml:space="preserve">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750671CE">
        <w:rPr>
          <w:i/>
          <w:iCs/>
        </w:rPr>
        <w:t>damnum sine injuria</w:t>
      </w:r>
      <w:r>
        <w:t>, unless able to identify, trace, and successfully sue the particular batsman who made the hit.</w:t>
      </w:r>
    </w:p>
    <w:p w14:paraId="0B15ED63" w14:textId="77777777" w:rsidR="00C22B24" w:rsidRPr="00920B12" w:rsidRDefault="00C22B24" w:rsidP="00C22B24">
      <w:pPr>
        <w:pStyle w:val="Nothing"/>
      </w:pPr>
    </w:p>
    <w:p w14:paraId="63409C4C" w14:textId="77777777" w:rsidR="00C22B24" w:rsidRPr="00920B12" w:rsidRDefault="750671CE" w:rsidP="00C22B24">
      <w:pPr>
        <w:pStyle w:val="Nothing"/>
        <w:ind w:firstLine="720"/>
      </w:pPr>
      <w:r>
        <w:t xml:space="preserve">For these reasons I am of opinion that the plaintiff is entitled to succeed on her claim in negligence. </w:t>
      </w:r>
    </w:p>
    <w:p w14:paraId="40B8FC52" w14:textId="77777777" w:rsidR="00C22B24" w:rsidRPr="00920B12" w:rsidRDefault="00C22B24" w:rsidP="00C22B24">
      <w:pPr>
        <w:pStyle w:val="Nothing"/>
        <w:rPr>
          <w:b/>
        </w:rPr>
      </w:pPr>
    </w:p>
    <w:p w14:paraId="13B4B5DA" w14:textId="77777777" w:rsidR="00C22B24" w:rsidRPr="00920B12" w:rsidRDefault="00C22B24" w:rsidP="00C22B24">
      <w:pPr>
        <w:pStyle w:val="Nothing"/>
        <w:rPr>
          <w:b/>
        </w:rPr>
      </w:pPr>
    </w:p>
    <w:p w14:paraId="16B11A6E" w14:textId="77777777" w:rsidR="00C22B24" w:rsidRPr="00920B12" w:rsidRDefault="00C22B24" w:rsidP="750671CE">
      <w:pPr>
        <w:pStyle w:val="Nothing"/>
        <w:rPr>
          <w:b/>
          <w:bCs/>
        </w:rPr>
      </w:pPr>
      <w:bookmarkStart w:id="233" w:name="_Toc518323284"/>
      <w:r w:rsidRPr="00B83AF7">
        <w:rPr>
          <w:rStyle w:val="Heading4Char"/>
        </w:rPr>
        <w:t>Bolton v. Stone</w:t>
      </w:r>
      <w:bookmarkEnd w:id="233"/>
      <w:r w:rsidRPr="750671CE">
        <w:rPr>
          <w:b/>
          <w:bCs/>
        </w:rPr>
        <w:t>, [1951] A.C. 850</w:t>
      </w:r>
    </w:p>
    <w:p w14:paraId="234FA436" w14:textId="77777777" w:rsidR="00C22B24" w:rsidRPr="00920B12" w:rsidRDefault="00C22B24" w:rsidP="00C22B24">
      <w:pPr>
        <w:pStyle w:val="Nothing"/>
        <w:rPr>
          <w:b/>
        </w:rPr>
      </w:pPr>
    </w:p>
    <w:p w14:paraId="415B7293" w14:textId="77777777" w:rsidR="00C22B24" w:rsidRPr="00920B12" w:rsidRDefault="750671CE" w:rsidP="00C22B24">
      <w:pPr>
        <w:pStyle w:val="Nothing"/>
      </w:pPr>
      <w:r w:rsidRPr="750671CE">
        <w:rPr>
          <w:b/>
          <w:bCs/>
        </w:rPr>
        <w:t>[</w:t>
      </w:r>
      <w:r>
        <w:t>The defendant cricket club members appealed to the House of Lords.]</w:t>
      </w:r>
    </w:p>
    <w:p w14:paraId="6C474BC3"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06327A4B" w14:textId="54E31BED" w:rsidR="00C22B24" w:rsidRPr="00920B12" w:rsidRDefault="750671CE" w:rsidP="750671C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smallCaps/>
        </w:rPr>
        <w:t>Lord Reid</w:t>
      </w:r>
      <w:r w:rsidRPr="750671CE">
        <w:rPr>
          <w:rFonts w:ascii="Times New Roman" w:eastAsia="Times New Roman" w:hAnsi="Times New Roman" w:cs="Times New Roman"/>
        </w:rPr>
        <w:t>. My Lords, it was readily foreseeable that an accident such as befell the respondent might possibly occur during one of the appellants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w:t>
      </w:r>
      <w:r w:rsidR="00B05F31">
        <w:rPr>
          <w:rFonts w:ascii="Times New Roman" w:eastAsia="Times New Roman" w:hAnsi="Times New Roman" w:cs="Times New Roman"/>
        </w:rPr>
        <w:t>’</w:t>
      </w:r>
      <w:r w:rsidRPr="750671CE">
        <w:rPr>
          <w:rFonts w:ascii="Times New Roman" w:eastAsia="Times New Roman" w:hAnsi="Times New Roman" w:cs="Times New Roman"/>
        </w:rPr>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298D351A"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293AFBCA"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56DA49F3" w14:textId="77777777" w:rsidR="00C22B24" w:rsidRPr="00920B12" w:rsidRDefault="750671CE" w:rsidP="750671C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rPr>
        <w:lastRenderedPageBreak/>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1ED578DD" w14:textId="77777777" w:rsidR="00C22B24" w:rsidRPr="00920B12" w:rsidRDefault="750671CE" w:rsidP="750671C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rPr>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hyperlink r:id="rId41">
        <w:r w:rsidRPr="750671CE">
          <w:rPr>
            <w:rFonts w:ascii="Times New Roman" w:eastAsia="Times New Roman" w:hAnsi="Times New Roman" w:cs="Times New Roman"/>
          </w:rPr>
          <w:t>Rylands v. Fletcher</w:t>
        </w:r>
      </w:hyperlink>
      <w:r w:rsidRPr="750671CE">
        <w:rPr>
          <w:rFonts w:ascii="Times New Roman" w:eastAsia="Times New Roman" w:hAnsi="Times New Roman" w:cs="Times New Roman"/>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1FD72634" w14:textId="654734DE" w:rsidR="00C22B24" w:rsidRPr="00920B12" w:rsidRDefault="00C22B24" w:rsidP="750671CE">
      <w:pPr>
        <w:widowControl w:val="0"/>
        <w:autoSpaceDE w:val="0"/>
        <w:autoSpaceDN w:val="0"/>
        <w:adjustRightInd w:val="0"/>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rPr>
          <w:rFonts w:ascii="Times New Roman" w:eastAsia="Times New Roman" w:hAnsi="Times New Roman" w:cs="Times New Roman"/>
        </w:rPr>
        <w:t xml:space="preserve"> </w:t>
      </w:r>
      <w:r w:rsidRPr="750671CE">
        <w:rPr>
          <w:rFonts w:ascii="Times New Roman" w:eastAsia="Times New Roman" w:hAnsi="Times New Roman" w:cs="Times New Roman"/>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72108433" w14:textId="7A93605A" w:rsidR="00C22B24" w:rsidRPr="00920B12" w:rsidRDefault="750671CE" w:rsidP="0080795D">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smallCaps/>
        </w:rPr>
        <w:t>Lord Radcliffe</w:t>
      </w:r>
      <w:r w:rsidRPr="750671CE">
        <w:rPr>
          <w:rFonts w:ascii="Times New Roman" w:eastAsia="Times New Roman" w:hAnsi="Times New Roman" w:cs="Times New Roman"/>
        </w:rPr>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rPr>
          <w:rFonts w:ascii="Times New Roman" w:eastAsia="Times New Roman" w:hAnsi="Times New Roman" w:cs="Times New Roman"/>
        </w:rPr>
        <w:t xml:space="preserve"> . . .</w:t>
      </w:r>
    </w:p>
    <w:p w14:paraId="7EAC8625"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3BA32FC1" w14:textId="0C992311" w:rsidR="00C22B24" w:rsidRPr="00920B12" w:rsidRDefault="750671CE" w:rsidP="750671C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rPr>
        <w:t xml:space="preserve">[A] breach of duty has taken place if they show the appellants guilty of a failure to take reasonable care to prevent the accident. One may phrase it as </w:t>
      </w:r>
      <w:r w:rsidR="00B05F31">
        <w:rPr>
          <w:rFonts w:ascii="Times New Roman" w:eastAsia="Times New Roman" w:hAnsi="Times New Roman" w:cs="Times New Roman"/>
        </w:rPr>
        <w:t>“</w:t>
      </w:r>
      <w:r w:rsidRPr="750671CE">
        <w:rPr>
          <w:rFonts w:ascii="Times New Roman" w:eastAsia="Times New Roman" w:hAnsi="Times New Roman" w:cs="Times New Roman"/>
        </w:rPr>
        <w:t>reasonable care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ordinary care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proper care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w:t>
      </w:r>
      <w:r w:rsidRPr="750671CE">
        <w:rPr>
          <w:rFonts w:ascii="Times New Roman" w:eastAsia="Times New Roman" w:hAnsi="Times New Roman" w:cs="Times New Roman"/>
        </w:rPr>
        <w:lastRenderedPageBreak/>
        <w:t>the respondent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rPr>
          <w:rFonts w:ascii="Times New Roman" w:eastAsia="Times New Roman" w:hAnsi="Times New Roman" w:cs="Times New Roman"/>
        </w:rPr>
        <w:t>. . .</w:t>
      </w:r>
    </w:p>
    <w:p w14:paraId="7E6BD1C1"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095AE6BB"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[The House of Lords ruled unanimously in favor of the appellant cricket club members.]</w:t>
      </w:r>
    </w:p>
    <w:p w14:paraId="7F525318" w14:textId="77777777" w:rsidR="00C22B24" w:rsidRDefault="00C22B24">
      <w:pPr>
        <w:pStyle w:val="Nothing"/>
      </w:pPr>
    </w:p>
    <w:p w14:paraId="144AC4A5" w14:textId="77777777" w:rsidR="00C22B24" w:rsidRPr="00920B12" w:rsidRDefault="00C22B24">
      <w:pPr>
        <w:pStyle w:val="Nothing"/>
      </w:pPr>
    </w:p>
    <w:p w14:paraId="1366AA69" w14:textId="77777777" w:rsidR="00C22B24" w:rsidRPr="00920B12" w:rsidRDefault="00C22B24" w:rsidP="002502CC">
      <w:pPr>
        <w:pStyle w:val="Heading4"/>
      </w:pPr>
      <w:bookmarkStart w:id="234" w:name="_Toc364636099"/>
      <w:bookmarkStart w:id="235" w:name="_Toc518323285"/>
      <w:r w:rsidRPr="00920B12">
        <w:t>Notes</w:t>
      </w:r>
      <w:bookmarkEnd w:id="234"/>
      <w:bookmarkEnd w:id="235"/>
    </w:p>
    <w:p w14:paraId="64A44806" w14:textId="77777777" w:rsidR="00C22B24" w:rsidRDefault="00C22B24">
      <w:pPr>
        <w:pStyle w:val="Nothing"/>
        <w:rPr>
          <w:b/>
          <w:i/>
        </w:rPr>
      </w:pPr>
    </w:p>
    <w:p w14:paraId="5CAB0D65" w14:textId="77777777" w:rsidR="00FB1320" w:rsidRPr="00920B12" w:rsidRDefault="00FB1320" w:rsidP="00FB1320">
      <w:pPr>
        <w:pStyle w:val="Nothing"/>
        <w:rPr>
          <w:b/>
          <w:i/>
        </w:rPr>
      </w:pPr>
    </w:p>
    <w:p w14:paraId="0D6BEBC5" w14:textId="42156CA0" w:rsidR="00C22B24" w:rsidRPr="00920B12" w:rsidRDefault="750671CE" w:rsidP="00F94B7E">
      <w:pPr>
        <w:pStyle w:val="Nothing"/>
        <w:numPr>
          <w:ilvl w:val="0"/>
          <w:numId w:val="87"/>
        </w:numPr>
        <w:ind w:left="0" w:firstLine="360"/>
      </w:pPr>
      <w: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t>’</w:t>
      </w:r>
      <w:r>
        <w:t>s behavior?</w:t>
      </w:r>
    </w:p>
    <w:p w14:paraId="00409307" w14:textId="77777777" w:rsidR="00C22B24" w:rsidRDefault="00C22B24" w:rsidP="00C22B24">
      <w:pPr>
        <w:pStyle w:val="Nothing"/>
      </w:pPr>
    </w:p>
    <w:p w14:paraId="48551855" w14:textId="77777777" w:rsidR="00C22B24" w:rsidRPr="00920B12" w:rsidRDefault="00C22B24" w:rsidP="00C22B24">
      <w:pPr>
        <w:pStyle w:val="Nothing"/>
      </w:pPr>
    </w:p>
    <w:p w14:paraId="039355D7" w14:textId="4AF51E80" w:rsidR="00C22B24" w:rsidRPr="00920B12" w:rsidRDefault="750671CE" w:rsidP="00F94B7E">
      <w:pPr>
        <w:pStyle w:val="Nothing"/>
        <w:numPr>
          <w:ilvl w:val="0"/>
          <w:numId w:val="87"/>
        </w:numPr>
        <w:ind w:left="0" w:firstLine="360"/>
      </w:pPr>
      <w:r>
        <w:t>Does it matter that the homes on Beckenham Road were built after the cricket pitch was in place?</w:t>
      </w:r>
    </w:p>
    <w:p w14:paraId="4650DC9E" w14:textId="77777777" w:rsidR="00C22B24" w:rsidRDefault="00C22B24" w:rsidP="00C22B24">
      <w:pPr>
        <w:pStyle w:val="Nothing"/>
      </w:pPr>
    </w:p>
    <w:p w14:paraId="272C6620" w14:textId="77777777" w:rsidR="00C22B24" w:rsidRPr="00920B12" w:rsidRDefault="00C22B24" w:rsidP="00C22B24">
      <w:pPr>
        <w:pStyle w:val="Nothing"/>
      </w:pPr>
    </w:p>
    <w:p w14:paraId="6D56B376" w14:textId="389FEF50" w:rsidR="00C22B24" w:rsidRPr="00920B12" w:rsidRDefault="750671CE" w:rsidP="00F94B7E">
      <w:pPr>
        <w:pStyle w:val="Nothing"/>
        <w:numPr>
          <w:ilvl w:val="0"/>
          <w:numId w:val="87"/>
        </w:numPr>
        <w:ind w:left="0" w:firstLine="360"/>
      </w:pPr>
      <w: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Default="00C22B24" w:rsidP="00C22B24">
      <w:pPr>
        <w:pStyle w:val="Nothing"/>
      </w:pPr>
    </w:p>
    <w:p w14:paraId="6A2F5074" w14:textId="77777777" w:rsidR="00C22B24" w:rsidRPr="00920B12" w:rsidRDefault="00C22B24" w:rsidP="00C22B24">
      <w:pPr>
        <w:pStyle w:val="Nothing"/>
      </w:pPr>
    </w:p>
    <w:p w14:paraId="342E74AB" w14:textId="6AACAF98" w:rsidR="00C22B24" w:rsidRPr="00920B12" w:rsidRDefault="750671CE" w:rsidP="00F94B7E">
      <w:pPr>
        <w:pStyle w:val="Nothing"/>
        <w:numPr>
          <w:ilvl w:val="0"/>
          <w:numId w:val="87"/>
        </w:numPr>
        <w:ind w:left="0" w:firstLine="360"/>
      </w:pPr>
      <w:r>
        <w:t>In</w:t>
      </w:r>
      <w:r w:rsidRPr="750671CE">
        <w:rPr>
          <w:i/>
          <w:iCs/>
        </w:rPr>
        <w:t xml:space="preserve"> </w:t>
      </w:r>
      <w:r>
        <w:t xml:space="preserve">the next case below, Judge Learned Hand adds a further consideration to the analysis of negligence, one that did not appear in any of the </w:t>
      </w:r>
      <w:r w:rsidRPr="750671CE">
        <w:rPr>
          <w:i/>
          <w:iCs/>
        </w:rPr>
        <w:t>Stone v. Bolton</w:t>
      </w:r>
      <w:r>
        <w:t xml:space="preserve"> opinions.  Hand asks not merely whether an injury was foreseeable, nor what the severity of any such injury would have been, but also what the costs of avoiding that injury would have been.</w:t>
      </w:r>
    </w:p>
    <w:p w14:paraId="753E87A1" w14:textId="77777777" w:rsidR="00C22B24" w:rsidRPr="00920B12" w:rsidRDefault="00C22B24" w:rsidP="00C22B24">
      <w:pPr>
        <w:pStyle w:val="Nothing"/>
        <w:rPr>
          <w:b/>
        </w:rPr>
      </w:pPr>
    </w:p>
    <w:p w14:paraId="29E29FA3" w14:textId="77777777" w:rsidR="001F7F76" w:rsidRDefault="001F7F76" w:rsidP="0080795D">
      <w:pPr>
        <w:rPr>
          <w:b/>
        </w:rPr>
      </w:pPr>
    </w:p>
    <w:p w14:paraId="692FED9A" w14:textId="77777777" w:rsidR="00C22B24" w:rsidRPr="00920B12" w:rsidRDefault="00C22B24" w:rsidP="0080795D">
      <w:bookmarkStart w:id="236" w:name="_Toc518323286"/>
      <w:r w:rsidRPr="008E4A1F">
        <w:rPr>
          <w:rStyle w:val="Heading4Char"/>
        </w:rPr>
        <w:t>United States v. Carroll Towing Co</w:t>
      </w:r>
      <w:bookmarkEnd w:id="236"/>
      <w:r w:rsidRPr="008E4A1F">
        <w:t>.</w:t>
      </w:r>
      <w:r w:rsidRPr="750671CE">
        <w:t xml:space="preserve">, </w:t>
      </w:r>
      <w:r w:rsidRPr="00911CC4">
        <w:rPr>
          <w:rFonts w:ascii="Times New Roman" w:hAnsi="Times New Roman" w:cs="Times New Roman"/>
        </w:rPr>
        <w:t>159 F.2d 169 (2d Cir. 1947)</w:t>
      </w:r>
    </w:p>
    <w:p w14:paraId="6EBB250E" w14:textId="77777777" w:rsidR="00C22B24" w:rsidRPr="00920B12" w:rsidRDefault="00C22B24" w:rsidP="00C22B24">
      <w:pPr>
        <w:pStyle w:val="Nothing"/>
        <w:rPr>
          <w:b/>
        </w:rPr>
      </w:pPr>
    </w:p>
    <w:p w14:paraId="30EAB92F" w14:textId="7DD94AC2" w:rsidR="008E4A1F" w:rsidRDefault="750671CE" w:rsidP="008E77DC">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smallCaps/>
        </w:rPr>
        <w:t>Hand,</w:t>
      </w:r>
      <w:r w:rsidRPr="750671CE">
        <w:rPr>
          <w:rFonts w:ascii="Times New Roman" w:eastAsia="Times New Roman" w:hAnsi="Times New Roman" w:cs="Times New Roman"/>
        </w:rPr>
        <w:t xml:space="preserve"> J. </w:t>
      </w:r>
    </w:p>
    <w:p w14:paraId="1D058FFF" w14:textId="77777777" w:rsidR="008E4A1F" w:rsidRDefault="008E4A1F" w:rsidP="750671CE">
      <w:pPr>
        <w:widowControl w:val="0"/>
        <w:autoSpaceDE w:val="0"/>
        <w:autoSpaceDN w:val="0"/>
        <w:adjustRightInd w:val="0"/>
        <w:ind w:firstLine="720"/>
        <w:rPr>
          <w:rFonts w:ascii="Times New Roman" w:eastAsia="Times New Roman" w:hAnsi="Times New Roman" w:cs="Times New Roman"/>
        </w:rPr>
      </w:pPr>
    </w:p>
    <w:p w14:paraId="1C896A72" w14:textId="549663EF"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These appeals concern the sinking of the barge, </w:t>
      </w:r>
      <w:r w:rsidR="00B05F31">
        <w:rPr>
          <w:rFonts w:ascii="Times New Roman" w:eastAsia="Times New Roman" w:hAnsi="Times New Roman" w:cs="Times New Roman"/>
        </w:rPr>
        <w:t>‘</w:t>
      </w:r>
      <w:r w:rsidRPr="750671CE">
        <w:rPr>
          <w:rFonts w:ascii="Times New Roman" w:eastAsia="Times New Roman" w:hAnsi="Times New Roman" w:cs="Times New Roman"/>
        </w:rPr>
        <w:t>Anna C,</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on January 4, 1944, off Pier 51, North River. [The barge accident occurred when the tug Carroll (owned by the Carroll Towing Company) attempted to move a barge tied up </w:t>
      </w:r>
      <w:r w:rsidR="003D02FE">
        <w:rPr>
          <w:rFonts w:ascii="Times New Roman" w:eastAsia="Times New Roman" w:hAnsi="Times New Roman" w:cs="Times New Roman"/>
        </w:rPr>
        <w:t>just to the north of the Anna C</w:t>
      </w:r>
      <w:r w:rsidRPr="750671CE">
        <w:rPr>
          <w:rFonts w:ascii="Times New Roman" w:eastAsia="Times New Roman" w:hAnsi="Times New Roman" w:cs="Times New Roman"/>
        </w:rPr>
        <w:t>, which was owned by the Conners Company. The maneuver dislodged the Anna C. from its pier, and through a series of unfortunate events, a six-barge pile-up including the Anna C slowly caree</w:t>
      </w:r>
      <w:r w:rsidR="00744778">
        <w:rPr>
          <w:rFonts w:ascii="Times New Roman" w:eastAsia="Times New Roman" w:hAnsi="Times New Roman" w:cs="Times New Roman"/>
        </w:rPr>
        <w:t>n</w:t>
      </w:r>
      <w:r w:rsidRPr="750671CE">
        <w:rPr>
          <w:rFonts w:ascii="Times New Roman" w:eastAsia="Times New Roman" w:hAnsi="Times New Roman" w:cs="Times New Roman"/>
        </w:rPr>
        <w:t>ed down the Hudson. When the Anna C collided with a tanker, the tanker</w:t>
      </w:r>
      <w:r w:rsidR="00B05F31">
        <w:rPr>
          <w:rFonts w:ascii="Times New Roman" w:eastAsia="Times New Roman" w:hAnsi="Times New Roman" w:cs="Times New Roman"/>
        </w:rPr>
        <w:t>’</w:t>
      </w:r>
      <w:r w:rsidRPr="750671CE">
        <w:rPr>
          <w:rFonts w:ascii="Times New Roman" w:eastAsia="Times New Roman" w:hAnsi="Times New Roman" w:cs="Times New Roman"/>
        </w:rPr>
        <w:t>s underwater propeller pierced the hull of the Ann</w:t>
      </w:r>
      <w:r w:rsidR="003D02FE">
        <w:rPr>
          <w:rFonts w:ascii="Times New Roman" w:eastAsia="Times New Roman" w:hAnsi="Times New Roman" w:cs="Times New Roman"/>
        </w:rPr>
        <w:t>a C</w:t>
      </w:r>
      <w:r w:rsidRPr="750671CE">
        <w:rPr>
          <w:rFonts w:ascii="Times New Roman" w:eastAsia="Times New Roman" w:hAnsi="Times New Roman" w:cs="Times New Roman"/>
        </w:rPr>
        <w:t>, which b</w:t>
      </w:r>
      <w:r w:rsidR="003D02FE">
        <w:rPr>
          <w:rFonts w:ascii="Times New Roman" w:eastAsia="Times New Roman" w:hAnsi="Times New Roman" w:cs="Times New Roman"/>
        </w:rPr>
        <w:t xml:space="preserve">egan to take </w:t>
      </w:r>
      <w:r w:rsidR="003D02FE">
        <w:rPr>
          <w:rFonts w:ascii="Times New Roman" w:eastAsia="Times New Roman" w:hAnsi="Times New Roman" w:cs="Times New Roman"/>
        </w:rPr>
        <w:lastRenderedPageBreak/>
        <w:t>water.  The Anna C</w:t>
      </w:r>
      <w:r w:rsidRPr="750671CE">
        <w:rPr>
          <w:rFonts w:ascii="Times New Roman" w:eastAsia="Times New Roman" w:hAnsi="Times New Roman" w:cs="Times New Roman"/>
        </w:rPr>
        <w:t xml:space="preserve"> dumped its cargo—flour owned by the United States government—and sank. The United States, as owner of the flour, sued the Carroll Towing Company, which raised a defense of contributory negligence. The Conners Company employee who </w:t>
      </w:r>
      <w:r w:rsidR="003D02FE">
        <w:rPr>
          <w:rFonts w:ascii="Times New Roman" w:eastAsia="Times New Roman" w:hAnsi="Times New Roman" w:cs="Times New Roman"/>
        </w:rPr>
        <w:t>was supposed to mind the Anna C</w:t>
      </w:r>
      <w:r w:rsidRPr="750671CE">
        <w:rPr>
          <w:rFonts w:ascii="Times New Roman" w:eastAsia="Times New Roman" w:hAnsi="Times New Roman" w:cs="Times New Roman"/>
        </w:rPr>
        <w:t xml:space="preserve">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bargee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rPr>
          <w:rFonts w:ascii="Times New Roman" w:eastAsia="Times New Roman" w:hAnsi="Times New Roman" w:cs="Times New Roman"/>
        </w:rPr>
        <w:t>the Conners Company (the Anna C</w:t>
      </w:r>
      <w:r w:rsidR="00B05F31">
        <w:rPr>
          <w:rFonts w:ascii="Times New Roman" w:eastAsia="Times New Roman" w:hAnsi="Times New Roman" w:cs="Times New Roman"/>
        </w:rPr>
        <w:t>’</w:t>
      </w:r>
      <w:r w:rsidRPr="750671CE">
        <w:rPr>
          <w:rFonts w:ascii="Times New Roman" w:eastAsia="Times New Roman" w:hAnsi="Times New Roman" w:cs="Times New Roman"/>
        </w:rPr>
        <w:t>s owner) had been contributorily negligent because of the absence of its bargee.]</w:t>
      </w:r>
    </w:p>
    <w:p w14:paraId="5EC561AB"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5540B72F" w14:textId="4733ABD2"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It appears from the foregoing review that there is no general rule to determine when 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rPr>
          <w:rFonts w:ascii="Times New Roman" w:eastAsia="Times New Roman" w:hAnsi="Times New Roman" w:cs="Times New Roman"/>
        </w:rPr>
        <w:t>’</w:t>
      </w:r>
      <w:r w:rsidRPr="750671CE">
        <w:rPr>
          <w:rFonts w:ascii="Times New Roman" w:eastAsia="Times New Roman" w:hAnsi="Times New Roman" w:cs="Times New Roman"/>
        </w:rPr>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rPr>
          <w:rFonts w:ascii="Times New Roman" w:eastAsia="Times New Roman" w:hAnsi="Times New Roman" w:cs="Times New Roman"/>
        </w:rPr>
        <w:t>“</w:t>
      </w:r>
      <w:r w:rsidRPr="750671CE">
        <w:rPr>
          <w:rFonts w:ascii="Times New Roman" w:eastAsia="Times New Roman" w:hAnsi="Times New Roman" w:cs="Times New Roman"/>
        </w:rPr>
        <w:t>The Kathryn B. Guinan,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that, if so, the situation is one where custom should control. We leave that question open; but we hold that it is not in all cases a sufficient answer to a bargee</w:t>
      </w:r>
      <w:r w:rsidR="00B05F31">
        <w:rPr>
          <w:rFonts w:ascii="Times New Roman" w:eastAsia="Times New Roman" w:hAnsi="Times New Roman" w:cs="Times New Roman"/>
        </w:rPr>
        <w:t>’</w:t>
      </w:r>
      <w:r w:rsidRPr="750671CE">
        <w:rPr>
          <w:rFonts w:ascii="Times New Roman" w:eastAsia="Times New Roman" w:hAnsi="Times New Roman" w:cs="Times New Roman"/>
        </w:rPr>
        <w:t>s absence without excuse, during working hours, that he has properly made fast his barge to a pier, when he leaves her. In the case at bar the bargee left at five o</w:t>
      </w:r>
      <w:r w:rsidR="00B05F31">
        <w:rPr>
          <w:rFonts w:ascii="Times New Roman" w:eastAsia="Times New Roman" w:hAnsi="Times New Roman" w:cs="Times New Roman"/>
        </w:rPr>
        <w:t>’</w:t>
      </w:r>
      <w:r w:rsidRPr="750671CE">
        <w:rPr>
          <w:rFonts w:ascii="Times New Roman" w:eastAsia="Times New Roman" w:hAnsi="Times New Roman" w:cs="Times New Roman"/>
        </w:rPr>
        <w:t>clock in the afternoon of January 3rd, and the flotilla broke away at about two o</w:t>
      </w:r>
      <w:r w:rsidR="00B05F31">
        <w:rPr>
          <w:rFonts w:ascii="Times New Roman" w:eastAsia="Times New Roman" w:hAnsi="Times New Roman" w:cs="Times New Roman"/>
        </w:rPr>
        <w:t>’</w:t>
      </w:r>
      <w:r w:rsidRPr="750671CE">
        <w:rPr>
          <w:rFonts w:ascii="Times New Roman" w:eastAsia="Times New Roman" w:hAnsi="Times New Roman" w:cs="Times New Roman"/>
        </w:rPr>
        <w:t>clock in the afternoon of the following day, twenty-one hours afterwards. The bargee had been away all the time, and we hold that his fabricated story was affirmative evidence that he had no excuse for his absence. At the locus in quo</w:t>
      </w:r>
      <w:r w:rsidR="00817A19" w:rsidRPr="00817A19">
        <w:rPr>
          <w:rFonts w:ascii="Times New Roman" w:eastAsia="Times New Roman" w:hAnsi="Times New Roman" w:cs="Times New Roman"/>
        </w:rPr>
        <w:t>—</w:t>
      </w:r>
      <w:r w:rsidRPr="750671CE">
        <w:rPr>
          <w:rFonts w:ascii="Times New Roman" w:eastAsia="Times New Roman" w:hAnsi="Times New Roman" w:cs="Times New Roman"/>
        </w:rPr>
        <w:t>especially during the short January days and in the full tide of war activity</w:t>
      </w:r>
      <w:r w:rsidR="00817A19" w:rsidRPr="00817A19">
        <w:rPr>
          <w:rFonts w:ascii="Times New Roman" w:eastAsia="Times New Roman" w:hAnsi="Times New Roman" w:cs="Times New Roman"/>
        </w:rPr>
        <w:t>—</w:t>
      </w:r>
      <w:r w:rsidRPr="750671CE">
        <w:rPr>
          <w:rFonts w:ascii="Times New Roman" w:eastAsia="Times New Roman" w:hAnsi="Times New Roman" w:cs="Times New Roman"/>
        </w:rPr>
        <w:t xml:space="preserve">barges were being constantly </w:t>
      </w:r>
      <w:r w:rsidR="00B05F31">
        <w:rPr>
          <w:rFonts w:ascii="Times New Roman" w:eastAsia="Times New Roman" w:hAnsi="Times New Roman" w:cs="Times New Roman"/>
        </w:rPr>
        <w:t>“</w:t>
      </w:r>
      <w:r w:rsidRPr="750671CE">
        <w:rPr>
          <w:rFonts w:ascii="Times New Roman" w:eastAsia="Times New Roman" w:hAnsi="Times New Roman" w:cs="Times New Roman"/>
        </w:rPr>
        <w:t>drilled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and out. Certainly it was not beyond reasonable expectation that, with the inevitable haste and bustle, the work might not be done with adequate care. In such circumstances we hold</w:t>
      </w:r>
      <w:r w:rsidR="00817A19" w:rsidRPr="00817A19">
        <w:rPr>
          <w:rFonts w:ascii="Times New Roman" w:eastAsia="Times New Roman" w:hAnsi="Times New Roman" w:cs="Times New Roman"/>
        </w:rPr>
        <w:t>—</w:t>
      </w:r>
      <w:r w:rsidRPr="750671CE">
        <w:rPr>
          <w:rFonts w:ascii="Times New Roman" w:eastAsia="Times New Roman" w:hAnsi="Times New Roman" w:cs="Times New Roman"/>
        </w:rPr>
        <w:t>and it is all that we do hold</w:t>
      </w:r>
      <w:r w:rsidR="00817A19" w:rsidRPr="00817A19">
        <w:rPr>
          <w:rFonts w:ascii="Times New Roman" w:eastAsia="Times New Roman" w:hAnsi="Times New Roman" w:cs="Times New Roman"/>
        </w:rPr>
        <w:t>—</w:t>
      </w:r>
      <w:r w:rsidRPr="750671CE">
        <w:rPr>
          <w:rFonts w:ascii="Times New Roman" w:eastAsia="Times New Roman" w:hAnsi="Times New Roman" w:cs="Times New Roman"/>
        </w:rPr>
        <w:t>that it was a fair requirement that the Conners Company should have a bargee aboard (unless he had some excuse for his absence), during the working hours of daylight.</w:t>
      </w:r>
    </w:p>
    <w:p w14:paraId="2EC06CA7" w14:textId="77777777" w:rsidR="00C22B24" w:rsidRPr="00920B12" w:rsidRDefault="00C22B24">
      <w:pPr>
        <w:pStyle w:val="Nothing"/>
        <w:rPr>
          <w:b/>
        </w:rPr>
      </w:pPr>
    </w:p>
    <w:p w14:paraId="27150FB2" w14:textId="77777777" w:rsidR="00C22B24" w:rsidRPr="00920B12" w:rsidRDefault="00C22B24">
      <w:pPr>
        <w:pStyle w:val="Nothing"/>
        <w:rPr>
          <w:b/>
        </w:rPr>
      </w:pPr>
    </w:p>
    <w:p w14:paraId="6E07EF03" w14:textId="77777777" w:rsidR="00C22B24" w:rsidRPr="00920B12" w:rsidRDefault="00C22B24" w:rsidP="002502CC">
      <w:pPr>
        <w:pStyle w:val="Heading4"/>
      </w:pPr>
      <w:bookmarkStart w:id="237" w:name="_Toc364636100"/>
      <w:bookmarkStart w:id="238" w:name="_Toc518323287"/>
      <w:r w:rsidRPr="00920B12">
        <w:lastRenderedPageBreak/>
        <w:t>Notes</w:t>
      </w:r>
      <w:bookmarkEnd w:id="237"/>
      <w:bookmarkEnd w:id="238"/>
    </w:p>
    <w:p w14:paraId="41692DA4" w14:textId="77777777" w:rsidR="00C22B24" w:rsidRDefault="00C22B24" w:rsidP="00FB1320">
      <w:pPr>
        <w:pStyle w:val="Nothing"/>
      </w:pPr>
    </w:p>
    <w:p w14:paraId="69F2883F" w14:textId="77777777" w:rsidR="00FB1320" w:rsidRPr="00920B12" w:rsidRDefault="00FB1320" w:rsidP="00FB1320">
      <w:pPr>
        <w:pStyle w:val="Nothing"/>
      </w:pPr>
    </w:p>
    <w:p w14:paraId="7B08C79D" w14:textId="7D1E808A" w:rsidR="00C22B24" w:rsidRPr="00920B12" w:rsidRDefault="750671CE" w:rsidP="00F94B7E">
      <w:pPr>
        <w:pStyle w:val="Nothing"/>
        <w:numPr>
          <w:ilvl w:val="0"/>
          <w:numId w:val="88"/>
        </w:numPr>
        <w:ind w:left="0" w:firstLine="360"/>
      </w:pPr>
      <w:r w:rsidRPr="750671CE">
        <w:rPr>
          <w:i/>
          <w:iCs/>
        </w:rPr>
        <w:t>Learned Hand</w:t>
      </w:r>
      <w:r w:rsidR="00B05F31">
        <w:rPr>
          <w:i/>
          <w:iCs/>
        </w:rPr>
        <w:t>’</w:t>
      </w:r>
      <w:r w:rsidRPr="750671CE">
        <w:rPr>
          <w:i/>
          <w:iCs/>
        </w:rPr>
        <w:t xml:space="preserve">s formula.  </w:t>
      </w:r>
      <w:r>
        <w:t xml:space="preserve">The so-called Hand Formula for determining negligence rounds out the considerations cited in the opinions from </w:t>
      </w:r>
      <w:r w:rsidRPr="750671CE">
        <w:rPr>
          <w:i/>
          <w:iCs/>
        </w:rPr>
        <w:t>Stone v. Bolton</w:t>
      </w:r>
      <w:r>
        <w:t>, and it adds an additional factor: the burden of adequate precautions.  But the algebra doesn</w:t>
      </w:r>
      <w:r w:rsidR="00B05F31">
        <w:t>’</w:t>
      </w:r>
      <w:r>
        <w:t>t by itself supply all the elements needed to make the negligence inquiry.  For example, to estimate the probability of the injury</w:t>
      </w:r>
      <w:r w:rsidR="00B05F31">
        <w:t>’</w:t>
      </w:r>
      <w:r>
        <w:t>s occurrence, we need to know something about the temporality of the Hand Formula.  Is it the probability ex ante or ex post</w:t>
      </w:r>
      <w:r w:rsidR="0052041B" w:rsidRPr="0052041B">
        <w:t>—</w:t>
      </w:r>
      <w: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t>Chapter</w:t>
      </w:r>
      <w:r>
        <w:t xml:space="preserve"> 9.)</w:t>
      </w:r>
    </w:p>
    <w:p w14:paraId="1ADEC67A" w14:textId="77777777" w:rsidR="00C22B24" w:rsidRPr="00920B12" w:rsidRDefault="00C22B24" w:rsidP="00C22B24">
      <w:pPr>
        <w:pStyle w:val="Nothing"/>
      </w:pPr>
    </w:p>
    <w:p w14:paraId="6F70F449" w14:textId="77777777" w:rsidR="00C22B24" w:rsidRPr="00920B12" w:rsidRDefault="00C22B24" w:rsidP="00C22B24">
      <w:pPr>
        <w:pStyle w:val="Nothing"/>
      </w:pPr>
      <w:r w:rsidRPr="00920B12">
        <w:tab/>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920B12" w:rsidRDefault="00C22B24" w:rsidP="00C22B24">
      <w:pPr>
        <w:pStyle w:val="Nothing"/>
      </w:pPr>
    </w:p>
    <w:p w14:paraId="6BCDA2E3" w14:textId="397F5543" w:rsidR="00C22B24" w:rsidRPr="00920B12" w:rsidRDefault="750671CE" w:rsidP="00C22B24">
      <w:pPr>
        <w:pStyle w:val="Nothing"/>
        <w:ind w:firstLine="720"/>
      </w:pPr>
      <w:r>
        <w:t>Two additional points round out our first pass at the Learned Hand approach.  The first is to observe that in the common law</w:t>
      </w:r>
      <w:r w:rsidR="00B05F31">
        <w:t>’</w:t>
      </w:r>
      <w:r>
        <w:t>s adversary system it is the party charging negligence</w:t>
      </w:r>
      <w:r w:rsidR="00B23516" w:rsidRPr="00B23516">
        <w:t>—</w:t>
      </w:r>
      <w:r>
        <w:t>often but not always the plaintiff</w:t>
      </w:r>
      <w:r w:rsidR="00B23516" w:rsidRPr="00B23516">
        <w:t>—</w:t>
      </w:r>
      <w: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750671CE">
        <w:rPr>
          <w:i/>
          <w:iCs/>
        </w:rPr>
        <w:t>social</w:t>
      </w:r>
      <w: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920B12" w:rsidRDefault="00C22B24" w:rsidP="00C22B24">
      <w:pPr>
        <w:pStyle w:val="Nothing"/>
      </w:pPr>
    </w:p>
    <w:p w14:paraId="4596DDD6" w14:textId="77777777" w:rsidR="00C22B24" w:rsidRPr="00920B12" w:rsidRDefault="00C22B24" w:rsidP="00C22B24">
      <w:pPr>
        <w:pStyle w:val="Nothing"/>
      </w:pPr>
      <w:r w:rsidRPr="00920B12">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920B12" w:rsidRDefault="00C22B24" w:rsidP="00C22B24">
      <w:pPr>
        <w:pStyle w:val="Nothing"/>
      </w:pPr>
    </w:p>
    <w:p w14:paraId="0BF33550" w14:textId="77777777" w:rsidR="00C22B24" w:rsidRPr="00920B12" w:rsidRDefault="750671CE" w:rsidP="00C22B24">
      <w:pPr>
        <w:pStyle w:val="Nothing"/>
        <w:ind w:firstLine="720"/>
      </w:pPr>
      <w:r>
        <w:t>The test has been influential in part because, as Judge Richard Posner observed in one of his early articles, it can be read to embody an economic approach to tort law:</w:t>
      </w:r>
    </w:p>
    <w:p w14:paraId="0C510699" w14:textId="77777777" w:rsidR="00C22B24" w:rsidRPr="00920B12" w:rsidRDefault="00C22B24" w:rsidP="00C22B24">
      <w:pPr>
        <w:pStyle w:val="Nothing"/>
      </w:pPr>
    </w:p>
    <w:p w14:paraId="1B76C877" w14:textId="77777777" w:rsidR="00C22B24" w:rsidRDefault="00C22B24" w:rsidP="00F94B7E">
      <w:pPr>
        <w:pStyle w:val="Nothing"/>
        <w:ind w:left="720" w:right="720"/>
        <w:jc w:val="both"/>
      </w:pPr>
      <w:r w:rsidRPr="00920B12">
        <w:lastRenderedPageBreak/>
        <w:t>Hand was adumbrating, perhaps unwittingly, an economic meaning of negligence. Discounting (multiplying) the cost of</w:t>
      </w:r>
      <w:r w:rsidRPr="750671CE">
        <w:t xml:space="preserve"> </w:t>
      </w:r>
      <w:r w:rsidRPr="00920B12">
        <w:t>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920B12" w:rsidRDefault="00C22B24" w:rsidP="00F94B7E">
      <w:pPr>
        <w:pStyle w:val="Nothing"/>
        <w:ind w:left="720" w:right="720"/>
        <w:jc w:val="both"/>
      </w:pPr>
    </w:p>
    <w:p w14:paraId="7BF7CC45" w14:textId="77777777" w:rsidR="00C22B24" w:rsidRDefault="750671CE" w:rsidP="00F94B7E">
      <w:pPr>
        <w:pStyle w:val="Nothing"/>
        <w:ind w:left="720" w:right="720"/>
        <w:jc w:val="both"/>
      </w:pPr>
      <w: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Default="00CA4B04" w:rsidP="00CA4B04">
      <w:pPr>
        <w:pStyle w:val="Nothing"/>
        <w:ind w:right="720"/>
      </w:pPr>
    </w:p>
    <w:p w14:paraId="406DA096" w14:textId="64F6C9E6" w:rsidR="00CA4B04" w:rsidRDefault="750671CE" w:rsidP="00CA4B04">
      <w:pPr>
        <w:pStyle w:val="Nothing"/>
        <w:ind w:right="720"/>
      </w:pPr>
      <w:r>
        <w:t xml:space="preserve">Richard Posner, </w:t>
      </w:r>
      <w:r w:rsidRPr="750671CE">
        <w:rPr>
          <w:i/>
          <w:iCs/>
        </w:rPr>
        <w:t xml:space="preserve">A Theory of </w:t>
      </w:r>
      <w:r w:rsidR="00744778">
        <w:rPr>
          <w:i/>
          <w:iCs/>
        </w:rPr>
        <w:t>N</w:t>
      </w:r>
      <w:r w:rsidRPr="750671CE">
        <w:rPr>
          <w:i/>
          <w:iCs/>
        </w:rPr>
        <w:t xml:space="preserve">egligence, </w:t>
      </w:r>
      <w:r>
        <w:t xml:space="preserve">1 J. </w:t>
      </w:r>
      <w:r w:rsidRPr="750671CE">
        <w:rPr>
          <w:smallCaps/>
        </w:rPr>
        <w:t>Legal Stud</w:t>
      </w:r>
      <w:r>
        <w:t xml:space="preserve">. 29, 32-34 (1972). </w:t>
      </w:r>
    </w:p>
    <w:p w14:paraId="2B739E66" w14:textId="77777777" w:rsidR="00CA4B04" w:rsidRDefault="00CA4B04" w:rsidP="00CA4B04">
      <w:pPr>
        <w:pStyle w:val="Nothing"/>
        <w:ind w:right="720"/>
      </w:pPr>
    </w:p>
    <w:p w14:paraId="2A4CD2CB" w14:textId="6AAC5F3C" w:rsidR="00CA4B04" w:rsidRPr="00CA4B04" w:rsidRDefault="750671CE" w:rsidP="00F94B7E">
      <w:pPr>
        <w:pStyle w:val="Nothing"/>
        <w:ind w:firstLine="360"/>
      </w:pPr>
      <w:r>
        <w:t>Negligence, in the Hand-Posner formulation, is a cost-benefit scheme designed to encourage behavior that is rational from a cost-benefit perspective.  It should induce rational decision</w:t>
      </w:r>
      <w:r w:rsidR="00E66F52">
        <w:t>-</w:t>
      </w:r>
      <w:r>
        <w:t>makers to take into account the costs their behavior poses to others and to take all precautions that are socially worthwhile in the sense that their social benefits exceed their social costs.</w:t>
      </w:r>
    </w:p>
    <w:p w14:paraId="100BB035" w14:textId="77777777" w:rsidR="00CA4B04" w:rsidRDefault="00CA4B04" w:rsidP="00C22B24">
      <w:pPr>
        <w:pStyle w:val="Tags"/>
        <w:rPr>
          <w:b w:val="0"/>
        </w:rPr>
      </w:pPr>
    </w:p>
    <w:p w14:paraId="1A5542FE" w14:textId="77777777" w:rsidR="00C22B24" w:rsidRPr="00920B12" w:rsidRDefault="00C22B24" w:rsidP="00C22B24">
      <w:pPr>
        <w:pStyle w:val="Nothing"/>
      </w:pPr>
    </w:p>
    <w:p w14:paraId="53F7C34B" w14:textId="59695D5C" w:rsidR="00C22B24" w:rsidRPr="00920B12" w:rsidRDefault="750671CE" w:rsidP="00F94B7E">
      <w:pPr>
        <w:pStyle w:val="Nothing"/>
        <w:numPr>
          <w:ilvl w:val="0"/>
          <w:numId w:val="88"/>
        </w:numPr>
        <w:ind w:left="0" w:firstLine="360"/>
      </w:pPr>
      <w:r w:rsidRPr="750671CE">
        <w:rPr>
          <w:i/>
          <w:iCs/>
        </w:rPr>
        <w:t xml:space="preserve">A </w:t>
      </w:r>
      <w:r w:rsidR="00744778">
        <w:rPr>
          <w:i/>
          <w:iCs/>
        </w:rPr>
        <w:t>c</w:t>
      </w:r>
      <w:r w:rsidRPr="750671CE">
        <w:rPr>
          <w:i/>
          <w:iCs/>
        </w:rPr>
        <w:t>ost-</w:t>
      </w:r>
      <w:r w:rsidR="00744778">
        <w:rPr>
          <w:i/>
          <w:iCs/>
        </w:rPr>
        <w:t>b</w:t>
      </w:r>
      <w:r w:rsidRPr="750671CE">
        <w:rPr>
          <w:i/>
          <w:iCs/>
        </w:rPr>
        <w:t xml:space="preserve">enefit </w:t>
      </w:r>
      <w:r w:rsidR="00744778">
        <w:rPr>
          <w:i/>
          <w:iCs/>
        </w:rPr>
        <w:t>a</w:t>
      </w:r>
      <w:r w:rsidRPr="750671CE">
        <w:rPr>
          <w:i/>
          <w:iCs/>
        </w:rPr>
        <w:t xml:space="preserve">nalysis of </w:t>
      </w:r>
      <w:r w:rsidR="00744778">
        <w:rPr>
          <w:i/>
          <w:iCs/>
        </w:rPr>
        <w:t>c</w:t>
      </w:r>
      <w:r w:rsidRPr="750671CE">
        <w:rPr>
          <w:i/>
          <w:iCs/>
        </w:rPr>
        <w:t>ricket</w:t>
      </w:r>
      <w:r w:rsidRPr="750671CE">
        <w:rPr>
          <w:b/>
          <w:bCs/>
          <w:i/>
          <w:iCs/>
        </w:rPr>
        <w:t>.</w:t>
      </w:r>
      <w:r>
        <w:t xml:space="preserve">  What result if Learned Hand</w:t>
      </w:r>
      <w:r w:rsidR="00B05F31">
        <w:t>’</w:t>
      </w:r>
      <w:r>
        <w:t xml:space="preserve">s </w:t>
      </w:r>
      <w:r w:rsidR="008A3DB5">
        <w:t>“</w:t>
      </w:r>
      <w:r>
        <w:t>BPL formula</w:t>
      </w:r>
      <w:r w:rsidR="008A3DB5">
        <w:t>” (Burden &lt; Probability * Loss)</w:t>
      </w:r>
      <w:r>
        <w:t xml:space="preserve"> had been used in </w:t>
      </w:r>
      <w:r w:rsidRPr="750671CE">
        <w:rPr>
          <w:i/>
          <w:iCs/>
        </w:rPr>
        <w:t xml:space="preserve">Stone v. Bolton </w:t>
      </w:r>
      <w:r>
        <w:t xml:space="preserve">and </w:t>
      </w:r>
      <w:r w:rsidRPr="750671CE">
        <w:rPr>
          <w:i/>
          <w:iCs/>
        </w:rPr>
        <w:t xml:space="preserve">Bolton v. Stone?  </w:t>
      </w:r>
      <w:r>
        <w:t xml:space="preserve">Would the outcome of the case have changed if the Lords had explicitly adopted the Hand approach?  </w:t>
      </w:r>
    </w:p>
    <w:p w14:paraId="630BF6DA" w14:textId="77777777" w:rsidR="00C22B24" w:rsidRPr="00920B12" w:rsidRDefault="00C22B24" w:rsidP="00C22B24">
      <w:pPr>
        <w:pStyle w:val="Nothing"/>
      </w:pPr>
    </w:p>
    <w:p w14:paraId="5D09E488" w14:textId="77777777" w:rsidR="00C22B24" w:rsidRPr="00920B12" w:rsidRDefault="750671CE" w:rsidP="00C22B24">
      <w:pPr>
        <w:pStyle w:val="Nothing"/>
        <w:ind w:firstLine="720"/>
      </w:pPr>
      <w: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t>
      </w:r>
      <w:r>
        <w:lastRenderedPageBreak/>
        <w:t xml:space="preserve">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920B12" w:rsidRDefault="00C22B24" w:rsidP="00C22B24">
      <w:pPr>
        <w:pStyle w:val="Nothing"/>
        <w:ind w:firstLine="720"/>
      </w:pPr>
    </w:p>
    <w:p w14:paraId="5D6CB9C1" w14:textId="77777777" w:rsidR="00C22B24" w:rsidRPr="00920B12" w:rsidRDefault="750671CE" w:rsidP="00C22B24">
      <w:pPr>
        <w:pStyle w:val="Nothing"/>
        <w:ind w:firstLine="720"/>
      </w:pPr>
      <w:r>
        <w:t>Table 1 below presents the analysis:</w:t>
      </w:r>
    </w:p>
    <w:p w14:paraId="2F1EF6D5" w14:textId="77777777" w:rsidR="00C22B24" w:rsidRPr="00920B12" w:rsidRDefault="00C22B24" w:rsidP="00C22B24">
      <w:pPr>
        <w:pStyle w:val="Nothing"/>
      </w:pPr>
    </w:p>
    <w:p w14:paraId="51F01B6D" w14:textId="77777777" w:rsidR="00C22B24" w:rsidRPr="00920B12" w:rsidRDefault="750671CE" w:rsidP="750671CE">
      <w:pPr>
        <w:pStyle w:val="Nothing"/>
        <w:rPr>
          <w:b/>
          <w:bCs/>
        </w:rPr>
      </w:pPr>
      <w:r w:rsidRPr="750671CE">
        <w:rPr>
          <w:b/>
          <w:bCs/>
        </w:rPr>
        <w:t>Table 1: The Negligence Analysis</w:t>
      </w:r>
    </w:p>
    <w:tbl>
      <w:tblPr>
        <w:tblStyle w:val="TableGrid"/>
        <w:tblW w:w="0" w:type="auto"/>
        <w:tblLook w:val="04A0" w:firstRow="1" w:lastRow="0" w:firstColumn="1" w:lastColumn="0" w:noHBand="0" w:noVBand="1"/>
      </w:tblPr>
      <w:tblGrid>
        <w:gridCol w:w="1802"/>
        <w:gridCol w:w="1770"/>
        <w:gridCol w:w="1782"/>
        <w:gridCol w:w="1745"/>
        <w:gridCol w:w="1757"/>
      </w:tblGrid>
      <w:tr w:rsidR="00C22B24" w:rsidRPr="00920B12" w14:paraId="348DE8A7" w14:textId="77777777" w:rsidTr="750671CE">
        <w:tc>
          <w:tcPr>
            <w:tcW w:w="1915" w:type="dxa"/>
          </w:tcPr>
          <w:p w14:paraId="0358FA78" w14:textId="77777777" w:rsidR="00C22B24" w:rsidRPr="00920B12" w:rsidRDefault="00C22B24" w:rsidP="00B23151">
            <w:pPr>
              <w:pStyle w:val="Nothing"/>
              <w:jc w:val="center"/>
            </w:pPr>
          </w:p>
        </w:tc>
        <w:tc>
          <w:tcPr>
            <w:tcW w:w="1915" w:type="dxa"/>
          </w:tcPr>
          <w:p w14:paraId="078D8738" w14:textId="77777777" w:rsidR="00C22B24" w:rsidRPr="00920B12" w:rsidRDefault="750671CE" w:rsidP="00B23151">
            <w:pPr>
              <w:pStyle w:val="Nothing"/>
              <w:jc w:val="center"/>
            </w:pPr>
            <w:r>
              <w:t>Burden of the precaution (B)</w:t>
            </w:r>
          </w:p>
        </w:tc>
        <w:tc>
          <w:tcPr>
            <w:tcW w:w="1915" w:type="dxa"/>
          </w:tcPr>
          <w:p w14:paraId="5B89169B" w14:textId="77777777" w:rsidR="00C22B24" w:rsidRPr="00920B12" w:rsidRDefault="750671CE" w:rsidP="00B23151">
            <w:pPr>
              <w:pStyle w:val="Nothing"/>
              <w:jc w:val="center"/>
            </w:pPr>
            <w:r>
              <w:t>Probability of harm absent the precaution (P)</w:t>
            </w:r>
          </w:p>
        </w:tc>
        <w:tc>
          <w:tcPr>
            <w:tcW w:w="1915" w:type="dxa"/>
          </w:tcPr>
          <w:p w14:paraId="3535190B" w14:textId="77777777" w:rsidR="00C22B24" w:rsidRPr="00920B12" w:rsidRDefault="750671CE" w:rsidP="00B23151">
            <w:pPr>
              <w:pStyle w:val="Nothing"/>
              <w:jc w:val="center"/>
            </w:pPr>
            <w:r>
              <w:t>Expected damages in the event harm occurs (L)</w:t>
            </w:r>
          </w:p>
        </w:tc>
        <w:tc>
          <w:tcPr>
            <w:tcW w:w="1916" w:type="dxa"/>
          </w:tcPr>
          <w:p w14:paraId="510E8194" w14:textId="77777777" w:rsidR="00C22B24" w:rsidRPr="00920B12" w:rsidRDefault="00C22B24" w:rsidP="00B23151">
            <w:pPr>
              <w:pStyle w:val="Nothing"/>
              <w:jc w:val="center"/>
            </w:pPr>
          </w:p>
        </w:tc>
      </w:tr>
      <w:tr w:rsidR="00C22B24" w:rsidRPr="00920B12" w14:paraId="68B1F5BE" w14:textId="77777777" w:rsidTr="750671CE">
        <w:tc>
          <w:tcPr>
            <w:tcW w:w="1915" w:type="dxa"/>
          </w:tcPr>
          <w:p w14:paraId="432318FF" w14:textId="77777777" w:rsidR="00C22B24" w:rsidRPr="00920B12" w:rsidRDefault="750671CE" w:rsidP="00B23151">
            <w:pPr>
              <w:pStyle w:val="Nothing"/>
              <w:jc w:val="center"/>
            </w:pPr>
            <w:r>
              <w:t>Scenario 1: Expensive Precaution</w:t>
            </w:r>
          </w:p>
        </w:tc>
        <w:tc>
          <w:tcPr>
            <w:tcW w:w="1915" w:type="dxa"/>
          </w:tcPr>
          <w:p w14:paraId="3482CFAB" w14:textId="77777777" w:rsidR="00C22B24" w:rsidRPr="00920B12" w:rsidRDefault="00C22B24" w:rsidP="00B23151">
            <w:pPr>
              <w:pStyle w:val="Nothing"/>
              <w:jc w:val="center"/>
            </w:pPr>
          </w:p>
          <w:p w14:paraId="1965B594" w14:textId="77777777" w:rsidR="00C22B24" w:rsidRPr="00920B12" w:rsidRDefault="750671CE" w:rsidP="00B23151">
            <w:pPr>
              <w:pStyle w:val="Nothing"/>
              <w:jc w:val="center"/>
            </w:pPr>
            <w:r>
              <w:t>15</w:t>
            </w:r>
          </w:p>
        </w:tc>
        <w:tc>
          <w:tcPr>
            <w:tcW w:w="1915" w:type="dxa"/>
          </w:tcPr>
          <w:p w14:paraId="6DF3BC2A" w14:textId="77777777" w:rsidR="00C22B24" w:rsidRPr="00920B12" w:rsidRDefault="00C22B24" w:rsidP="00B23151">
            <w:pPr>
              <w:pStyle w:val="Nothing"/>
              <w:jc w:val="center"/>
            </w:pPr>
          </w:p>
          <w:p w14:paraId="3A868973" w14:textId="77777777" w:rsidR="00C22B24" w:rsidRPr="00920B12" w:rsidRDefault="750671CE" w:rsidP="00B23151">
            <w:pPr>
              <w:pStyle w:val="Nothing"/>
              <w:jc w:val="center"/>
            </w:pPr>
            <w:r>
              <w:t>10%</w:t>
            </w:r>
          </w:p>
        </w:tc>
        <w:tc>
          <w:tcPr>
            <w:tcW w:w="1915" w:type="dxa"/>
          </w:tcPr>
          <w:p w14:paraId="5653D3B9" w14:textId="77777777" w:rsidR="00C22B24" w:rsidRPr="00920B12" w:rsidRDefault="00C22B24" w:rsidP="00B23151">
            <w:pPr>
              <w:pStyle w:val="Nothing"/>
              <w:jc w:val="center"/>
            </w:pPr>
          </w:p>
          <w:p w14:paraId="68EE3CF7" w14:textId="77777777" w:rsidR="00C22B24" w:rsidRPr="00920B12" w:rsidRDefault="750671CE" w:rsidP="00B23151">
            <w:pPr>
              <w:pStyle w:val="Nothing"/>
              <w:jc w:val="center"/>
            </w:pPr>
            <w:r>
              <w:t>100</w:t>
            </w:r>
          </w:p>
        </w:tc>
        <w:tc>
          <w:tcPr>
            <w:tcW w:w="1916" w:type="dxa"/>
          </w:tcPr>
          <w:p w14:paraId="16A5CAFE" w14:textId="77777777" w:rsidR="00C22B24" w:rsidRPr="00920B12" w:rsidRDefault="00C22B24" w:rsidP="00B23151">
            <w:pPr>
              <w:pStyle w:val="Nothing"/>
              <w:jc w:val="center"/>
            </w:pPr>
          </w:p>
          <w:p w14:paraId="71691E07" w14:textId="77777777" w:rsidR="00C22B24" w:rsidRPr="00920B12" w:rsidRDefault="750671CE" w:rsidP="00B23151">
            <w:pPr>
              <w:pStyle w:val="Nothing"/>
              <w:jc w:val="center"/>
            </w:pPr>
            <w:r>
              <w:t>Not negligent</w:t>
            </w:r>
          </w:p>
        </w:tc>
      </w:tr>
      <w:tr w:rsidR="00C22B24" w:rsidRPr="00920B12" w14:paraId="20699D0E" w14:textId="77777777" w:rsidTr="750671CE">
        <w:tc>
          <w:tcPr>
            <w:tcW w:w="1915" w:type="dxa"/>
          </w:tcPr>
          <w:p w14:paraId="0E2D55F7" w14:textId="77777777" w:rsidR="00C22B24" w:rsidRPr="00920B12" w:rsidRDefault="750671CE" w:rsidP="00B23151">
            <w:pPr>
              <w:pStyle w:val="Nothing"/>
              <w:jc w:val="center"/>
            </w:pPr>
            <w:r>
              <w:t>Scenario 2: Inexpensive Precaution</w:t>
            </w:r>
          </w:p>
        </w:tc>
        <w:tc>
          <w:tcPr>
            <w:tcW w:w="1915" w:type="dxa"/>
          </w:tcPr>
          <w:p w14:paraId="7C479355" w14:textId="77777777" w:rsidR="00C22B24" w:rsidRPr="00920B12" w:rsidRDefault="00C22B24" w:rsidP="00B23151">
            <w:pPr>
              <w:pStyle w:val="Nothing"/>
              <w:jc w:val="center"/>
            </w:pPr>
          </w:p>
          <w:p w14:paraId="60EC2355" w14:textId="77777777" w:rsidR="00C22B24" w:rsidRPr="00920B12" w:rsidRDefault="750671CE" w:rsidP="00B23151">
            <w:pPr>
              <w:pStyle w:val="Nothing"/>
              <w:jc w:val="center"/>
            </w:pPr>
            <w:r>
              <w:t>5</w:t>
            </w:r>
          </w:p>
        </w:tc>
        <w:tc>
          <w:tcPr>
            <w:tcW w:w="1915" w:type="dxa"/>
          </w:tcPr>
          <w:p w14:paraId="5E144CAB" w14:textId="77777777" w:rsidR="00C22B24" w:rsidRPr="00920B12" w:rsidRDefault="00C22B24" w:rsidP="00B23151">
            <w:pPr>
              <w:pStyle w:val="Nothing"/>
              <w:jc w:val="center"/>
            </w:pPr>
          </w:p>
          <w:p w14:paraId="4BCE1F53" w14:textId="77777777" w:rsidR="00C22B24" w:rsidRPr="00920B12" w:rsidRDefault="750671CE" w:rsidP="00B23151">
            <w:pPr>
              <w:pStyle w:val="Nothing"/>
              <w:jc w:val="center"/>
            </w:pPr>
            <w:r>
              <w:t>10%</w:t>
            </w:r>
          </w:p>
        </w:tc>
        <w:tc>
          <w:tcPr>
            <w:tcW w:w="1915" w:type="dxa"/>
          </w:tcPr>
          <w:p w14:paraId="3D949FE0" w14:textId="77777777" w:rsidR="00C22B24" w:rsidRPr="00920B12" w:rsidRDefault="00C22B24" w:rsidP="00B23151">
            <w:pPr>
              <w:pStyle w:val="Nothing"/>
              <w:jc w:val="center"/>
            </w:pPr>
          </w:p>
          <w:p w14:paraId="09C61D5C" w14:textId="77777777" w:rsidR="00C22B24" w:rsidRPr="00920B12" w:rsidRDefault="750671CE" w:rsidP="00B23151">
            <w:pPr>
              <w:pStyle w:val="Nothing"/>
              <w:jc w:val="center"/>
            </w:pPr>
            <w:r>
              <w:t>100</w:t>
            </w:r>
          </w:p>
        </w:tc>
        <w:tc>
          <w:tcPr>
            <w:tcW w:w="1916" w:type="dxa"/>
          </w:tcPr>
          <w:p w14:paraId="106102C1" w14:textId="77777777" w:rsidR="00C22B24" w:rsidRPr="00920B12" w:rsidRDefault="00C22B24" w:rsidP="00B23151">
            <w:pPr>
              <w:pStyle w:val="Nothing"/>
              <w:jc w:val="center"/>
            </w:pPr>
          </w:p>
          <w:p w14:paraId="74B35FA8" w14:textId="77777777" w:rsidR="00C22B24" w:rsidRPr="00920B12" w:rsidRDefault="750671CE" w:rsidP="00B23151">
            <w:pPr>
              <w:pStyle w:val="Nothing"/>
              <w:jc w:val="center"/>
            </w:pPr>
            <w:r>
              <w:t>Negligent</w:t>
            </w:r>
          </w:p>
        </w:tc>
      </w:tr>
    </w:tbl>
    <w:p w14:paraId="0EBAE0A8" w14:textId="77777777" w:rsidR="00C22B24" w:rsidRPr="00920B12" w:rsidRDefault="00C22B24" w:rsidP="00C22B24">
      <w:pPr>
        <w:pStyle w:val="Nothing"/>
      </w:pPr>
    </w:p>
    <w:p w14:paraId="3D56C2C1" w14:textId="77777777" w:rsidR="00C22B24" w:rsidRPr="00920B12" w:rsidRDefault="00C22B24" w:rsidP="00C22B24">
      <w:pPr>
        <w:pStyle w:val="Nothing"/>
      </w:pPr>
    </w:p>
    <w:p w14:paraId="447A456C" w14:textId="190C7C3F" w:rsidR="00C22B24" w:rsidRPr="00920B12" w:rsidRDefault="750671CE" w:rsidP="00F94B7E">
      <w:pPr>
        <w:pStyle w:val="Nothing"/>
        <w:numPr>
          <w:ilvl w:val="0"/>
          <w:numId w:val="88"/>
        </w:numPr>
        <w:ind w:left="0" w:firstLine="360"/>
      </w:pPr>
      <w:r w:rsidRPr="750671CE">
        <w:rPr>
          <w:i/>
          <w:iCs/>
        </w:rPr>
        <w:t xml:space="preserve">The </w:t>
      </w:r>
      <w:r w:rsidR="005804A9">
        <w:rPr>
          <w:i/>
          <w:iCs/>
        </w:rPr>
        <w:t>e</w:t>
      </w:r>
      <w:r w:rsidRPr="750671CE">
        <w:rPr>
          <w:i/>
          <w:iCs/>
        </w:rPr>
        <w:t xml:space="preserve">x </w:t>
      </w:r>
      <w:r w:rsidR="005804A9">
        <w:rPr>
          <w:i/>
          <w:iCs/>
        </w:rPr>
        <w:t>a</w:t>
      </w:r>
      <w:r w:rsidRPr="750671CE">
        <w:rPr>
          <w:i/>
          <w:iCs/>
        </w:rPr>
        <w:t xml:space="preserve">nte </w:t>
      </w:r>
      <w:r w:rsidR="005804A9">
        <w:rPr>
          <w:i/>
          <w:iCs/>
        </w:rPr>
        <w:t>v</w:t>
      </w:r>
      <w:r w:rsidRPr="750671CE">
        <w:rPr>
          <w:i/>
          <w:iCs/>
        </w:rPr>
        <w:t>iew</w:t>
      </w:r>
      <w:r>
        <w:t>.  So far we</w:t>
      </w:r>
      <w:r w:rsidR="00B05F31">
        <w:t>’</w:t>
      </w:r>
      <w: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the event of an injury they will be held liable for having failed to take certain precautions that were cost justified should begin to take those precautions.  Consider the cricket club: under a negligence regime, will they build a higher wall at the beginning of the year?  In 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920B12" w:rsidRDefault="00C22B24" w:rsidP="00C22B24">
      <w:pPr>
        <w:pStyle w:val="Nothing"/>
      </w:pPr>
    </w:p>
    <w:p w14:paraId="48281978" w14:textId="3C5D46CC" w:rsidR="00C22B24" w:rsidRPr="00920B12" w:rsidRDefault="00C22B24" w:rsidP="00C22B24">
      <w:pPr>
        <w:pStyle w:val="Nothing"/>
      </w:pPr>
      <w:r w:rsidRPr="00920B12">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4565FA2B" w14:textId="77777777" w:rsidR="00C22B24" w:rsidRPr="00920B12" w:rsidRDefault="00C22B24" w:rsidP="00C22B24">
      <w:pPr>
        <w:pStyle w:val="Nothing"/>
      </w:pPr>
    </w:p>
    <w:p w14:paraId="743B1AD6" w14:textId="0D5774D5" w:rsidR="00911CC4" w:rsidRDefault="00911CC4">
      <w:pPr>
        <w:rPr>
          <w:rFonts w:ascii="Times New Roman" w:eastAsia="Times New Roman" w:hAnsi="Times New Roman" w:cs="Times New Roman"/>
          <w:b/>
          <w:lang w:eastAsia="en-US"/>
        </w:rPr>
      </w:pPr>
      <w:r>
        <w:rPr>
          <w:b/>
        </w:rPr>
        <w:br w:type="page"/>
      </w:r>
    </w:p>
    <w:p w14:paraId="1A816E11" w14:textId="77777777" w:rsidR="00C22B24" w:rsidRPr="00920B12" w:rsidRDefault="750671CE" w:rsidP="750671CE">
      <w:pPr>
        <w:pStyle w:val="Nothing"/>
        <w:rPr>
          <w:b/>
          <w:bCs/>
        </w:rPr>
      </w:pPr>
      <w:r w:rsidRPr="750671CE">
        <w:rPr>
          <w:b/>
          <w:bCs/>
        </w:rPr>
        <w:lastRenderedPageBreak/>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920B12" w14:paraId="23BFBF8D" w14:textId="77777777" w:rsidTr="750671CE">
        <w:tc>
          <w:tcPr>
            <w:tcW w:w="1445" w:type="dxa"/>
          </w:tcPr>
          <w:p w14:paraId="7268526C" w14:textId="77777777" w:rsidR="00C22B24" w:rsidRPr="00920B12" w:rsidRDefault="00C22B24" w:rsidP="00B23151">
            <w:pPr>
              <w:pStyle w:val="Nothing"/>
              <w:jc w:val="center"/>
            </w:pPr>
          </w:p>
        </w:tc>
        <w:tc>
          <w:tcPr>
            <w:tcW w:w="779" w:type="dxa"/>
          </w:tcPr>
          <w:p w14:paraId="272EE7AE" w14:textId="77777777" w:rsidR="00C22B24" w:rsidRPr="00920B12" w:rsidRDefault="750671CE" w:rsidP="00B23151">
            <w:pPr>
              <w:pStyle w:val="Nothing"/>
              <w:jc w:val="center"/>
            </w:pPr>
            <w:r>
              <w:t>(B)</w:t>
            </w:r>
          </w:p>
        </w:tc>
        <w:tc>
          <w:tcPr>
            <w:tcW w:w="810" w:type="dxa"/>
          </w:tcPr>
          <w:p w14:paraId="4D7ACE29" w14:textId="77777777" w:rsidR="00C22B24" w:rsidRPr="00920B12" w:rsidRDefault="750671CE" w:rsidP="00B23151">
            <w:pPr>
              <w:pStyle w:val="Nothing"/>
              <w:jc w:val="center"/>
            </w:pPr>
            <w:r>
              <w:t>(P)</w:t>
            </w:r>
          </w:p>
        </w:tc>
        <w:tc>
          <w:tcPr>
            <w:tcW w:w="810" w:type="dxa"/>
          </w:tcPr>
          <w:p w14:paraId="7B43CD76" w14:textId="77777777" w:rsidR="00C22B24" w:rsidRPr="00920B12" w:rsidRDefault="750671CE" w:rsidP="00B23151">
            <w:pPr>
              <w:pStyle w:val="Nothing"/>
              <w:jc w:val="center"/>
            </w:pPr>
            <w:r>
              <w:t>(L)</w:t>
            </w:r>
          </w:p>
        </w:tc>
        <w:tc>
          <w:tcPr>
            <w:tcW w:w="1980" w:type="dxa"/>
          </w:tcPr>
          <w:p w14:paraId="732E2E83" w14:textId="77777777" w:rsidR="00C22B24" w:rsidRPr="00920B12" w:rsidRDefault="750671CE" w:rsidP="00B23151">
            <w:pPr>
              <w:pStyle w:val="Nothing"/>
              <w:jc w:val="center"/>
            </w:pPr>
            <w:r>
              <w:t>Court Determination in event of injury</w:t>
            </w:r>
          </w:p>
        </w:tc>
        <w:tc>
          <w:tcPr>
            <w:tcW w:w="1710" w:type="dxa"/>
          </w:tcPr>
          <w:p w14:paraId="4DBB412A" w14:textId="77777777" w:rsidR="00C22B24" w:rsidRPr="00920B12" w:rsidRDefault="750671CE" w:rsidP="00B23151">
            <w:pPr>
              <w:pStyle w:val="Nothing"/>
              <w:jc w:val="center"/>
            </w:pPr>
            <w:r>
              <w:t>Ex ante view: Build the Higher Fence?</w:t>
            </w:r>
          </w:p>
        </w:tc>
      </w:tr>
      <w:tr w:rsidR="00C22B24" w:rsidRPr="00920B12" w14:paraId="27606EC4" w14:textId="77777777" w:rsidTr="00F94B7E">
        <w:trPr>
          <w:trHeight w:val="854"/>
        </w:trPr>
        <w:tc>
          <w:tcPr>
            <w:tcW w:w="1445" w:type="dxa"/>
          </w:tcPr>
          <w:p w14:paraId="0E244F28" w14:textId="77777777" w:rsidR="00C22B24" w:rsidRPr="00920B12" w:rsidRDefault="00C22B24" w:rsidP="00B23151">
            <w:pPr>
              <w:pStyle w:val="Nothing"/>
              <w:jc w:val="center"/>
            </w:pPr>
          </w:p>
          <w:p w14:paraId="21FD5739" w14:textId="77777777" w:rsidR="00C22B24" w:rsidRPr="00920B12" w:rsidRDefault="750671CE" w:rsidP="00B23151">
            <w:pPr>
              <w:pStyle w:val="Nothing"/>
              <w:jc w:val="center"/>
            </w:pPr>
            <w:r>
              <w:t>Scenario 1</w:t>
            </w:r>
          </w:p>
          <w:p w14:paraId="0F07E733" w14:textId="77777777" w:rsidR="00C22B24" w:rsidRPr="00920B12" w:rsidRDefault="00C22B24" w:rsidP="00B23151">
            <w:pPr>
              <w:pStyle w:val="Nothing"/>
              <w:jc w:val="center"/>
            </w:pPr>
          </w:p>
        </w:tc>
        <w:tc>
          <w:tcPr>
            <w:tcW w:w="779" w:type="dxa"/>
          </w:tcPr>
          <w:p w14:paraId="3D3D3990" w14:textId="77777777" w:rsidR="00C22B24" w:rsidRPr="00920B12" w:rsidRDefault="00C22B24" w:rsidP="00B23151">
            <w:pPr>
              <w:pStyle w:val="Nothing"/>
              <w:jc w:val="center"/>
            </w:pPr>
          </w:p>
          <w:p w14:paraId="70D61F54" w14:textId="77777777" w:rsidR="00C22B24" w:rsidRPr="00920B12" w:rsidRDefault="750671CE" w:rsidP="00B23151">
            <w:pPr>
              <w:pStyle w:val="Nothing"/>
              <w:jc w:val="center"/>
            </w:pPr>
            <w:r>
              <w:t>15</w:t>
            </w:r>
          </w:p>
        </w:tc>
        <w:tc>
          <w:tcPr>
            <w:tcW w:w="810" w:type="dxa"/>
          </w:tcPr>
          <w:p w14:paraId="617CC76F" w14:textId="77777777" w:rsidR="00C22B24" w:rsidRPr="00920B12" w:rsidRDefault="00C22B24" w:rsidP="00B23151">
            <w:pPr>
              <w:pStyle w:val="Nothing"/>
              <w:jc w:val="center"/>
            </w:pPr>
          </w:p>
          <w:p w14:paraId="0AFBD926" w14:textId="77777777" w:rsidR="00C22B24" w:rsidRPr="00920B12" w:rsidRDefault="750671CE" w:rsidP="00B23151">
            <w:pPr>
              <w:pStyle w:val="Nothing"/>
              <w:jc w:val="center"/>
            </w:pPr>
            <w:r>
              <w:t>10%</w:t>
            </w:r>
          </w:p>
        </w:tc>
        <w:tc>
          <w:tcPr>
            <w:tcW w:w="810" w:type="dxa"/>
          </w:tcPr>
          <w:p w14:paraId="7AC648E3" w14:textId="77777777" w:rsidR="00C22B24" w:rsidRPr="00920B12" w:rsidRDefault="00C22B24" w:rsidP="00B23151">
            <w:pPr>
              <w:pStyle w:val="Nothing"/>
              <w:jc w:val="center"/>
            </w:pPr>
          </w:p>
          <w:p w14:paraId="23E7349D" w14:textId="77777777" w:rsidR="00C22B24" w:rsidRPr="00920B12" w:rsidRDefault="750671CE" w:rsidP="00B23151">
            <w:pPr>
              <w:pStyle w:val="Nothing"/>
              <w:jc w:val="center"/>
            </w:pPr>
            <w:r>
              <w:t>100</w:t>
            </w:r>
          </w:p>
        </w:tc>
        <w:tc>
          <w:tcPr>
            <w:tcW w:w="1980" w:type="dxa"/>
          </w:tcPr>
          <w:p w14:paraId="77DA2028" w14:textId="77777777" w:rsidR="00C22B24" w:rsidRPr="00920B12" w:rsidRDefault="00C22B24" w:rsidP="00B23151">
            <w:pPr>
              <w:pStyle w:val="Nothing"/>
              <w:jc w:val="center"/>
            </w:pPr>
          </w:p>
          <w:p w14:paraId="0610966C" w14:textId="0F074CEA" w:rsidR="00C22B24" w:rsidRPr="00920B12" w:rsidRDefault="750671CE" w:rsidP="00B23151">
            <w:pPr>
              <w:pStyle w:val="Nothing"/>
              <w:jc w:val="center"/>
            </w:pPr>
            <w:r>
              <w:t>Not negligent</w:t>
            </w:r>
            <w:r w:rsidR="007C36AE" w:rsidRPr="007C36AE">
              <w:t>—</w:t>
            </w:r>
            <w:r>
              <w:t>D doesn</w:t>
            </w:r>
            <w:r w:rsidR="00B05F31">
              <w:t>’</w:t>
            </w:r>
            <w:r>
              <w:t>t pay</w:t>
            </w:r>
          </w:p>
        </w:tc>
        <w:tc>
          <w:tcPr>
            <w:tcW w:w="1710" w:type="dxa"/>
          </w:tcPr>
          <w:p w14:paraId="45675253" w14:textId="77777777" w:rsidR="00C22B24" w:rsidRPr="00920B12" w:rsidRDefault="00C22B24" w:rsidP="00B23151">
            <w:pPr>
              <w:pStyle w:val="Nothing"/>
              <w:jc w:val="center"/>
            </w:pPr>
          </w:p>
          <w:p w14:paraId="27CE109F" w14:textId="77777777" w:rsidR="00C22B24" w:rsidRPr="00920B12" w:rsidRDefault="750671CE" w:rsidP="00B23151">
            <w:pPr>
              <w:pStyle w:val="Nothing"/>
              <w:jc w:val="center"/>
            </w:pPr>
            <w:r>
              <w:t>Not build</w:t>
            </w:r>
          </w:p>
        </w:tc>
      </w:tr>
      <w:tr w:rsidR="00C22B24" w:rsidRPr="00920B12" w14:paraId="10A5A068" w14:textId="77777777" w:rsidTr="750671CE">
        <w:tc>
          <w:tcPr>
            <w:tcW w:w="1445" w:type="dxa"/>
          </w:tcPr>
          <w:p w14:paraId="39862839" w14:textId="77777777" w:rsidR="00C22B24" w:rsidRPr="00920B12" w:rsidRDefault="00C22B24" w:rsidP="00B23151">
            <w:pPr>
              <w:pStyle w:val="Nothing"/>
              <w:jc w:val="center"/>
            </w:pPr>
          </w:p>
          <w:p w14:paraId="6AC1F66F" w14:textId="77777777" w:rsidR="00C22B24" w:rsidRPr="00920B12" w:rsidRDefault="750671CE" w:rsidP="00B23151">
            <w:pPr>
              <w:pStyle w:val="Nothing"/>
              <w:jc w:val="center"/>
            </w:pPr>
            <w:r>
              <w:t>Scenario 2</w:t>
            </w:r>
          </w:p>
          <w:p w14:paraId="2E17F776" w14:textId="77777777" w:rsidR="00C22B24" w:rsidRPr="00920B12" w:rsidRDefault="00C22B24" w:rsidP="00B23151">
            <w:pPr>
              <w:pStyle w:val="Nothing"/>
              <w:jc w:val="center"/>
            </w:pPr>
          </w:p>
        </w:tc>
        <w:tc>
          <w:tcPr>
            <w:tcW w:w="779" w:type="dxa"/>
          </w:tcPr>
          <w:p w14:paraId="687D3C5C" w14:textId="77777777" w:rsidR="00C22B24" w:rsidRPr="00920B12" w:rsidRDefault="00C22B24" w:rsidP="00B23151">
            <w:pPr>
              <w:pStyle w:val="Nothing"/>
              <w:jc w:val="center"/>
            </w:pPr>
          </w:p>
          <w:p w14:paraId="2781951A" w14:textId="77777777" w:rsidR="00C22B24" w:rsidRPr="00920B12" w:rsidRDefault="750671CE" w:rsidP="00B23151">
            <w:pPr>
              <w:pStyle w:val="Nothing"/>
              <w:jc w:val="center"/>
            </w:pPr>
            <w:r>
              <w:t>5</w:t>
            </w:r>
          </w:p>
        </w:tc>
        <w:tc>
          <w:tcPr>
            <w:tcW w:w="810" w:type="dxa"/>
          </w:tcPr>
          <w:p w14:paraId="3141CDB4" w14:textId="77777777" w:rsidR="00C22B24" w:rsidRPr="00920B12" w:rsidRDefault="00C22B24" w:rsidP="00B23151">
            <w:pPr>
              <w:pStyle w:val="Nothing"/>
              <w:jc w:val="center"/>
            </w:pPr>
          </w:p>
          <w:p w14:paraId="447D4244" w14:textId="77777777" w:rsidR="00C22B24" w:rsidRPr="00920B12" w:rsidRDefault="750671CE" w:rsidP="00B23151">
            <w:pPr>
              <w:pStyle w:val="Nothing"/>
              <w:jc w:val="center"/>
            </w:pPr>
            <w:r>
              <w:t>10%</w:t>
            </w:r>
          </w:p>
        </w:tc>
        <w:tc>
          <w:tcPr>
            <w:tcW w:w="810" w:type="dxa"/>
          </w:tcPr>
          <w:p w14:paraId="1463F64F" w14:textId="77777777" w:rsidR="00C22B24" w:rsidRPr="00920B12" w:rsidRDefault="00C22B24" w:rsidP="00B23151">
            <w:pPr>
              <w:pStyle w:val="Nothing"/>
              <w:jc w:val="center"/>
            </w:pPr>
          </w:p>
          <w:p w14:paraId="59ECF2BD" w14:textId="77777777" w:rsidR="00C22B24" w:rsidRPr="00920B12" w:rsidRDefault="750671CE" w:rsidP="00B23151">
            <w:pPr>
              <w:pStyle w:val="Nothing"/>
              <w:jc w:val="center"/>
            </w:pPr>
            <w:r>
              <w:t>100</w:t>
            </w:r>
          </w:p>
        </w:tc>
        <w:tc>
          <w:tcPr>
            <w:tcW w:w="1980" w:type="dxa"/>
          </w:tcPr>
          <w:p w14:paraId="722925C8" w14:textId="77777777" w:rsidR="00C22B24" w:rsidRPr="00920B12" w:rsidRDefault="00C22B24" w:rsidP="00B23151">
            <w:pPr>
              <w:pStyle w:val="Nothing"/>
              <w:jc w:val="center"/>
            </w:pPr>
          </w:p>
          <w:p w14:paraId="2F9B63CA" w14:textId="261E6030" w:rsidR="00C22B24" w:rsidRPr="00920B12" w:rsidRDefault="750671CE" w:rsidP="00B23151">
            <w:pPr>
              <w:pStyle w:val="Nothing"/>
              <w:jc w:val="center"/>
            </w:pPr>
            <w:r>
              <w:t>Negligent</w:t>
            </w:r>
            <w:r w:rsidR="007C36AE" w:rsidRPr="007C36AE">
              <w:t>—</w:t>
            </w:r>
            <w:r>
              <w:t>D pays</w:t>
            </w:r>
          </w:p>
        </w:tc>
        <w:tc>
          <w:tcPr>
            <w:tcW w:w="1710" w:type="dxa"/>
          </w:tcPr>
          <w:p w14:paraId="77501937" w14:textId="77777777" w:rsidR="00C22B24" w:rsidRPr="00920B12" w:rsidRDefault="00C22B24" w:rsidP="00B23151">
            <w:pPr>
              <w:pStyle w:val="Nothing"/>
              <w:jc w:val="center"/>
            </w:pPr>
          </w:p>
          <w:p w14:paraId="56E45534" w14:textId="77777777" w:rsidR="00C22B24" w:rsidRPr="00920B12" w:rsidRDefault="750671CE" w:rsidP="00B23151">
            <w:pPr>
              <w:pStyle w:val="Nothing"/>
              <w:jc w:val="center"/>
            </w:pPr>
            <w:r>
              <w:t>Yes build</w:t>
            </w:r>
          </w:p>
        </w:tc>
      </w:tr>
    </w:tbl>
    <w:p w14:paraId="3D077A91" w14:textId="77777777" w:rsidR="00C22B24" w:rsidRPr="00920B12" w:rsidRDefault="00C22B24" w:rsidP="00C22B24">
      <w:pPr>
        <w:pStyle w:val="Nothing"/>
      </w:pPr>
    </w:p>
    <w:p w14:paraId="0D237871" w14:textId="77777777" w:rsidR="00C22B24" w:rsidRPr="00920B12" w:rsidRDefault="00C22B24" w:rsidP="00C22B24">
      <w:pPr>
        <w:pStyle w:val="Nothing"/>
      </w:pPr>
    </w:p>
    <w:p w14:paraId="24D038BB" w14:textId="534BB611" w:rsidR="00C22B24" w:rsidRPr="00920B12" w:rsidRDefault="750671CE" w:rsidP="00F94B7E">
      <w:pPr>
        <w:pStyle w:val="Nothing"/>
        <w:numPr>
          <w:ilvl w:val="0"/>
          <w:numId w:val="88"/>
        </w:numPr>
        <w:ind w:left="0" w:firstLine="360"/>
      </w:pPr>
      <w:r w:rsidRPr="750671CE">
        <w:rPr>
          <w:i/>
          <w:iCs/>
        </w:rPr>
        <w:t xml:space="preserve">Strict </w:t>
      </w:r>
      <w:r w:rsidR="005804A9">
        <w:rPr>
          <w:i/>
          <w:iCs/>
        </w:rPr>
        <w:t>l</w:t>
      </w:r>
      <w:r w:rsidRPr="750671CE">
        <w:rPr>
          <w:i/>
          <w:iCs/>
        </w:rPr>
        <w:t xml:space="preserve">iability in the </w:t>
      </w:r>
      <w:r w:rsidR="005804A9">
        <w:rPr>
          <w:i/>
          <w:iCs/>
        </w:rPr>
        <w:t>e</w:t>
      </w:r>
      <w:r w:rsidRPr="750671CE">
        <w:rPr>
          <w:i/>
          <w:iCs/>
        </w:rPr>
        <w:t xml:space="preserve">x </w:t>
      </w:r>
      <w:r w:rsidR="005804A9">
        <w:rPr>
          <w:i/>
          <w:iCs/>
        </w:rPr>
        <w:t>a</w:t>
      </w:r>
      <w:r w:rsidRPr="750671CE">
        <w:rPr>
          <w:i/>
          <w:iCs/>
        </w:rPr>
        <w:t xml:space="preserve">nte </w:t>
      </w:r>
      <w:r w:rsidR="005804A9">
        <w:rPr>
          <w:i/>
          <w:iCs/>
        </w:rPr>
        <w:t>v</w:t>
      </w:r>
      <w:r w:rsidRPr="750671CE">
        <w:rPr>
          <w:i/>
          <w:iCs/>
        </w:rPr>
        <w:t>iew</w:t>
      </w:r>
      <w:r>
        <w:t>.  At this point in the analysis something striking emerges.  Let</w:t>
      </w:r>
      <w:r w:rsidR="00B05F31">
        <w:t>’</w:t>
      </w:r>
      <w: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750671CE">
        <w:rPr>
          <w:i/>
          <w:iCs/>
        </w:rPr>
        <w:t>the liability regime has no effect on the behavior of the rational actor</w:t>
      </w:r>
      <w:r>
        <w:t>.</w:t>
      </w:r>
    </w:p>
    <w:p w14:paraId="631D21D1" w14:textId="77777777" w:rsidR="00C22B24" w:rsidRPr="00920B12" w:rsidRDefault="00C22B24" w:rsidP="00C22B24">
      <w:pPr>
        <w:pStyle w:val="Nothing"/>
      </w:pPr>
    </w:p>
    <w:p w14:paraId="6FA73E7E" w14:textId="65C647D6" w:rsidR="00864D7F" w:rsidRDefault="00864D7F">
      <w:pPr>
        <w:rPr>
          <w:rFonts w:ascii="Times New Roman" w:eastAsia="Times New Roman" w:hAnsi="Times New Roman" w:cs="Times New Roman"/>
          <w:b/>
          <w:lang w:eastAsia="en-US"/>
        </w:rPr>
      </w:pPr>
      <w:r>
        <w:rPr>
          <w:b/>
        </w:rPr>
        <w:br w:type="page"/>
      </w:r>
    </w:p>
    <w:p w14:paraId="7E15535E" w14:textId="77777777" w:rsidR="00C22B24" w:rsidRPr="00920B12" w:rsidRDefault="750671CE" w:rsidP="750671CE">
      <w:pPr>
        <w:pStyle w:val="Nothing"/>
        <w:rPr>
          <w:b/>
          <w:bCs/>
        </w:rPr>
      </w:pPr>
      <w:r w:rsidRPr="750671CE">
        <w:rPr>
          <w:b/>
          <w:bCs/>
        </w:rPr>
        <w:lastRenderedPageBreak/>
        <w:t xml:space="preserve">Table 3: To Build or Not to Build (under Negligence </w:t>
      </w:r>
      <w:r w:rsidRPr="750671CE">
        <w:rPr>
          <w:b/>
          <w:bCs/>
          <w:i/>
          <w:iCs/>
        </w:rPr>
        <w:t>and</w:t>
      </w:r>
      <w:r w:rsidRPr="750671CE">
        <w:rPr>
          <w:b/>
          <w:bCs/>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920B12" w14:paraId="046FFE8E" w14:textId="77777777" w:rsidTr="750671CE">
        <w:tc>
          <w:tcPr>
            <w:tcW w:w="1484" w:type="dxa"/>
          </w:tcPr>
          <w:p w14:paraId="132C370F" w14:textId="77777777" w:rsidR="00C22B24" w:rsidRPr="00920B12" w:rsidRDefault="00C22B24" w:rsidP="00B23151">
            <w:pPr>
              <w:pStyle w:val="Nothing"/>
            </w:pPr>
          </w:p>
        </w:tc>
        <w:tc>
          <w:tcPr>
            <w:tcW w:w="1445" w:type="dxa"/>
          </w:tcPr>
          <w:p w14:paraId="2249024F" w14:textId="77777777" w:rsidR="00C22B24" w:rsidRPr="00920B12" w:rsidRDefault="00C22B24" w:rsidP="00B23151">
            <w:pPr>
              <w:pStyle w:val="Nothing"/>
            </w:pPr>
          </w:p>
        </w:tc>
        <w:tc>
          <w:tcPr>
            <w:tcW w:w="779" w:type="dxa"/>
          </w:tcPr>
          <w:p w14:paraId="65EA4B97" w14:textId="77777777" w:rsidR="00C22B24" w:rsidRPr="00920B12" w:rsidRDefault="750671CE" w:rsidP="00B23151">
            <w:pPr>
              <w:pStyle w:val="Nothing"/>
            </w:pPr>
            <w:r>
              <w:t xml:space="preserve"> (B)</w:t>
            </w:r>
          </w:p>
        </w:tc>
        <w:tc>
          <w:tcPr>
            <w:tcW w:w="810" w:type="dxa"/>
          </w:tcPr>
          <w:p w14:paraId="6862D737" w14:textId="77777777" w:rsidR="00C22B24" w:rsidRPr="00920B12" w:rsidRDefault="750671CE" w:rsidP="00B23151">
            <w:pPr>
              <w:pStyle w:val="Nothing"/>
            </w:pPr>
            <w:r>
              <w:t xml:space="preserve"> (P)</w:t>
            </w:r>
          </w:p>
        </w:tc>
        <w:tc>
          <w:tcPr>
            <w:tcW w:w="810" w:type="dxa"/>
          </w:tcPr>
          <w:p w14:paraId="32E74062" w14:textId="77777777" w:rsidR="00C22B24" w:rsidRPr="00920B12" w:rsidRDefault="750671CE" w:rsidP="00B23151">
            <w:pPr>
              <w:pStyle w:val="Nothing"/>
            </w:pPr>
            <w:r>
              <w:t xml:space="preserve"> (L)</w:t>
            </w:r>
          </w:p>
        </w:tc>
        <w:tc>
          <w:tcPr>
            <w:tcW w:w="1980" w:type="dxa"/>
          </w:tcPr>
          <w:p w14:paraId="6C9DBC8D" w14:textId="77777777" w:rsidR="00C22B24" w:rsidRPr="00920B12" w:rsidRDefault="750671CE" w:rsidP="00B23151">
            <w:pPr>
              <w:pStyle w:val="Nothing"/>
            </w:pPr>
            <w:r>
              <w:t>Court Determination in event of injury</w:t>
            </w:r>
          </w:p>
        </w:tc>
        <w:tc>
          <w:tcPr>
            <w:tcW w:w="1710" w:type="dxa"/>
          </w:tcPr>
          <w:p w14:paraId="7A575BF7" w14:textId="77777777" w:rsidR="00C22B24" w:rsidRPr="00920B12" w:rsidRDefault="750671CE" w:rsidP="00B23151">
            <w:pPr>
              <w:pStyle w:val="Nothing"/>
            </w:pPr>
            <w:r>
              <w:t>Ex ante view: Build the Higher Fence?</w:t>
            </w:r>
          </w:p>
        </w:tc>
      </w:tr>
      <w:tr w:rsidR="00C22B24" w:rsidRPr="00920B12" w14:paraId="79890D4D" w14:textId="77777777" w:rsidTr="750671CE">
        <w:tc>
          <w:tcPr>
            <w:tcW w:w="1484" w:type="dxa"/>
            <w:vMerge w:val="restart"/>
          </w:tcPr>
          <w:p w14:paraId="57854FBF" w14:textId="77777777" w:rsidR="00C22B24" w:rsidRPr="00920B12" w:rsidRDefault="00C22B24" w:rsidP="00B23151">
            <w:pPr>
              <w:pStyle w:val="Nothing"/>
              <w:jc w:val="center"/>
            </w:pPr>
          </w:p>
          <w:p w14:paraId="30513B23" w14:textId="77777777" w:rsidR="00C22B24" w:rsidRPr="00920B12" w:rsidRDefault="00C22B24" w:rsidP="00B23151">
            <w:pPr>
              <w:pStyle w:val="Nothing"/>
              <w:jc w:val="center"/>
            </w:pPr>
          </w:p>
          <w:p w14:paraId="37568502" w14:textId="77777777" w:rsidR="00C22B24" w:rsidRPr="00920B12" w:rsidRDefault="00C22B24" w:rsidP="00B23151">
            <w:pPr>
              <w:pStyle w:val="Nothing"/>
              <w:jc w:val="center"/>
            </w:pPr>
          </w:p>
          <w:p w14:paraId="0D3968A9" w14:textId="77777777" w:rsidR="00C22B24" w:rsidRPr="00136C14" w:rsidRDefault="750671CE" w:rsidP="750671CE">
            <w:pPr>
              <w:pStyle w:val="Nothing"/>
              <w:jc w:val="center"/>
              <w:rPr>
                <w:sz w:val="20"/>
                <w:szCs w:val="20"/>
              </w:rPr>
            </w:pPr>
            <w:r w:rsidRPr="750671CE">
              <w:rPr>
                <w:sz w:val="20"/>
                <w:szCs w:val="20"/>
              </w:rPr>
              <w:t>NEGLIGENCE</w:t>
            </w:r>
          </w:p>
        </w:tc>
        <w:tc>
          <w:tcPr>
            <w:tcW w:w="1445" w:type="dxa"/>
          </w:tcPr>
          <w:p w14:paraId="6E70C115" w14:textId="77777777" w:rsidR="00C22B24" w:rsidRPr="00920B12" w:rsidRDefault="00C22B24" w:rsidP="00B23151">
            <w:pPr>
              <w:pStyle w:val="Nothing"/>
              <w:jc w:val="center"/>
            </w:pPr>
          </w:p>
          <w:p w14:paraId="76AC2A7A" w14:textId="77777777" w:rsidR="00C22B24" w:rsidRPr="00920B12" w:rsidRDefault="750671CE" w:rsidP="00B23151">
            <w:pPr>
              <w:pStyle w:val="Nothing"/>
              <w:jc w:val="center"/>
            </w:pPr>
            <w:r>
              <w:t>Scenario 1</w:t>
            </w:r>
          </w:p>
          <w:p w14:paraId="45E6813B" w14:textId="77777777" w:rsidR="00C22B24" w:rsidRPr="00920B12" w:rsidRDefault="00C22B24" w:rsidP="00B23151">
            <w:pPr>
              <w:pStyle w:val="Nothing"/>
              <w:jc w:val="center"/>
            </w:pPr>
          </w:p>
        </w:tc>
        <w:tc>
          <w:tcPr>
            <w:tcW w:w="779" w:type="dxa"/>
          </w:tcPr>
          <w:p w14:paraId="36F89877" w14:textId="77777777" w:rsidR="00C22B24" w:rsidRPr="00920B12" w:rsidRDefault="00C22B24" w:rsidP="00B23151">
            <w:pPr>
              <w:pStyle w:val="Nothing"/>
              <w:jc w:val="center"/>
            </w:pPr>
          </w:p>
          <w:p w14:paraId="79FDD383" w14:textId="77777777" w:rsidR="00C22B24" w:rsidRPr="00920B12" w:rsidRDefault="750671CE" w:rsidP="00B23151">
            <w:pPr>
              <w:pStyle w:val="Nothing"/>
              <w:jc w:val="center"/>
            </w:pPr>
            <w:r>
              <w:t>15</w:t>
            </w:r>
          </w:p>
        </w:tc>
        <w:tc>
          <w:tcPr>
            <w:tcW w:w="810" w:type="dxa"/>
          </w:tcPr>
          <w:p w14:paraId="19A830F8" w14:textId="77777777" w:rsidR="00C22B24" w:rsidRPr="00920B12" w:rsidRDefault="00C22B24" w:rsidP="00B23151">
            <w:pPr>
              <w:pStyle w:val="Nothing"/>
              <w:jc w:val="center"/>
            </w:pPr>
          </w:p>
          <w:p w14:paraId="646B4E9E" w14:textId="77777777" w:rsidR="00C22B24" w:rsidRPr="00920B12" w:rsidRDefault="750671CE" w:rsidP="00B23151">
            <w:pPr>
              <w:pStyle w:val="Nothing"/>
              <w:jc w:val="center"/>
            </w:pPr>
            <w:r>
              <w:t>10%</w:t>
            </w:r>
          </w:p>
        </w:tc>
        <w:tc>
          <w:tcPr>
            <w:tcW w:w="810" w:type="dxa"/>
          </w:tcPr>
          <w:p w14:paraId="03B3E9E8" w14:textId="77777777" w:rsidR="00C22B24" w:rsidRPr="00920B12" w:rsidRDefault="00C22B24" w:rsidP="00B23151">
            <w:pPr>
              <w:pStyle w:val="Nothing"/>
              <w:jc w:val="center"/>
            </w:pPr>
          </w:p>
          <w:p w14:paraId="282108FA" w14:textId="77777777" w:rsidR="00C22B24" w:rsidRPr="00920B12" w:rsidRDefault="750671CE" w:rsidP="00B23151">
            <w:pPr>
              <w:pStyle w:val="Nothing"/>
              <w:jc w:val="center"/>
            </w:pPr>
            <w:r>
              <w:t>100</w:t>
            </w:r>
          </w:p>
        </w:tc>
        <w:tc>
          <w:tcPr>
            <w:tcW w:w="1980" w:type="dxa"/>
          </w:tcPr>
          <w:p w14:paraId="1662324B" w14:textId="77777777" w:rsidR="00C22B24" w:rsidRPr="00920B12" w:rsidRDefault="00C22B24" w:rsidP="00B23151">
            <w:pPr>
              <w:pStyle w:val="Nothing"/>
              <w:jc w:val="center"/>
            </w:pPr>
          </w:p>
          <w:p w14:paraId="5030280F" w14:textId="1A9483F1" w:rsidR="00C22B24" w:rsidRPr="00920B12" w:rsidRDefault="750671CE" w:rsidP="00B23151">
            <w:pPr>
              <w:pStyle w:val="Nothing"/>
              <w:jc w:val="center"/>
            </w:pPr>
            <w:r>
              <w:t>Not negligent</w:t>
            </w:r>
            <w:r w:rsidR="00FC3D07" w:rsidRPr="00FC3D07">
              <w:t>—</w:t>
            </w:r>
            <w:r>
              <w:t>D doesn</w:t>
            </w:r>
            <w:r w:rsidR="00B05F31">
              <w:t>’</w:t>
            </w:r>
            <w:r>
              <w:t>t pay</w:t>
            </w:r>
          </w:p>
        </w:tc>
        <w:tc>
          <w:tcPr>
            <w:tcW w:w="1710" w:type="dxa"/>
          </w:tcPr>
          <w:p w14:paraId="627DA5DB" w14:textId="77777777" w:rsidR="00C22B24" w:rsidRPr="00920B12" w:rsidRDefault="00C22B24" w:rsidP="00B23151">
            <w:pPr>
              <w:pStyle w:val="Nothing"/>
              <w:jc w:val="center"/>
            </w:pPr>
          </w:p>
          <w:p w14:paraId="0950BDAB" w14:textId="77777777" w:rsidR="00C22B24" w:rsidRPr="00920B12" w:rsidRDefault="750671CE" w:rsidP="00B23151">
            <w:pPr>
              <w:pStyle w:val="Nothing"/>
              <w:jc w:val="center"/>
            </w:pPr>
            <w:r>
              <w:t>Not build</w:t>
            </w:r>
          </w:p>
        </w:tc>
      </w:tr>
      <w:tr w:rsidR="00C22B24" w:rsidRPr="00920B12" w14:paraId="70431DF5" w14:textId="77777777" w:rsidTr="750671CE">
        <w:tc>
          <w:tcPr>
            <w:tcW w:w="1484" w:type="dxa"/>
            <w:vMerge/>
          </w:tcPr>
          <w:p w14:paraId="19D04E6B" w14:textId="77777777" w:rsidR="00C22B24" w:rsidRPr="00920B12" w:rsidRDefault="00C22B24" w:rsidP="00B23151">
            <w:pPr>
              <w:pStyle w:val="Nothing"/>
              <w:jc w:val="center"/>
            </w:pPr>
          </w:p>
        </w:tc>
        <w:tc>
          <w:tcPr>
            <w:tcW w:w="1445" w:type="dxa"/>
          </w:tcPr>
          <w:p w14:paraId="675D13B2" w14:textId="77777777" w:rsidR="00C22B24" w:rsidRPr="00920B12" w:rsidRDefault="00C22B24" w:rsidP="00B23151">
            <w:pPr>
              <w:pStyle w:val="Nothing"/>
              <w:jc w:val="center"/>
            </w:pPr>
          </w:p>
          <w:p w14:paraId="78C96FAC" w14:textId="77777777" w:rsidR="00C22B24" w:rsidRPr="00920B12" w:rsidRDefault="750671CE" w:rsidP="00B23151">
            <w:pPr>
              <w:pStyle w:val="Nothing"/>
              <w:jc w:val="center"/>
            </w:pPr>
            <w:r>
              <w:t>Scenario 2</w:t>
            </w:r>
          </w:p>
          <w:p w14:paraId="62CE1BC8" w14:textId="77777777" w:rsidR="00C22B24" w:rsidRPr="00920B12" w:rsidRDefault="00C22B24" w:rsidP="00B23151">
            <w:pPr>
              <w:pStyle w:val="Nothing"/>
              <w:jc w:val="center"/>
            </w:pPr>
          </w:p>
        </w:tc>
        <w:tc>
          <w:tcPr>
            <w:tcW w:w="779" w:type="dxa"/>
          </w:tcPr>
          <w:p w14:paraId="180CC311" w14:textId="77777777" w:rsidR="00C22B24" w:rsidRPr="00920B12" w:rsidRDefault="00C22B24" w:rsidP="00B23151">
            <w:pPr>
              <w:pStyle w:val="Nothing"/>
              <w:jc w:val="center"/>
            </w:pPr>
          </w:p>
          <w:p w14:paraId="3CA41CDF" w14:textId="77777777" w:rsidR="00C22B24" w:rsidRPr="00920B12" w:rsidRDefault="750671CE" w:rsidP="00B23151">
            <w:pPr>
              <w:pStyle w:val="Nothing"/>
              <w:jc w:val="center"/>
            </w:pPr>
            <w:r>
              <w:t>5</w:t>
            </w:r>
          </w:p>
        </w:tc>
        <w:tc>
          <w:tcPr>
            <w:tcW w:w="810" w:type="dxa"/>
          </w:tcPr>
          <w:p w14:paraId="7EF46B9A" w14:textId="77777777" w:rsidR="00C22B24" w:rsidRPr="00920B12" w:rsidRDefault="00C22B24" w:rsidP="00B23151">
            <w:pPr>
              <w:pStyle w:val="Nothing"/>
              <w:jc w:val="center"/>
            </w:pPr>
          </w:p>
          <w:p w14:paraId="01D0F5ED" w14:textId="77777777" w:rsidR="00C22B24" w:rsidRPr="00920B12" w:rsidRDefault="750671CE" w:rsidP="00B23151">
            <w:pPr>
              <w:pStyle w:val="Nothing"/>
              <w:jc w:val="center"/>
            </w:pPr>
            <w:r>
              <w:t>10%</w:t>
            </w:r>
          </w:p>
        </w:tc>
        <w:tc>
          <w:tcPr>
            <w:tcW w:w="810" w:type="dxa"/>
          </w:tcPr>
          <w:p w14:paraId="487725B1" w14:textId="77777777" w:rsidR="00C22B24" w:rsidRPr="00920B12" w:rsidRDefault="00C22B24" w:rsidP="00B23151">
            <w:pPr>
              <w:pStyle w:val="Nothing"/>
              <w:jc w:val="center"/>
            </w:pPr>
          </w:p>
          <w:p w14:paraId="1DEDD1AB" w14:textId="77777777" w:rsidR="00C22B24" w:rsidRPr="00920B12" w:rsidRDefault="750671CE" w:rsidP="00B23151">
            <w:pPr>
              <w:pStyle w:val="Nothing"/>
              <w:jc w:val="center"/>
            </w:pPr>
            <w:r>
              <w:t>100</w:t>
            </w:r>
          </w:p>
        </w:tc>
        <w:tc>
          <w:tcPr>
            <w:tcW w:w="1980" w:type="dxa"/>
          </w:tcPr>
          <w:p w14:paraId="479159D9" w14:textId="77777777" w:rsidR="00C22B24" w:rsidRPr="00920B12" w:rsidRDefault="00C22B24" w:rsidP="00B23151">
            <w:pPr>
              <w:pStyle w:val="Nothing"/>
              <w:jc w:val="center"/>
            </w:pPr>
          </w:p>
          <w:p w14:paraId="2E30B3AC" w14:textId="4E967F41" w:rsidR="00C22B24" w:rsidRPr="00920B12" w:rsidRDefault="750671CE" w:rsidP="00B23151">
            <w:pPr>
              <w:pStyle w:val="Nothing"/>
              <w:jc w:val="center"/>
            </w:pPr>
            <w:r>
              <w:t>Negligent</w:t>
            </w:r>
            <w:r w:rsidR="00FC3D07" w:rsidRPr="00FC3D07">
              <w:t>—</w:t>
            </w:r>
            <w:r>
              <w:t>D pays</w:t>
            </w:r>
          </w:p>
        </w:tc>
        <w:tc>
          <w:tcPr>
            <w:tcW w:w="1710" w:type="dxa"/>
          </w:tcPr>
          <w:p w14:paraId="1D699F29" w14:textId="77777777" w:rsidR="00C22B24" w:rsidRPr="00920B12" w:rsidRDefault="00C22B24" w:rsidP="00B23151">
            <w:pPr>
              <w:pStyle w:val="Nothing"/>
              <w:jc w:val="center"/>
            </w:pPr>
          </w:p>
          <w:p w14:paraId="780B9AEB" w14:textId="77777777" w:rsidR="00C22B24" w:rsidRPr="00920B12" w:rsidRDefault="750671CE" w:rsidP="00B23151">
            <w:pPr>
              <w:pStyle w:val="Nothing"/>
              <w:jc w:val="center"/>
            </w:pPr>
            <w:r>
              <w:t>Yes build</w:t>
            </w:r>
          </w:p>
        </w:tc>
      </w:tr>
      <w:tr w:rsidR="00C22B24" w:rsidRPr="00920B12" w14:paraId="316D6940" w14:textId="77777777" w:rsidTr="750671CE">
        <w:tc>
          <w:tcPr>
            <w:tcW w:w="1484" w:type="dxa"/>
            <w:vMerge w:val="restart"/>
          </w:tcPr>
          <w:p w14:paraId="59E1321E" w14:textId="77777777" w:rsidR="00C22B24" w:rsidRPr="00920B12" w:rsidRDefault="00C22B24" w:rsidP="00B23151">
            <w:pPr>
              <w:pStyle w:val="Nothing"/>
              <w:jc w:val="center"/>
            </w:pPr>
          </w:p>
          <w:p w14:paraId="2F4C9B51" w14:textId="77777777" w:rsidR="00C22B24" w:rsidRPr="00136C14" w:rsidRDefault="750671CE" w:rsidP="750671CE">
            <w:pPr>
              <w:pStyle w:val="Nothing"/>
              <w:jc w:val="center"/>
              <w:rPr>
                <w:sz w:val="20"/>
                <w:szCs w:val="20"/>
              </w:rPr>
            </w:pPr>
            <w:r w:rsidRPr="750671CE">
              <w:rPr>
                <w:sz w:val="20"/>
                <w:szCs w:val="20"/>
              </w:rPr>
              <w:t>STRICT LIABILITY</w:t>
            </w:r>
          </w:p>
          <w:p w14:paraId="28EF33EA" w14:textId="77777777" w:rsidR="00C22B24" w:rsidRPr="00920B12" w:rsidRDefault="00C22B24" w:rsidP="00B23151">
            <w:pPr>
              <w:pStyle w:val="Nothing"/>
              <w:jc w:val="center"/>
            </w:pPr>
          </w:p>
        </w:tc>
        <w:tc>
          <w:tcPr>
            <w:tcW w:w="1445" w:type="dxa"/>
          </w:tcPr>
          <w:p w14:paraId="7BA76867" w14:textId="77777777" w:rsidR="00C22B24" w:rsidRPr="00920B12" w:rsidRDefault="00C22B24" w:rsidP="00B23151">
            <w:pPr>
              <w:pStyle w:val="Nothing"/>
              <w:jc w:val="center"/>
            </w:pPr>
          </w:p>
          <w:p w14:paraId="605D33CC" w14:textId="77777777" w:rsidR="00C22B24" w:rsidRPr="00920B12" w:rsidRDefault="750671CE" w:rsidP="00B23151">
            <w:pPr>
              <w:pStyle w:val="Nothing"/>
              <w:jc w:val="center"/>
            </w:pPr>
            <w:r>
              <w:t>Scenario 1</w:t>
            </w:r>
          </w:p>
          <w:p w14:paraId="72990707" w14:textId="77777777" w:rsidR="00C22B24" w:rsidRPr="00920B12" w:rsidRDefault="00C22B24" w:rsidP="00B23151">
            <w:pPr>
              <w:pStyle w:val="Nothing"/>
              <w:jc w:val="center"/>
            </w:pPr>
          </w:p>
        </w:tc>
        <w:tc>
          <w:tcPr>
            <w:tcW w:w="779" w:type="dxa"/>
          </w:tcPr>
          <w:p w14:paraId="73AF8349" w14:textId="77777777" w:rsidR="00C22B24" w:rsidRPr="00920B12" w:rsidRDefault="00C22B24" w:rsidP="00B23151">
            <w:pPr>
              <w:pStyle w:val="Nothing"/>
              <w:jc w:val="center"/>
            </w:pPr>
          </w:p>
          <w:p w14:paraId="2F4C8F84" w14:textId="77777777" w:rsidR="00C22B24" w:rsidRPr="00920B12" w:rsidRDefault="750671CE" w:rsidP="00B23151">
            <w:pPr>
              <w:pStyle w:val="Nothing"/>
              <w:jc w:val="center"/>
            </w:pPr>
            <w:r>
              <w:t>15</w:t>
            </w:r>
          </w:p>
        </w:tc>
        <w:tc>
          <w:tcPr>
            <w:tcW w:w="810" w:type="dxa"/>
          </w:tcPr>
          <w:p w14:paraId="272A8881" w14:textId="77777777" w:rsidR="00C22B24" w:rsidRPr="00920B12" w:rsidRDefault="00C22B24" w:rsidP="00B23151">
            <w:pPr>
              <w:pStyle w:val="Nothing"/>
              <w:jc w:val="center"/>
            </w:pPr>
          </w:p>
          <w:p w14:paraId="25C396A1" w14:textId="77777777" w:rsidR="00C22B24" w:rsidRPr="00920B12" w:rsidRDefault="750671CE" w:rsidP="00B23151">
            <w:pPr>
              <w:pStyle w:val="Nothing"/>
              <w:jc w:val="center"/>
            </w:pPr>
            <w:r>
              <w:t>10%</w:t>
            </w:r>
          </w:p>
        </w:tc>
        <w:tc>
          <w:tcPr>
            <w:tcW w:w="810" w:type="dxa"/>
          </w:tcPr>
          <w:p w14:paraId="5B766931" w14:textId="77777777" w:rsidR="00C22B24" w:rsidRPr="00920B12" w:rsidRDefault="00C22B24" w:rsidP="00B23151">
            <w:pPr>
              <w:pStyle w:val="Nothing"/>
              <w:jc w:val="center"/>
            </w:pPr>
          </w:p>
          <w:p w14:paraId="68AE5A4F" w14:textId="77777777" w:rsidR="00C22B24" w:rsidRPr="00920B12" w:rsidRDefault="750671CE" w:rsidP="00B23151">
            <w:pPr>
              <w:pStyle w:val="Nothing"/>
              <w:jc w:val="center"/>
            </w:pPr>
            <w:r>
              <w:t>100</w:t>
            </w:r>
          </w:p>
        </w:tc>
        <w:tc>
          <w:tcPr>
            <w:tcW w:w="1980" w:type="dxa"/>
          </w:tcPr>
          <w:p w14:paraId="03CB7CEB" w14:textId="77777777" w:rsidR="00C22B24" w:rsidRPr="00920B12" w:rsidRDefault="00C22B24" w:rsidP="00B23151">
            <w:pPr>
              <w:pStyle w:val="Nothing"/>
              <w:jc w:val="center"/>
            </w:pPr>
          </w:p>
          <w:p w14:paraId="3083EC49" w14:textId="77777777" w:rsidR="00C22B24" w:rsidRPr="00920B12" w:rsidRDefault="750671CE" w:rsidP="00B23151">
            <w:pPr>
              <w:pStyle w:val="Nothing"/>
              <w:jc w:val="center"/>
            </w:pPr>
            <w:r>
              <w:t>D pays</w:t>
            </w:r>
          </w:p>
        </w:tc>
        <w:tc>
          <w:tcPr>
            <w:tcW w:w="1710" w:type="dxa"/>
          </w:tcPr>
          <w:p w14:paraId="500C66BD" w14:textId="77777777" w:rsidR="00C22B24" w:rsidRPr="00920B12" w:rsidRDefault="00C22B24" w:rsidP="00B23151">
            <w:pPr>
              <w:pStyle w:val="Nothing"/>
              <w:jc w:val="center"/>
            </w:pPr>
          </w:p>
          <w:p w14:paraId="06CE3FAC" w14:textId="77777777" w:rsidR="00C22B24" w:rsidRPr="00920B12" w:rsidRDefault="750671CE" w:rsidP="00B23151">
            <w:pPr>
              <w:pStyle w:val="Nothing"/>
              <w:jc w:val="center"/>
            </w:pPr>
            <w:r>
              <w:t>Not build</w:t>
            </w:r>
          </w:p>
        </w:tc>
      </w:tr>
      <w:tr w:rsidR="00C22B24" w:rsidRPr="00920B12" w14:paraId="38C7C1D4" w14:textId="77777777" w:rsidTr="750671CE">
        <w:tc>
          <w:tcPr>
            <w:tcW w:w="1484" w:type="dxa"/>
            <w:vMerge/>
          </w:tcPr>
          <w:p w14:paraId="4D6B85D4" w14:textId="77777777" w:rsidR="00C22B24" w:rsidRPr="00920B12" w:rsidRDefault="00C22B24" w:rsidP="00B23151">
            <w:pPr>
              <w:pStyle w:val="Nothing"/>
            </w:pPr>
          </w:p>
        </w:tc>
        <w:tc>
          <w:tcPr>
            <w:tcW w:w="1445" w:type="dxa"/>
          </w:tcPr>
          <w:p w14:paraId="30F9FE18" w14:textId="77777777" w:rsidR="00C22B24" w:rsidRPr="00920B12" w:rsidRDefault="00C22B24" w:rsidP="00B23151">
            <w:pPr>
              <w:pStyle w:val="Nothing"/>
              <w:jc w:val="center"/>
              <w:rPr>
                <w:b/>
                <w:sz w:val="20"/>
                <w:szCs w:val="20"/>
                <w:u w:val="single"/>
              </w:rPr>
            </w:pPr>
          </w:p>
          <w:p w14:paraId="01959DAA" w14:textId="77777777" w:rsidR="00C22B24" w:rsidRPr="00920B12" w:rsidRDefault="750671CE" w:rsidP="00B23151">
            <w:pPr>
              <w:pStyle w:val="Nothing"/>
              <w:jc w:val="center"/>
            </w:pPr>
            <w:r>
              <w:t>Scenario 2</w:t>
            </w:r>
          </w:p>
          <w:p w14:paraId="63CE260C" w14:textId="77777777" w:rsidR="00C22B24" w:rsidRPr="00920B12" w:rsidRDefault="00C22B24" w:rsidP="00B23151">
            <w:pPr>
              <w:pStyle w:val="Nothing"/>
              <w:jc w:val="center"/>
            </w:pPr>
          </w:p>
        </w:tc>
        <w:tc>
          <w:tcPr>
            <w:tcW w:w="779" w:type="dxa"/>
          </w:tcPr>
          <w:p w14:paraId="76968967" w14:textId="77777777" w:rsidR="00C22B24" w:rsidRPr="00920B12" w:rsidRDefault="00C22B24" w:rsidP="00B23151">
            <w:pPr>
              <w:pStyle w:val="Nothing"/>
              <w:jc w:val="center"/>
            </w:pPr>
          </w:p>
          <w:p w14:paraId="08222111" w14:textId="77777777" w:rsidR="00C22B24" w:rsidRPr="00920B12" w:rsidRDefault="750671CE" w:rsidP="00B23151">
            <w:pPr>
              <w:pStyle w:val="Nothing"/>
              <w:jc w:val="center"/>
            </w:pPr>
            <w:r>
              <w:t>5</w:t>
            </w:r>
          </w:p>
        </w:tc>
        <w:tc>
          <w:tcPr>
            <w:tcW w:w="810" w:type="dxa"/>
          </w:tcPr>
          <w:p w14:paraId="205B4B57" w14:textId="77777777" w:rsidR="00C22B24" w:rsidRPr="00920B12" w:rsidRDefault="00C22B24" w:rsidP="00B23151">
            <w:pPr>
              <w:pStyle w:val="Nothing"/>
              <w:jc w:val="center"/>
            </w:pPr>
          </w:p>
          <w:p w14:paraId="69660AFD" w14:textId="77777777" w:rsidR="00C22B24" w:rsidRPr="00920B12" w:rsidRDefault="750671CE" w:rsidP="00B23151">
            <w:pPr>
              <w:pStyle w:val="Nothing"/>
              <w:jc w:val="center"/>
            </w:pPr>
            <w:r>
              <w:t>10%</w:t>
            </w:r>
          </w:p>
        </w:tc>
        <w:tc>
          <w:tcPr>
            <w:tcW w:w="810" w:type="dxa"/>
          </w:tcPr>
          <w:p w14:paraId="0AC08992" w14:textId="77777777" w:rsidR="00C22B24" w:rsidRPr="00920B12" w:rsidRDefault="00C22B24" w:rsidP="00B23151">
            <w:pPr>
              <w:pStyle w:val="Nothing"/>
              <w:jc w:val="center"/>
            </w:pPr>
          </w:p>
          <w:p w14:paraId="176A4A9B" w14:textId="77777777" w:rsidR="00C22B24" w:rsidRPr="00920B12" w:rsidRDefault="750671CE" w:rsidP="00B23151">
            <w:pPr>
              <w:pStyle w:val="Nothing"/>
              <w:jc w:val="center"/>
            </w:pPr>
            <w:r>
              <w:t>100</w:t>
            </w:r>
          </w:p>
        </w:tc>
        <w:tc>
          <w:tcPr>
            <w:tcW w:w="1980" w:type="dxa"/>
          </w:tcPr>
          <w:p w14:paraId="63BCE85C" w14:textId="77777777" w:rsidR="00C22B24" w:rsidRPr="00920B12" w:rsidRDefault="00C22B24" w:rsidP="00B23151">
            <w:pPr>
              <w:pStyle w:val="Nothing"/>
              <w:jc w:val="center"/>
            </w:pPr>
          </w:p>
          <w:p w14:paraId="612AF945" w14:textId="77777777" w:rsidR="00C22B24" w:rsidRPr="00920B12" w:rsidRDefault="750671CE" w:rsidP="00B23151">
            <w:pPr>
              <w:pStyle w:val="Nothing"/>
              <w:jc w:val="center"/>
            </w:pPr>
            <w:r>
              <w:t>D pays</w:t>
            </w:r>
          </w:p>
        </w:tc>
        <w:tc>
          <w:tcPr>
            <w:tcW w:w="1710" w:type="dxa"/>
          </w:tcPr>
          <w:p w14:paraId="48A9C2D4" w14:textId="77777777" w:rsidR="00C22B24" w:rsidRPr="00920B12" w:rsidRDefault="00C22B24" w:rsidP="00B23151">
            <w:pPr>
              <w:pStyle w:val="Nothing"/>
              <w:jc w:val="center"/>
            </w:pPr>
          </w:p>
          <w:p w14:paraId="33A41509" w14:textId="77777777" w:rsidR="00C22B24" w:rsidRPr="00920B12" w:rsidRDefault="750671CE" w:rsidP="00B23151">
            <w:pPr>
              <w:pStyle w:val="Nothing"/>
              <w:jc w:val="center"/>
            </w:pPr>
            <w:r>
              <w:t>Yes build</w:t>
            </w:r>
          </w:p>
        </w:tc>
      </w:tr>
    </w:tbl>
    <w:p w14:paraId="6263A766" w14:textId="77777777" w:rsidR="00C22B24" w:rsidRPr="00920B12" w:rsidRDefault="00C22B24" w:rsidP="00C22B24">
      <w:pPr>
        <w:pStyle w:val="Nothing"/>
      </w:pPr>
    </w:p>
    <w:p w14:paraId="2419D58A" w14:textId="7090DAAB" w:rsidR="00C22B24" w:rsidRPr="00920B12" w:rsidRDefault="750671CE" w:rsidP="00C22B24">
      <w:pPr>
        <w:pStyle w:val="Nothing"/>
      </w:pPr>
      <w:r>
        <w:t xml:space="preserve">The </w:t>
      </w:r>
      <w:r w:rsidR="00FC3D07">
        <w:t>startling</w:t>
      </w:r>
      <w:r>
        <w:t xml:space="preserve"> revelation here is that the two liability regimes we have been analyzing for unintentional injuries</w:t>
      </w:r>
      <w:r w:rsidR="00E36FDB" w:rsidRPr="00E36FDB">
        <w:t>—</w:t>
      </w:r>
      <w:r>
        <w:t>negligence and non-fault liability</w:t>
      </w:r>
      <w:r w:rsidR="00E36FDB" w:rsidRPr="00E36FDB">
        <w:t>—</w:t>
      </w:r>
      <w:r>
        <w:t xml:space="preserve">seem to induce precisely the same behavior in rational actors.  </w:t>
      </w:r>
    </w:p>
    <w:p w14:paraId="0E21CEAD" w14:textId="77777777" w:rsidR="00C22B24" w:rsidRPr="00920B12" w:rsidRDefault="00C22B24" w:rsidP="00C22B24">
      <w:pPr>
        <w:pStyle w:val="Nothing"/>
      </w:pPr>
    </w:p>
    <w:p w14:paraId="42027786" w14:textId="77777777" w:rsidR="00C22B24" w:rsidRPr="00920B12" w:rsidRDefault="00C22B24" w:rsidP="00C22B24">
      <w:pPr>
        <w:pStyle w:val="Nothing"/>
      </w:pPr>
    </w:p>
    <w:p w14:paraId="73B01DC1" w14:textId="77777777" w:rsidR="00C22B24" w:rsidRPr="00136C14" w:rsidRDefault="00C22B24" w:rsidP="00322687">
      <w:pPr>
        <w:pStyle w:val="Heading3"/>
      </w:pPr>
      <w:bookmarkStart w:id="239" w:name="_Toc364636101"/>
      <w:bookmarkStart w:id="240" w:name="_Toc518323288"/>
      <w:r>
        <w:t>2</w:t>
      </w:r>
      <w:r w:rsidRPr="00136C14">
        <w:t>.  Critiques of Cost-Benefit Reasoning</w:t>
      </w:r>
      <w:bookmarkEnd w:id="239"/>
      <w:bookmarkEnd w:id="240"/>
    </w:p>
    <w:p w14:paraId="4672594B" w14:textId="77777777" w:rsidR="00C22B24" w:rsidRPr="00920B12" w:rsidRDefault="00C22B24" w:rsidP="00FB1320">
      <w:pPr>
        <w:pStyle w:val="Nothing"/>
      </w:pPr>
    </w:p>
    <w:p w14:paraId="27E2A33C" w14:textId="77777777" w:rsidR="00C22B24" w:rsidRPr="00174C7C" w:rsidRDefault="00C22B24" w:rsidP="002502CC">
      <w:pPr>
        <w:pStyle w:val="Heading4"/>
      </w:pPr>
      <w:bookmarkStart w:id="241" w:name="_Toc364636102"/>
      <w:bookmarkStart w:id="242" w:name="_Toc518323289"/>
      <w:r w:rsidRPr="00174C7C">
        <w:t>Critiques from First Principles</w:t>
      </w:r>
      <w:bookmarkEnd w:id="241"/>
      <w:bookmarkEnd w:id="242"/>
    </w:p>
    <w:p w14:paraId="3C9D0C3D" w14:textId="77777777" w:rsidR="00C22B24" w:rsidRPr="00920B12" w:rsidRDefault="00C22B24" w:rsidP="00C22B24">
      <w:pPr>
        <w:pStyle w:val="Nothing"/>
      </w:pPr>
    </w:p>
    <w:p w14:paraId="6FEB5906" w14:textId="33AC3C13" w:rsidR="00C22B24" w:rsidRPr="00920B12" w:rsidRDefault="750671CE" w:rsidP="004F6A8D">
      <w:pPr>
        <w:pStyle w:val="Nothing"/>
        <w:ind w:firstLine="720"/>
      </w:pPr>
      <w:r>
        <w:t>Posner</w:t>
      </w:r>
      <w:r w:rsidR="00B05F31">
        <w:t>’</w:t>
      </w:r>
      <w:r>
        <w:t xml:space="preserve">s influential articulation of the negligence test helped give rise to the economic analysis of the law, which is now pervasive in the academy and </w:t>
      </w:r>
      <w:r w:rsidR="009D3DA7">
        <w:t xml:space="preserve">influential </w:t>
      </w:r>
      <w:r>
        <w:t>in some areas outside of it.  The law and economics approach has also been the subject of controversy, however.  Critics object that Learned Hand</w:t>
      </w:r>
      <w:r w:rsidR="00B05F31">
        <w:t>’</w:t>
      </w:r>
      <w:r>
        <w:t xml:space="preserve">s formula imbues the tort system with a utilitarian philosophy that fails to square either with the law as it is or with our moral intuitions about what it should be.  We can get a flavor of this from the so-called </w:t>
      </w:r>
      <w:r w:rsidR="00B05F31">
        <w:t>“</w:t>
      </w:r>
      <w:r>
        <w:t>trolley problem,</w:t>
      </w:r>
      <w:r w:rsidR="00B05F31">
        <w:t>”</w:t>
      </w:r>
      <w:r>
        <w:t xml:space="preserve"> which is often invoked to establish that utilitarian considerations of costs and benefits do not capture the nuances of our moral reasoning</w:t>
      </w:r>
      <w:r w:rsidR="00E66751">
        <w:t>.</w:t>
      </w:r>
      <w:r>
        <w:t xml:space="preserve"> </w:t>
      </w:r>
    </w:p>
    <w:p w14:paraId="32C3255B" w14:textId="77777777" w:rsidR="00C22B24" w:rsidRPr="00920B12" w:rsidRDefault="00C22B24" w:rsidP="00C22B24">
      <w:pPr>
        <w:pStyle w:val="Nothing"/>
      </w:pPr>
    </w:p>
    <w:p w14:paraId="037CD660" w14:textId="262033E4" w:rsidR="00C22B24" w:rsidRDefault="00C22B24" w:rsidP="00C22B24">
      <w:pPr>
        <w:pStyle w:val="Nothing"/>
      </w:pPr>
      <w:r>
        <w:tab/>
        <w:t>Consider Judith Jarvis Thomson</w:t>
      </w:r>
      <w:r w:rsidR="00B05F31">
        <w:t>’</w:t>
      </w:r>
      <w:r>
        <w:t>s widely discussed formulation:</w:t>
      </w:r>
    </w:p>
    <w:p w14:paraId="6738CAD5" w14:textId="77777777" w:rsidR="00C22B24" w:rsidRPr="00920B12" w:rsidRDefault="00C22B24" w:rsidP="00C22B24">
      <w:pPr>
        <w:pStyle w:val="Nothing"/>
      </w:pPr>
    </w:p>
    <w:p w14:paraId="08CA42CC" w14:textId="71897227" w:rsidR="00C22B24" w:rsidRPr="00920B12" w:rsidRDefault="750671CE" w:rsidP="00F94B7E">
      <w:pPr>
        <w:pStyle w:val="blockquote"/>
      </w:pPr>
      <w:r>
        <w:t>Suppose you are the driver of a trolley. The trolley rounds a bend, and there come into view ahead five track workmen, who have been repairing the track. The track goes through a bit of a valley at that point, and the sides are steep, so you must stop the trolley if you are to avoid running the five men down. You step on the brakes, but alas they don</w:t>
      </w:r>
      <w:r w:rsidR="00B05F31">
        <w:t>’</w:t>
      </w:r>
      <w:r>
        <w:t xml:space="preserve">t work. Now you suddenly see a spur of track leading off to the right. You can turn the trolley onto it, and thus save the five men on the straight track ahead. Unfortunately, </w:t>
      </w:r>
      <w:r w:rsidR="009D3DA7">
        <w:t>. . .</w:t>
      </w:r>
      <w:r>
        <w:t xml:space="preserve"> there is one track workman on that spur of track. He can no more get off the track in time than the five can, so you will kill him </w:t>
      </w:r>
      <w:r>
        <w:lastRenderedPageBreak/>
        <w:t>if you turn the trolley onto him. Is it morally permissible for you to turn the trolley?</w:t>
      </w:r>
    </w:p>
    <w:p w14:paraId="5271316C" w14:textId="77777777" w:rsidR="00C22B24" w:rsidRPr="00920B12" w:rsidRDefault="00C22B24" w:rsidP="00C22B24">
      <w:pPr>
        <w:pStyle w:val="Nothing"/>
        <w:ind w:left="720" w:right="720" w:firstLine="720"/>
      </w:pPr>
    </w:p>
    <w:p w14:paraId="5B81E79B" w14:textId="64E7D892" w:rsidR="00C22B24" w:rsidRPr="00920B12" w:rsidRDefault="750671CE" w:rsidP="00F94B7E">
      <w:pPr>
        <w:pStyle w:val="blockquote"/>
      </w:pPr>
      <w:r>
        <w:t>Everybody to whom I have put this hypothetical case says, Yes, it is. Some people say something stronger than that it is morally permissible for you to turn the trolley: They say that morally speaking, you must turn it</w:t>
      </w:r>
      <w:r w:rsidR="00E66751" w:rsidRPr="00E66751">
        <w:t>—</w:t>
      </w:r>
      <w:r>
        <w:t>that morality requires you to do so.</w:t>
      </w:r>
      <w:r w:rsidR="009D3DA7">
        <w:t xml:space="preserve"> . . .</w:t>
      </w:r>
    </w:p>
    <w:p w14:paraId="219F0A50" w14:textId="77777777" w:rsidR="00C22B24" w:rsidRPr="00920B12" w:rsidRDefault="00C22B24" w:rsidP="00F94B7E">
      <w:pPr>
        <w:pStyle w:val="blockquote"/>
      </w:pPr>
    </w:p>
    <w:p w14:paraId="6D5B7334" w14:textId="0AA11325" w:rsidR="00C22B24" w:rsidRDefault="750671CE" w:rsidP="00F94B7E">
      <w:pPr>
        <w:pStyle w:val="blockquote"/>
      </w:pPr>
      <w:r>
        <w:t>[Now c]onsider a case</w:t>
      </w:r>
      <w:r w:rsidR="00F94B7E">
        <w:t xml:space="preserve"> . . . </w:t>
      </w:r>
      <w: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Default="00C22B24" w:rsidP="00C22B24">
      <w:pPr>
        <w:pStyle w:val="Nothing"/>
        <w:ind w:firstLine="720"/>
      </w:pPr>
    </w:p>
    <w:p w14:paraId="355A95B5" w14:textId="6F31E174" w:rsidR="00C22B24" w:rsidRPr="006B6113" w:rsidRDefault="750671CE" w:rsidP="00C22B24">
      <w:pPr>
        <w:pStyle w:val="Nothing"/>
      </w:pPr>
      <w:r>
        <w:t xml:space="preserve">Judith Jarvis Thomson, </w:t>
      </w:r>
      <w:r w:rsidRPr="750671CE">
        <w:rPr>
          <w:i/>
          <w:iCs/>
        </w:rPr>
        <w:t>The Trolley Problem</w:t>
      </w:r>
      <w:r>
        <w:t xml:space="preserve">, </w:t>
      </w:r>
      <w:r w:rsidRPr="750671CE">
        <w:rPr>
          <w:smallCaps/>
        </w:rPr>
        <w:t xml:space="preserve">94 Yale L.J. </w:t>
      </w:r>
      <w:r>
        <w:t>1395, 1409 (1985).</w:t>
      </w:r>
    </w:p>
    <w:p w14:paraId="6F2E0071" w14:textId="77777777" w:rsidR="00C22B24" w:rsidRPr="00920B12" w:rsidRDefault="00C22B24" w:rsidP="00C22B24">
      <w:pPr>
        <w:pStyle w:val="Nothing"/>
      </w:pPr>
    </w:p>
    <w:p w14:paraId="52D3D806" w14:textId="60FD80A3" w:rsidR="00C22B24" w:rsidRPr="00920B12" w:rsidRDefault="750671CE" w:rsidP="00C22B24">
      <w:pPr>
        <w:pStyle w:val="Nothing"/>
        <w:ind w:firstLine="720"/>
      </w:pPr>
      <w:r>
        <w:t xml:space="preserve">We might put the question slightly differently.  We might ask whether the estates and families of the workman or the man </w:t>
      </w:r>
      <w:r w:rsidR="00F94B7E">
        <w:t xml:space="preserve">in the footbridge example </w:t>
      </w:r>
      <w:r>
        <w:t xml:space="preserve">have causes of action against the driver or passerby.  Or we might ask whether the estates and families of the five killed by a failure </w:t>
      </w:r>
      <w:r w:rsidR="00F94B7E">
        <w:t xml:space="preserve">either </w:t>
      </w:r>
      <w:r>
        <w:t xml:space="preserve">to switch the track or </w:t>
      </w:r>
      <w:r w:rsidR="00F94B7E">
        <w:t xml:space="preserve">to </w:t>
      </w:r>
      <w:r>
        <w:t xml:space="preserve">push the man </w:t>
      </w:r>
      <w:r w:rsidR="00F94B7E">
        <w:t xml:space="preserve">off the footbridge </w:t>
      </w:r>
      <w: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t xml:space="preserve">; the spur scenario and the footbridge </w:t>
      </w:r>
      <w:r>
        <w:t>scenario seem identical.  One death for five lives.  And yet</w:t>
      </w:r>
      <w:r w:rsidR="009D3DA7">
        <w:t>,</w:t>
      </w:r>
      <w: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920B12" w:rsidRDefault="00C22B24" w:rsidP="00C22B24">
      <w:pPr>
        <w:pStyle w:val="Nothing"/>
      </w:pPr>
    </w:p>
    <w:p w14:paraId="131C09AD" w14:textId="361852CA" w:rsidR="00C22B24" w:rsidRPr="00920B12" w:rsidRDefault="750671CE" w:rsidP="00C22B24">
      <w:pPr>
        <w:pStyle w:val="Nothing"/>
        <w:ind w:firstLine="720"/>
      </w:pPr>
      <w:r>
        <w:t>Even if the trolley problem illustrates the limits of utilitarian considerations, however, does Thompson</w:t>
      </w:r>
      <w:r w:rsidR="00B05F31">
        <w:t>’</w:t>
      </w:r>
      <w: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920B12" w:rsidRDefault="00C22B24" w:rsidP="00C22B24">
      <w:pPr>
        <w:pStyle w:val="Nothing"/>
        <w:ind w:firstLine="720"/>
      </w:pPr>
    </w:p>
    <w:p w14:paraId="21C54D95" w14:textId="2D6C42FD" w:rsidR="00C22B24" w:rsidRPr="00920B12" w:rsidRDefault="750671CE" w:rsidP="00C22B24">
      <w:pPr>
        <w:pStyle w:val="Nothing"/>
        <w:ind w:firstLine="720"/>
      </w:pPr>
      <w:r>
        <w:t xml:space="preserve">The claim of critics of cost-benefit reasoning is thus not that this form of reasoning has no place in law and morality.  The claim, as the late legal philosopher Ronald Dworkin put it, is that in some circumstances, rights </w:t>
      </w:r>
      <w:r w:rsidR="00B05F31">
        <w:t>“</w:t>
      </w:r>
      <w:r>
        <w:t>trump</w:t>
      </w:r>
      <w:r w:rsidR="00B05F31">
        <w:t>”</w:t>
      </w:r>
      <w:r>
        <w:t xml:space="preserve"> utilities. </w:t>
      </w:r>
      <w:r w:rsidRPr="750671CE">
        <w:rPr>
          <w:smallCaps/>
        </w:rPr>
        <w:t>R</w:t>
      </w:r>
      <w:r w:rsidR="009D3DA7">
        <w:rPr>
          <w:smallCaps/>
        </w:rPr>
        <w:t>onald</w:t>
      </w:r>
      <w:r w:rsidRPr="750671CE">
        <w:rPr>
          <w:smallCaps/>
        </w:rPr>
        <w:t xml:space="preserve"> </w:t>
      </w:r>
      <w:r w:rsidRPr="750671CE">
        <w:rPr>
          <w:smallCaps/>
        </w:rPr>
        <w:lastRenderedPageBreak/>
        <w:t>Dworkin, Taking Rights Seriously</w:t>
      </w:r>
      <w:r w:rsidRPr="750671CE">
        <w:rPr>
          <w:i/>
          <w:iCs/>
        </w:rPr>
        <w:t xml:space="preserve">, </w:t>
      </w:r>
      <w:r>
        <w:t>ix (1977). The trick, then, is to identify the circumstances in which rights take precedence over utility, and the circumstances in which utilitarian goals might indeed be sufficient.</w:t>
      </w:r>
    </w:p>
    <w:p w14:paraId="293E028E" w14:textId="77777777" w:rsidR="00C22B24" w:rsidRPr="00920B12" w:rsidRDefault="00C22B24" w:rsidP="00864D7F">
      <w:pPr>
        <w:pStyle w:val="Nothing"/>
      </w:pPr>
    </w:p>
    <w:p w14:paraId="4AF4C89E" w14:textId="77777777" w:rsidR="00C22B24" w:rsidRPr="00920B12" w:rsidRDefault="00C22B24">
      <w:pPr>
        <w:pStyle w:val="Nothing"/>
      </w:pPr>
    </w:p>
    <w:p w14:paraId="2BC136BB" w14:textId="77777777" w:rsidR="00C22B24" w:rsidRPr="00136C14" w:rsidRDefault="00C22B24" w:rsidP="002502CC">
      <w:pPr>
        <w:pStyle w:val="Heading4"/>
      </w:pPr>
      <w:bookmarkStart w:id="243" w:name="_Toc364636103"/>
      <w:bookmarkStart w:id="244" w:name="_Toc518323290"/>
      <w:r w:rsidRPr="00136C14">
        <w:t>Critiques from Administrability</w:t>
      </w:r>
      <w:bookmarkEnd w:id="243"/>
      <w:bookmarkEnd w:id="244"/>
    </w:p>
    <w:p w14:paraId="2E5D7BE7" w14:textId="77777777" w:rsidR="00C22B24" w:rsidRPr="00920B12" w:rsidRDefault="00C22B24">
      <w:pPr>
        <w:pStyle w:val="Nothing"/>
        <w:ind w:firstLine="720"/>
      </w:pPr>
      <w:r w:rsidRPr="00920B12">
        <w:t xml:space="preserve"> </w:t>
      </w:r>
    </w:p>
    <w:p w14:paraId="536709D5" w14:textId="595A8B06" w:rsidR="00C22B24" w:rsidRPr="00920B12" w:rsidRDefault="750671CE" w:rsidP="750671CE">
      <w:pPr>
        <w:pStyle w:val="Nothing"/>
        <w:ind w:firstLine="720"/>
        <w:rPr>
          <w:rStyle w:val="DebateUnderline"/>
        </w:rPr>
      </w:pPr>
      <w:r>
        <w:t xml:space="preserve">Even setting aside objections to the moral structure of utilitarianism, methodological difficulties abound for cost-benefit analysis. </w:t>
      </w:r>
      <w:r w:rsidR="009D3DA7">
        <w:t xml:space="preserve">Frank </w:t>
      </w:r>
      <w:r>
        <w:t xml:space="preserve">Ackerman and </w:t>
      </w:r>
      <w:r w:rsidR="009D3DA7">
        <w:t xml:space="preserve">Lisa </w:t>
      </w:r>
      <w:r>
        <w:t xml:space="preserve">Heinzerling argue that the valuations commonly used by analysts are typically </w:t>
      </w:r>
      <w:r w:rsidR="00B05F31">
        <w:t>“</w:t>
      </w:r>
      <w:r>
        <w:t>inaccurate and implausible,</w:t>
      </w:r>
      <w:r w:rsidR="00B05F31">
        <w:t>”</w:t>
      </w:r>
      <w:r>
        <w:t xml:space="preserve"> and that analysts </w:t>
      </w:r>
      <w:r w:rsidR="00B05F31">
        <w:t>“</w:t>
      </w:r>
      <w:r>
        <w:t xml:space="preserve">trivialize </w:t>
      </w:r>
      <w:r w:rsidR="001D5F4F">
        <w:t>. . .</w:t>
      </w:r>
      <w:r>
        <w:t xml:space="preserve"> future harms and the irreversibility of some environmental problems</w:t>
      </w:r>
      <w:r w:rsidR="00B05F31">
        <w:t>”</w:t>
      </w:r>
      <w:r>
        <w:t xml:space="preserve"> by valuing present economic gains over future economic losses (through a process economists call discounting). They also suggest that adding up all of society</w:t>
      </w:r>
      <w:r w:rsidR="00B05F31">
        <w:t>’</w:t>
      </w:r>
      <w:r>
        <w:t xml:space="preserve">s gains and losses muddles opportunities for a full conversation about distributional and moral consequences, making a supposedly transparent and objective process anything but. </w:t>
      </w:r>
      <w:r w:rsidRPr="750671CE">
        <w:rPr>
          <w:rStyle w:val="DebateUnderline"/>
          <w:u w:val="none"/>
        </w:rPr>
        <w:t xml:space="preserve">Frank Ackerman </w:t>
      </w:r>
      <w:r w:rsidR="00C55B81">
        <w:rPr>
          <w:rStyle w:val="DebateUnderline"/>
          <w:u w:val="none"/>
        </w:rPr>
        <w:t>&amp;</w:t>
      </w:r>
      <w:r w:rsidR="00C55B81" w:rsidRPr="750671CE">
        <w:rPr>
          <w:rStyle w:val="DebateUnderline"/>
          <w:u w:val="none"/>
        </w:rPr>
        <w:t xml:space="preserve"> </w:t>
      </w:r>
      <w:r w:rsidRPr="750671CE">
        <w:rPr>
          <w:rStyle w:val="DebateUnderline"/>
          <w:u w:val="none"/>
        </w:rPr>
        <w:t>Lisa Heinzerling,</w:t>
      </w:r>
      <w:r w:rsidRPr="750671CE">
        <w:rPr>
          <w:rStyle w:val="DebateUnderline"/>
          <w:i/>
          <w:iCs/>
          <w:u w:val="none"/>
        </w:rPr>
        <w:t xml:space="preserve"> Pricing the Priceless: Cost-Benefit Analysis of Environmental Protection</w:t>
      </w:r>
      <w:r w:rsidRPr="750671CE">
        <w:rPr>
          <w:rStyle w:val="DebateUnderline"/>
          <w:u w:val="none"/>
        </w:rPr>
        <w:t xml:space="preserve">, 150 U. </w:t>
      </w:r>
      <w:r w:rsidRPr="750671CE">
        <w:rPr>
          <w:rStyle w:val="DebateUnderline"/>
          <w:smallCaps/>
          <w:u w:val="none"/>
        </w:rPr>
        <w:t>Pa. L. Rev.</w:t>
      </w:r>
      <w:r w:rsidRPr="750671CE">
        <w:rPr>
          <w:rStyle w:val="DebateUnderline"/>
          <w:u w:val="none"/>
        </w:rPr>
        <w:t xml:space="preserve"> 1553, 1563 (2002).</w:t>
      </w:r>
    </w:p>
    <w:p w14:paraId="32F12412" w14:textId="77777777" w:rsidR="00C22B24" w:rsidRPr="00920B12" w:rsidRDefault="00C22B24" w:rsidP="00C22B24">
      <w:pPr>
        <w:pStyle w:val="Nothing"/>
        <w:rPr>
          <w:rStyle w:val="DebateUnderline"/>
        </w:rPr>
      </w:pPr>
    </w:p>
    <w:p w14:paraId="68018B65" w14:textId="01945D98" w:rsidR="00C22B24" w:rsidRPr="004F6A8D" w:rsidRDefault="750671CE">
      <w:pPr>
        <w:pStyle w:val="Nothing"/>
        <w:ind w:firstLine="720"/>
        <w:rPr>
          <w:rStyle w:val="DebateUnderline"/>
          <w:u w:val="none"/>
        </w:rPr>
      </w:pPr>
      <w:r w:rsidRPr="750671CE">
        <w:rPr>
          <w:rStyle w:val="DebateUnderline"/>
          <w:u w:val="none"/>
        </w:rPr>
        <w:t>Other critics observe that the informational demands of Posner</w:t>
      </w:r>
      <w:r w:rsidR="00B05F31">
        <w:rPr>
          <w:rStyle w:val="DebateUnderline"/>
          <w:u w:val="none"/>
        </w:rPr>
        <w:t>’</w:t>
      </w:r>
      <w:r w:rsidRPr="750671CE">
        <w:rPr>
          <w:rStyle w:val="DebateUnderline"/>
          <w:u w:val="none"/>
        </w:rPr>
        <w:t>s approach to cost-benefit analysis are superhuman. In decentralized markets, well-informed market participants compound vast quantities of information. The market</w:t>
      </w:r>
      <w:r w:rsidR="00B05F31">
        <w:rPr>
          <w:rStyle w:val="DebateUnderline"/>
          <w:u w:val="none"/>
        </w:rPr>
        <w:t>’</w:t>
      </w:r>
      <w:r w:rsidRPr="750671CE">
        <w:rPr>
          <w:rStyle w:val="DebateUnderline"/>
          <w:u w:val="none"/>
        </w:rPr>
        <w:t xml:space="preserve">s capacity to crowd-source cost-benefit calculations is, as Nobel laureate Amartya Sen puts it, </w:t>
      </w:r>
      <w:r w:rsidR="00B05F31">
        <w:rPr>
          <w:rStyle w:val="DebateUnderline"/>
          <w:u w:val="none"/>
        </w:rPr>
        <w:t>“</w:t>
      </w:r>
      <w:r w:rsidRPr="750671CE">
        <w:rPr>
          <w:rStyle w:val="DebateUnderline"/>
          <w:u w:val="none"/>
        </w:rPr>
        <w:t>[t]he spectacular merit of the informational economy of the market system for private goods.</w:t>
      </w:r>
      <w:r w:rsidR="00B05F31">
        <w:rPr>
          <w:rStyle w:val="DebateUnderline"/>
          <w:u w:val="none"/>
        </w:rPr>
        <w:t>”</w:t>
      </w:r>
      <w:r w:rsidRPr="750671CE">
        <w:rPr>
          <w:rStyle w:val="DebateUnderline"/>
          <w:u w:val="none"/>
        </w:rPr>
        <w:t xml:space="preserve"> But judicial cost-benefit analysis can claim no such market advantage.  </w:t>
      </w:r>
      <w:r w:rsidR="00B05F31">
        <w:rPr>
          <w:rStyle w:val="DebateUnderline"/>
          <w:u w:val="none"/>
        </w:rPr>
        <w:t>“</w:t>
      </w:r>
      <w:r w:rsidRPr="750671CE">
        <w:rPr>
          <w:rStyle w:val="DebateUnderline"/>
          <w:u w:val="none"/>
        </w:rPr>
        <w:t>When all the requirements of ubiquitous market-centered evaluation have been incorporated into the procedures of cost-benefit analysis,</w:t>
      </w:r>
      <w:r w:rsidR="00B05F31">
        <w:rPr>
          <w:rStyle w:val="DebateUnderline"/>
          <w:u w:val="none"/>
        </w:rPr>
        <w:t>”</w:t>
      </w:r>
      <w:r w:rsidRPr="750671CE">
        <w:rPr>
          <w:rStyle w:val="DebateUnderline"/>
          <w:u w:val="none"/>
        </w:rPr>
        <w:t xml:space="preserve"> Sen has remarked, </w:t>
      </w:r>
      <w:r w:rsidR="00B05F31">
        <w:rPr>
          <w:rStyle w:val="DebateUnderline"/>
          <w:u w:val="none"/>
        </w:rPr>
        <w:t>“</w:t>
      </w:r>
      <w:r w:rsidRPr="750671CE">
        <w:rPr>
          <w:rStyle w:val="DebateUnderline"/>
          <w:u w:val="none"/>
        </w:rPr>
        <w:t>it is not so much a discipline as a daydream.</w:t>
      </w:r>
      <w:r w:rsidR="00B05F31">
        <w:rPr>
          <w:rStyle w:val="DebateUnderline"/>
          <w:u w:val="none"/>
        </w:rPr>
        <w:t>”</w:t>
      </w:r>
      <w:r w:rsidRPr="750671CE">
        <w:rPr>
          <w:rStyle w:val="DebateUnderline"/>
          <w:u w:val="none"/>
        </w:rPr>
        <w:t xml:space="preserve"> Amartya Sen, </w:t>
      </w:r>
      <w:r w:rsidRPr="750671CE">
        <w:rPr>
          <w:rStyle w:val="DebateUnderline"/>
          <w:i/>
          <w:iCs/>
          <w:u w:val="none"/>
        </w:rPr>
        <w:t>The Discipline of Cost-Benefit Analysis</w:t>
      </w:r>
      <w:r w:rsidRPr="750671CE">
        <w:rPr>
          <w:rStyle w:val="DebateUnderline"/>
          <w:u w:val="none"/>
        </w:rPr>
        <w:t xml:space="preserve">, 29 </w:t>
      </w:r>
      <w:r w:rsidRPr="750671CE">
        <w:rPr>
          <w:rStyle w:val="DebateUnderline"/>
          <w:smallCaps/>
          <w:u w:val="none"/>
        </w:rPr>
        <w:t>J.  Legal Stud.</w:t>
      </w:r>
      <w:r w:rsidRPr="750671CE">
        <w:rPr>
          <w:rStyle w:val="DebateUnderline"/>
          <w:u w:val="none"/>
        </w:rPr>
        <w:t xml:space="preserve"> 931, 951 (2000). </w:t>
      </w:r>
      <w:r w:rsidRPr="750671CE">
        <w:rPr>
          <w:rStyle w:val="DebateUnderline"/>
          <w:i/>
          <w:iCs/>
          <w:u w:val="none"/>
        </w:rPr>
        <w:t xml:space="preserve">See also </w:t>
      </w:r>
      <w:r w:rsidRPr="750671CE">
        <w:rPr>
          <w:rStyle w:val="DebateUnderline"/>
          <w:u w:val="none"/>
        </w:rPr>
        <w:t xml:space="preserve">David M. Driesen, </w:t>
      </w:r>
      <w:r w:rsidRPr="750671CE">
        <w:rPr>
          <w:rStyle w:val="DebateUnderline"/>
          <w:i/>
          <w:iCs/>
          <w:u w:val="none"/>
        </w:rPr>
        <w:t>Is Cost-Benefit Analysis Neutral?</w:t>
      </w:r>
      <w:r w:rsidRPr="750671CE">
        <w:rPr>
          <w:rStyle w:val="DebateUnderline"/>
          <w:u w:val="none"/>
        </w:rPr>
        <w:t xml:space="preserve"> 77 U</w:t>
      </w:r>
      <w:r w:rsidRPr="750671CE">
        <w:rPr>
          <w:rStyle w:val="DebateUnderline"/>
          <w:smallCaps/>
          <w:u w:val="none"/>
        </w:rPr>
        <w:t>. Colo. L. Rev.</w:t>
      </w:r>
      <w:r w:rsidRPr="750671CE">
        <w:rPr>
          <w:rStyle w:val="DebateUnderline"/>
          <w:u w:val="none"/>
        </w:rPr>
        <w:t xml:space="preserve"> 335 (2006); Ulrich Hampicke </w:t>
      </w:r>
      <w:r w:rsidR="009D3DA7">
        <w:rPr>
          <w:rStyle w:val="DebateUnderline"/>
          <w:u w:val="none"/>
        </w:rPr>
        <w:t>&amp;</w:t>
      </w:r>
      <w:r w:rsidR="009D3DA7" w:rsidRPr="750671CE">
        <w:rPr>
          <w:rStyle w:val="DebateUnderline"/>
          <w:u w:val="none"/>
        </w:rPr>
        <w:t xml:space="preserve"> </w:t>
      </w:r>
      <w:r w:rsidRPr="750671CE">
        <w:rPr>
          <w:rStyle w:val="DebateUnderline"/>
          <w:u w:val="none"/>
        </w:rPr>
        <w:t xml:space="preserve">Konrad Ott (eds.), </w:t>
      </w:r>
      <w:r w:rsidRPr="750671CE">
        <w:rPr>
          <w:rStyle w:val="DebateUnderline"/>
          <w:i/>
          <w:iCs/>
          <w:u w:val="none"/>
        </w:rPr>
        <w:t>Reflections on Discounting</w:t>
      </w:r>
      <w:r w:rsidRPr="750671CE">
        <w:rPr>
          <w:rStyle w:val="DebateUnderline"/>
          <w:u w:val="none"/>
        </w:rPr>
        <w:t xml:space="preserve">, 6 </w:t>
      </w:r>
      <w:r w:rsidRPr="750671CE">
        <w:rPr>
          <w:rStyle w:val="DebateUnderline"/>
          <w:smallCaps/>
          <w:u w:val="none"/>
        </w:rPr>
        <w:t xml:space="preserve">Int. J. of Sustainable Development </w:t>
      </w:r>
      <w:r w:rsidRPr="750671CE">
        <w:rPr>
          <w:rStyle w:val="DebateUnderline"/>
          <w:u w:val="none"/>
        </w:rPr>
        <w:t>7 (2003).</w:t>
      </w:r>
    </w:p>
    <w:p w14:paraId="1E4D9F20" w14:textId="77777777" w:rsidR="00C22B24" w:rsidRDefault="00C22B24">
      <w:pPr>
        <w:pStyle w:val="Nothing"/>
        <w:ind w:left="720"/>
      </w:pPr>
    </w:p>
    <w:p w14:paraId="22DE44A7" w14:textId="77777777" w:rsidR="00C22B24" w:rsidRPr="00920B12" w:rsidRDefault="00C22B24">
      <w:pPr>
        <w:pStyle w:val="Nothing"/>
        <w:ind w:left="720"/>
      </w:pPr>
    </w:p>
    <w:p w14:paraId="43FC6CB8" w14:textId="77777777" w:rsidR="00C22B24" w:rsidRPr="00136C14" w:rsidRDefault="00C22B24" w:rsidP="002502CC">
      <w:pPr>
        <w:pStyle w:val="Heading4"/>
      </w:pPr>
      <w:bookmarkStart w:id="245" w:name="_Toc364636104"/>
      <w:bookmarkStart w:id="246" w:name="_Toc518323291"/>
      <w:r w:rsidRPr="00136C14">
        <w:t>A Precautionary Alternative?</w:t>
      </w:r>
      <w:bookmarkEnd w:id="245"/>
      <w:bookmarkEnd w:id="246"/>
    </w:p>
    <w:p w14:paraId="45E3B592" w14:textId="77777777" w:rsidR="00C22B24" w:rsidRPr="00920B12" w:rsidRDefault="00C22B24">
      <w:pPr>
        <w:pStyle w:val="Nothing"/>
      </w:pPr>
    </w:p>
    <w:p w14:paraId="4BB97D00" w14:textId="63E2EA5B" w:rsidR="00C22B24" w:rsidRPr="00920B12" w:rsidRDefault="750671CE" w:rsidP="00FB1320">
      <w:pPr>
        <w:pStyle w:val="Nothing"/>
        <w:ind w:firstLine="720"/>
      </w:pPr>
      <w:r>
        <w:t xml:space="preserve">Critics further argue that there are better alternatives to cost-benefit analysis. Some advocate a </w:t>
      </w:r>
      <w:r w:rsidR="00B05F31">
        <w:t>“</w:t>
      </w:r>
      <w:r>
        <w:t>precautionary principle</w:t>
      </w:r>
      <w:r w:rsidR="00B05F31">
        <w:t>”</w:t>
      </w:r>
      <w:r>
        <w:t xml:space="preserve"> for making policy decisions about risk. For example, the Declaration of the 1992 United Nations Conference on Environment and Development (also known as the </w:t>
      </w:r>
      <w:r w:rsidR="00B05F31">
        <w:t>“</w:t>
      </w:r>
      <w:r>
        <w:t>Rio Declaration</w:t>
      </w:r>
      <w:r w:rsidR="00B05F31">
        <w:t>”</w:t>
      </w:r>
      <w:r>
        <w:t xml:space="preserve">) states that </w:t>
      </w:r>
      <w:r w:rsidR="00B05F31">
        <w:t>“</w:t>
      </w:r>
      <w:r>
        <w:t>where there are threats of serious and irreversible damage, lack of full scientific certainty shall not be used as a reason for postponing cost-effective measures to prevent environmental degradation.</w:t>
      </w:r>
      <w:r w:rsidR="00B05F31">
        <w:t>”</w:t>
      </w:r>
      <w:r>
        <w:t xml:space="preserve"> How might a precautionary principle approach be adopted in tort law? Should we all have a duty to take special precautions to avoid irreversible damage to life and limb, even when not cost-justified? Or are injuries to life and limb themselves costs to be brought into the balance? </w:t>
      </w:r>
    </w:p>
    <w:p w14:paraId="25FD5679" w14:textId="77777777" w:rsidR="00C22B24" w:rsidRPr="00920B12" w:rsidRDefault="00C22B24" w:rsidP="00C22B24">
      <w:pPr>
        <w:pStyle w:val="Nothing"/>
      </w:pPr>
    </w:p>
    <w:p w14:paraId="02EB21E6" w14:textId="4BB3E4B9" w:rsidR="00C22B24" w:rsidRPr="00920B12" w:rsidRDefault="750671CE">
      <w:pPr>
        <w:pStyle w:val="Nothing"/>
        <w:ind w:firstLine="720"/>
      </w:pPr>
      <w:r>
        <w:lastRenderedPageBreak/>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t>“</w:t>
      </w:r>
      <w:r>
        <w:t>life-life</w:t>
      </w:r>
      <w:r w:rsidR="00B05F31">
        <w:t>”</w:t>
      </w:r>
      <w:r>
        <w:t xml:space="preserve"> or </w:t>
      </w:r>
      <w:r w:rsidR="00B05F31">
        <w:t>“</w:t>
      </w:r>
      <w:r>
        <w:t>risk-risk</w:t>
      </w:r>
      <w:r w:rsidR="00B05F31">
        <w:t>”</w:t>
      </w:r>
      <w:r>
        <w:t xml:space="preserve"> situations, contend the defenders of cost-benefit reasoning, preclude resort to any </w:t>
      </w:r>
      <w:r w:rsidR="00B05F31">
        <w:t>“</w:t>
      </w:r>
      <w:r>
        <w:t>precautionary</w:t>
      </w:r>
      <w:r w:rsidR="00B05F31">
        <w:t>”</w:t>
      </w:r>
      <w:r>
        <w:t xml:space="preserve"> approach, since there are risks on all sides. Even setting aside the risk-risk problem, opponents of the precautionary principle contend that its advocates are simply trying to put an illicit thumb on the scale for difficult policy balancing decisions. </w:t>
      </w:r>
      <w:r w:rsidRPr="750671CE">
        <w:rPr>
          <w:i/>
          <w:iCs/>
        </w:rPr>
        <w:t xml:space="preserve">See </w:t>
      </w:r>
      <w:r>
        <w:t xml:space="preserve">Cass Sunstein, </w:t>
      </w:r>
      <w:r w:rsidRPr="750671CE">
        <w:rPr>
          <w:i/>
          <w:iCs/>
        </w:rPr>
        <w:t>Beyond the Precautionary Principle</w:t>
      </w:r>
      <w:r>
        <w:t xml:space="preserve">, 151 U. </w:t>
      </w:r>
      <w:r w:rsidRPr="750671CE">
        <w:rPr>
          <w:smallCaps/>
        </w:rPr>
        <w:t>Pa. L. Rev.</w:t>
      </w:r>
      <w:r>
        <w:t xml:space="preserve"> 1003 (2003).</w:t>
      </w:r>
    </w:p>
    <w:p w14:paraId="1180220A" w14:textId="77777777" w:rsidR="00C22B24" w:rsidRDefault="00C22B24" w:rsidP="00FB1320">
      <w:pPr>
        <w:pStyle w:val="Nothing"/>
      </w:pPr>
    </w:p>
    <w:p w14:paraId="2BC5D30A" w14:textId="77777777" w:rsidR="00FB1320" w:rsidRPr="00920B12" w:rsidRDefault="00FB1320" w:rsidP="00FB1320">
      <w:pPr>
        <w:pStyle w:val="Nothing"/>
      </w:pPr>
    </w:p>
    <w:p w14:paraId="7BA696EC" w14:textId="33D02FC8" w:rsidR="00C22B24" w:rsidRPr="000364AF" w:rsidRDefault="005B7D54" w:rsidP="002502CC">
      <w:pPr>
        <w:pStyle w:val="Heading4"/>
      </w:pPr>
      <w:bookmarkStart w:id="247" w:name="_Toc364636105"/>
      <w:bookmarkStart w:id="248" w:name="_Toc518323292"/>
      <w:r w:rsidRPr="000364AF">
        <w:t>Kysar</w:t>
      </w:r>
      <w:r w:rsidR="00B05F31">
        <w:t>’</w:t>
      </w:r>
      <w:r w:rsidRPr="000364AF">
        <w:t>s Constructivist Critique</w:t>
      </w:r>
      <w:bookmarkEnd w:id="247"/>
      <w:bookmarkEnd w:id="248"/>
    </w:p>
    <w:p w14:paraId="2725ABD5" w14:textId="77777777" w:rsidR="00C22B24" w:rsidRPr="00920B12" w:rsidRDefault="00C22B24">
      <w:pPr>
        <w:pStyle w:val="Nothing"/>
      </w:pPr>
    </w:p>
    <w:p w14:paraId="6B3DE424" w14:textId="77777777" w:rsidR="00C22B24" w:rsidRPr="000364AF" w:rsidRDefault="750671CE">
      <w:pPr>
        <w:ind w:firstLine="720"/>
        <w:rPr>
          <w:rStyle w:val="DebateUnderline"/>
          <w:rFonts w:ascii="Times New Roman" w:eastAsia="Times New Roman" w:hAnsi="Times New Roman" w:cs="Times New Roman"/>
          <w:lang w:eastAsia="en-US"/>
        </w:rPr>
      </w:pPr>
      <w:r w:rsidRPr="750671CE">
        <w:rPr>
          <w:rFonts w:ascii="Times New Roman" w:eastAsia="Times New Roman" w:hAnsi="Times New Roman" w:cs="Times New Roman"/>
        </w:rPr>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920B12" w:rsidRDefault="00C22B24" w:rsidP="00C22B24">
      <w:pPr>
        <w:pStyle w:val="Nothing"/>
      </w:pPr>
    </w:p>
    <w:p w14:paraId="2A6BAB07" w14:textId="77777777" w:rsidR="00C22B24" w:rsidRPr="00920B12" w:rsidRDefault="750671CE" w:rsidP="00F94B7E">
      <w:pPr>
        <w:pStyle w:val="blockquote"/>
      </w:pPr>
      <w: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136C14" w:rsidRDefault="00C22B24" w:rsidP="00C22B24">
      <w:pPr>
        <w:pStyle w:val="Nothing"/>
        <w:rPr>
          <w:smallCaps/>
        </w:rPr>
      </w:pPr>
    </w:p>
    <w:p w14:paraId="5F53BAF0" w14:textId="278AA8EC" w:rsidR="00C22B24" w:rsidRPr="00E972C6"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Douglas A. Kysar, </w:t>
      </w:r>
      <w:r w:rsidRPr="00F94B7E">
        <w:rPr>
          <w:rFonts w:ascii="Times New Roman" w:eastAsia="Times New Roman" w:hAnsi="Times New Roman" w:cs="Times New Roman"/>
          <w:smallCaps/>
        </w:rPr>
        <w:t xml:space="preserve">Regulating from Nowhere, Environmental Law and the Search for Objectivity </w:t>
      </w:r>
      <w:r w:rsidRPr="750671CE">
        <w:rPr>
          <w:rFonts w:ascii="Times New Roman" w:eastAsia="Times New Roman" w:hAnsi="Times New Roman" w:cs="Times New Roman"/>
        </w:rPr>
        <w:t>16 (2010). Kysar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point is that we construct ourselves in the policies we adopt.  His precautionary principle is typically raised in debates over environmental law and regulation, which usually operate on a forward-looking basis to deal with ongoing pollution problems. Does the precautionary principle have a place in the tort system, which ostensibly is confronting </w:t>
      </w:r>
      <w:r w:rsidRPr="750671CE">
        <w:rPr>
          <w:rFonts w:ascii="Times New Roman" w:eastAsia="Times New Roman" w:hAnsi="Times New Roman" w:cs="Times New Roman"/>
          <w:i/>
          <w:iCs/>
        </w:rPr>
        <w:t>past</w:t>
      </w:r>
      <w:r w:rsidRPr="750671CE">
        <w:rPr>
          <w:rFonts w:ascii="Times New Roman" w:eastAsia="Times New Roman" w:hAnsi="Times New Roman" w:cs="Times New Roman"/>
        </w:rPr>
        <w:t xml:space="preserve"> wrongs?</w:t>
      </w:r>
    </w:p>
    <w:p w14:paraId="2A376A39" w14:textId="2F984392" w:rsidR="00911CC4" w:rsidRDefault="00911CC4">
      <w:pPr>
        <w:rPr>
          <w:rFonts w:ascii="Times New Roman" w:eastAsia="Times New Roman" w:hAnsi="Times New Roman" w:cs="Times New Roman"/>
          <w:lang w:eastAsia="en-US"/>
        </w:rPr>
      </w:pPr>
      <w:r>
        <w:br w:type="page"/>
      </w:r>
    </w:p>
    <w:p w14:paraId="3F0E2DE0" w14:textId="77777777" w:rsidR="00C22B24" w:rsidRPr="00136C14" w:rsidRDefault="00C22B24" w:rsidP="00322687">
      <w:pPr>
        <w:pStyle w:val="Heading3"/>
      </w:pPr>
      <w:bookmarkStart w:id="249" w:name="_Toc364636106"/>
      <w:bookmarkStart w:id="250" w:name="_Toc518323293"/>
      <w:r w:rsidRPr="00136C14">
        <w:lastRenderedPageBreak/>
        <w:t>3. In Defense of Cost-Benefit Reasoning</w:t>
      </w:r>
      <w:bookmarkEnd w:id="249"/>
      <w:bookmarkEnd w:id="250"/>
    </w:p>
    <w:p w14:paraId="1E02B634" w14:textId="77777777" w:rsidR="00C22B24" w:rsidRPr="00920B12" w:rsidRDefault="00C22B24" w:rsidP="00C22B24">
      <w:pPr>
        <w:pStyle w:val="Tags"/>
      </w:pPr>
    </w:p>
    <w:p w14:paraId="6914BBD6" w14:textId="1AD878BC" w:rsidR="00C22B24" w:rsidRPr="00920B12" w:rsidRDefault="750671CE" w:rsidP="00C22B24">
      <w:pPr>
        <w:pStyle w:val="Nothing"/>
      </w:pPr>
      <w:r>
        <w:t xml:space="preserve">Defenders of cost-benefit reasoning have responded to these critiques with their own counter-arguments, beginning with a response to the so-called </w:t>
      </w:r>
      <w:r w:rsidR="00B05F31">
        <w:t>“</w:t>
      </w:r>
      <w:r>
        <w:t>incommensurability problem</w:t>
      </w:r>
      <w:r w:rsidR="00B05F31">
        <w:t>”</w:t>
      </w:r>
      <w:r>
        <w:t>:</w:t>
      </w:r>
    </w:p>
    <w:p w14:paraId="5B76DD81" w14:textId="77777777" w:rsidR="00C22B24" w:rsidRPr="00920B12" w:rsidRDefault="00C22B24" w:rsidP="00C22B24">
      <w:pPr>
        <w:pStyle w:val="Nothing"/>
      </w:pPr>
    </w:p>
    <w:p w14:paraId="7A1C72C1" w14:textId="77777777" w:rsidR="00C22B24" w:rsidRPr="008E77DC" w:rsidRDefault="00C22B24" w:rsidP="008E77DC">
      <w:pPr>
        <w:rPr>
          <w:rFonts w:ascii="Times New Roman" w:hAnsi="Times New Roman" w:cs="Times New Roman"/>
          <w:b/>
        </w:rPr>
      </w:pPr>
      <w:bookmarkStart w:id="251" w:name="_Toc518323294"/>
      <w:bookmarkStart w:id="252" w:name="_Toc364636107"/>
      <w:r w:rsidRPr="008E77DC">
        <w:rPr>
          <w:rStyle w:val="Heading4Char"/>
          <w:i w:val="0"/>
        </w:rPr>
        <w:t>Robert H. Frank</w:t>
      </w:r>
      <w:r w:rsidRPr="008E77DC">
        <w:rPr>
          <w:rStyle w:val="Heading4Char"/>
        </w:rPr>
        <w:t>, Why is Cost-Benefit Analysis so Controversial?</w:t>
      </w:r>
      <w:bookmarkEnd w:id="251"/>
      <w:r>
        <w:t>,</w:t>
      </w:r>
      <w:r w:rsidRPr="00920B12">
        <w:t xml:space="preserve"> </w:t>
      </w:r>
      <w:r w:rsidRPr="008E77DC">
        <w:rPr>
          <w:rFonts w:ascii="Times New Roman" w:hAnsi="Times New Roman" w:cs="Times New Roman"/>
          <w:b/>
        </w:rPr>
        <w:t xml:space="preserve">29 </w:t>
      </w:r>
      <w:r w:rsidRPr="008E77DC">
        <w:rPr>
          <w:rFonts w:ascii="Times New Roman" w:hAnsi="Times New Roman" w:cs="Times New Roman"/>
          <w:b/>
          <w:smallCaps/>
        </w:rPr>
        <w:t>J. Legal Stud</w:t>
      </w:r>
      <w:r w:rsidRPr="008E77DC">
        <w:rPr>
          <w:rFonts w:ascii="Times New Roman" w:hAnsi="Times New Roman" w:cs="Times New Roman"/>
          <w:b/>
          <w:i/>
          <w:iCs/>
        </w:rPr>
        <w:t xml:space="preserve">. </w:t>
      </w:r>
      <w:r w:rsidRPr="008E77DC">
        <w:rPr>
          <w:rFonts w:ascii="Times New Roman" w:hAnsi="Times New Roman" w:cs="Times New Roman"/>
          <w:b/>
        </w:rPr>
        <w:t>913, 914 (2000).</w:t>
      </w:r>
      <w:bookmarkEnd w:id="252"/>
    </w:p>
    <w:p w14:paraId="306B4E99" w14:textId="77777777" w:rsidR="00C22B24" w:rsidRPr="00920B12" w:rsidRDefault="00C22B24" w:rsidP="00F94B7E">
      <w:pPr>
        <w:pStyle w:val="blockquote"/>
      </w:pPr>
    </w:p>
    <w:p w14:paraId="1FB3206C" w14:textId="77777777" w:rsidR="00C22B24" w:rsidRPr="00920B12" w:rsidRDefault="750671CE" w:rsidP="00F94B7E">
      <w:pPr>
        <w:pStyle w:val="blockquote"/>
        <w:rPr>
          <w:iCs/>
        </w:rPr>
      </w:pPr>
      <w: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Default="00C22B24" w:rsidP="00F94B7E">
      <w:pPr>
        <w:pStyle w:val="blockquote"/>
      </w:pPr>
    </w:p>
    <w:p w14:paraId="40C3EE4C" w14:textId="77777777" w:rsidR="00C22B24" w:rsidRPr="00920B12" w:rsidRDefault="750671CE" w:rsidP="00F94B7E">
      <w:pPr>
        <w:pStyle w:val="blockquote"/>
      </w:pPr>
      <w:r>
        <w:t>The apparent implication is that we should install the guardrail no matter how much it costs or no matter how little it affects the risk of death and injury.</w:t>
      </w:r>
    </w:p>
    <w:p w14:paraId="3799B6D2" w14:textId="77777777" w:rsidR="00C22B24" w:rsidRDefault="00C22B24" w:rsidP="00F94B7E">
      <w:pPr>
        <w:pStyle w:val="blockquote"/>
      </w:pPr>
    </w:p>
    <w:p w14:paraId="1F076EA2" w14:textId="77777777" w:rsidR="00C22B24" w:rsidRPr="00911CC4" w:rsidRDefault="750671CE" w:rsidP="00F94B7E">
      <w:pPr>
        <w:pStyle w:val="blockquote"/>
      </w:pPr>
      <w:r>
        <w:t xml:space="preserve">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w:t>
      </w:r>
      <w:r w:rsidRPr="00911CC4">
        <w:t>install a guardrail if the same money spent on, say, better weather forecasting would prevent even more deaths and injuries?</w:t>
      </w:r>
    </w:p>
    <w:p w14:paraId="7B2BF63E" w14:textId="77777777" w:rsidR="00C22B24" w:rsidRPr="00911CC4" w:rsidRDefault="00C22B24" w:rsidP="00F94B7E">
      <w:pPr>
        <w:pStyle w:val="blockquote"/>
      </w:pPr>
    </w:p>
    <w:p w14:paraId="6092ADF8" w14:textId="33D73FB9" w:rsidR="00C22B24" w:rsidRPr="00920B12" w:rsidRDefault="750671CE" w:rsidP="00F94B7E">
      <w:pPr>
        <w:pStyle w:val="blockquote"/>
      </w:pPr>
      <w:r w:rsidRPr="00911CC4">
        <w:t>More generally, critics object to the cost-benefit framework</w:t>
      </w:r>
      <w:r w:rsidR="00B05F31" w:rsidRPr="00911CC4">
        <w:t>’</w:t>
      </w:r>
      <w:r w:rsidRPr="00911CC4">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t>.</w:t>
      </w:r>
      <w:r w:rsidR="009D3DA7">
        <w:t xml:space="preserve"> . . .</w:t>
      </w:r>
    </w:p>
    <w:p w14:paraId="7628F043" w14:textId="77777777" w:rsidR="00C22B24" w:rsidRDefault="00C22B24" w:rsidP="00F94B7E">
      <w:pPr>
        <w:pStyle w:val="blockquote"/>
      </w:pPr>
    </w:p>
    <w:p w14:paraId="1B962D22" w14:textId="63B47C31" w:rsidR="00C22B24" w:rsidRPr="00920B12" w:rsidRDefault="750671CE" w:rsidP="00F94B7E">
      <w:pPr>
        <w:pStyle w:val="blockquote"/>
      </w:pPr>
      <w:r>
        <w:t>This view has troubling implications</w:t>
      </w:r>
      <w:r w:rsidR="000E39CA">
        <w:t xml:space="preserve">. . . .  </w:t>
      </w:r>
      <w: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Default="00C22B24" w:rsidP="00F94B7E">
      <w:pPr>
        <w:pStyle w:val="blockquote"/>
      </w:pPr>
    </w:p>
    <w:p w14:paraId="317A1895" w14:textId="77777777" w:rsidR="00C22B24" w:rsidRPr="00920B12" w:rsidRDefault="750671CE" w:rsidP="00F94B7E">
      <w:pPr>
        <w:pStyle w:val="blockquote"/>
      </w:pPr>
      <w:r>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40DE42C" w14:textId="77777777" w:rsidR="00C22B24" w:rsidRPr="00920B12" w:rsidRDefault="00C22B24" w:rsidP="00C22B24">
      <w:pPr>
        <w:pStyle w:val="Nothing"/>
      </w:pPr>
    </w:p>
    <w:p w14:paraId="13F72FDF" w14:textId="77777777" w:rsidR="00C22B24" w:rsidRDefault="750671CE" w:rsidP="00C22B24">
      <w:pPr>
        <w:pStyle w:val="Nothing"/>
      </w:pPr>
      <w:r>
        <w:lastRenderedPageBreak/>
        <w:t>Cass Sunstein articulates a different defense of cost-benefit reasoning, one that focuses on the architecture of the decision-making process:</w:t>
      </w:r>
    </w:p>
    <w:p w14:paraId="4ACFE211" w14:textId="77777777" w:rsidR="004741FB" w:rsidRDefault="004741FB" w:rsidP="00C22B24">
      <w:pPr>
        <w:pStyle w:val="Nothing"/>
      </w:pPr>
    </w:p>
    <w:p w14:paraId="5F3DF8E7" w14:textId="77777777" w:rsidR="00FB1320" w:rsidRDefault="00FB1320" w:rsidP="00C22B24">
      <w:pPr>
        <w:pStyle w:val="Nothing"/>
      </w:pPr>
    </w:p>
    <w:p w14:paraId="5A4E6837" w14:textId="77777777" w:rsidR="00FB1320" w:rsidRDefault="00FB1320" w:rsidP="00C22B24">
      <w:pPr>
        <w:pStyle w:val="Nothing"/>
      </w:pPr>
    </w:p>
    <w:p w14:paraId="242073BB" w14:textId="724DB77D" w:rsidR="004741FB" w:rsidRPr="004741FB" w:rsidRDefault="004741FB" w:rsidP="750671CE">
      <w:pPr>
        <w:pStyle w:val="Nothing"/>
        <w:rPr>
          <w:b/>
          <w:bCs/>
        </w:rPr>
      </w:pPr>
      <w:bookmarkStart w:id="253" w:name="_Toc518323295"/>
      <w:r w:rsidRPr="002D711B">
        <w:rPr>
          <w:rStyle w:val="Heading4Char"/>
          <w:i w:val="0"/>
        </w:rPr>
        <w:t>Cass Sunstei</w:t>
      </w:r>
      <w:r w:rsidRPr="005804A9">
        <w:rPr>
          <w:rStyle w:val="Heading4Char"/>
          <w:i w:val="0"/>
        </w:rPr>
        <w:t>n</w:t>
      </w:r>
      <w:r w:rsidRPr="002D711B">
        <w:rPr>
          <w:rStyle w:val="Heading4Char"/>
          <w:i w:val="0"/>
        </w:rPr>
        <w:t>,</w:t>
      </w:r>
      <w:r w:rsidRPr="004741FB">
        <w:rPr>
          <w:rStyle w:val="Heading4Char"/>
        </w:rPr>
        <w:t xml:space="preserve"> Cognition and Cost-Benefit Analysis</w:t>
      </w:r>
      <w:bookmarkEnd w:id="253"/>
      <w:r w:rsidRPr="750671CE">
        <w:rPr>
          <w:b/>
          <w:bCs/>
        </w:rPr>
        <w:t xml:space="preserve">, 29 </w:t>
      </w:r>
      <w:r w:rsidRPr="750671CE">
        <w:rPr>
          <w:b/>
          <w:bCs/>
          <w:smallCaps/>
        </w:rPr>
        <w:t>J. Legal Stud</w:t>
      </w:r>
      <w:r w:rsidRPr="750671CE">
        <w:rPr>
          <w:b/>
          <w:bCs/>
        </w:rPr>
        <w:t>. 1059, 1060 (2000).</w:t>
      </w:r>
    </w:p>
    <w:p w14:paraId="131FA550" w14:textId="053B7A6E" w:rsidR="00C22B24" w:rsidRPr="00920B12" w:rsidRDefault="00C22B24" w:rsidP="00C22B24">
      <w:pPr>
        <w:pStyle w:val="Nothing"/>
      </w:pPr>
    </w:p>
    <w:p w14:paraId="4015B5D8" w14:textId="3E7D94B8" w:rsidR="00C22B24" w:rsidRPr="00920B12" w:rsidRDefault="750671CE" w:rsidP="00F94B7E">
      <w:pPr>
        <w:pStyle w:val="blockquote"/>
      </w:pPr>
      <w: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t>“</w:t>
      </w:r>
      <w:r>
        <w:t>on screen</w:t>
      </w:r>
      <w:r w:rsidR="00B05F31">
        <w:t>”</w:t>
      </w:r>
      <w:r>
        <w:t xml:space="preserve">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920B12" w:rsidRDefault="00C22B24" w:rsidP="00C22B24">
      <w:pPr>
        <w:pStyle w:val="Nothing"/>
      </w:pPr>
    </w:p>
    <w:p w14:paraId="13935C99" w14:textId="1662A743" w:rsidR="00C22B24" w:rsidRPr="004F6A8D" w:rsidRDefault="750671CE" w:rsidP="750671CE">
      <w:pPr>
        <w:pStyle w:val="Nothing"/>
        <w:ind w:firstLine="720"/>
        <w:rPr>
          <w:rStyle w:val="DebateUnderline"/>
          <w:u w:val="none"/>
        </w:rPr>
      </w:pPr>
      <w:r w:rsidRPr="750671CE">
        <w:rPr>
          <w:rStyle w:val="DebateUnderline"/>
          <w:u w:val="none"/>
        </w:rPr>
        <w:t>Sunstein</w:t>
      </w:r>
      <w:r w:rsidR="00B05F31">
        <w:rPr>
          <w:rStyle w:val="DebateUnderline"/>
          <w:u w:val="none"/>
        </w:rPr>
        <w:t>’</w:t>
      </w:r>
      <w:r w:rsidRPr="750671CE">
        <w:rPr>
          <w:rStyle w:val="DebateUnderline"/>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F6A8D" w:rsidRDefault="00C22B24" w:rsidP="00C22B24">
      <w:pPr>
        <w:pStyle w:val="Nothing"/>
        <w:rPr>
          <w:rStyle w:val="DebateUnderline"/>
          <w:u w:val="none"/>
        </w:rPr>
      </w:pPr>
    </w:p>
    <w:p w14:paraId="107FB35D" w14:textId="55901C56" w:rsidR="00C22B24" w:rsidRDefault="750671CE" w:rsidP="750671CE">
      <w:pPr>
        <w:pStyle w:val="Nothing"/>
        <w:ind w:firstLine="720"/>
        <w:rPr>
          <w:rStyle w:val="DebateUnderline"/>
          <w:u w:val="none"/>
        </w:rPr>
      </w:pPr>
      <w:r w:rsidRPr="750671CE">
        <w:rPr>
          <w:rStyle w:val="DebateUnderline"/>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Pr>
          <w:rStyle w:val="DebateUnderline"/>
          <w:u w:val="none"/>
        </w:rPr>
        <w:t>’</w:t>
      </w:r>
      <w:r w:rsidRPr="750671CE">
        <w:rPr>
          <w:rStyle w:val="DebateUnderline"/>
          <w:u w:val="none"/>
        </w:rPr>
        <w:t>s trolley problem, which we encountered above, Sunstein argues that in unusual cases our ordinary moral intuitions mislead us and that the two trolley scenarios are morally identical:</w:t>
      </w:r>
    </w:p>
    <w:p w14:paraId="52AA8C0D" w14:textId="77777777" w:rsidR="004741FB" w:rsidRDefault="004741FB" w:rsidP="004741FB">
      <w:pPr>
        <w:pStyle w:val="Nothing"/>
        <w:rPr>
          <w:rStyle w:val="DebateUnderline"/>
          <w:u w:val="none"/>
        </w:rPr>
      </w:pPr>
    </w:p>
    <w:p w14:paraId="0D00DB7A" w14:textId="77777777" w:rsidR="00FB1320" w:rsidRDefault="00FB1320" w:rsidP="004741FB">
      <w:pPr>
        <w:pStyle w:val="Nothing"/>
        <w:rPr>
          <w:rStyle w:val="DebateUnderline"/>
          <w:u w:val="none"/>
        </w:rPr>
      </w:pPr>
    </w:p>
    <w:p w14:paraId="73CBAF4D" w14:textId="040D928B" w:rsidR="004741FB" w:rsidRPr="004F6A8D" w:rsidRDefault="004741FB" w:rsidP="750671CE">
      <w:pPr>
        <w:pStyle w:val="Nothing"/>
        <w:rPr>
          <w:rStyle w:val="DebateUnderline"/>
          <w:u w:val="none"/>
        </w:rPr>
      </w:pPr>
      <w:bookmarkStart w:id="254" w:name="_Toc518323296"/>
      <w:r w:rsidRPr="00F94B7E">
        <w:rPr>
          <w:rStyle w:val="Heading4Char"/>
          <w:i w:val="0"/>
        </w:rPr>
        <w:t>Cass Sunstein,</w:t>
      </w:r>
      <w:r w:rsidRPr="004741FB">
        <w:rPr>
          <w:rStyle w:val="Heading4Char"/>
        </w:rPr>
        <w:t xml:space="preserve"> Moral Heuristics</w:t>
      </w:r>
      <w:bookmarkEnd w:id="254"/>
      <w:r w:rsidRPr="750671CE">
        <w:rPr>
          <w:rStyle w:val="DebateUnderline"/>
          <w:b/>
          <w:bCs/>
          <w:u w:val="none"/>
        </w:rPr>
        <w:t xml:space="preserve">, 28 </w:t>
      </w:r>
      <w:r w:rsidRPr="750671CE">
        <w:rPr>
          <w:rStyle w:val="DebateUnderline"/>
          <w:b/>
          <w:bCs/>
          <w:smallCaps/>
          <w:u w:val="none"/>
        </w:rPr>
        <w:t>Behav. &amp; Brain Sci</w:t>
      </w:r>
      <w:r w:rsidRPr="750671CE">
        <w:rPr>
          <w:rStyle w:val="DebateUnderline"/>
          <w:b/>
          <w:bCs/>
          <w:u w:val="none"/>
        </w:rPr>
        <w:t>. 531, 540-</w:t>
      </w:r>
      <w:r w:rsidR="00547B55">
        <w:rPr>
          <w:rStyle w:val="DebateUnderline"/>
          <w:b/>
          <w:bCs/>
          <w:u w:val="none"/>
        </w:rPr>
        <w:t>4</w:t>
      </w:r>
      <w:r w:rsidRPr="750671CE">
        <w:rPr>
          <w:rStyle w:val="DebateUnderline"/>
          <w:b/>
          <w:bCs/>
          <w:u w:val="none"/>
        </w:rPr>
        <w:t>1 (2005)</w:t>
      </w:r>
    </w:p>
    <w:p w14:paraId="0E10AD69" w14:textId="77777777" w:rsidR="00C22B24" w:rsidRPr="00920B12" w:rsidRDefault="00C22B24" w:rsidP="00C22B24">
      <w:pPr>
        <w:pStyle w:val="Nothing"/>
      </w:pPr>
    </w:p>
    <w:p w14:paraId="25430F6D" w14:textId="4664E80C" w:rsidR="00C22B24" w:rsidRDefault="750671CE" w:rsidP="00F94B7E">
      <w:pPr>
        <w:autoSpaceDE w:val="0"/>
        <w:autoSpaceDN w:val="0"/>
        <w:adjustRightInd w:val="0"/>
        <w:ind w:left="720" w:right="720"/>
        <w:jc w:val="both"/>
        <w:rPr>
          <w:rFonts w:ascii="Times New Roman" w:eastAsia="Times New Roman" w:hAnsi="Times New Roman" w:cs="Times New Roman"/>
        </w:rPr>
      </w:pPr>
      <w:r w:rsidRPr="750671CE">
        <w:rPr>
          <w:rFonts w:ascii="Times New Roman" w:eastAsia="Times New Roman" w:hAnsi="Times New Roman" w:cs="Times New Roman"/>
        </w:rPr>
        <w:t>As a matter of principle, there is no difference between the two cases.  People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w:t>
      </w:r>
      <w:r w:rsidRPr="750671CE">
        <w:rPr>
          <w:rFonts w:ascii="Times New Roman" w:eastAsia="Times New Roman" w:hAnsi="Times New Roman" w:cs="Times New Roman"/>
        </w:rPr>
        <w:lastRenderedPageBreak/>
        <w:t>underlying heuristics misfire in drawing a distinction between the two cleverly devised cases. Hence, people struggle heroically to rescue their intuitions and to establish that the two cases are gen</w:t>
      </w:r>
      <w:r w:rsidR="00911CC4">
        <w:rPr>
          <w:rFonts w:ascii="Times New Roman" w:eastAsia="Times New Roman" w:hAnsi="Times New Roman" w:cs="Times New Roman"/>
        </w:rPr>
        <w:t xml:space="preserve">uinely different in principle. </w:t>
      </w:r>
      <w:r w:rsidRPr="750671CE">
        <w:rPr>
          <w:rFonts w:ascii="Times New Roman" w:eastAsia="Times New Roman" w:hAnsi="Times New Roman" w:cs="Times New Roman"/>
        </w:rPr>
        <w:t>But they aren</w:t>
      </w:r>
      <w:r w:rsidR="00B05F31">
        <w:rPr>
          <w:rFonts w:ascii="Times New Roman" w:eastAsia="Times New Roman" w:hAnsi="Times New Roman" w:cs="Times New Roman"/>
        </w:rPr>
        <w:t>’</w:t>
      </w:r>
      <w:r w:rsidRPr="750671CE">
        <w:rPr>
          <w:rFonts w:ascii="Times New Roman" w:eastAsia="Times New Roman" w:hAnsi="Times New Roman" w:cs="Times New Roman"/>
        </w:rPr>
        <w:t>t. In this sense, a moral heuristic</w:t>
      </w:r>
      <w:r w:rsidR="000E39CA">
        <w:rPr>
          <w:rFonts w:ascii="Times New Roman" w:eastAsia="Times New Roman" w:hAnsi="Times New Roman" w:cs="Times New Roman"/>
        </w:rPr>
        <w:t xml:space="preserve"> . . .</w:t>
      </w:r>
      <w:r w:rsidR="00911CC4">
        <w:rPr>
          <w:rFonts w:ascii="Times New Roman" w:eastAsia="Times New Roman" w:hAnsi="Times New Roman" w:cs="Times New Roman"/>
        </w:rPr>
        <w:t xml:space="preserve"> leads to errors. </w:t>
      </w:r>
      <w:r w:rsidRPr="750671CE">
        <w:rPr>
          <w:rFonts w:ascii="Times New Roman" w:eastAsia="Times New Roman" w:hAnsi="Times New Roman" w:cs="Times New Roman"/>
        </w:rPr>
        <w:t>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920B12" w:rsidRDefault="00C22B24" w:rsidP="00F94B7E">
      <w:pPr>
        <w:autoSpaceDE w:val="0"/>
        <w:autoSpaceDN w:val="0"/>
        <w:adjustRightInd w:val="0"/>
        <w:ind w:left="720"/>
        <w:jc w:val="both"/>
        <w:rPr>
          <w:rFonts w:ascii="Times New Roman" w:hAnsi="Times New Roman" w:cs="Times New Roman"/>
        </w:rPr>
      </w:pPr>
    </w:p>
    <w:p w14:paraId="3D23C31A" w14:textId="698955B1" w:rsidR="00C22B24" w:rsidRDefault="750671CE" w:rsidP="00F94B7E">
      <w:pPr>
        <w:autoSpaceDE w:val="0"/>
        <w:autoSpaceDN w:val="0"/>
        <w:adjustRightInd w:val="0"/>
        <w:ind w:left="720" w:right="720"/>
        <w:jc w:val="both"/>
        <w:rPr>
          <w:rFonts w:ascii="Times New Roman" w:eastAsia="Times New Roman" w:hAnsi="Times New Roman" w:cs="Times New Roman"/>
        </w:rPr>
      </w:pPr>
      <w:r w:rsidRPr="750671CE">
        <w:rPr>
          <w:rFonts w:ascii="Times New Roman" w:eastAsia="Times New Roman" w:hAnsi="Times New Roman" w:cs="Times New Roman"/>
        </w:rPr>
        <w:t>Is there anything to be said to those who believe that their moral judgments, distinguishing the trolley and footbridge problems, are entirely reflective, a</w:t>
      </w:r>
      <w:r w:rsidR="00911CC4">
        <w:rPr>
          <w:rFonts w:ascii="Times New Roman" w:eastAsia="Times New Roman" w:hAnsi="Times New Roman" w:cs="Times New Roman"/>
        </w:rPr>
        <w:t xml:space="preserve">nd embody no heuristic at all? </w:t>
      </w:r>
      <w:r w:rsidRPr="750671CE">
        <w:rPr>
          <w:rFonts w:ascii="Times New Roman" w:eastAsia="Times New Roman" w:hAnsi="Times New Roman" w:cs="Times New Roman"/>
        </w:rPr>
        <w:t xml:space="preserve">Consider a suggestive experiment designed to see how the human brain responds to the two problems (Greene et al. 2001). The authors do not attempt to answer the moral questions in principle, but they find </w:t>
      </w:r>
      <w:r w:rsidR="00B05F31">
        <w:rPr>
          <w:rFonts w:ascii="Times New Roman" w:eastAsia="Times New Roman" w:hAnsi="Times New Roman" w:cs="Times New Roman"/>
        </w:rPr>
        <w:t>“</w:t>
      </w:r>
      <w:r w:rsidRPr="750671CE">
        <w:rPr>
          <w:rFonts w:ascii="Times New Roman" w:eastAsia="Times New Roman" w:hAnsi="Times New Roman" w:cs="Times New Roman"/>
        </w:rPr>
        <w:t>that there are systematic variations in the engagement of emotions in moral judgment,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that brain areas associated with emotion are far more active in contemplating the footbridge problem than in cont</w:t>
      </w:r>
      <w:r w:rsidR="00911CC4">
        <w:rPr>
          <w:rFonts w:ascii="Times New Roman" w:eastAsia="Times New Roman" w:hAnsi="Times New Roman" w:cs="Times New Roman"/>
        </w:rPr>
        <w:t xml:space="preserve">emplating the trolley problem. </w:t>
      </w:r>
      <w:r w:rsidRPr="750671CE">
        <w:rPr>
          <w:rFonts w:ascii="Times New Roman" w:eastAsia="Times New Roman" w:hAnsi="Times New Roman" w:cs="Times New Roman"/>
        </w:rPr>
        <w:t>An implication of Greene et 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finding is that human brains are hard-wired to distinguish between bringing about a death </w:t>
      </w:r>
      <w:r w:rsidR="00B05F31">
        <w:rPr>
          <w:rFonts w:ascii="Times New Roman" w:eastAsia="Times New Roman" w:hAnsi="Times New Roman" w:cs="Times New Roman"/>
        </w:rPr>
        <w:t>“</w:t>
      </w:r>
      <w:r w:rsidRPr="750671CE">
        <w:rPr>
          <w:rFonts w:ascii="Times New Roman" w:eastAsia="Times New Roman" w:hAnsi="Times New Roman" w:cs="Times New Roman"/>
        </w:rPr>
        <w:t>up close and personal</w:t>
      </w:r>
      <w:r w:rsidR="00B05F31">
        <w:rPr>
          <w:rFonts w:ascii="Times New Roman" w:eastAsia="Times New Roman" w:hAnsi="Times New Roman" w:cs="Times New Roman"/>
        </w:rPr>
        <w:t>”</w:t>
      </w:r>
      <w:r w:rsidR="00911CC4">
        <w:rPr>
          <w:rFonts w:ascii="Times New Roman" w:eastAsia="Times New Roman" w:hAnsi="Times New Roman" w:cs="Times New Roman"/>
        </w:rPr>
        <w:t xml:space="preserve"> and doing so at a distance. </w:t>
      </w:r>
      <w:r w:rsidRPr="750671CE">
        <w:rPr>
          <w:rFonts w:ascii="Times New Roman" w:eastAsia="Times New Roman" w:hAnsi="Times New Roman" w:cs="Times New Roman"/>
        </w:rPr>
        <w:t>Of course, this experiment is far from decisive; emotions and cognition are not easily separable (Nussbaum 2002), and there may be good moral reasons why certain brain areas are activated by one problem and not by the other. Perhaps the brain is closely attuned to m</w:t>
      </w:r>
      <w:r w:rsidR="00911CC4">
        <w:rPr>
          <w:rFonts w:ascii="Times New Roman" w:eastAsia="Times New Roman" w:hAnsi="Times New Roman" w:cs="Times New Roman"/>
        </w:rPr>
        <w:t xml:space="preserve">orally irrelevant differences. </w:t>
      </w:r>
      <w:r w:rsidRPr="750671CE">
        <w:rPr>
          <w:rFonts w:ascii="Times New Roman" w:eastAsia="Times New Roman" w:hAnsi="Times New Roman" w:cs="Times New Roman"/>
        </w:rPr>
        <w:t>But consider the case of fear, where an identifiable region of the brain makes helpfully immediate but not entirely reliable judgments (Ledoux 1996), in a way that suggests a possible physical location for some of the operati</w:t>
      </w:r>
      <w:r w:rsidR="00911CC4">
        <w:rPr>
          <w:rFonts w:ascii="Times New Roman" w:eastAsia="Times New Roman" w:hAnsi="Times New Roman" w:cs="Times New Roman"/>
        </w:rPr>
        <w:t xml:space="preserve">ons of [our moral heuristics]. </w:t>
      </w:r>
      <w:r w:rsidRPr="750671CE">
        <w:rPr>
          <w:rFonts w:ascii="Times New Roman" w:eastAsia="Times New Roman" w:hAnsi="Times New Roman" w:cs="Times New Roman"/>
        </w:rPr>
        <w:t>The same may well be true in the context of morality, politics, and law (Greene &amp; Haidt</w:t>
      </w:r>
      <w:r w:rsidR="00670C43">
        <w:rPr>
          <w:rFonts w:ascii="Times New Roman" w:eastAsia="Times New Roman" w:hAnsi="Times New Roman" w:cs="Times New Roman"/>
        </w:rPr>
        <w:t>,</w:t>
      </w:r>
      <w:r w:rsidRPr="750671CE">
        <w:rPr>
          <w:rFonts w:ascii="Times New Roman" w:eastAsia="Times New Roman" w:hAnsi="Times New Roman" w:cs="Times New Roman"/>
        </w:rPr>
        <w:t xml:space="preserve"> 2002).</w:t>
      </w:r>
    </w:p>
    <w:p w14:paraId="0C5C38AA" w14:textId="77777777" w:rsidR="004741FB" w:rsidRDefault="004741FB" w:rsidP="004741FB">
      <w:pPr>
        <w:autoSpaceDE w:val="0"/>
        <w:autoSpaceDN w:val="0"/>
        <w:adjustRightInd w:val="0"/>
        <w:ind w:right="720"/>
        <w:rPr>
          <w:rFonts w:ascii="Times New Roman" w:hAnsi="Times New Roman" w:cs="Times New Roman"/>
        </w:rPr>
      </w:pPr>
    </w:p>
    <w:p w14:paraId="74F09475" w14:textId="77777777" w:rsidR="00FB1320" w:rsidRDefault="00FB1320" w:rsidP="004741FB">
      <w:pPr>
        <w:autoSpaceDE w:val="0"/>
        <w:autoSpaceDN w:val="0"/>
        <w:adjustRightInd w:val="0"/>
        <w:ind w:right="720"/>
        <w:rPr>
          <w:rFonts w:ascii="Times New Roman" w:hAnsi="Times New Roman" w:cs="Times New Roman"/>
        </w:rPr>
      </w:pPr>
    </w:p>
    <w:p w14:paraId="23B71412" w14:textId="77777777" w:rsidR="00C22B24" w:rsidRPr="006B6113" w:rsidRDefault="00C22B24" w:rsidP="00322687">
      <w:pPr>
        <w:pStyle w:val="Heading3"/>
      </w:pPr>
      <w:bookmarkStart w:id="255" w:name="_Toc364636108"/>
      <w:bookmarkStart w:id="256" w:name="_Toc518323297"/>
      <w:r w:rsidRPr="006B6113">
        <w:t xml:space="preserve">4.  </w:t>
      </w:r>
      <w:r>
        <w:t>The Logic of</w:t>
      </w:r>
      <w:r w:rsidRPr="006B6113">
        <w:t xml:space="preserve"> Cost-Benefit</w:t>
      </w:r>
      <w:bookmarkEnd w:id="255"/>
      <w:bookmarkEnd w:id="256"/>
    </w:p>
    <w:p w14:paraId="4189CB5C" w14:textId="77777777" w:rsidR="00C22B24" w:rsidRPr="00920B12" w:rsidRDefault="00C22B24" w:rsidP="00C22B24">
      <w:pPr>
        <w:pStyle w:val="Nothing"/>
      </w:pPr>
    </w:p>
    <w:p w14:paraId="5E4B5393" w14:textId="77777777" w:rsidR="00C22B24" w:rsidRPr="00920B12" w:rsidRDefault="00C22B24" w:rsidP="750671CE">
      <w:pPr>
        <w:pStyle w:val="Nothing"/>
        <w:rPr>
          <w:b/>
          <w:bCs/>
        </w:rPr>
      </w:pPr>
      <w:bookmarkStart w:id="257" w:name="_Toc518323298"/>
      <w:r w:rsidRPr="002C2F0D">
        <w:rPr>
          <w:rStyle w:val="Heading4Char"/>
        </w:rPr>
        <w:t>Cooley v. Public Service Co</w:t>
      </w:r>
      <w:bookmarkEnd w:id="257"/>
      <w:r w:rsidRPr="008A3C5C">
        <w:rPr>
          <w:b/>
          <w:bCs/>
        </w:rPr>
        <w:t>.</w:t>
      </w:r>
      <w:r w:rsidRPr="750671CE">
        <w:rPr>
          <w:b/>
          <w:bCs/>
        </w:rPr>
        <w:t xml:space="preserve">, 10 A.2d 673 (N.H. 1940) </w:t>
      </w:r>
    </w:p>
    <w:p w14:paraId="0AD20F5D" w14:textId="77777777" w:rsidR="00C22B24" w:rsidRPr="00920B12" w:rsidRDefault="00C22B24" w:rsidP="00C22B24">
      <w:pPr>
        <w:pStyle w:val="Nothing"/>
        <w:rPr>
          <w:b/>
        </w:rPr>
      </w:pPr>
    </w:p>
    <w:p w14:paraId="37A417E9" w14:textId="78F99AA3"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smallCaps/>
        </w:rPr>
        <w:t>Page</w:t>
      </w:r>
      <w:r w:rsidRPr="750671CE">
        <w:rPr>
          <w:rFonts w:ascii="Times New Roman" w:eastAsia="Times New Roman" w:hAnsi="Times New Roman" w:cs="Times New Roman"/>
        </w:rPr>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instrument. </w:t>
      </w:r>
      <w:r w:rsidRPr="750671CE">
        <w:rPr>
          <w:rFonts w:ascii="Times New Roman" w:eastAsia="Times New Roman" w:hAnsi="Times New Roman" w:cs="Times New Roman"/>
        </w:rPr>
        <w:lastRenderedPageBreak/>
        <w:t>There is no evidence that these devices did not operate perfectly.</w:t>
      </w:r>
    </w:p>
    <w:p w14:paraId="2D36172B" w14:textId="77777777" w:rsidR="00C22B24" w:rsidRPr="00920B12" w:rsidRDefault="00C22B24" w:rsidP="00C22B24">
      <w:pPr>
        <w:widowControl w:val="0"/>
        <w:autoSpaceDE w:val="0"/>
        <w:autoSpaceDN w:val="0"/>
        <w:adjustRightInd w:val="0"/>
        <w:contextualSpacing/>
        <w:jc w:val="both"/>
        <w:rPr>
          <w:rFonts w:ascii="Times New Roman" w:hAnsi="Times New Roman" w:cs="Times New Roman"/>
        </w:rPr>
      </w:pPr>
    </w:p>
    <w:p w14:paraId="0F239814" w14:textId="3ACDC61D"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At a point about a mile distant from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house, the Public Service Company</w:t>
      </w:r>
      <w:r w:rsidR="00B05F31">
        <w:rPr>
          <w:rFonts w:ascii="Times New Roman" w:eastAsia="Times New Roman" w:hAnsi="Times New Roman" w:cs="Times New Roman"/>
        </w:rPr>
        <w:t>’</w:t>
      </w:r>
      <w:r w:rsidRPr="750671CE">
        <w:rPr>
          <w:rFonts w:ascii="Times New Roman" w:eastAsia="Times New Roman" w:hAnsi="Times New Roman" w:cs="Times New Roman"/>
        </w:rPr>
        <w:t>s lines, east and west along Valley Street, crossed the telephone cable at right angles and some eight or ten feet above it. These lines were not insulated.</w:t>
      </w:r>
    </w:p>
    <w:p w14:paraId="638DE75E"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5F1F284"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7587282F"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14C0C43" w14:textId="2AAD61CF"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Apparently there is no claim that the negligence of the defendant caused the wires to fall.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consequent duty was to maintain such devices at cross-overs as would prevent one of its falling wires from coming into contact with a telephone wire.</w:t>
      </w:r>
    </w:p>
    <w:p w14:paraId="6D7F4D97"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47D07F3C" w14:textId="30C839B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The devices suggested are two. The first is a wire-mesh basket suspended from the poles of the defendant at the point of cross-over, above the cable and below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wires. Two forms were suggested. One would be about six by eight feet. The other would be of an unassigned width and would stretch the full distance between defendant</w:t>
      </w:r>
      <w:r w:rsidR="00B05F31">
        <w:rPr>
          <w:rFonts w:ascii="Times New Roman" w:eastAsia="Times New Roman" w:hAnsi="Times New Roman" w:cs="Times New Roman"/>
        </w:rPr>
        <w:t>’</w:t>
      </w:r>
      <w:r w:rsidRPr="750671CE">
        <w:rPr>
          <w:rFonts w:ascii="Times New Roman" w:eastAsia="Times New Roman" w:hAnsi="Times New Roman" w:cs="Times New Roman"/>
        </w:rPr>
        <w:t>s poles. In either case the basket would be insulated. The theory is that falling wires, though alive, would remain harmless in the basket. . . .</w:t>
      </w:r>
    </w:p>
    <w:p w14:paraId="24ADF17F"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401660AA"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1F5D400C"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lastRenderedPageBreak/>
        <w:t>But the same reasoning that would establish a duty to do so raises another duty to the people in the street, not to lessen the protective effect of their circuit-breaking device. . . .</w:t>
      </w:r>
    </w:p>
    <w:p w14:paraId="576EDFC1" w14:textId="77777777" w:rsidR="00C22B24" w:rsidRPr="00920B12" w:rsidRDefault="00C22B24" w:rsidP="00C22B24">
      <w:pPr>
        <w:widowControl w:val="0"/>
        <w:autoSpaceDE w:val="0"/>
        <w:autoSpaceDN w:val="0"/>
        <w:adjustRightInd w:val="0"/>
        <w:ind w:firstLine="720"/>
        <w:contextualSpacing/>
        <w:jc w:val="both"/>
        <w:rPr>
          <w:rFonts w:ascii="Times New Roman" w:hAnsi="Times New Roman" w:cs="Times New Roman"/>
        </w:rPr>
      </w:pPr>
    </w:p>
    <w:p w14:paraId="538ACF52" w14:textId="7CE73F70"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In the case before us, there was danger of electrocution in the street. As long as the Telephone Company</w:t>
      </w:r>
      <w:r w:rsidR="00B05F31">
        <w:rPr>
          <w:rFonts w:ascii="Times New Roman" w:eastAsia="Times New Roman" w:hAnsi="Times New Roman" w:cs="Times New Roman"/>
        </w:rPr>
        <w:t>’</w:t>
      </w:r>
      <w:r w:rsidRPr="750671CE">
        <w:rPr>
          <w:rFonts w:ascii="Times New Roman" w:eastAsia="Times New Roman" w:hAnsi="Times New Roman" w:cs="Times New Roman"/>
        </w:rPr>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duty of care towards the plaintiff is obviously weaker than that towards the man in the street.</w:t>
      </w:r>
    </w:p>
    <w:p w14:paraId="0F405F53"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3395A129" w14:textId="5C9B74AC"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life. The law could tolerate no such theory of </w:t>
      </w:r>
      <w:r w:rsidR="00B05F31">
        <w:rPr>
          <w:rFonts w:ascii="Times New Roman" w:eastAsia="Times New Roman" w:hAnsi="Times New Roman" w:cs="Times New Roman"/>
        </w:rPr>
        <w:t>“</w:t>
      </w:r>
      <w:r w:rsidRPr="750671CE">
        <w:rPr>
          <w:rFonts w:ascii="Times New Roman" w:eastAsia="Times New Roman" w:hAnsi="Times New Roman" w:cs="Times New Roman"/>
        </w:rPr>
        <w:t>be liable if you do and liable if you don</w:t>
      </w:r>
      <w:r w:rsidR="00B05F31">
        <w:rPr>
          <w:rFonts w:ascii="Times New Roman" w:eastAsia="Times New Roman" w:hAnsi="Times New Roman" w:cs="Times New Roman"/>
        </w:rPr>
        <w:t>’</w:t>
      </w:r>
      <w:r w:rsidRPr="750671CE">
        <w:rPr>
          <w:rFonts w:ascii="Times New Roman" w:eastAsia="Times New Roman" w:hAnsi="Times New Roman" w:cs="Times New Roman"/>
        </w:rPr>
        <w:t>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42">
        <w:r w:rsidRPr="750671CE">
          <w:rPr>
            <w:rFonts w:ascii="Times New Roman" w:eastAsia="Times New Roman" w:hAnsi="Times New Roman" w:cs="Times New Roman"/>
          </w:rPr>
          <w:t>Restatement Torts, §§ 291</w:t>
        </w:r>
      </w:hyperlink>
      <w:r w:rsidRPr="750671CE">
        <w:rPr>
          <w:rFonts w:ascii="Times New Roman" w:eastAsia="Times New Roman" w:hAnsi="Times New Roman" w:cs="Times New Roman"/>
        </w:rPr>
        <w:t>-</w:t>
      </w:r>
      <w:hyperlink r:id="rId43">
        <w:r w:rsidRPr="750671CE">
          <w:rPr>
            <w:rFonts w:ascii="Times New Roman" w:eastAsia="Times New Roman" w:hAnsi="Times New Roman" w:cs="Times New Roman"/>
          </w:rPr>
          <w:t>295</w:t>
        </w:r>
      </w:hyperlink>
      <w:r w:rsidRPr="750671CE">
        <w:rPr>
          <w:rFonts w:ascii="Times New Roman" w:eastAsia="Times New Roman" w:hAnsi="Times New Roman" w:cs="Times New Roman"/>
        </w:rPr>
        <w:t>. . . .</w:t>
      </w:r>
    </w:p>
    <w:p w14:paraId="0E54699B"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57640C44" w14:textId="4733F15E"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 xml:space="preserve">If the duty to the man in the street be forgotten for the moment, the duty to the plaintiff would depend upon anticipation of bodily injuries because of fright at a noise. Of a defendant in such case it is to be remarked that </w:t>
      </w:r>
      <w:r w:rsidR="00B05F31">
        <w:rPr>
          <w:rFonts w:ascii="Times New Roman" w:eastAsia="Times New Roman" w:hAnsi="Times New Roman" w:cs="Times New Roman"/>
        </w:rPr>
        <w:t>“</w:t>
      </w:r>
      <w:r w:rsidRPr="750671CE">
        <w:rPr>
          <w:rFonts w:ascii="Times New Roman" w:eastAsia="Times New Roman" w:hAnsi="Times New Roman" w:cs="Times New Roman"/>
        </w:rPr>
        <w:t>the likelihood that his conduct will cause bodily harm involves two uncertain factors, the chance that his act will cause the [emotional] disturbance and the chance that the disturbance if it occurs will result in bodily harm.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2 </w:t>
      </w:r>
      <w:hyperlink r:id="rId44">
        <w:r w:rsidRPr="750671CE">
          <w:rPr>
            <w:rFonts w:ascii="Times New Roman" w:eastAsia="Times New Roman" w:hAnsi="Times New Roman" w:cs="Times New Roman"/>
          </w:rPr>
          <w:t>Restatement, Torts, § 306</w:t>
        </w:r>
      </w:hyperlink>
      <w:r w:rsidRPr="750671CE">
        <w:rPr>
          <w:rFonts w:ascii="Times New Roman" w:eastAsia="Times New Roman" w:hAnsi="Times New Roman" w:cs="Times New Roman"/>
        </w:rPr>
        <w:t>, comment c. The chance of physical contact with a live wire in the street, with consequent electrocution, is much less remote and complicated than that. It is clearly more foreseeable and 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4C4EB534"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118D52B2" w14:textId="77777777" w:rsidR="00C22B24" w:rsidRDefault="750671CE" w:rsidP="750671C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Other exceptions therefore require no consideration.</w:t>
      </w:r>
    </w:p>
    <w:p w14:paraId="75AA383A" w14:textId="77777777" w:rsidR="00C22B24" w:rsidRPr="00920B12" w:rsidRDefault="00C22B24" w:rsidP="00864D7F">
      <w:pPr>
        <w:widowControl w:val="0"/>
        <w:autoSpaceDE w:val="0"/>
        <w:autoSpaceDN w:val="0"/>
        <w:adjustRightInd w:val="0"/>
        <w:contextualSpacing/>
        <w:jc w:val="both"/>
        <w:rPr>
          <w:rFonts w:ascii="Times New Roman" w:hAnsi="Times New Roman" w:cs="Times New Roman"/>
        </w:rPr>
      </w:pPr>
    </w:p>
    <w:p w14:paraId="2144E5BC" w14:textId="62D5575A" w:rsidR="00FD6259" w:rsidRDefault="750671CE" w:rsidP="00F94B7E">
      <w:pPr>
        <w:widowControl w:val="0"/>
        <w:autoSpaceDE w:val="0"/>
        <w:autoSpaceDN w:val="0"/>
        <w:adjustRightInd w:val="0"/>
        <w:ind w:firstLine="720"/>
        <w:contextualSpacing/>
        <w:jc w:val="both"/>
        <w:rPr>
          <w:rFonts w:ascii="Times New Roman" w:eastAsia="Times New Roman" w:hAnsi="Times New Roman" w:cs="Times New Roman"/>
        </w:rPr>
      </w:pPr>
      <w:r w:rsidRPr="750671CE">
        <w:rPr>
          <w:rFonts w:ascii="Times New Roman" w:eastAsia="Times New Roman" w:hAnsi="Times New Roman" w:cs="Times New Roman"/>
        </w:rPr>
        <w:t>Judgment for the defendant. All concurred.</w:t>
      </w:r>
    </w:p>
    <w:p w14:paraId="42E7B0EF" w14:textId="77777777" w:rsidR="00911CC4" w:rsidRDefault="00911CC4" w:rsidP="00F94B7E">
      <w:pPr>
        <w:widowControl w:val="0"/>
        <w:autoSpaceDE w:val="0"/>
        <w:autoSpaceDN w:val="0"/>
        <w:adjustRightInd w:val="0"/>
        <w:ind w:firstLine="720"/>
        <w:contextualSpacing/>
        <w:jc w:val="both"/>
        <w:rPr>
          <w:rFonts w:ascii="Times New Roman" w:eastAsiaTheme="minorHAnsi" w:hAnsi="Times New Roman" w:cs="Times New Roman"/>
          <w:b/>
          <w:bCs/>
          <w:i/>
          <w:szCs w:val="28"/>
          <w:lang w:eastAsia="en-US"/>
        </w:rPr>
      </w:pPr>
    </w:p>
    <w:p w14:paraId="2996F0BB" w14:textId="351C7F1A" w:rsidR="00C22B24" w:rsidRPr="00920B12" w:rsidRDefault="005B7D54" w:rsidP="002502CC">
      <w:pPr>
        <w:pStyle w:val="Heading4"/>
      </w:pPr>
      <w:bookmarkStart w:id="258" w:name="_Toc364636109"/>
      <w:bookmarkStart w:id="259" w:name="_Toc518323299"/>
      <w:r>
        <w:t>Notes</w:t>
      </w:r>
      <w:bookmarkEnd w:id="258"/>
      <w:bookmarkEnd w:id="259"/>
    </w:p>
    <w:p w14:paraId="2C97213B" w14:textId="77777777" w:rsidR="00C22B24" w:rsidRDefault="00C22B24" w:rsidP="00C22B24">
      <w:pPr>
        <w:pStyle w:val="Nothing"/>
        <w:rPr>
          <w:b/>
        </w:rPr>
      </w:pPr>
    </w:p>
    <w:p w14:paraId="0560A3BD" w14:textId="77777777" w:rsidR="00FB1320" w:rsidRPr="00920B12" w:rsidRDefault="00FB1320" w:rsidP="00C22B24">
      <w:pPr>
        <w:pStyle w:val="Nothing"/>
        <w:rPr>
          <w:b/>
        </w:rPr>
      </w:pPr>
    </w:p>
    <w:p w14:paraId="3CE29672" w14:textId="5999B52A" w:rsidR="00C22B24" w:rsidRPr="00920B12" w:rsidRDefault="750671CE" w:rsidP="00F94B7E">
      <w:pPr>
        <w:pStyle w:val="Nothing"/>
        <w:numPr>
          <w:ilvl w:val="0"/>
          <w:numId w:val="89"/>
        </w:numPr>
        <w:ind w:left="0" w:firstLine="360"/>
      </w:pPr>
      <w:r w:rsidRPr="750671CE">
        <w:rPr>
          <w:i/>
          <w:iCs/>
        </w:rPr>
        <w:t xml:space="preserve">A </w:t>
      </w:r>
      <w:r w:rsidR="005804A9">
        <w:rPr>
          <w:i/>
          <w:iCs/>
        </w:rPr>
        <w:t>s</w:t>
      </w:r>
      <w:r w:rsidRPr="750671CE">
        <w:rPr>
          <w:i/>
          <w:iCs/>
        </w:rPr>
        <w:t xml:space="preserve">ocial </w:t>
      </w:r>
      <w:r w:rsidR="005804A9">
        <w:rPr>
          <w:i/>
          <w:iCs/>
        </w:rPr>
        <w:t>e</w:t>
      </w:r>
      <w:r w:rsidRPr="750671CE">
        <w:rPr>
          <w:i/>
          <w:iCs/>
        </w:rPr>
        <w:t>ndeavor</w:t>
      </w:r>
      <w:r>
        <w:t xml:space="preserve">.  The plaintiff in </w:t>
      </w:r>
      <w:r w:rsidRPr="750671CE">
        <w:rPr>
          <w:i/>
          <w:iCs/>
        </w:rPr>
        <w:t xml:space="preserve">Cooley </w:t>
      </w:r>
      <w:r>
        <w:t>tried to prove negligence by focusing on the costs and benefits of the defendant</w:t>
      </w:r>
      <w:r w:rsidR="00B05F31">
        <w:t>’</w:t>
      </w:r>
      <w:r>
        <w:t xml:space="preserve">s actions in relation to </w:t>
      </w:r>
      <w:r w:rsidRPr="750671CE">
        <w:rPr>
          <w:i/>
          <w:iCs/>
        </w:rPr>
        <w:t xml:space="preserve">her. </w:t>
      </w:r>
      <w:r>
        <w:t>Page, J., rejected this argument, demonstrating the courts</w:t>
      </w:r>
      <w:r w:rsidR="00B05F31">
        <w:t>’</w:t>
      </w:r>
      <w:r>
        <w:t xml:space="preserve"> use of cost-benefit analysis as a social—rather than private—calculation; he analyzes the reasonableness of the defendant</w:t>
      </w:r>
      <w:r w:rsidR="00B05F31">
        <w:t>’</w:t>
      </w:r>
      <w:r>
        <w:t>s safety technology as applied to all foreseeable plaintiffs. Does this make sense? How well do you think a social cost-benefit analysis fit into the plaintiff-driven, two-party nature of the tort system?</w:t>
      </w:r>
    </w:p>
    <w:p w14:paraId="5BB26E3A" w14:textId="77777777" w:rsidR="00C22B24" w:rsidRDefault="00C22B24" w:rsidP="00C22B24">
      <w:pPr>
        <w:pStyle w:val="Nothing"/>
      </w:pPr>
    </w:p>
    <w:p w14:paraId="673B869A" w14:textId="77777777" w:rsidR="00C22B24" w:rsidRPr="00920B12" w:rsidRDefault="00C22B24" w:rsidP="00C22B24">
      <w:pPr>
        <w:pStyle w:val="Nothing"/>
      </w:pPr>
    </w:p>
    <w:p w14:paraId="71A7B27C" w14:textId="24CB8CC8" w:rsidR="00C22B24" w:rsidRPr="00920B12" w:rsidRDefault="750671CE" w:rsidP="00F94B7E">
      <w:pPr>
        <w:pStyle w:val="Nothing"/>
        <w:numPr>
          <w:ilvl w:val="0"/>
          <w:numId w:val="89"/>
        </w:numPr>
        <w:ind w:left="0" w:firstLine="360"/>
      </w:pPr>
      <w:r w:rsidRPr="750671CE">
        <w:rPr>
          <w:i/>
          <w:iCs/>
        </w:rPr>
        <w:t xml:space="preserve">Activities and </w:t>
      </w:r>
      <w:r w:rsidR="005804A9">
        <w:rPr>
          <w:i/>
          <w:iCs/>
        </w:rPr>
        <w:t>a</w:t>
      </w:r>
      <w:r w:rsidRPr="750671CE">
        <w:rPr>
          <w:i/>
          <w:iCs/>
        </w:rPr>
        <w:t xml:space="preserve">ctivity </w:t>
      </w:r>
      <w:r w:rsidR="005804A9">
        <w:rPr>
          <w:i/>
          <w:iCs/>
        </w:rPr>
        <w:t>l</w:t>
      </w:r>
      <w:r w:rsidRPr="750671CE">
        <w:rPr>
          <w:i/>
          <w:iCs/>
        </w:rPr>
        <w:t>evels</w:t>
      </w:r>
      <w:r w:rsidR="00731561" w:rsidRPr="00731561">
        <w:rPr>
          <w:i/>
          <w:iCs/>
        </w:rPr>
        <w:t>—</w:t>
      </w:r>
      <w:r w:rsidRPr="750671CE">
        <w:rPr>
          <w:i/>
          <w:iCs/>
        </w:rPr>
        <w:t xml:space="preserve">and the </w:t>
      </w:r>
      <w:r w:rsidR="005804A9">
        <w:rPr>
          <w:i/>
          <w:iCs/>
        </w:rPr>
        <w:t>s</w:t>
      </w:r>
      <w:r w:rsidRPr="750671CE">
        <w:rPr>
          <w:i/>
          <w:iCs/>
        </w:rPr>
        <w:t xml:space="preserve">trict </w:t>
      </w:r>
      <w:r w:rsidR="005804A9">
        <w:rPr>
          <w:i/>
          <w:iCs/>
        </w:rPr>
        <w:t>l</w:t>
      </w:r>
      <w:r w:rsidRPr="750671CE">
        <w:rPr>
          <w:i/>
          <w:iCs/>
        </w:rPr>
        <w:t xml:space="preserve">iability </w:t>
      </w:r>
      <w:r w:rsidR="005804A9">
        <w:rPr>
          <w:i/>
          <w:iCs/>
        </w:rPr>
        <w:t>a</w:t>
      </w:r>
      <w:r w:rsidRPr="750671CE">
        <w:rPr>
          <w:i/>
          <w:iCs/>
        </w:rPr>
        <w:t>lternative</w:t>
      </w:r>
      <w:r>
        <w:t xml:space="preserve">.  The plaintiff in </w:t>
      </w:r>
      <w:r w:rsidRPr="750671CE">
        <w:rPr>
          <w:i/>
          <w:iCs/>
        </w:rPr>
        <w:t xml:space="preserve">Cooley </w:t>
      </w:r>
      <w:r>
        <w:t xml:space="preserve">offers an alternative technology to make operating phone lines safer. But what if the act of operating phone lines with due care is not enough? What if engaging in the activity itself is negligent? Can the tort system deter activities that are unsafe because of the </w:t>
      </w:r>
      <w:r w:rsidRPr="750671CE">
        <w:rPr>
          <w:i/>
          <w:iCs/>
        </w:rPr>
        <w:t xml:space="preserve">levels </w:t>
      </w:r>
      <w:r>
        <w:t>of the activity</w:t>
      </w:r>
      <w:r w:rsidRPr="750671CE">
        <w:rPr>
          <w:i/>
          <w:iCs/>
        </w:rPr>
        <w:t xml:space="preserve"> </w:t>
      </w:r>
      <w:r>
        <w:t xml:space="preserve">that people engage in? </w:t>
      </w:r>
      <w:r w:rsidR="00E57EE6">
        <w:t xml:space="preserve">Steven </w:t>
      </w:r>
      <w:r>
        <w:t>Shavell criticizes the negligence regime for failing to adequately address the problem of over-participation in unsafe activities:</w:t>
      </w:r>
    </w:p>
    <w:p w14:paraId="49773881" w14:textId="77777777" w:rsidR="00C22B24" w:rsidRPr="00920B12" w:rsidRDefault="00C22B24" w:rsidP="00C22B24">
      <w:pPr>
        <w:pStyle w:val="Nothing"/>
      </w:pPr>
    </w:p>
    <w:p w14:paraId="7DBF97A2" w14:textId="2FE48F40" w:rsidR="00C22B24" w:rsidRDefault="750671CE" w:rsidP="00F94B7E">
      <w:pPr>
        <w:pStyle w:val="blockquote"/>
      </w:pPr>
      <w:r>
        <w:t xml:space="preserve">By definition, under the negligence rule all that an injurer needs to do to avoid the possibility of liability is to make sure to exercise due care if he engages in his activity. Consequently </w:t>
      </w:r>
      <w:r w:rsidRPr="750671CE">
        <w:rPr>
          <w:i/>
          <w:iCs/>
        </w:rPr>
        <w:t xml:space="preserve">he will not be motivated to consider the effect on accident losses of his choice of whether to engage in his activity or, more generally, of the level at which to engage in his activity; </w:t>
      </w:r>
      <w:r>
        <w:t xml:space="preserve">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t>“</w:t>
      </w:r>
      <w:r>
        <w:t>efficient.</w:t>
      </w:r>
      <w:r w:rsidR="00B05F31">
        <w:t>”</w:t>
      </w:r>
      <w:r w:rsidR="005804A9">
        <w:t xml:space="preserve"> </w:t>
      </w:r>
      <w:r>
        <w:t>. . .</w:t>
      </w:r>
    </w:p>
    <w:p w14:paraId="3A291BD6" w14:textId="77777777" w:rsidR="00C22B24" w:rsidRPr="00920B12" w:rsidRDefault="00C22B24" w:rsidP="00F94B7E">
      <w:pPr>
        <w:pStyle w:val="blockquote"/>
      </w:pPr>
    </w:p>
    <w:p w14:paraId="4071D9B5" w14:textId="77777777" w:rsidR="005804A9" w:rsidRDefault="750671CE" w:rsidP="00F94B7E">
      <w:pPr>
        <w:pStyle w:val="blockquote"/>
      </w:pPr>
      <w:r>
        <w:t xml:space="preserve">However, under a rule of strict liability, the situation is different. Because an injurer must pay for losses whenever he is involved in an accident, he will be induced to consider the effect on accident losses of both his level of care </w:t>
      </w:r>
      <w:r w:rsidRPr="750671CE">
        <w:rPr>
          <w:i/>
          <w:iCs/>
        </w:rPr>
        <w:t xml:space="preserve">and </w:t>
      </w:r>
      <w:r>
        <w:t xml:space="preserve">his level of activity. His decisions will therefore be efficient. Because drivers will be liable for losses sustained by pedestrians, they will decide not only to exercise due care in driving but also to drive only when the utility gained from it outweighs expected liability payments to pedestrians. </w:t>
      </w:r>
    </w:p>
    <w:p w14:paraId="49EF1A86" w14:textId="5AFDDF21" w:rsidR="008E77DC" w:rsidRDefault="008E77DC">
      <w:pPr>
        <w:rPr>
          <w:rFonts w:ascii="Times New Roman" w:eastAsia="Times New Roman" w:hAnsi="Times New Roman" w:cs="Times New Roman"/>
          <w:lang w:eastAsia="en-US"/>
        </w:rPr>
      </w:pPr>
      <w:r>
        <w:br w:type="page"/>
      </w:r>
    </w:p>
    <w:p w14:paraId="561DAF7E" w14:textId="6E5865BC" w:rsidR="00C22B24" w:rsidRPr="008E77DC" w:rsidRDefault="750671CE" w:rsidP="008E77DC">
      <w:pPr>
        <w:pStyle w:val="Body"/>
        <w:rPr>
          <w:rFonts w:ascii="Times New Roman" w:hAnsi="Times New Roman"/>
        </w:rPr>
      </w:pPr>
      <w:bookmarkStart w:id="260" w:name="_Toc518323300"/>
      <w:r w:rsidRPr="008E77DC">
        <w:rPr>
          <w:rStyle w:val="Heading4Char"/>
          <w:rFonts w:eastAsia="ヒラギノ角ゴ Pro W3"/>
          <w:b w:val="0"/>
          <w:bCs w:val="0"/>
          <w:i w:val="0"/>
          <w:szCs w:val="20"/>
        </w:rPr>
        <w:lastRenderedPageBreak/>
        <w:t xml:space="preserve">Steven Shavell, </w:t>
      </w:r>
      <w:r w:rsidRPr="008E77DC">
        <w:rPr>
          <w:rStyle w:val="Heading4Char"/>
          <w:rFonts w:eastAsia="ヒラギノ角ゴ Pro W3"/>
          <w:b w:val="0"/>
          <w:bCs w:val="0"/>
          <w:szCs w:val="20"/>
        </w:rPr>
        <w:t>Strict Liability versus Negligence</w:t>
      </w:r>
      <w:bookmarkEnd w:id="260"/>
      <w:r w:rsidRPr="008E77DC">
        <w:rPr>
          <w:rFonts w:ascii="Times New Roman" w:hAnsi="Times New Roman"/>
        </w:rPr>
        <w:t xml:space="preserve">, 9 </w:t>
      </w:r>
      <w:r w:rsidRPr="008E77DC">
        <w:rPr>
          <w:rFonts w:ascii="Times New Roman" w:hAnsi="Times New Roman"/>
          <w:smallCaps/>
        </w:rPr>
        <w:t>J. Legal Stud</w:t>
      </w:r>
      <w:r w:rsidRPr="008E77DC">
        <w:rPr>
          <w:rFonts w:ascii="Times New Roman" w:hAnsi="Times New Roman"/>
        </w:rPr>
        <w:t>. 1, 2-3</w:t>
      </w:r>
      <w:r w:rsidR="005804A9" w:rsidRPr="008E77DC">
        <w:rPr>
          <w:rFonts w:ascii="Times New Roman" w:hAnsi="Times New Roman"/>
        </w:rPr>
        <w:t xml:space="preserve"> </w:t>
      </w:r>
      <w:r w:rsidRPr="008E77DC">
        <w:rPr>
          <w:rFonts w:ascii="Times New Roman" w:hAnsi="Times New Roman"/>
        </w:rPr>
        <w:t xml:space="preserve">(1980). </w:t>
      </w:r>
    </w:p>
    <w:p w14:paraId="4BE24AF1" w14:textId="77777777" w:rsidR="00C22B24" w:rsidRPr="00920B12" w:rsidRDefault="00C22B24" w:rsidP="00C22B24">
      <w:pPr>
        <w:pStyle w:val="Nothing"/>
      </w:pPr>
    </w:p>
    <w:p w14:paraId="4361D50B" w14:textId="670B912A" w:rsidR="00C22B24" w:rsidRPr="00920B12" w:rsidRDefault="750671CE" w:rsidP="00F94B7E">
      <w:pPr>
        <w:pStyle w:val="Nothing"/>
        <w:ind w:firstLine="720"/>
      </w:pPr>
      <w:r>
        <w:t xml:space="preserve">Is there a way to incorporate unsafe levels of activity into a cost-benefit analysis of due care? Calabresi offers another alternative to the negligence regime to address this problem in his classic </w:t>
      </w:r>
      <w:r w:rsidR="00B05F31">
        <w:t>“</w:t>
      </w:r>
      <w:r>
        <w:t>The Decision for Accidents</w:t>
      </w:r>
      <w:r w:rsidR="00B05F31">
        <w:t>”</w:t>
      </w:r>
      <w:r>
        <w:t>:</w:t>
      </w:r>
    </w:p>
    <w:p w14:paraId="1B36EA81" w14:textId="77777777" w:rsidR="00C22B24" w:rsidRPr="00920B12" w:rsidRDefault="00C22B24" w:rsidP="00C22B24">
      <w:pPr>
        <w:pStyle w:val="Nothing"/>
      </w:pPr>
    </w:p>
    <w:p w14:paraId="24CF12BC" w14:textId="180FAF3C" w:rsidR="00C22B24" w:rsidRDefault="750671CE" w:rsidP="00F94B7E">
      <w:pPr>
        <w:pStyle w:val="blockquote"/>
      </w:pPr>
      <w:r>
        <w:t xml:space="preserve">There are acts or activities that we would bar in our society regardless of the willingness of the doer to pay for the harm they cause. It is these that we call </w:t>
      </w:r>
      <w:r w:rsidR="00B05F31">
        <w:t>“</w:t>
      </w:r>
      <w:r>
        <w:t>useless</w:t>
      </w:r>
      <w:r w:rsidR="00B05F31">
        <w:t>”</w:t>
      </w:r>
      <w: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920B12" w:rsidRDefault="00C22B24" w:rsidP="00F94B7E">
      <w:pPr>
        <w:pStyle w:val="blockquote"/>
      </w:pPr>
    </w:p>
    <w:p w14:paraId="3FBD39F0" w14:textId="7D856F37" w:rsidR="00C22B24" w:rsidRDefault="750671CE" w:rsidP="00F94B7E">
      <w:pPr>
        <w:pStyle w:val="blockquote"/>
      </w:pPr>
      <w: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t>“</w:t>
      </w:r>
      <w:r>
        <w:t>useless</w:t>
      </w:r>
      <w:r w:rsidR="00B05F31">
        <w:t>”</w:t>
      </w:r>
      <w:r>
        <w:t xml:space="preserve"> act, together with general nonfault liability, would do a far better job of deterring valueless activities of this type.</w:t>
      </w:r>
    </w:p>
    <w:p w14:paraId="59647E02" w14:textId="77777777" w:rsidR="00C22B24" w:rsidRPr="00920B12" w:rsidRDefault="00C22B24" w:rsidP="00F94B7E">
      <w:pPr>
        <w:pStyle w:val="blockquote"/>
      </w:pPr>
    </w:p>
    <w:p w14:paraId="7F42FA0D" w14:textId="5043D52E" w:rsidR="00C22B24" w:rsidRPr="00920B12" w:rsidRDefault="750671CE" w:rsidP="00F94B7E">
      <w:pPr>
        <w:pStyle w:val="blockquote"/>
      </w:pPr>
      <w: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t>’</w:t>
      </w:r>
      <w:r>
        <w:t xml:space="preserve">s formulation that negligence is a balancing of the </w:t>
      </w:r>
      <w:r w:rsidR="00B05F31">
        <w:t>“</w:t>
      </w:r>
      <w:r>
        <w:t>danger of an activity</w:t>
      </w:r>
      <w:r w:rsidR="00B05F31">
        <w:t>”</w:t>
      </w:r>
      <w:r>
        <w:t xml:space="preserve"> against what must usefully be given up to avoid that danger, it is altogether too clear that a system of fault liability is designed to deal only with </w:t>
      </w:r>
      <w:r w:rsidR="00B05F31">
        <w:t>“</w:t>
      </w:r>
      <w:r>
        <w:t>useless</w:t>
      </w:r>
      <w:r w:rsidR="00B05F31">
        <w:t>”</w:t>
      </w:r>
      <w: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according to the number of accidents it causes but according to the number of accidents it causes in which certain predetermined indicia of fault can be attributed to it. This results in a deterrence of only faultily caused </w:t>
      </w:r>
      <w:r>
        <w:lastRenderedPageBreak/>
        <w:t>accidents in an area where by hypothesis we are interested in deterring activities not because of some moral implications but because of the accidents they cause.</w:t>
      </w:r>
    </w:p>
    <w:p w14:paraId="477FB112" w14:textId="77777777" w:rsidR="00C22B24" w:rsidRPr="00920B12" w:rsidRDefault="00C22B24" w:rsidP="00C22B24">
      <w:pPr>
        <w:pStyle w:val="Nothing"/>
        <w:ind w:left="720" w:firstLine="720"/>
      </w:pPr>
    </w:p>
    <w:p w14:paraId="08B8CC32" w14:textId="55563787" w:rsidR="00C22B24" w:rsidRPr="008E77DC" w:rsidRDefault="750671CE" w:rsidP="008E77DC">
      <w:pPr>
        <w:rPr>
          <w:b/>
        </w:rPr>
      </w:pPr>
      <w:bookmarkStart w:id="261" w:name="_Toc518323301"/>
      <w:r w:rsidRPr="008E77DC">
        <w:rPr>
          <w:rStyle w:val="Heading4Char"/>
          <w:b w:val="0"/>
          <w:i w:val="0"/>
        </w:rPr>
        <w:t>Guido Calabresi</w:t>
      </w:r>
      <w:r w:rsidRPr="008E77DC">
        <w:rPr>
          <w:rStyle w:val="Heading4Char"/>
          <w:b w:val="0"/>
        </w:rPr>
        <w:t>, The Decision for Accidents: An Approach to Nonfault Allocation of Costs</w:t>
      </w:r>
      <w:bookmarkEnd w:id="261"/>
      <w:r w:rsidRPr="008E77DC">
        <w:rPr>
          <w:b/>
        </w:rPr>
        <w:t xml:space="preserve">, </w:t>
      </w:r>
      <w:r w:rsidRPr="008E77DC">
        <w:rPr>
          <w:rFonts w:ascii="Times New Roman" w:hAnsi="Times New Roman" w:cs="Times New Roman"/>
        </w:rPr>
        <w:t xml:space="preserve">78 </w:t>
      </w:r>
      <w:r w:rsidRPr="008E77DC">
        <w:rPr>
          <w:rFonts w:ascii="Times New Roman" w:hAnsi="Times New Roman" w:cs="Times New Roman"/>
          <w:smallCaps/>
        </w:rPr>
        <w:t>Harv. L. Rev.</w:t>
      </w:r>
      <w:r w:rsidRPr="008E77DC">
        <w:rPr>
          <w:rFonts w:ascii="Times New Roman" w:hAnsi="Times New Roman" w:cs="Times New Roman"/>
        </w:rPr>
        <w:t xml:space="preserve"> 713, 718-20 (1965).</w:t>
      </w:r>
    </w:p>
    <w:p w14:paraId="347E46AC" w14:textId="77777777" w:rsidR="00C22B24" w:rsidRPr="00920B12" w:rsidRDefault="00C22B24" w:rsidP="00C22B24">
      <w:pPr>
        <w:pStyle w:val="Nothing"/>
      </w:pPr>
    </w:p>
    <w:p w14:paraId="6B6A0A46" w14:textId="767D42FF" w:rsidR="00C22B24" w:rsidRPr="00E972C6" w:rsidRDefault="00C22B24" w:rsidP="750671CE">
      <w:pPr>
        <w:ind w:firstLine="720"/>
        <w:rPr>
          <w:rStyle w:val="DebateUnderline"/>
          <w:rFonts w:ascii="Times New Roman" w:eastAsia="Times New Roman" w:hAnsi="Times New Roman" w:cs="Times New Roman"/>
        </w:rPr>
      </w:pPr>
      <w:bookmarkStart w:id="262" w:name="_Toc428521639"/>
      <w:r w:rsidRPr="750671CE">
        <w:rPr>
          <w:rFonts w:ascii="Times New Roman" w:eastAsia="Times New Roman" w:hAnsi="Times New Roman" w:cs="Times New Roman"/>
        </w:rPr>
        <w:t>Elsewhere, Calabresi makes the point that the nonfault or strict liability standard for accidents would accomplish the same economic goals as Learned Hand</w:t>
      </w:r>
      <w:r w:rsidR="00B05F31">
        <w:rPr>
          <w:rFonts w:ascii="Times New Roman" w:eastAsia="Times New Roman" w:hAnsi="Times New Roman" w:cs="Times New Roman"/>
        </w:rPr>
        <w:t>’</w:t>
      </w:r>
      <w:r w:rsidRPr="750671CE">
        <w:rPr>
          <w:rFonts w:ascii="Times New Roman" w:eastAsia="Times New Roman" w:hAnsi="Times New Roman" w:cs="Times New Roman"/>
        </w:rPr>
        <w:t>s negligence test:</w:t>
      </w:r>
      <w:bookmarkEnd w:id="262"/>
      <w:r w:rsidRPr="750671CE">
        <w:rPr>
          <w:rStyle w:val="DebateUnderline"/>
          <w:rFonts w:ascii="Times New Roman" w:eastAsia="Times New Roman" w:hAnsi="Times New Roman" w:cs="Times New Roman"/>
        </w:rPr>
        <w:t xml:space="preserve"> </w:t>
      </w:r>
    </w:p>
    <w:p w14:paraId="5E191ECE" w14:textId="77777777" w:rsidR="00C22B24" w:rsidRPr="00920B12" w:rsidRDefault="00C22B24" w:rsidP="00C22B24">
      <w:pPr>
        <w:pStyle w:val="Nothing"/>
        <w:rPr>
          <w:rStyle w:val="DebateUnderline"/>
        </w:rPr>
      </w:pPr>
    </w:p>
    <w:p w14:paraId="04BFBCF3" w14:textId="69B9215B" w:rsidR="00C22B24" w:rsidRPr="00920B12" w:rsidRDefault="750671CE" w:rsidP="00F94B7E">
      <w:pPr>
        <w:pStyle w:val="blockquote"/>
      </w:pPr>
      <w: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t>“</w:t>
      </w:r>
      <w:r>
        <w:t>reverse Learned Hand test,</w:t>
      </w:r>
      <w:r w:rsidR="00B05F31">
        <w:t>”</w:t>
      </w:r>
      <w:r>
        <w:t xml:space="preserve">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920B12" w:rsidRDefault="00C22B24" w:rsidP="00C22B24">
      <w:pPr>
        <w:pStyle w:val="Nothing"/>
        <w:ind w:left="720"/>
      </w:pPr>
    </w:p>
    <w:p w14:paraId="539FF788" w14:textId="679D0C82" w:rsidR="00C22B24" w:rsidRPr="008E77DC" w:rsidRDefault="750671CE" w:rsidP="008E77DC">
      <w:pPr>
        <w:rPr>
          <w:rFonts w:ascii="Times New Roman" w:hAnsi="Times New Roman" w:cs="Times New Roman"/>
        </w:rPr>
      </w:pPr>
      <w:bookmarkStart w:id="263" w:name="_Toc518323302"/>
      <w:r w:rsidRPr="008E77DC">
        <w:rPr>
          <w:rStyle w:val="Heading4Char"/>
          <w:b w:val="0"/>
          <w:i w:val="0"/>
        </w:rPr>
        <w:t>Guido Calabresi &amp; Jon T. Hirschoff</w:t>
      </w:r>
      <w:r w:rsidRPr="008E77DC">
        <w:rPr>
          <w:rStyle w:val="Heading4Char"/>
          <w:b w:val="0"/>
        </w:rPr>
        <w:t>, Toward a Test for Strict Liability in Torts</w:t>
      </w:r>
      <w:bookmarkEnd w:id="263"/>
      <w:r w:rsidRPr="008E77DC">
        <w:rPr>
          <w:rStyle w:val="DebateUnderline"/>
          <w:rFonts w:ascii="Times New Roman" w:hAnsi="Times New Roman" w:cs="Times New Roman"/>
          <w:b/>
          <w:u w:val="none"/>
        </w:rPr>
        <w:t xml:space="preserve">, </w:t>
      </w:r>
      <w:r w:rsidRPr="008E77DC">
        <w:rPr>
          <w:rStyle w:val="DebateUnderline"/>
          <w:rFonts w:ascii="Times New Roman" w:hAnsi="Times New Roman" w:cs="Times New Roman"/>
          <w:u w:val="none"/>
        </w:rPr>
        <w:t xml:space="preserve">81 </w:t>
      </w:r>
      <w:r w:rsidRPr="008E77DC">
        <w:rPr>
          <w:rStyle w:val="DebateUnderline"/>
          <w:rFonts w:ascii="Times New Roman" w:hAnsi="Times New Roman" w:cs="Times New Roman"/>
          <w:smallCaps/>
          <w:u w:val="none"/>
        </w:rPr>
        <w:t>Yale L.J.</w:t>
      </w:r>
      <w:r w:rsidRPr="008E77DC">
        <w:rPr>
          <w:rStyle w:val="DebateUnderline"/>
          <w:rFonts w:ascii="Times New Roman" w:hAnsi="Times New Roman" w:cs="Times New Roman"/>
          <w:i/>
          <w:iCs/>
          <w:u w:val="none"/>
        </w:rPr>
        <w:t xml:space="preserve"> </w:t>
      </w:r>
      <w:r w:rsidRPr="008E77DC">
        <w:rPr>
          <w:rStyle w:val="DebateUnderline"/>
          <w:rFonts w:ascii="Times New Roman" w:hAnsi="Times New Roman" w:cs="Times New Roman"/>
          <w:u w:val="none"/>
        </w:rPr>
        <w:t>1055, 1058-</w:t>
      </w:r>
      <w:r w:rsidR="005804A9" w:rsidRPr="008E77DC">
        <w:rPr>
          <w:rStyle w:val="DebateUnderline"/>
          <w:rFonts w:ascii="Times New Roman" w:hAnsi="Times New Roman" w:cs="Times New Roman"/>
          <w:u w:val="none"/>
        </w:rPr>
        <w:t>5</w:t>
      </w:r>
      <w:r w:rsidRPr="008E77DC">
        <w:rPr>
          <w:rStyle w:val="DebateUnderline"/>
          <w:rFonts w:ascii="Times New Roman" w:hAnsi="Times New Roman" w:cs="Times New Roman"/>
          <w:u w:val="none"/>
        </w:rPr>
        <w:t>9 (1972).</w:t>
      </w:r>
    </w:p>
    <w:p w14:paraId="3AE80EE6" w14:textId="77777777" w:rsidR="00C22B24" w:rsidRPr="00920B12" w:rsidRDefault="00C22B24" w:rsidP="00C22B24">
      <w:pPr>
        <w:pStyle w:val="Nothing"/>
        <w:ind w:left="720"/>
      </w:pPr>
    </w:p>
    <w:p w14:paraId="73905602" w14:textId="061D423E" w:rsidR="00C22B24" w:rsidRPr="00920B12" w:rsidRDefault="750671CE" w:rsidP="00C22B24">
      <w:pPr>
        <w:pStyle w:val="Nothing"/>
        <w:ind w:firstLine="720"/>
      </w:pPr>
      <w:r>
        <w:t>The two approaches</w:t>
      </w:r>
      <w:r w:rsidR="00901F21" w:rsidRPr="00901F21">
        <w:t>—</w:t>
      </w:r>
      <w:r>
        <w:t>a cost-benefit fault theory and a nonfault theory of strict liability</w:t>
      </w:r>
      <w:r w:rsidR="00901F21" w:rsidRPr="00901F21">
        <w:t>—</w:t>
      </w:r>
      <w:r>
        <w:t xml:space="preserve">are not completely identical.  </w:t>
      </w:r>
      <w:r w:rsidR="00B05F31">
        <w:t>“</w:t>
      </w:r>
      <w:r>
        <w:t>Under the Learned Hand test,</w:t>
      </w:r>
      <w:r w:rsidR="00B05F31">
        <w:t>”</w:t>
      </w:r>
      <w:r>
        <w:t xml:space="preserve"> write Calabresi and Hirschoff, </w:t>
      </w:r>
      <w:r w:rsidR="00B05F31">
        <w:t>“</w:t>
      </w:r>
      <w:r>
        <w:t>the costs of all accidents not worth avoiding are borne by victims, whereas under the reverse Learned Hand test they would be borne by injurers.</w:t>
      </w:r>
      <w:r w:rsidR="00B05F31">
        <w:t>”</w:t>
      </w:r>
      <w:r>
        <w:t xml:space="preserve">  </w:t>
      </w:r>
      <w:r w:rsidR="002A23B2" w:rsidRPr="002A23B2">
        <w:rPr>
          <w:i/>
        </w:rPr>
        <w:t>Id</w:t>
      </w:r>
      <w:r w:rsidR="002A23B2" w:rsidRPr="00F94B7E">
        <w:rPr>
          <w:i/>
        </w:rPr>
        <w:t>.</w:t>
      </w:r>
      <w:r w:rsidR="002A23B2">
        <w:t xml:space="preserve"> at 1059. </w:t>
      </w:r>
      <w:r w:rsidRPr="002A23B2">
        <w:t>Moreover</w:t>
      </w:r>
      <w:r>
        <w:t>, the choice between fault and nonfault liability standards alters the institutional location of the necessary cost-benefit analysis:</w:t>
      </w:r>
    </w:p>
    <w:p w14:paraId="03407D5F" w14:textId="77777777" w:rsidR="00C22B24" w:rsidRPr="00920B12" w:rsidRDefault="00C22B24" w:rsidP="00C22B24">
      <w:pPr>
        <w:pStyle w:val="Nothing"/>
        <w:ind w:left="720"/>
      </w:pPr>
    </w:p>
    <w:p w14:paraId="5C1655B0" w14:textId="77777777" w:rsidR="00C22B24" w:rsidRPr="00920B12" w:rsidRDefault="750671CE" w:rsidP="00F94B7E">
      <w:pPr>
        <w:pStyle w:val="blockquote"/>
      </w:pPr>
      <w: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920B12" w:rsidRDefault="00C22B24" w:rsidP="00C22B24">
      <w:pPr>
        <w:pStyle w:val="Nothing"/>
        <w:ind w:firstLine="720"/>
      </w:pPr>
    </w:p>
    <w:p w14:paraId="04BC1856" w14:textId="5BEC5899" w:rsidR="00C22B24" w:rsidRPr="00920B12" w:rsidRDefault="750671CE" w:rsidP="00C22B24">
      <w:pPr>
        <w:pStyle w:val="Nothing"/>
      </w:pPr>
      <w:r w:rsidRPr="750671CE">
        <w:rPr>
          <w:i/>
          <w:iCs/>
        </w:rPr>
        <w:t>Id.</w:t>
      </w:r>
      <w:r>
        <w:t xml:space="preserve"> at</w:t>
      </w:r>
      <w:r w:rsidRPr="750671CE">
        <w:rPr>
          <w:i/>
          <w:iCs/>
        </w:rPr>
        <w:t xml:space="preserve"> </w:t>
      </w:r>
      <w:r>
        <w:t xml:space="preserve">1060. Nonfault approaches may not eliminate cost-benefit analysis. In fact, by requiring that private actors bear the social costs of their decisions, they create institutional incentives for those actors to engage in preemptive cost-benefit analysis. Of course, it may matter a great deal that the actors charged with engaging in the cost-benefit calculus are private actors rather than public actors.  For one thing, the allocation of the </w:t>
      </w:r>
      <w:r>
        <w:lastRenderedPageBreak/>
        <w:t>decision-making responsibility to the private sphere means fewer decisions by the state. Is nonfault liability thus less interventionist</w:t>
      </w:r>
      <w:r w:rsidR="00F213AE" w:rsidRPr="00F213AE">
        <w:t>—</w:t>
      </w:r>
      <w:r>
        <w:t>and more favorable toward the private sector</w:t>
      </w:r>
      <w:r w:rsidR="00F213AE" w:rsidRPr="00F213AE">
        <w:t>—</w:t>
      </w:r>
      <w:r>
        <w:t xml:space="preserve">than a liability standard that requires a state determination of fault? </w:t>
      </w:r>
    </w:p>
    <w:p w14:paraId="3EFE4FEB" w14:textId="77777777" w:rsidR="00C22B24" w:rsidRPr="00920B12" w:rsidRDefault="00C22B24" w:rsidP="00C22B24">
      <w:pPr>
        <w:pStyle w:val="Nothing"/>
        <w:rPr>
          <w:b/>
        </w:rPr>
      </w:pPr>
    </w:p>
    <w:p w14:paraId="3D4CB872" w14:textId="77777777" w:rsidR="00C22B24" w:rsidRDefault="00C22B24" w:rsidP="00C22B24">
      <w:pPr>
        <w:pStyle w:val="Nothing"/>
        <w:rPr>
          <w:b/>
        </w:rPr>
      </w:pPr>
    </w:p>
    <w:p w14:paraId="59CCEA20" w14:textId="77777777" w:rsidR="00FB1320" w:rsidRPr="00920B12" w:rsidRDefault="00FB1320" w:rsidP="00C22B24">
      <w:pPr>
        <w:pStyle w:val="Nothing"/>
        <w:rPr>
          <w:b/>
        </w:rPr>
      </w:pPr>
    </w:p>
    <w:p w14:paraId="434CD198" w14:textId="148F39BE" w:rsidR="00C22B24" w:rsidRPr="00F94B7E" w:rsidRDefault="750671CE" w:rsidP="00F94B7E">
      <w:pPr>
        <w:pStyle w:val="ListParagraph"/>
        <w:widowControl w:val="0"/>
        <w:numPr>
          <w:ilvl w:val="0"/>
          <w:numId w:val="89"/>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Cost-</w:t>
      </w:r>
      <w:r w:rsidR="005804A9" w:rsidRPr="00F94B7E">
        <w:rPr>
          <w:rFonts w:ascii="Times New Roman" w:eastAsia="Times New Roman" w:hAnsi="Times New Roman" w:cs="Times New Roman"/>
          <w:i/>
          <w:iCs/>
        </w:rPr>
        <w:t>b</w:t>
      </w:r>
      <w:r w:rsidRPr="00F94B7E">
        <w:rPr>
          <w:rFonts w:ascii="Times New Roman" w:eastAsia="Times New Roman" w:hAnsi="Times New Roman" w:cs="Times New Roman"/>
          <w:i/>
          <w:iCs/>
        </w:rPr>
        <w:t xml:space="preserve">enefit in </w:t>
      </w:r>
      <w:r w:rsidR="005804A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ractice (I): Does </w:t>
      </w:r>
      <w:r w:rsidR="005804A9" w:rsidRPr="00F94B7E">
        <w:rPr>
          <w:rFonts w:ascii="Times New Roman" w:eastAsia="Times New Roman" w:hAnsi="Times New Roman" w:cs="Times New Roman"/>
          <w:i/>
          <w:iCs/>
        </w:rPr>
        <w:t>t</w:t>
      </w:r>
      <w:r w:rsidRPr="00F94B7E">
        <w:rPr>
          <w:rFonts w:ascii="Times New Roman" w:eastAsia="Times New Roman" w:hAnsi="Times New Roman" w:cs="Times New Roman"/>
          <w:i/>
          <w:iCs/>
        </w:rPr>
        <w:t xml:space="preserve">ort </w:t>
      </w:r>
      <w:r w:rsidR="005804A9"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5804A9" w:rsidRPr="00F94B7E">
        <w:rPr>
          <w:rFonts w:ascii="Times New Roman" w:eastAsia="Times New Roman" w:hAnsi="Times New Roman" w:cs="Times New Roman"/>
          <w:i/>
          <w:iCs/>
        </w:rPr>
        <w:t>r</w:t>
      </w:r>
      <w:r w:rsidRPr="00F94B7E">
        <w:rPr>
          <w:rFonts w:ascii="Times New Roman" w:eastAsia="Times New Roman" w:hAnsi="Times New Roman" w:cs="Times New Roman"/>
          <w:i/>
          <w:iCs/>
        </w:rPr>
        <w:t xml:space="preserve">eally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eter?</w:t>
      </w:r>
      <w:r w:rsidRPr="00F94B7E">
        <w:rPr>
          <w:rFonts w:ascii="Times New Roman" w:eastAsia="Times New Roman" w:hAnsi="Times New Roman" w:cs="Times New Roman"/>
        </w:rPr>
        <w:t xml:space="preserve"> 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94B7E">
        <w:rPr>
          <w:rFonts w:ascii="Times New Roman" w:eastAsia="Times New Roman" w:hAnsi="Times New Roman" w:cs="Times New Roman"/>
          <w:i/>
          <w:iCs/>
        </w:rPr>
        <w:t xml:space="preserve"> See</w:t>
      </w:r>
      <w:r w:rsidRPr="00F94B7E">
        <w:rPr>
          <w:rFonts w:ascii="Times New Roman" w:eastAsia="Times New Roman" w:hAnsi="Times New Roman" w:cs="Times New Roman"/>
        </w:rPr>
        <w:t xml:space="preserve"> Fleming James, Jr. &amp; John Dickinson, </w:t>
      </w:r>
      <w:r w:rsidRPr="00F94B7E">
        <w:rPr>
          <w:rFonts w:ascii="Times New Roman" w:eastAsia="Times New Roman" w:hAnsi="Times New Roman" w:cs="Times New Roman"/>
          <w:i/>
          <w:iCs/>
        </w:rPr>
        <w:t>Accident Proneness and Accident Law</w:t>
      </w:r>
      <w:r w:rsidRPr="00F94B7E">
        <w:rPr>
          <w:rFonts w:ascii="Times New Roman" w:eastAsia="Times New Roman" w:hAnsi="Times New Roman" w:cs="Times New Roman"/>
        </w:rPr>
        <w:t xml:space="preserve">, 63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rPr>
        <w:t xml:space="preserve"> 769 (1950).  A generation of scholars followed James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basic idea.</w:t>
      </w:r>
    </w:p>
    <w:p w14:paraId="7511886F" w14:textId="77777777" w:rsidR="00C22B24" w:rsidRDefault="00C22B24" w:rsidP="00C22B24">
      <w:pPr>
        <w:widowControl w:val="0"/>
        <w:autoSpaceDE w:val="0"/>
        <w:autoSpaceDN w:val="0"/>
        <w:adjustRightInd w:val="0"/>
      </w:pPr>
    </w:p>
    <w:p w14:paraId="3CAC10D2" w14:textId="03179F81" w:rsidR="00C22B24" w:rsidRPr="003A0A90"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rPr>
          <w:rFonts w:ascii="Times New Roman" w:eastAsia="Times New Roman" w:hAnsi="Times New Roman" w:cs="Times New Roman"/>
        </w:rPr>
        <w:t>’</w:t>
      </w:r>
      <w:r w:rsidRPr="750671CE">
        <w:rPr>
          <w:rFonts w:ascii="Times New Roman" w:eastAsia="Times New Roman" w:hAnsi="Times New Roman" w:cs="Times New Roman"/>
        </w:rPr>
        <w:t>s custom rather than a state-level physician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custom; the author concluded that such state law changes changed physician practice, making them more uniform across regions and bringing them into line with the national standard.  Michael Frakes, </w:t>
      </w:r>
      <w:r w:rsidRPr="750671CE">
        <w:rPr>
          <w:rFonts w:ascii="Times New Roman" w:eastAsia="Times New Roman" w:hAnsi="Times New Roman" w:cs="Times New Roman"/>
          <w:i/>
          <w:iCs/>
        </w:rPr>
        <w:t>The Impact of Medical Liability Standards on Regional Variations in Physician Behavior: Evidence from the Adoption of National-Standard Rules</w:t>
      </w:r>
      <w:r w:rsidRPr="750671CE">
        <w:rPr>
          <w:rFonts w:ascii="Times New Roman" w:eastAsia="Times New Roman" w:hAnsi="Times New Roman" w:cs="Times New Roman"/>
        </w:rPr>
        <w:t xml:space="preserve">, 103 </w:t>
      </w:r>
      <w:r w:rsidRPr="750671CE">
        <w:rPr>
          <w:rFonts w:ascii="Times New Roman" w:eastAsia="Times New Roman" w:hAnsi="Times New Roman" w:cs="Times New Roman"/>
          <w:smallCaps/>
        </w:rPr>
        <w:t>Am. Econ. Rev</w:t>
      </w:r>
      <w:r w:rsidRPr="750671CE">
        <w:rPr>
          <w:rFonts w:ascii="Times New Roman" w:eastAsia="Times New Roman" w:hAnsi="Times New Roman" w:cs="Times New Roman"/>
        </w:rPr>
        <w:t>. 257 (2013).  The same author finds that reform laws reducing tort damages decrease the number of episiotomies during vaginal deliveries without altering outcomes as shown by newborns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Apgar test scores.  Michael Frakes, </w:t>
      </w:r>
      <w:r w:rsidRPr="00F94B7E">
        <w:rPr>
          <w:rFonts w:ascii="Times New Roman" w:eastAsia="Times New Roman" w:hAnsi="Times New Roman" w:cs="Times New Roman"/>
          <w:i/>
        </w:rPr>
        <w:t>Defensive Medicine and Obstetric Practices</w:t>
      </w:r>
      <w:r w:rsidRPr="750671CE">
        <w:rPr>
          <w:rFonts w:ascii="Times New Roman" w:eastAsia="Times New Roman" w:hAnsi="Times New Roman" w:cs="Times New Roman"/>
        </w:rPr>
        <w:t xml:space="preserve">, 9 J. </w:t>
      </w:r>
      <w:r w:rsidRPr="750671CE">
        <w:rPr>
          <w:rFonts w:ascii="Times New Roman" w:eastAsia="Times New Roman" w:hAnsi="Times New Roman" w:cs="Times New Roman"/>
          <w:smallCaps/>
        </w:rPr>
        <w:t>Empirical Legal. Stud.</w:t>
      </w:r>
      <w:r w:rsidRPr="750671CE">
        <w:rPr>
          <w:rFonts w:ascii="Times New Roman" w:eastAsia="Times New Roman" w:hAnsi="Times New Roman" w:cs="Times New Roman"/>
        </w:rPr>
        <w:t xml:space="preserve"> 457 (2012).  The literature indicates that tort law affects caesarian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   Janet Currie &amp; W. Bentley MacLeod, </w:t>
      </w:r>
      <w:r w:rsidRPr="750671CE">
        <w:rPr>
          <w:rFonts w:ascii="Times New Roman" w:eastAsia="Times New Roman" w:hAnsi="Times New Roman" w:cs="Times New Roman"/>
          <w:i/>
          <w:iCs/>
        </w:rPr>
        <w:t>First Do No Harm? Tort Reform and Birth Outcomes</w:t>
      </w:r>
      <w:r w:rsidRPr="750671CE">
        <w:rPr>
          <w:rFonts w:ascii="Times New Roman" w:eastAsia="Times New Roman" w:hAnsi="Times New Roman" w:cs="Times New Roman"/>
        </w:rPr>
        <w:t xml:space="preserve">, 123 </w:t>
      </w:r>
      <w:r w:rsidRPr="750671CE">
        <w:rPr>
          <w:rFonts w:ascii="Times New Roman" w:eastAsia="Times New Roman" w:hAnsi="Times New Roman" w:cs="Times New Roman"/>
          <w:smallCaps/>
        </w:rPr>
        <w:t>Q. J. Econ</w:t>
      </w:r>
      <w:r w:rsidRPr="750671CE">
        <w:rPr>
          <w:rFonts w:ascii="Times New Roman" w:eastAsia="Times New Roman" w:hAnsi="Times New Roman" w:cs="Times New Roman"/>
        </w:rPr>
        <w:t>. 795 (2008).</w:t>
      </w:r>
    </w:p>
    <w:p w14:paraId="300E23ED" w14:textId="77777777" w:rsidR="00C22B24" w:rsidRDefault="00C22B24" w:rsidP="00C22B24">
      <w:pPr>
        <w:widowControl w:val="0"/>
        <w:autoSpaceDE w:val="0"/>
        <w:autoSpaceDN w:val="0"/>
        <w:adjustRightInd w:val="0"/>
        <w:rPr>
          <w:rFonts w:ascii="Times New Roman" w:hAnsi="Times New Roman" w:cs="Times New Roman"/>
        </w:rPr>
      </w:pPr>
    </w:p>
    <w:p w14:paraId="29851A8F" w14:textId="55A6DB6E" w:rsidR="00C22B24" w:rsidRPr="003A0A90"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Evidence from other areas has been modest and mixed, but still indicates some deterrent effect.  For example, a leading study by </w:t>
      </w:r>
      <w:r w:rsidR="002A23B2">
        <w:rPr>
          <w:rFonts w:ascii="Times New Roman" w:eastAsia="Times New Roman" w:hAnsi="Times New Roman" w:cs="Times New Roman"/>
        </w:rPr>
        <w:t xml:space="preserve">Alma </w:t>
      </w:r>
      <w:r w:rsidRPr="750671CE">
        <w:rPr>
          <w:rFonts w:ascii="Times New Roman" w:eastAsia="Times New Roman" w:hAnsi="Times New Roman" w:cs="Times New Roman"/>
        </w:rPr>
        <w:t xml:space="preserve">Cohen and </w:t>
      </w:r>
      <w:r w:rsidR="002A23B2">
        <w:rPr>
          <w:rFonts w:ascii="Times New Roman" w:eastAsia="Times New Roman" w:hAnsi="Times New Roman" w:cs="Times New Roman"/>
        </w:rPr>
        <w:t xml:space="preserve">Rajeev </w:t>
      </w:r>
      <w:r w:rsidRPr="750671CE">
        <w:rPr>
          <w:rFonts w:ascii="Times New Roman" w:eastAsia="Times New Roman" w:hAnsi="Times New Roman" w:cs="Times New Roman"/>
        </w:rPr>
        <w:t xml:space="preserve">Dehejia found that transitions to no-fault auto liability (and away from tort) led to a 6% increase in traffic-related deaths in the United States.  Alma Cohen </w:t>
      </w:r>
      <w:r w:rsidR="002A23B2">
        <w:rPr>
          <w:rFonts w:ascii="Times New Roman" w:eastAsia="Times New Roman" w:hAnsi="Times New Roman" w:cs="Times New Roman"/>
        </w:rPr>
        <w:t>&amp;</w:t>
      </w:r>
      <w:r w:rsidR="002A23B2"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Rajeev Dehejia, </w:t>
      </w:r>
      <w:r w:rsidRPr="750671CE">
        <w:rPr>
          <w:rFonts w:ascii="Times New Roman" w:eastAsia="Times New Roman" w:hAnsi="Times New Roman" w:cs="Times New Roman"/>
          <w:i/>
          <w:iCs/>
        </w:rPr>
        <w:t>The Effect of Automobile Insurance and Accident Liability Laws on Traffic Fatalities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47 J. L. &amp; Econ.</w:t>
      </w:r>
      <w:r w:rsidRPr="750671CE">
        <w:rPr>
          <w:rFonts w:ascii="Times New Roman" w:eastAsia="Times New Roman" w:hAnsi="Times New Roman" w:cs="Times New Roman"/>
        </w:rPr>
        <w:t xml:space="preserve"> 357 (2004).  Other studies in the same area have been more equivocal, but the methodological obstacles are considerable.</w:t>
      </w:r>
    </w:p>
    <w:p w14:paraId="7258A328" w14:textId="77777777" w:rsidR="00C22B24" w:rsidRDefault="00C22B24" w:rsidP="00C22B24">
      <w:pPr>
        <w:pStyle w:val="Nothing"/>
      </w:pPr>
    </w:p>
    <w:p w14:paraId="4D78331C" w14:textId="77777777" w:rsidR="00C22B24" w:rsidRPr="00920B12" w:rsidRDefault="00C22B24" w:rsidP="00C22B24">
      <w:pPr>
        <w:pStyle w:val="Nothing"/>
        <w:rPr>
          <w:b/>
        </w:rPr>
      </w:pPr>
    </w:p>
    <w:p w14:paraId="174DA37F" w14:textId="5646413C" w:rsidR="00C22B24" w:rsidRPr="00920B12" w:rsidRDefault="750671CE" w:rsidP="00F94B7E">
      <w:pPr>
        <w:pStyle w:val="Nothing"/>
        <w:numPr>
          <w:ilvl w:val="0"/>
          <w:numId w:val="89"/>
        </w:numPr>
        <w:ind w:left="0" w:firstLine="360"/>
        <w:rPr>
          <w:i/>
          <w:iCs/>
        </w:rPr>
      </w:pPr>
      <w:r w:rsidRPr="750671CE">
        <w:rPr>
          <w:i/>
          <w:iCs/>
        </w:rPr>
        <w:t>Cost-</w:t>
      </w:r>
      <w:r w:rsidR="005804A9">
        <w:rPr>
          <w:i/>
          <w:iCs/>
        </w:rPr>
        <w:t>b</w:t>
      </w:r>
      <w:r w:rsidRPr="750671CE">
        <w:rPr>
          <w:i/>
          <w:iCs/>
        </w:rPr>
        <w:t xml:space="preserve">enefit in </w:t>
      </w:r>
      <w:r w:rsidR="005804A9">
        <w:rPr>
          <w:i/>
          <w:iCs/>
        </w:rPr>
        <w:t>p</w:t>
      </w:r>
      <w:r w:rsidRPr="750671CE">
        <w:rPr>
          <w:i/>
          <w:iCs/>
        </w:rPr>
        <w:t xml:space="preserve">ractice (II): The </w:t>
      </w:r>
      <w:r w:rsidR="005804A9">
        <w:rPr>
          <w:i/>
          <w:iCs/>
        </w:rPr>
        <w:t>p</w:t>
      </w:r>
      <w:r w:rsidRPr="750671CE">
        <w:rPr>
          <w:i/>
          <w:iCs/>
        </w:rPr>
        <w:t xml:space="preserve">roblem of </w:t>
      </w:r>
      <w:r w:rsidR="005804A9">
        <w:rPr>
          <w:i/>
          <w:iCs/>
        </w:rPr>
        <w:t>i</w:t>
      </w:r>
      <w:r w:rsidRPr="750671CE">
        <w:rPr>
          <w:i/>
          <w:iCs/>
        </w:rPr>
        <w:t xml:space="preserve">nsurance.  </w:t>
      </w:r>
      <w:r>
        <w:t xml:space="preserve">Assuming that tort law does deter, at least sometimes, what happens when potential plaintiffs and defendants are </w:t>
      </w:r>
      <w:r>
        <w:lastRenderedPageBreak/>
        <w:t xml:space="preserve">insured? How does liability insurance affect the viability of using negligence to deter unwanted and uneconomic acts? Economists and legal scholars call the problem that insurance raises for the behavior of insured actors </w:t>
      </w:r>
      <w:r w:rsidR="00B05F31">
        <w:t>“</w:t>
      </w:r>
      <w:r>
        <w:t>moral hazard.</w:t>
      </w:r>
      <w:r w:rsidR="00B05F31">
        <w:t>”</w:t>
      </w:r>
      <w:r>
        <w:t xml:space="preserve"> If people are insured, the theory goes, they have less incentive to take reasonable precautions to avoid accidents, and our negligence deterrence system will fail.  Recall, for example, the defendant in </w:t>
      </w:r>
      <w:r w:rsidRPr="750671CE">
        <w:rPr>
          <w:i/>
          <w:iCs/>
        </w:rPr>
        <w:t>Vaughn v. Menlove</w:t>
      </w:r>
      <w:r>
        <w:t xml:space="preserve"> from </w:t>
      </w:r>
      <w:r w:rsidR="00C21D6E">
        <w:t>Chapter</w:t>
      </w:r>
      <w:r>
        <w:t xml:space="preserve"> 4, who chose to risk a fire because he had purchased property insurance.</w:t>
      </w:r>
    </w:p>
    <w:p w14:paraId="18860F50" w14:textId="77777777" w:rsidR="00C22B24" w:rsidRPr="00920B12" w:rsidRDefault="00C22B24" w:rsidP="00C22B24">
      <w:pPr>
        <w:pStyle w:val="Nothing"/>
      </w:pPr>
    </w:p>
    <w:p w14:paraId="6A06312C" w14:textId="60417622" w:rsidR="00C22B24" w:rsidRPr="00920B12" w:rsidRDefault="750671CE" w:rsidP="00C22B24">
      <w:pPr>
        <w:pStyle w:val="Nothing"/>
        <w:ind w:firstLine="720"/>
      </w:pPr>
      <w:r>
        <w:t xml:space="preserve">Fleming James, who was skeptical of the significance of rational incentives, concluded that there was no evidence available to prove that increasing rates of insurance led to increased carelessness. Fleming James, Jr., </w:t>
      </w:r>
      <w:r w:rsidRPr="750671CE">
        <w:rPr>
          <w:i/>
          <w:iCs/>
        </w:rPr>
        <w:t>Accident Liability Reconsidered: The Impact of Liability Insurance</w:t>
      </w:r>
      <w:r>
        <w:t xml:space="preserve">, 57 </w:t>
      </w:r>
      <w:r w:rsidRPr="750671CE">
        <w:rPr>
          <w:smallCaps/>
        </w:rPr>
        <w:t xml:space="preserve">Yale L.J. </w:t>
      </w:r>
      <w: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750671CE">
        <w:rPr>
          <w:i/>
          <w:iCs/>
        </w:rPr>
        <w:t>The Effect of Automobile Insurance,</w:t>
      </w:r>
      <w:r>
        <w:t xml:space="preserve"> </w:t>
      </w:r>
      <w:r w:rsidRPr="750671CE">
        <w:rPr>
          <w:i/>
          <w:iCs/>
        </w:rPr>
        <w:t>supra</w:t>
      </w:r>
      <w:r>
        <w:t>.</w:t>
      </w:r>
    </w:p>
    <w:p w14:paraId="0A995F45" w14:textId="77777777" w:rsidR="00C22B24" w:rsidRPr="00920B12" w:rsidRDefault="00C22B24" w:rsidP="00C22B24">
      <w:pPr>
        <w:pStyle w:val="Nothing"/>
      </w:pPr>
    </w:p>
    <w:p w14:paraId="38E89E54" w14:textId="4A5DE04D" w:rsidR="00C22B24" w:rsidRPr="00920B12" w:rsidRDefault="750671CE" w:rsidP="00C22B24">
      <w:pPr>
        <w:pStyle w:val="Nothing"/>
        <w:ind w:firstLine="720"/>
      </w:pPr>
      <w:r>
        <w:t xml:space="preserve">But the connection between insurance and accident rates is not a simple one. Insurance companies know all about moral hazard, of course. 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And once they enter into insurance contracts, they design those contracts to encourage safe behavior; as Professor Tom Baker puts it, insurers seek to create insurance contracts that do </w:t>
      </w:r>
      <w:r w:rsidR="00B05F31">
        <w:t>“</w:t>
      </w:r>
      <w:r>
        <w:t>not encourage the wicked to apply or tempt good people to do wrong.</w:t>
      </w:r>
      <w:r w:rsidR="00B05F31">
        <w:t>”</w:t>
      </w:r>
      <w:r>
        <w:t xml:space="preserve"> Tom Baker, </w:t>
      </w:r>
      <w:r w:rsidRPr="750671CE">
        <w:rPr>
          <w:i/>
          <w:iCs/>
        </w:rPr>
        <w:t>On the Genealogy of Moral Hazard</w:t>
      </w:r>
      <w:r>
        <w:t xml:space="preserve">, 75 </w:t>
      </w:r>
      <w:r w:rsidRPr="750671CE">
        <w:rPr>
          <w:smallCaps/>
        </w:rPr>
        <w:t>Tex. L. Rev.</w:t>
      </w:r>
      <w:r>
        <w:t xml:space="preserve"> 237, 241 (1996).</w:t>
      </w:r>
    </w:p>
    <w:p w14:paraId="4F0EC233" w14:textId="77777777" w:rsidR="00C22B24" w:rsidRPr="00920B12" w:rsidRDefault="00C22B24" w:rsidP="00C22B24">
      <w:pPr>
        <w:pStyle w:val="Nothing"/>
      </w:pPr>
    </w:p>
    <w:p w14:paraId="043CF586" w14:textId="77777777" w:rsidR="00C22B24" w:rsidRPr="00920B12" w:rsidRDefault="750671CE" w:rsidP="00C22B24">
      <w:pPr>
        <w:pStyle w:val="Nothing"/>
        <w:ind w:firstLine="720"/>
      </w:pPr>
      <w:r>
        <w:t xml:space="preserve">One way insurers encourage safety is by developing and disseminating new safety strategies and mechanisms. Insurance companies have powerful incentives—and an ideal institutional position—to aggregate information about risks, to analyze it, and to share it with their policy holders. In one of the most famous examples, firms offering insurance against the catastrophic effects of early steam boilers were almost single-handedly responsible for dramatically reducing the risks of boiler design and maintenance. </w:t>
      </w:r>
      <w:r w:rsidRPr="750671CE">
        <w:rPr>
          <w:i/>
          <w:iCs/>
        </w:rPr>
        <w:t>See</w:t>
      </w:r>
      <w:r>
        <w:t xml:space="preserve"> John Fabian Witt, </w:t>
      </w:r>
      <w:r w:rsidRPr="750671CE">
        <w:rPr>
          <w:i/>
          <w:iCs/>
        </w:rPr>
        <w:t>Speedy Fred Taylor and the Ironies of Enterprise Liability</w:t>
      </w:r>
      <w:r>
        <w:t xml:space="preserve">, 103 </w:t>
      </w:r>
      <w:r w:rsidRPr="750671CE">
        <w:rPr>
          <w:smallCaps/>
        </w:rPr>
        <w:t>Colum. L. Rev.</w:t>
      </w:r>
      <w:r>
        <w:t xml:space="preserve"> 1 (2003). </w:t>
      </w:r>
    </w:p>
    <w:p w14:paraId="31A3C4BC" w14:textId="77777777" w:rsidR="00C22B24" w:rsidRPr="00920B12" w:rsidRDefault="00C22B24" w:rsidP="00C22B24">
      <w:pPr>
        <w:pStyle w:val="Nothing"/>
      </w:pPr>
    </w:p>
    <w:p w14:paraId="72BF3CD5" w14:textId="0E94D5CB" w:rsidR="00C22B24" w:rsidRPr="00920B12" w:rsidRDefault="750671CE" w:rsidP="00C22B24">
      <w:pPr>
        <w:pStyle w:val="Nothing"/>
        <w:ind w:firstLine="720"/>
      </w:pPr>
      <w:r>
        <w:t xml:space="preserve">Liability insurers also typically adopt </w:t>
      </w:r>
      <w:r w:rsidR="00B05F31">
        <w:t>“</w:t>
      </w:r>
      <w:r>
        <w:t>experience rating</w:t>
      </w:r>
      <w:r w:rsidR="00B05F31">
        <w:t>”</w:t>
      </w:r>
      <w: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t>’</w:t>
      </w:r>
      <w:r>
        <w:t xml:space="preserve">s likelihood of being in an accident. Experience rating can thus generate incentives of its own for insured actors </w:t>
      </w:r>
      <w:r>
        <w:lastRenderedPageBreak/>
        <w:t xml:space="preserve">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Pr="750671CE">
        <w:rPr>
          <w:i/>
          <w:iCs/>
        </w:rPr>
        <w:t>See, e.g.,</w:t>
      </w:r>
      <w:r>
        <w:t xml:space="preserve"> John G. Fleming, </w:t>
      </w:r>
      <w:r w:rsidRPr="750671CE">
        <w:rPr>
          <w:i/>
          <w:iCs/>
        </w:rPr>
        <w:t>The Role of Negligence in Modern Tort Law</w:t>
      </w:r>
      <w:r>
        <w:t xml:space="preserve">, 53 </w:t>
      </w:r>
      <w:r w:rsidRPr="750671CE">
        <w:rPr>
          <w:smallCaps/>
        </w:rPr>
        <w:t>Va. L. Rev.</w:t>
      </w:r>
      <w:r>
        <w:t xml:space="preserve"> 815, 825 (1967).</w:t>
      </w:r>
    </w:p>
    <w:p w14:paraId="2D8D9DBB" w14:textId="77777777" w:rsidR="00C22B24" w:rsidRPr="00920B12" w:rsidRDefault="00C22B24" w:rsidP="00C22B24">
      <w:pPr>
        <w:pStyle w:val="Nothing"/>
        <w:ind w:left="720" w:firstLine="720"/>
      </w:pPr>
    </w:p>
    <w:p w14:paraId="2CE8ED92" w14:textId="77777777" w:rsidR="00C22B24" w:rsidRPr="00920B12" w:rsidRDefault="00C22B24" w:rsidP="00C22B24">
      <w:pPr>
        <w:pStyle w:val="Nothing"/>
      </w:pPr>
    </w:p>
    <w:p w14:paraId="7EEEBD52" w14:textId="10416999" w:rsidR="00C22B24" w:rsidRPr="00920B12" w:rsidRDefault="750671CE" w:rsidP="00F94B7E">
      <w:pPr>
        <w:pStyle w:val="Nothing"/>
        <w:numPr>
          <w:ilvl w:val="0"/>
          <w:numId w:val="89"/>
        </w:numPr>
        <w:ind w:left="0" w:firstLine="360"/>
        <w:rPr>
          <w:b/>
          <w:bCs/>
        </w:rPr>
      </w:pPr>
      <w:r w:rsidRPr="750671CE">
        <w:rPr>
          <w:i/>
          <w:iCs/>
        </w:rPr>
        <w:t>Cost-</w:t>
      </w:r>
      <w:r w:rsidR="005F6519">
        <w:rPr>
          <w:i/>
          <w:iCs/>
        </w:rPr>
        <w:t>b</w:t>
      </w:r>
      <w:r w:rsidRPr="750671CE">
        <w:rPr>
          <w:i/>
          <w:iCs/>
        </w:rPr>
        <w:t xml:space="preserve">enefit in </w:t>
      </w:r>
      <w:r w:rsidR="005F6519">
        <w:rPr>
          <w:i/>
          <w:iCs/>
        </w:rPr>
        <w:t>p</w:t>
      </w:r>
      <w:r w:rsidRPr="750671CE">
        <w:rPr>
          <w:i/>
          <w:iCs/>
        </w:rPr>
        <w:t xml:space="preserve">ractice (III): Juries and </w:t>
      </w:r>
      <w:r w:rsidR="00B41D0B">
        <w:rPr>
          <w:i/>
          <w:iCs/>
        </w:rPr>
        <w:t>j</w:t>
      </w:r>
      <w:r w:rsidRPr="750671CE">
        <w:rPr>
          <w:i/>
          <w:iCs/>
        </w:rPr>
        <w:t xml:space="preserve">ury </w:t>
      </w:r>
      <w:r w:rsidR="00B41D0B">
        <w:rPr>
          <w:i/>
          <w:iCs/>
        </w:rPr>
        <w:t>i</w:t>
      </w:r>
      <w:r w:rsidRPr="750671CE">
        <w:rPr>
          <w:i/>
          <w:iCs/>
        </w:rPr>
        <w:t>nstructions</w:t>
      </w:r>
      <w:r>
        <w:t>.  Finally, we are left with the realist</w:t>
      </w:r>
      <w:r w:rsidR="00B05F31">
        <w:t>’</w:t>
      </w:r>
      <w:r>
        <w:t>s question: does cost-benefit analysis actually influence juries</w:t>
      </w:r>
      <w:r w:rsidR="00B05F31">
        <w:t>’</w:t>
      </w:r>
      <w:r>
        <w:t xml:space="preserve"> decisions? Law professors Patrick Kelley and Laurel Wendt reviewed the recommended jury instructions in forty-eight states to see how courts instruct juries on the negligence standard. They laid out five possible interpretations of negligence: (1) whether the defendant</w:t>
      </w:r>
      <w:r w:rsidR="00B05F31">
        <w:t>’</w:t>
      </w:r>
      <w:r>
        <w:t>s conduct was morally wrong according to prevailing community norms; (2) whether individuals in the jury, upon placing themselves in the defendant</w:t>
      </w:r>
      <w:r w:rsidR="00B05F31">
        <w:t>’</w:t>
      </w:r>
      <w: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t>’</w:t>
      </w:r>
      <w:r>
        <w:t xml:space="preserve">s actions accorded with an </w:t>
      </w:r>
      <w:r w:rsidRPr="750671CE">
        <w:rPr>
          <w:i/>
          <w:iCs/>
        </w:rPr>
        <w:t>ex ante</w:t>
      </w:r>
      <w:r>
        <w:t xml:space="preserve"> cost-benefit analysis, as described by Hand in </w:t>
      </w:r>
      <w:r w:rsidRPr="750671CE">
        <w:rPr>
          <w:i/>
          <w:iCs/>
        </w:rPr>
        <w:t>Carroll Towing</w:t>
      </w:r>
      <w:r>
        <w:t>.</w:t>
      </w:r>
    </w:p>
    <w:p w14:paraId="27E1F757" w14:textId="77777777" w:rsidR="00C22B24" w:rsidRPr="00920B12" w:rsidRDefault="00C22B24" w:rsidP="00C22B24">
      <w:pPr>
        <w:pStyle w:val="Nothing"/>
      </w:pPr>
    </w:p>
    <w:p w14:paraId="22DA8485" w14:textId="628B9AE4" w:rsidR="00C22B24" w:rsidRPr="00920B12" w:rsidRDefault="750671CE" w:rsidP="00C22B24">
      <w:pPr>
        <w:pStyle w:val="Nothing"/>
        <w:ind w:firstLine="720"/>
      </w:pPr>
      <w:r>
        <w:t>They found that the first three interpretations had varying support by states</w:t>
      </w:r>
      <w:r w:rsidR="00B05F31">
        <w:t>’</w:t>
      </w:r>
      <w:r>
        <w:t xml:space="preserve"> jury instructions. However, </w:t>
      </w:r>
      <w:r w:rsidR="0029559F">
        <w:t>they found judges rarely instructed juries using the</w:t>
      </w:r>
      <w:r>
        <w:t xml:space="preserve"> fourth</w:t>
      </w:r>
      <w:r w:rsidR="0029559F">
        <w:t xml:space="preserve"> or</w:t>
      </w:r>
      <w:r>
        <w:t xml:space="preserve"> fifth interpretations of the negligence standard</w:t>
      </w:r>
      <w:r w:rsidR="0029559F">
        <w:t>.</w:t>
      </w:r>
    </w:p>
    <w:p w14:paraId="341AB9D5" w14:textId="77777777" w:rsidR="00C22B24" w:rsidRPr="00920B12" w:rsidRDefault="00C22B24" w:rsidP="00C22B24">
      <w:pPr>
        <w:pStyle w:val="Nothing"/>
      </w:pPr>
    </w:p>
    <w:p w14:paraId="00580037" w14:textId="219E1F84" w:rsidR="00C22B24" w:rsidRDefault="750671CE" w:rsidP="00F94B7E">
      <w:pPr>
        <w:pStyle w:val="blockquote"/>
      </w:pPr>
      <w:r>
        <w:t>[T]here seems to be no support in the pattern negligence instructions for Holmes</w:t>
      </w:r>
      <w:r w:rsidR="00B05F31">
        <w:t>’</w:t>
      </w:r>
      <w:r>
        <w:t>s theory of the negligence standard. Foreseeability is not mentioned in most of the negligence instructions, and [in the five states] where it is, the foreseeability of danger from the defendant</w:t>
      </w:r>
      <w:r w:rsidR="00B05F31">
        <w:t>’</w:t>
      </w:r>
      <w:r>
        <w:t xml:space="preserve">s conduct </w:t>
      </w:r>
      <w:r w:rsidRPr="750671CE">
        <w:rPr>
          <w:i/>
          <w:iCs/>
        </w:rPr>
        <w:t>simpliciter</w:t>
      </w:r>
      <w:r>
        <w:t xml:space="preserve"> is not presented as the negligence standard</w:t>
      </w:r>
      <w:r w:rsidR="005804A9">
        <w:t xml:space="preserve"> </w:t>
      </w:r>
      <w:r>
        <w:t>.</w:t>
      </w:r>
      <w:r w:rsidR="005804A9">
        <w:t xml:space="preserve"> </w:t>
      </w:r>
      <w:r>
        <w:t>.</w:t>
      </w:r>
      <w:r w:rsidR="005804A9">
        <w:t xml:space="preserve"> </w:t>
      </w:r>
      <w:r>
        <w:t>.</w:t>
      </w:r>
      <w:r w:rsidR="005804A9">
        <w:t xml:space="preserve"> .</w:t>
      </w:r>
    </w:p>
    <w:p w14:paraId="4B0CFDAB" w14:textId="77777777" w:rsidR="00C22B24" w:rsidRPr="00920B12" w:rsidRDefault="00C22B24" w:rsidP="00F94B7E">
      <w:pPr>
        <w:pStyle w:val="blockquote"/>
      </w:pPr>
    </w:p>
    <w:p w14:paraId="4C6C7219" w14:textId="20C209C7" w:rsidR="00C22B24" w:rsidRPr="00920B12" w:rsidRDefault="750671CE" w:rsidP="00F94B7E">
      <w:pPr>
        <w:pStyle w:val="blockquote"/>
      </w:pPr>
      <w: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t>’</w:t>
      </w:r>
      <w:r>
        <w:t>s provision set out the detailed cost-benefit explanation of unreasonable foreseeable risk. . . . Each instruction identifies foreseeability as the foresight of an ordinary prudent person, and all but Wisconsin</w:t>
      </w:r>
      <w:r w:rsidR="00B05F31">
        <w:t>’</w:t>
      </w:r>
      <w:r>
        <w:t>s instructions ask the jury to determine, in addition to foreseeable harm from the defendant</w:t>
      </w:r>
      <w:r w:rsidR="00B05F31">
        <w:t>’</w:t>
      </w:r>
      <w:r>
        <w:t>s act, whether that conduct could reasonably be avoided, or whether the act is one that a reasonably prudent person, in the exercise of ordinary care, would not do</w:t>
      </w:r>
      <w:r w:rsidR="004E53A6">
        <w:t xml:space="preserve">. . . . </w:t>
      </w:r>
      <w:r>
        <w:t xml:space="preserve">It seems to us that a jury would interpret that standard not as an invitation to engage in cost-benefit analysis, but as an invitation </w:t>
      </w:r>
      <w:r>
        <w:lastRenderedPageBreak/>
        <w:t>to determine how reasonably careful people in their community would in fact act in light of all the circumstances, including the foreseeable risk of harm to others from the proposed conduct.</w:t>
      </w:r>
    </w:p>
    <w:p w14:paraId="7761FD4C" w14:textId="77777777" w:rsidR="00C22B24" w:rsidRPr="00920B12" w:rsidRDefault="00C22B24" w:rsidP="00C22B24">
      <w:pPr>
        <w:pStyle w:val="Nothing"/>
        <w:ind w:left="720" w:firstLine="720"/>
      </w:pPr>
    </w:p>
    <w:p w14:paraId="053F531C" w14:textId="4EFDCED0" w:rsidR="00C22B24" w:rsidRPr="00920B12" w:rsidRDefault="750671CE" w:rsidP="00C22B24">
      <w:pPr>
        <w:pStyle w:val="Nothing"/>
      </w:pPr>
      <w:r>
        <w:t xml:space="preserve">Patrick J. Kelley </w:t>
      </w:r>
      <w:r w:rsidR="000B20BA">
        <w:t xml:space="preserve">&amp; </w:t>
      </w:r>
      <w:r>
        <w:t xml:space="preserve">Laurel A. Wendt, </w:t>
      </w:r>
      <w:r w:rsidRPr="750671CE">
        <w:rPr>
          <w:i/>
          <w:iCs/>
        </w:rPr>
        <w:t>What Judges Tell Juries About Negligence: A Review of Pattern Jury Instructions</w:t>
      </w:r>
      <w:r>
        <w:t xml:space="preserve">, 77 </w:t>
      </w:r>
      <w:r w:rsidRPr="750671CE">
        <w:rPr>
          <w:smallCaps/>
        </w:rPr>
        <w:t>Chi.-Kent L. Rev.</w:t>
      </w:r>
      <w:r>
        <w:t xml:space="preserve"> 587, 619-20 (2002). </w:t>
      </w:r>
    </w:p>
    <w:p w14:paraId="69640E72" w14:textId="77777777" w:rsidR="00C22B24" w:rsidRPr="00920B12" w:rsidRDefault="00C22B24" w:rsidP="00C22B24">
      <w:pPr>
        <w:pStyle w:val="Nothing"/>
      </w:pPr>
    </w:p>
    <w:p w14:paraId="3E8B0AE0" w14:textId="298AEF31" w:rsidR="00C22B24" w:rsidRPr="00920B12" w:rsidRDefault="750671CE" w:rsidP="00C22B24">
      <w:pPr>
        <w:pStyle w:val="Nothing"/>
        <w:ind w:firstLine="720"/>
      </w:pPr>
      <w: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t>’</w:t>
      </w:r>
      <w:r>
        <w:t>s actions falls outside the bounds of a reasonably careful or prudent person.  Are they right in thinking that the state jury instructions they found rule out the cost-benefit approach?  Wouldn</w:t>
      </w:r>
      <w:r w:rsidR="00B05F31">
        <w:t>’</w:t>
      </w:r>
      <w:r>
        <w:t xml:space="preserve">t a reasonably prudent person engage in a cost-benefit analysis before acting? Do reasonably prudent people do </w:t>
      </w:r>
      <w:r w:rsidRPr="750671CE">
        <w:rPr>
          <w:i/>
          <w:iCs/>
        </w:rPr>
        <w:t>some kind</w:t>
      </w:r>
      <w:r>
        <w:t xml:space="preserve"> of cost-benefit analysis, even if by the seat of their pants? Should they?  Is there any alternative?</w:t>
      </w:r>
    </w:p>
    <w:p w14:paraId="772CF695" w14:textId="77777777" w:rsidR="00C22B24" w:rsidRPr="00920B12" w:rsidRDefault="00C22B24" w:rsidP="00C22B24">
      <w:pPr>
        <w:pStyle w:val="Nothing"/>
        <w:rPr>
          <w:b/>
        </w:rPr>
      </w:pPr>
    </w:p>
    <w:p w14:paraId="12FCAFB6" w14:textId="77777777" w:rsidR="00C22B24" w:rsidRPr="00920B12" w:rsidRDefault="750671CE" w:rsidP="00C22B24">
      <w:pPr>
        <w:pStyle w:val="Nothing"/>
        <w:ind w:firstLine="720"/>
      </w:pPr>
      <w:r>
        <w:t xml:space="preserve">One possible alternative to the cost-benefit approach to reasonable care arises in those settings where, in some jurisdictions, certain actors are said to be held to a standard of care higher than reasonable care.  Consider the next case, </w:t>
      </w:r>
      <w:r w:rsidRPr="750671CE">
        <w:rPr>
          <w:i/>
          <w:iCs/>
        </w:rPr>
        <w:t>Andrews v. United Airlines</w:t>
      </w:r>
      <w:r>
        <w:t>.</w:t>
      </w:r>
    </w:p>
    <w:p w14:paraId="02ED9D15" w14:textId="77777777" w:rsidR="00C22B24" w:rsidRDefault="00C22B24" w:rsidP="00C22B24">
      <w:pPr>
        <w:pStyle w:val="Nothing"/>
        <w:rPr>
          <w:b/>
        </w:rPr>
      </w:pPr>
    </w:p>
    <w:p w14:paraId="4C1FEAB7" w14:textId="77777777" w:rsidR="00726CC3" w:rsidRPr="00920B12" w:rsidRDefault="00726CC3" w:rsidP="00C22B24">
      <w:pPr>
        <w:pStyle w:val="Nothing"/>
        <w:rPr>
          <w:b/>
        </w:rPr>
      </w:pPr>
    </w:p>
    <w:p w14:paraId="70AFD870" w14:textId="77777777" w:rsidR="00C22B24" w:rsidRPr="00920B12" w:rsidRDefault="00C22B24" w:rsidP="750671CE">
      <w:pPr>
        <w:pStyle w:val="Nothing"/>
        <w:rPr>
          <w:b/>
          <w:bCs/>
        </w:rPr>
      </w:pPr>
      <w:bookmarkStart w:id="264" w:name="_Toc518323303"/>
      <w:r w:rsidRPr="0029559F">
        <w:rPr>
          <w:rStyle w:val="Heading4Char"/>
        </w:rPr>
        <w:t>Andrews v. United Airlines</w:t>
      </w:r>
      <w:bookmarkEnd w:id="264"/>
      <w:r w:rsidRPr="750671CE">
        <w:rPr>
          <w:b/>
          <w:bCs/>
        </w:rPr>
        <w:t>, 24 F.3d 39 (9th Cir. 1994)</w:t>
      </w:r>
    </w:p>
    <w:p w14:paraId="250F282B" w14:textId="77777777" w:rsidR="00C22B24" w:rsidRPr="00920B12" w:rsidRDefault="00C22B24" w:rsidP="00C22B24">
      <w:pPr>
        <w:pStyle w:val="Nothing"/>
        <w:rPr>
          <w:b/>
        </w:rPr>
      </w:pPr>
    </w:p>
    <w:p w14:paraId="5184BE2E" w14:textId="79F3F240"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smallCaps/>
        </w:rPr>
        <w:t>Kozinski, J.</w:t>
      </w:r>
      <w:r w:rsidRPr="750671CE">
        <w:rPr>
          <w:rFonts w:ascii="Times New Roman" w:eastAsia="Times New Roman" w:hAnsi="Times New Roman" w:cs="Times New Roman"/>
        </w:rPr>
        <w:t xml:space="preserve"> We are called upon to determine whether United Airlines took adequate measures to deal with that elementary notion of physics</w:t>
      </w:r>
      <w:r w:rsidR="008C2589" w:rsidRPr="008C2589">
        <w:rPr>
          <w:rFonts w:ascii="Times New Roman" w:eastAsia="Times New Roman" w:hAnsi="Times New Roman" w:cs="Times New Roman"/>
        </w:rPr>
        <w:t>—</w:t>
      </w:r>
      <w:r w:rsidRPr="750671CE">
        <w:rPr>
          <w:rFonts w:ascii="Times New Roman" w:eastAsia="Times New Roman" w:hAnsi="Times New Roman" w:cs="Times New Roman"/>
        </w:rPr>
        <w:t>what goes up, must come down. For, while the skies are friendly enough, the ground can be a mighty dangerous place when heavy objects tumble from overhead compartments.</w:t>
      </w:r>
    </w:p>
    <w:p w14:paraId="6C80CC44"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24293993" w14:textId="77777777" w:rsidR="00C22B24" w:rsidRPr="00920B12" w:rsidRDefault="750671CE" w:rsidP="750671CE">
      <w:pPr>
        <w:widowControl w:val="0"/>
        <w:autoSpaceDE w:val="0"/>
        <w:autoSpaceDN w:val="0"/>
        <w:adjustRightInd w:val="0"/>
        <w:jc w:val="center"/>
        <w:rPr>
          <w:rFonts w:ascii="Times New Roman" w:eastAsia="Times New Roman" w:hAnsi="Times New Roman" w:cs="Times New Roman"/>
        </w:rPr>
      </w:pPr>
      <w:r w:rsidRPr="750671CE">
        <w:rPr>
          <w:rFonts w:ascii="Times New Roman" w:eastAsia="Times New Roman" w:hAnsi="Times New Roman" w:cs="Times New Roman"/>
        </w:rPr>
        <w:t>I</w:t>
      </w:r>
    </w:p>
    <w:p w14:paraId="5C929365" w14:textId="0B090968"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During the mad scramble that usually follows hard upon an airplane</w:t>
      </w:r>
      <w:r w:rsidR="00B05F31">
        <w:rPr>
          <w:rFonts w:ascii="Times New Roman" w:eastAsia="Times New Roman" w:hAnsi="Times New Roman" w:cs="Times New Roman"/>
        </w:rPr>
        <w:t>’</w:t>
      </w:r>
      <w:r w:rsidRPr="750671CE">
        <w:rPr>
          <w:rFonts w:ascii="Times New Roman" w:eastAsia="Times New Roman" w:hAnsi="Times New Roman" w:cs="Times New Roman"/>
        </w:rPr>
        <w:t>s arrival at the gate, a briefcase fell from an overhead compartment and seriously injured plaintiff Billie Jean Andrews. No one knows who opened the compartment or what caused the briefcase to fall, and Andrews doesn</w:t>
      </w:r>
      <w:r w:rsidR="00B05F31">
        <w:rPr>
          <w:rFonts w:ascii="Times New Roman" w:eastAsia="Times New Roman" w:hAnsi="Times New Roman" w:cs="Times New Roman"/>
        </w:rPr>
        <w:t>’</w:t>
      </w:r>
      <w:r w:rsidRPr="750671CE">
        <w:rPr>
          <w:rFonts w:ascii="Times New Roman" w:eastAsia="Times New Roman" w:hAnsi="Times New Roman" w:cs="Times New Roman"/>
        </w:rPr>
        <w:t>t claim that airline personnel were involved in stowing the object or opening the bin. Her claim, rather, is that the injury was foreseeable and the airline didn</w:t>
      </w:r>
      <w:r w:rsidR="00B05F31">
        <w:rPr>
          <w:rFonts w:ascii="Times New Roman" w:eastAsia="Times New Roman" w:hAnsi="Times New Roman" w:cs="Times New Roman"/>
        </w:rPr>
        <w:t>’</w:t>
      </w:r>
      <w:r w:rsidRPr="750671CE">
        <w:rPr>
          <w:rFonts w:ascii="Times New Roman" w:eastAsia="Times New Roman" w:hAnsi="Times New Roman" w:cs="Times New Roman"/>
        </w:rPr>
        <w:t>t prevent it.</w:t>
      </w:r>
    </w:p>
    <w:p w14:paraId="7E2D5F1B"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6A30B32E" w14:textId="532C6A53" w:rsidR="00C22B24" w:rsidRPr="00920B12" w:rsidRDefault="750671CE" w:rsidP="00F94B7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rPr>
        <w:t>The district court dismissed the suit on summary judgment, and we review de novo.</w:t>
      </w:r>
      <w:r w:rsidR="00FE13AF">
        <w:rPr>
          <w:rFonts w:ascii="Times New Roman" w:eastAsia="Times New Roman" w:hAnsi="Times New Roman" w:cs="Times New Roman"/>
        </w:rPr>
        <w:t xml:space="preserve"> . . .</w:t>
      </w:r>
    </w:p>
    <w:p w14:paraId="6956D129"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42A30FD9" w14:textId="77777777" w:rsidR="00C22B24" w:rsidRPr="00920B12" w:rsidRDefault="750671CE" w:rsidP="750671CE">
      <w:pPr>
        <w:widowControl w:val="0"/>
        <w:autoSpaceDE w:val="0"/>
        <w:autoSpaceDN w:val="0"/>
        <w:adjustRightInd w:val="0"/>
        <w:jc w:val="center"/>
        <w:rPr>
          <w:rFonts w:ascii="Times New Roman" w:eastAsia="Times New Roman" w:hAnsi="Times New Roman" w:cs="Times New Roman"/>
        </w:rPr>
      </w:pPr>
      <w:r w:rsidRPr="750671CE">
        <w:rPr>
          <w:rFonts w:ascii="Times New Roman" w:eastAsia="Times New Roman" w:hAnsi="Times New Roman" w:cs="Times New Roman"/>
        </w:rPr>
        <w:t>II</w:t>
      </w:r>
    </w:p>
    <w:p w14:paraId="04A3DEA3" w14:textId="6561BE06" w:rsidR="00C22B24" w:rsidRPr="00920B12" w:rsidRDefault="750671CE" w:rsidP="750671CE">
      <w:pPr>
        <w:widowControl w:val="0"/>
        <w:autoSpaceDE w:val="0"/>
        <w:autoSpaceDN w:val="0"/>
        <w:adjustRightInd w:val="0"/>
        <w:ind w:firstLine="720"/>
        <w:rPr>
          <w:rFonts w:ascii="Times New Roman" w:eastAsia="Times New Roman" w:hAnsi="Times New Roman" w:cs="Times New Roman"/>
          <w:i/>
          <w:iCs/>
        </w:rPr>
      </w:pPr>
      <w:r w:rsidRPr="750671CE">
        <w:rPr>
          <w:rFonts w:ascii="Times New Roman" w:eastAsia="Times New Roman" w:hAnsi="Times New Roman" w:cs="Times New Roman"/>
        </w:rPr>
        <w:t xml:space="preserve">The parties agree that United Airlines is a common carrier and as such </w:t>
      </w:r>
      <w:r w:rsidR="00B05F31">
        <w:rPr>
          <w:rFonts w:ascii="Times New Roman" w:eastAsia="Times New Roman" w:hAnsi="Times New Roman" w:cs="Times New Roman"/>
        </w:rPr>
        <w:t>“</w:t>
      </w:r>
      <w:r w:rsidRPr="750671CE">
        <w:rPr>
          <w:rFonts w:ascii="Times New Roman" w:eastAsia="Times New Roman" w:hAnsi="Times New Roman" w:cs="Times New Roman"/>
        </w:rPr>
        <w:t>owe[s] both a duty of utmost care and the vigilance of a very cautious person towards [its] passengers.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hyperlink r:id="rId45">
        <w:r w:rsidRPr="750671CE">
          <w:rPr>
            <w:rFonts w:ascii="Times New Roman" w:eastAsia="Times New Roman" w:hAnsi="Times New Roman" w:cs="Times New Roman"/>
            <w:i/>
            <w:iCs/>
          </w:rPr>
          <w:t>Acosta v. Southern Cal. Rapid Transit Dist.,</w:t>
        </w:r>
        <w:r w:rsidRPr="750671CE">
          <w:rPr>
            <w:rFonts w:ascii="Times New Roman" w:eastAsia="Times New Roman" w:hAnsi="Times New Roman" w:cs="Times New Roman"/>
          </w:rPr>
          <w:t xml:space="preserve"> 2 Cal.3d 19, (1970)</w:t>
        </w:r>
      </w:hyperlink>
      <w:r w:rsidRPr="750671CE">
        <w:rPr>
          <w:rFonts w:ascii="Times New Roman" w:eastAsia="Times New Roman" w:hAnsi="Times New Roman" w:cs="Times New Roman"/>
        </w:rPr>
        <w:t xml:space="preserve">. Though United is </w:t>
      </w:r>
      <w:r w:rsidR="00B05F31">
        <w:rPr>
          <w:rFonts w:ascii="Times New Roman" w:eastAsia="Times New Roman" w:hAnsi="Times New Roman" w:cs="Times New Roman"/>
        </w:rPr>
        <w:t>“</w:t>
      </w:r>
      <w:r w:rsidRPr="750671CE">
        <w:rPr>
          <w:rFonts w:ascii="Times New Roman" w:eastAsia="Times New Roman" w:hAnsi="Times New Roman" w:cs="Times New Roman"/>
        </w:rPr>
        <w:t>responsible for any, even the slightest, negligence and [is] required to do all that human care, vigilance, and foresight reasonably can do under all the circumstances,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is not an insurer of its passengers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safety.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degree of care and diligence which [it] </w:t>
      </w:r>
      <w:r w:rsidRPr="750671CE">
        <w:rPr>
          <w:rFonts w:ascii="Times New Roman" w:eastAsia="Times New Roman" w:hAnsi="Times New Roman" w:cs="Times New Roman"/>
        </w:rPr>
        <w:lastRenderedPageBreak/>
        <w:t>must exercise is only such as can reasonably be exercised consistent with the character and mode of conveyance adopted and the practical operation of [its] business</w:t>
      </w:r>
      <w:r w:rsidR="00FE13AF">
        <w:rPr>
          <w:rFonts w:ascii="Times New Roman" w:eastAsia="Times New Roman" w:hAnsi="Times New Roman" w:cs="Times New Roman"/>
        </w:rPr>
        <w:t>. . . .”</w:t>
      </w:r>
    </w:p>
    <w:p w14:paraId="1DA0CEC9"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3D29B802" w14:textId="1282A903"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To show that United did not satisfy its duty of care toward its passengers, Ms. Andrews presented the testimony of two witnesses. The first was Janice Northcott, United</w:t>
      </w:r>
      <w:r w:rsidR="00B05F31">
        <w:rPr>
          <w:rFonts w:ascii="Times New Roman" w:eastAsia="Times New Roman" w:hAnsi="Times New Roman" w:cs="Times New Roman"/>
        </w:rPr>
        <w:t>’</w:t>
      </w:r>
      <w:r w:rsidRPr="750671CE">
        <w:rPr>
          <w:rFonts w:ascii="Times New Roman" w:eastAsia="Times New Roman" w:hAnsi="Times New Roman" w:cs="Times New Roman"/>
        </w:rPr>
        <w:t>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79A03AF4" w14:textId="721E0705"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Ms. Andrews</w:t>
      </w:r>
      <w:r w:rsidR="00B05F31">
        <w:rPr>
          <w:rFonts w:ascii="Times New Roman" w:eastAsia="Times New Roman" w:hAnsi="Times New Roman" w:cs="Times New Roman"/>
        </w:rPr>
        <w:t>’</w:t>
      </w:r>
      <w:r w:rsidRPr="750671CE">
        <w:rPr>
          <w:rFonts w:ascii="Times New Roman" w:eastAsia="Times New Roman" w:hAnsi="Times New Roman" w:cs="Times New Roman"/>
        </w:rPr>
        <w:t>s second witness was safety and human factors expert Dr. David Thompson, who testified that United</w:t>
      </w:r>
      <w:r w:rsidR="00B05F31">
        <w:rPr>
          <w:rFonts w:ascii="Times New Roman" w:eastAsia="Times New Roman" w:hAnsi="Times New Roman" w:cs="Times New Roman"/>
        </w:rPr>
        <w:t>’</w:t>
      </w:r>
      <w:r w:rsidRPr="750671CE">
        <w:rPr>
          <w:rFonts w:ascii="Times New Roman" w:eastAsia="Times New Roman" w:hAnsi="Times New Roman" w:cs="Times New Roman"/>
        </w:rPr>
        <w:t>s announcement was ineffective because passengers opening overhead bins couldn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see objects poised to fall until the bins were opened, by which time it was too late. 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65901CD6" w14:textId="75FD5F90"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rPr>
          <w:rFonts w:ascii="Times New Roman" w:eastAsia="Times New Roman" w:hAnsi="Times New Roman" w:cs="Times New Roman"/>
        </w:rPr>
        <w:t>’</w:t>
      </w:r>
      <w:r w:rsidRPr="750671CE">
        <w:rPr>
          <w:rFonts w:ascii="Times New Roman" w:eastAsia="Times New Roman" w:hAnsi="Times New Roman" w:cs="Times New Roman"/>
        </w:rPr>
        <w:t>s expert would not merit the additional cost and inconvenience to airline passengers.</w:t>
      </w:r>
    </w:p>
    <w:p w14:paraId="64AF3015" w14:textId="77777777" w:rsidR="00C22B24" w:rsidRPr="00920B12" w:rsidRDefault="00C22B24" w:rsidP="00864D7F">
      <w:pPr>
        <w:widowControl w:val="0"/>
        <w:autoSpaceDE w:val="0"/>
        <w:autoSpaceDN w:val="0"/>
        <w:adjustRightInd w:val="0"/>
        <w:ind w:firstLine="720"/>
        <w:rPr>
          <w:rFonts w:ascii="Times New Roman" w:hAnsi="Times New Roman" w:cs="Times New Roman"/>
        </w:rPr>
      </w:pPr>
    </w:p>
    <w:p w14:paraId="2FD47683" w14:textId="77777777" w:rsidR="00C22B24" w:rsidRPr="00920B12" w:rsidRDefault="750671CE" w:rsidP="750671CE">
      <w:pPr>
        <w:widowControl w:val="0"/>
        <w:autoSpaceDE w:val="0"/>
        <w:autoSpaceDN w:val="0"/>
        <w:adjustRightInd w:val="0"/>
        <w:jc w:val="center"/>
        <w:rPr>
          <w:rFonts w:ascii="Times New Roman" w:eastAsia="Times New Roman" w:hAnsi="Times New Roman" w:cs="Times New Roman"/>
        </w:rPr>
      </w:pPr>
      <w:r w:rsidRPr="750671CE">
        <w:rPr>
          <w:rFonts w:ascii="Times New Roman" w:eastAsia="Times New Roman" w:hAnsi="Times New Roman" w:cs="Times New Roman"/>
        </w:rPr>
        <w:t>III</w:t>
      </w:r>
    </w:p>
    <w:p w14:paraId="04D3541D" w14:textId="71C3EBC8"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rPr>
          <w:rFonts w:ascii="Times New Roman" w:eastAsia="Times New Roman" w:hAnsi="Times New Roman" w:cs="Times New Roman"/>
        </w:rPr>
        <w:t>“</w:t>
      </w:r>
      <w:r w:rsidRPr="750671CE">
        <w:rPr>
          <w:rFonts w:ascii="Times New Roman" w:eastAsia="Times New Roman" w:hAnsi="Times New Roman" w:cs="Times New Roman"/>
        </w:rPr>
        <w:t>consistent with the character and mode of [airline travel] and the practical operation of [that] business</w:t>
      </w:r>
      <w:r w:rsidR="002551B1">
        <w:rPr>
          <w:rFonts w:ascii="Times New Roman" w:eastAsia="Times New Roman" w:hAnsi="Times New Roman" w:cs="Times New Roman"/>
        </w:rPr>
        <w:t>. . .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rPr>
          <w:rFonts w:ascii="Times New Roman" w:eastAsia="Times New Roman" w:hAnsi="Times New Roman" w:cs="Times New Roman"/>
        </w:rPr>
        <w:t>“</w:t>
      </w:r>
      <w:r w:rsidRPr="750671CE">
        <w:rPr>
          <w:rFonts w:ascii="Times New Roman" w:eastAsia="Times New Roman" w:hAnsi="Times New Roman" w:cs="Times New Roman"/>
        </w:rPr>
        <w:t>all that human care, vigilance, and foresight reasonably can do under all the circumstances.</w:t>
      </w:r>
      <w:r w:rsidR="00B05F31">
        <w:rPr>
          <w:rFonts w:ascii="Times New Roman" w:eastAsia="Times New Roman" w:hAnsi="Times New Roman" w:cs="Times New Roman"/>
        </w:rPr>
        <w:t>”</w:t>
      </w:r>
    </w:p>
    <w:p w14:paraId="3A4E8BD1" w14:textId="77777777"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p>
    <w:p w14:paraId="72569C00" w14:textId="77777777" w:rsidR="00C22B24" w:rsidRPr="00920B12" w:rsidRDefault="750671CE" w:rsidP="750671CE">
      <w:pPr>
        <w:widowControl w:val="0"/>
        <w:autoSpaceDE w:val="0"/>
        <w:autoSpaceDN w:val="0"/>
        <w:adjustRightInd w:val="0"/>
        <w:ind w:firstLine="720"/>
        <w:jc w:val="both"/>
        <w:rPr>
          <w:rFonts w:ascii="Times New Roman" w:eastAsia="Times New Roman" w:hAnsi="Times New Roman" w:cs="Times New Roman"/>
        </w:rPr>
      </w:pPr>
      <w:r w:rsidRPr="750671CE">
        <w:rPr>
          <w:rFonts w:ascii="Times New Roman" w:eastAsia="Times New Roman" w:hAnsi="Times New Roman" w:cs="Times New Roman"/>
        </w:rPr>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w:t>
      </w:r>
      <w:r w:rsidRPr="750671CE">
        <w:rPr>
          <w:rFonts w:ascii="Times New Roman" w:eastAsia="Times New Roman" w:hAnsi="Times New Roman" w:cs="Times New Roman"/>
        </w:rPr>
        <w:lastRenderedPageBreak/>
        <w:t xml:space="preserve">trend, but perhaps not well enough. Given its awareness of the hazard, United may not have done everything technology permits and prudence dictates to eliminate it. </w:t>
      </w:r>
    </w:p>
    <w:p w14:paraId="7FABAC59" w14:textId="1AB6B285" w:rsidR="00C22B24" w:rsidRPr="00920B12" w:rsidRDefault="750671CE" w:rsidP="750671CE">
      <w:pPr>
        <w:widowControl w:val="0"/>
        <w:autoSpaceDE w:val="0"/>
        <w:autoSpaceDN w:val="0"/>
        <w:adjustRightInd w:val="0"/>
        <w:jc w:val="both"/>
        <w:rPr>
          <w:rFonts w:ascii="Times New Roman" w:eastAsia="Times New Roman" w:hAnsi="Times New Roman" w:cs="Times New Roman"/>
        </w:rPr>
      </w:pPr>
      <w:r w:rsidRPr="750671CE">
        <w:rPr>
          <w:rFonts w:ascii="Times New Roman" w:eastAsia="Times New Roman" w:hAnsi="Times New Roman" w:cs="Times New Roman"/>
        </w:rPr>
        <w:t> </w:t>
      </w:r>
      <w:r w:rsidR="002551B1">
        <w:rPr>
          <w:rFonts w:ascii="Times New Roman" w:eastAsia="Times New Roman" w:hAnsi="Times New Roman" w:cs="Times New Roman"/>
        </w:rPr>
        <w:t xml:space="preserve"> </w:t>
      </w:r>
    </w:p>
    <w:p w14:paraId="77FFD860"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Jurors, many of whom will have been airline passengers, will be well equipped to decide whether United had a duty to do more than warn passengers about the possibility of falling 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920B12" w:rsidRDefault="00C22B24" w:rsidP="00C22B24">
      <w:pPr>
        <w:widowControl w:val="0"/>
        <w:autoSpaceDE w:val="0"/>
        <w:autoSpaceDN w:val="0"/>
        <w:adjustRightInd w:val="0"/>
        <w:jc w:val="both"/>
        <w:rPr>
          <w:rFonts w:ascii="Times New Roman" w:hAnsi="Times New Roman" w:cs="Times New Roman"/>
        </w:rPr>
      </w:pPr>
    </w:p>
    <w:p w14:paraId="46CE22DC" w14:textId="77777777" w:rsidR="00C22B24" w:rsidRPr="00920B12" w:rsidRDefault="00C22B24">
      <w:pPr>
        <w:pStyle w:val="Nothing"/>
      </w:pPr>
    </w:p>
    <w:p w14:paraId="6D1C19DA" w14:textId="77777777" w:rsidR="00C22B24" w:rsidRPr="00920B12" w:rsidRDefault="00C22B24" w:rsidP="002502CC">
      <w:pPr>
        <w:pStyle w:val="Heading4"/>
      </w:pPr>
      <w:bookmarkStart w:id="265" w:name="_Toc364636110"/>
      <w:bookmarkStart w:id="266" w:name="_Toc518323304"/>
      <w:r w:rsidRPr="00920B12">
        <w:t>Not</w:t>
      </w:r>
      <w:r>
        <w:t>e</w:t>
      </w:r>
      <w:bookmarkEnd w:id="265"/>
      <w:bookmarkEnd w:id="266"/>
    </w:p>
    <w:p w14:paraId="6A18A86B" w14:textId="77777777" w:rsidR="00C22B24" w:rsidRDefault="00C22B24" w:rsidP="00FB1320">
      <w:pPr>
        <w:pStyle w:val="Nothing"/>
        <w:rPr>
          <w:b/>
        </w:rPr>
      </w:pPr>
    </w:p>
    <w:p w14:paraId="3E57D4EC" w14:textId="77777777" w:rsidR="00FB1320" w:rsidRPr="00920B12" w:rsidRDefault="00FB1320" w:rsidP="00FB1320">
      <w:pPr>
        <w:pStyle w:val="Nothing"/>
        <w:rPr>
          <w:b/>
        </w:rPr>
      </w:pPr>
    </w:p>
    <w:p w14:paraId="4F02042F" w14:textId="59628692" w:rsidR="00C22B24" w:rsidRPr="00920B12" w:rsidRDefault="750671CE" w:rsidP="00F94B7E">
      <w:pPr>
        <w:pStyle w:val="Nothing"/>
        <w:numPr>
          <w:ilvl w:val="0"/>
          <w:numId w:val="90"/>
        </w:numPr>
        <w:ind w:left="0" w:firstLine="360"/>
      </w:pPr>
      <w:r w:rsidRPr="750671CE">
        <w:rPr>
          <w:i/>
          <w:iCs/>
        </w:rPr>
        <w:t xml:space="preserve">Common </w:t>
      </w:r>
      <w:r w:rsidR="003A38FD">
        <w:rPr>
          <w:i/>
          <w:iCs/>
        </w:rPr>
        <w:t>c</w:t>
      </w:r>
      <w:r w:rsidRPr="750671CE">
        <w:rPr>
          <w:i/>
          <w:iCs/>
        </w:rPr>
        <w:t>arriers</w:t>
      </w:r>
      <w:r>
        <w:t>.</w:t>
      </w:r>
      <w:r w:rsidRPr="750671CE">
        <w:rPr>
          <w:b/>
          <w:bCs/>
        </w:rPr>
        <w:t xml:space="preserve">  </w:t>
      </w:r>
      <w:r>
        <w:t xml:space="preserve">How is </w:t>
      </w:r>
      <w:r w:rsidR="000D0562">
        <w:t xml:space="preserve">the negligence standard applied to </w:t>
      </w:r>
      <w:r>
        <w:t xml:space="preserve">United Airlines different from that </w:t>
      </w:r>
      <w:r w:rsidR="000D0562">
        <w:t xml:space="preserve">applied to </w:t>
      </w:r>
      <w:r>
        <w:t xml:space="preserve">an ordinary </w:t>
      </w:r>
      <w:r w:rsidR="000D0562">
        <w:t xml:space="preserve">negligence </w:t>
      </w:r>
      <w:r>
        <w:t>defendant? Common carriers, traditionally including innkeepers, landowners, and railroad operators, have been historically held to a higher standard of care. Judge Kozinski</w:t>
      </w:r>
      <w:r w:rsidR="00B05F31">
        <w:t>’</w:t>
      </w:r>
      <w:r>
        <w:t xml:space="preserve">s opinion seems to follow this tradition. Is a standard that holds a common carrier liable for even the slightest negligence actually different from a reasonable care standard? Would it be rational to do </w:t>
      </w:r>
      <w:r w:rsidR="00B05F31">
        <w:t>“</w:t>
      </w:r>
      <w:r>
        <w:t>all that human care</w:t>
      </w:r>
      <w:r w:rsidR="00B05F31">
        <w:t>”</w:t>
      </w:r>
      <w:r>
        <w:t xml:space="preserve"> can do in order to prevent injuries from accidents? Will tort law damages induce a common carrier to take such steps? Does cost-benefit analysis still have a role to play for common carriers? </w:t>
      </w:r>
    </w:p>
    <w:p w14:paraId="1B676DD2" w14:textId="77777777" w:rsidR="00C22B24" w:rsidRPr="00920B12" w:rsidRDefault="00C22B24" w:rsidP="00C22B24">
      <w:pPr>
        <w:pStyle w:val="Nothing"/>
        <w:rPr>
          <w:b/>
        </w:rPr>
      </w:pPr>
    </w:p>
    <w:p w14:paraId="69ECD698" w14:textId="77777777" w:rsidR="00C22B24" w:rsidRPr="00920B12" w:rsidRDefault="00C22B24" w:rsidP="00C22B24">
      <w:pPr>
        <w:pStyle w:val="Nothing"/>
        <w:rPr>
          <w:b/>
        </w:rPr>
      </w:pPr>
    </w:p>
    <w:p w14:paraId="3DF18619" w14:textId="5AD79B0D" w:rsidR="00C22B24" w:rsidRPr="00920B12" w:rsidRDefault="00C22B24" w:rsidP="00322687">
      <w:pPr>
        <w:pStyle w:val="Heading3"/>
      </w:pPr>
      <w:bookmarkStart w:id="267" w:name="_Toc364636111"/>
      <w:bookmarkStart w:id="268" w:name="_Toc518323305"/>
      <w:r>
        <w:t xml:space="preserve">5. </w:t>
      </w:r>
      <w:r w:rsidR="00864D7F">
        <w:t xml:space="preserve"> </w:t>
      </w:r>
      <w:r w:rsidRPr="00920B12">
        <w:t>Claim Resolution in the Real World</w:t>
      </w:r>
      <w:bookmarkEnd w:id="267"/>
      <w:bookmarkEnd w:id="268"/>
    </w:p>
    <w:p w14:paraId="75B230BD" w14:textId="77777777" w:rsidR="00C22B24" w:rsidRPr="00920B12" w:rsidRDefault="00C22B24" w:rsidP="00C22B24">
      <w:pPr>
        <w:pStyle w:val="Nothing"/>
      </w:pPr>
    </w:p>
    <w:p w14:paraId="5004C3B0" w14:textId="494580AE" w:rsidR="00C22B24" w:rsidRPr="00920B12" w:rsidRDefault="750671CE" w:rsidP="00C22B24">
      <w:pPr>
        <w:pStyle w:val="Nothing"/>
        <w:ind w:firstLine="720"/>
      </w:pPr>
      <w:r>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920B12" w:rsidRDefault="00C22B24">
      <w:pPr>
        <w:pStyle w:val="Nothing"/>
      </w:pPr>
    </w:p>
    <w:p w14:paraId="1E5E01EF" w14:textId="77777777" w:rsidR="00C22B24" w:rsidRPr="00920B12" w:rsidRDefault="00C22B24">
      <w:pPr>
        <w:pStyle w:val="Nothing"/>
      </w:pPr>
    </w:p>
    <w:p w14:paraId="177CF7EE" w14:textId="1C642754" w:rsidR="00C22B24" w:rsidRDefault="00C22B24" w:rsidP="002502CC">
      <w:pPr>
        <w:pStyle w:val="Heading4"/>
      </w:pPr>
      <w:bookmarkStart w:id="269" w:name="_Toc364636112"/>
      <w:bookmarkStart w:id="270" w:name="_Toc518323306"/>
      <w:r w:rsidRPr="00690EA7">
        <w:t>Rules of Thumb in Auto Collision Cases</w:t>
      </w:r>
      <w:bookmarkEnd w:id="269"/>
      <w:bookmarkEnd w:id="270"/>
    </w:p>
    <w:p w14:paraId="30403197" w14:textId="77777777" w:rsidR="00C22B24" w:rsidRDefault="00C22B24">
      <w:pPr>
        <w:pStyle w:val="Nothing"/>
        <w:rPr>
          <w:i/>
        </w:rPr>
      </w:pPr>
    </w:p>
    <w:p w14:paraId="29BB3650" w14:textId="5D1131EF" w:rsidR="00C22B24" w:rsidRPr="00920B12" w:rsidRDefault="750671CE">
      <w:pPr>
        <w:pStyle w:val="Nothing"/>
        <w:ind w:firstLine="720"/>
      </w:pPr>
      <w:r>
        <w:t>How do we define negligence in car accident cases? In a sociological study of how car insurance companies</w:t>
      </w:r>
      <w:r w:rsidR="00B05F31">
        <w:t>’</w:t>
      </w:r>
      <w:r>
        <w:t xml:space="preserve"> claims adjusters determine settlement amounts, </w:t>
      </w:r>
      <w:r w:rsidR="00B41D0B">
        <w:t xml:space="preserve">H. Laurence </w:t>
      </w:r>
      <w:r>
        <w:t xml:space="preserve">Ross (1980) found that insurance adjusters used easy rules of thumb—like whether a traffic rule was violated—to determine liability in an accident, </w:t>
      </w:r>
      <w:r w:rsidR="00B05F31">
        <w:t>“</w:t>
      </w:r>
      <w:r>
        <w:t>regardless of intention, knowledge, necessity, and other such qualifications that might receive sympathetic attention even from a traffic court judge.</w:t>
      </w:r>
      <w:r w:rsidR="00B05F31">
        <w:t>”</w:t>
      </w:r>
      <w:r>
        <w:t xml:space="preserve"> In rear-end collisions, adjusters routinely did little investigation, giving a strong presumption of liability to the rear driver. When a claimant had the formal right of way in the case of a stop sign or green </w:t>
      </w:r>
      <w:r>
        <w:lastRenderedPageBreak/>
        <w:t xml:space="preserve">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Pr="750671CE">
        <w:rPr>
          <w:smallCaps/>
        </w:rPr>
        <w:t>H. Laurence Ross, Settled Out of Court</w:t>
      </w:r>
      <w:r w:rsidRPr="750671CE">
        <w:rPr>
          <w:i/>
          <w:iCs/>
        </w:rPr>
        <w:t xml:space="preserve"> </w:t>
      </w:r>
      <w:r>
        <w:t xml:space="preserve">98-104 (1980). </w:t>
      </w:r>
    </w:p>
    <w:p w14:paraId="0E1F6758" w14:textId="77777777" w:rsidR="00C22B24" w:rsidRPr="00920B12" w:rsidRDefault="00C22B24" w:rsidP="00C22B24">
      <w:pPr>
        <w:pStyle w:val="Nothing"/>
      </w:pPr>
    </w:p>
    <w:p w14:paraId="65CC4AFF" w14:textId="7F1B4133" w:rsidR="00C22B24" w:rsidRPr="00920B12" w:rsidRDefault="750671CE" w:rsidP="00C22B24">
      <w:pPr>
        <w:pStyle w:val="Nothing"/>
        <w:ind w:firstLine="720"/>
      </w:pPr>
      <w:r>
        <w:t xml:space="preserve">What does this mean for our understanding of the tort system as a provider of individualized justice? Does every plaintiff get her day in court? John Witt and Samuel Issacharoff examined how privatized information aggregation takes place in </w:t>
      </w:r>
      <w:r w:rsidR="00B05F31">
        <w:t>“</w:t>
      </w:r>
      <w:r>
        <w:t>mature torts</w:t>
      </w:r>
      <w:r w:rsidR="00B05F31">
        <w:t>”</w:t>
      </w:r>
      <w:r>
        <w:t xml:space="preserve">—torts with common fact patterns like the car accidents Ross studied in </w:t>
      </w:r>
      <w:r w:rsidRPr="750671CE">
        <w:rPr>
          <w:i/>
          <w:iCs/>
        </w:rPr>
        <w:t>Settled Out of Court</w:t>
      </w:r>
      <w:r>
        <w:t>. They argue that the existence of repeat-play lawyers and claims agents on both the plaintiffs</w:t>
      </w:r>
      <w:r w:rsidR="00B05F31">
        <w:t>’</w:t>
      </w:r>
      <w:r>
        <w:t xml:space="preserve"> and the defendants</w:t>
      </w:r>
      <w:r w:rsidR="00B05F31">
        <w:t>’</w:t>
      </w:r>
      <w:r>
        <w:t xml:space="preserve"> side </w:t>
      </w:r>
      <w:r w:rsidR="00B05F31">
        <w:t>“</w:t>
      </w:r>
      <w:r>
        <w:t>permits private settlement systems to emerge based on the information the agents possess about the value of claims in the retail litigation market of adjudication.</w:t>
      </w:r>
      <w:r w:rsidR="00B05F31">
        <w:t>”</w:t>
      </w:r>
      <w:r>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t>’</w:t>
      </w:r>
      <w:r>
        <w:t xml:space="preserve"> compensation. Such private claims settlement systems emerged by the 1950s and 1960s:</w:t>
      </w:r>
    </w:p>
    <w:p w14:paraId="69660308" w14:textId="77777777" w:rsidR="00C22B24" w:rsidRPr="00920B12" w:rsidRDefault="00C22B24" w:rsidP="00C22B24">
      <w:pPr>
        <w:pStyle w:val="Nothing"/>
      </w:pPr>
    </w:p>
    <w:p w14:paraId="098F476A" w14:textId="0094F216" w:rsidR="00C22B24" w:rsidRPr="00920B12" w:rsidRDefault="750671CE" w:rsidP="00F94B7E">
      <w:pPr>
        <w:pStyle w:val="blockquote"/>
      </w:pPr>
      <w:r>
        <w:t>The development and increased coordination of repeat-play claimants</w:t>
      </w:r>
      <w:r w:rsidR="00B05F31">
        <w:t>’</w:t>
      </w:r>
      <w:r>
        <w:t xml:space="preserve">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for precisely these reasons, the repeat-play plaintiffs</w:t>
      </w:r>
      <w:r w:rsidR="00B05F31">
        <w:t>’</w:t>
      </w:r>
      <w:r>
        <w:t xml:space="preserve">-lawyer specialist was </w:t>
      </w:r>
      <w:r w:rsidR="00B41D0B">
        <w:t>“</w:t>
      </w:r>
      <w:r>
        <w:t>an easier man to deal with than a general practitioner.</w:t>
      </w:r>
      <w:r w:rsidR="00B41D0B">
        <w:t>”</w:t>
      </w:r>
      <w:r>
        <w:t xml:space="preserve"> Insurers dealing with such lawyers reported that they were regularly able to strike </w:t>
      </w:r>
      <w:r w:rsidR="00B41D0B">
        <w:t>“</w:t>
      </w:r>
      <w:r>
        <w:t>package-deals</w:t>
      </w:r>
      <w:r w:rsidR="00B41D0B">
        <w:t>”</w:t>
      </w:r>
      <w:r>
        <w:t xml:space="preserve"> in which they disposed of </w:t>
      </w:r>
      <w:r w:rsidR="00B41D0B">
        <w:t>“</w:t>
      </w:r>
      <w:r>
        <w:t>a great many cases at one time.</w:t>
      </w:r>
      <w:r w:rsidR="00B41D0B">
        <w:t>”</w:t>
      </w:r>
      <w:r>
        <w:t xml:space="preserve"> Indeed, together the plaintiffs</w:t>
      </w:r>
      <w:r w:rsidR="00B05F31">
        <w:t>’</w:t>
      </w:r>
      <w:r>
        <w:t xml:space="preserve"> bargaining agent and the liability insurer</w:t>
      </w:r>
      <w:r w:rsidR="00B05F31">
        <w:t>’</w:t>
      </w:r>
      <w:r>
        <w:t xml:space="preserve">s claims adjuster were, as the vice-president of one early casualty insurance organization put it, the </w:t>
      </w:r>
      <w:r w:rsidR="00B41D0B">
        <w:t>“</w:t>
      </w:r>
      <w:r>
        <w:t>lubricant</w:t>
      </w:r>
      <w:r w:rsidR="00B41D0B">
        <w:t>”</w:t>
      </w:r>
      <w:r>
        <w:t xml:space="preserve"> that made the law of torts </w:t>
      </w:r>
      <w:r w:rsidR="00B41D0B">
        <w:t>“</w:t>
      </w:r>
      <w:r>
        <w:t>run with as little friction as possible</w:t>
      </w:r>
      <w:r w:rsidR="00B22ED1">
        <w:t>. . . .</w:t>
      </w:r>
      <w:r w:rsidR="00B41D0B">
        <w:t xml:space="preserve">” </w:t>
      </w:r>
      <w:r>
        <w:t>[B]y the mid-1960s, automobile accident tort claims were being settled with much greater speed than other personal injury tort claims.</w:t>
      </w:r>
    </w:p>
    <w:p w14:paraId="58B36A80" w14:textId="77777777" w:rsidR="00C22B24" w:rsidRPr="00920B12" w:rsidRDefault="00C22B24" w:rsidP="00C22B24">
      <w:pPr>
        <w:pStyle w:val="Nothing"/>
        <w:ind w:left="720" w:firstLine="720"/>
      </w:pPr>
    </w:p>
    <w:p w14:paraId="760984CB" w14:textId="6D17E7E4" w:rsidR="00C22B24" w:rsidRPr="00920B12" w:rsidRDefault="750671CE" w:rsidP="00C22B24">
      <w:pPr>
        <w:pStyle w:val="Nothing"/>
      </w:pPr>
      <w:r>
        <w:t xml:space="preserve">John Fabian Witt &amp; Samuel Issacharoff, </w:t>
      </w:r>
      <w:r w:rsidRPr="750671CE">
        <w:rPr>
          <w:i/>
          <w:iCs/>
        </w:rPr>
        <w:t>The Inevitability of Aggregated Settlement: An Institutional Account of American Tort Law</w:t>
      </w:r>
      <w:r>
        <w:t xml:space="preserve">, 57 </w:t>
      </w:r>
      <w:r w:rsidRPr="750671CE">
        <w:rPr>
          <w:smallCaps/>
        </w:rPr>
        <w:t>Vand. L. Rev</w:t>
      </w:r>
      <w:r>
        <w:t>. 15</w:t>
      </w:r>
      <w:r w:rsidR="00B41D0B">
        <w:t>71</w:t>
      </w:r>
      <w:r>
        <w:t>, 1614 (2004).</w:t>
      </w:r>
    </w:p>
    <w:p w14:paraId="663846D8" w14:textId="77777777" w:rsidR="00C22B24" w:rsidRPr="00920B12" w:rsidRDefault="00C22B24" w:rsidP="00C22B24">
      <w:pPr>
        <w:pStyle w:val="Nothing"/>
        <w:rPr>
          <w:b/>
        </w:rPr>
      </w:pPr>
    </w:p>
    <w:p w14:paraId="1802CA47" w14:textId="093BC4FA" w:rsidR="00C22B24" w:rsidRPr="00920B12" w:rsidRDefault="750671CE" w:rsidP="00C22B24">
      <w:pPr>
        <w:pStyle w:val="Nothing"/>
        <w:ind w:firstLine="720"/>
      </w:pPr>
      <w:r>
        <w:t>One example of such repeat-play plaintiffs</w:t>
      </w:r>
      <w:r w:rsidR="00B05F31">
        <w:t>’</w:t>
      </w:r>
      <w:r>
        <w:t xml:space="preserve">-side claims agents are the so-called </w:t>
      </w:r>
      <w:r w:rsidR="00B05F31">
        <w:t>“</w:t>
      </w:r>
      <w:r>
        <w:t>settlement mills</w:t>
      </w:r>
      <w:r w:rsidR="00B05F31">
        <w:t>”</w:t>
      </w:r>
      <w:r>
        <w:t xml:space="preserve">: high-volume personal injury practices that, as Professor Nora Engstrom describes them, </w:t>
      </w:r>
      <w:r w:rsidR="00B05F31">
        <w:t>“</w:t>
      </w:r>
      <w:r>
        <w:t xml:space="preserve">aggressively advertise and mass produce the resolution of claims, typically with little client interaction and without initiating lawsuits, much less </w:t>
      </w:r>
      <w:r>
        <w:lastRenderedPageBreak/>
        <w:t>taking claims to trial.</w:t>
      </w:r>
      <w:r w:rsidR="00B05F31">
        <w:t>”</w:t>
      </w:r>
      <w:r>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750671CE">
        <w:rPr>
          <w:i/>
          <w:iCs/>
        </w:rPr>
        <w:t xml:space="preserve">past settlements, </w:t>
      </w:r>
      <w:r>
        <w:t xml:space="preserve">rather than past jury verdicts.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Thus insurance companies may be cooperating with settlement mills because they </w:t>
      </w:r>
      <w:r w:rsidR="00B05F31">
        <w:t>“</w:t>
      </w:r>
      <w:r>
        <w:t xml:space="preserve">share two sets of overlapping interests: speed and certainty. Insurers, it appears, cooperate with settlement mills, even in marginal cases, because </w:t>
      </w:r>
      <w:r w:rsidRPr="750671CE">
        <w:rPr>
          <w:i/>
          <w:iCs/>
        </w:rPr>
        <w:t>cooperation is profitable.</w:t>
      </w:r>
      <w:r w:rsidR="00B05F31">
        <w:t>”</w:t>
      </w:r>
      <w:r>
        <w:t xml:space="preserve"> Nora Engstrom, </w:t>
      </w:r>
      <w:r w:rsidRPr="750671CE">
        <w:rPr>
          <w:i/>
          <w:iCs/>
        </w:rPr>
        <w:t>Run-of-the-Mill Justice</w:t>
      </w:r>
      <w:r>
        <w:t xml:space="preserve">, 22 </w:t>
      </w:r>
      <w:r w:rsidRPr="750671CE">
        <w:rPr>
          <w:smallCaps/>
        </w:rPr>
        <w:t>G. J. Legal Ethics</w:t>
      </w:r>
      <w:r>
        <w:t xml:space="preserve"> 1485, 1486, 1491 (2009).</w:t>
      </w:r>
    </w:p>
    <w:p w14:paraId="3E16B84C" w14:textId="77777777" w:rsidR="00C22B24" w:rsidRPr="00920B12" w:rsidRDefault="00C22B24" w:rsidP="00C22B24">
      <w:pPr>
        <w:pStyle w:val="Nothing"/>
      </w:pPr>
    </w:p>
    <w:p w14:paraId="08A8FF6C" w14:textId="05BC7405" w:rsidR="00C22B24" w:rsidRPr="00920B12" w:rsidRDefault="750671CE" w:rsidP="00C22B24">
      <w:pPr>
        <w:pStyle w:val="Nothing"/>
        <w:ind w:firstLine="720"/>
      </w:pPr>
      <w:r>
        <w:t xml:space="preserve">Theoretically, the past settlements that such lawyers rely upon to produce </w:t>
      </w:r>
      <w:r w:rsidRPr="750671CE">
        <w:rPr>
          <w:i/>
          <w:iCs/>
        </w:rPr>
        <w:t xml:space="preserve">new </w:t>
      </w:r>
      <w:r>
        <w:t>settlements were once informed by a jury verdict in a related negligence case. Is that a satisfactory relationship to the negligence standard and the formal tort system? If not, what would you do to influence or change the settlement mill system? Does the merit or seriousness of a plaintiff</w:t>
      </w:r>
      <w:r w:rsidR="00B05F31">
        <w:t>’</w:t>
      </w:r>
      <w:r>
        <w:t>s claim change your judgment? Is the existence of the settlement mill a good or a bad thing for the plaintiff who wants her day in court?</w:t>
      </w:r>
    </w:p>
    <w:p w14:paraId="565B9478" w14:textId="77777777" w:rsidR="00C22B24" w:rsidRPr="00920B12" w:rsidRDefault="00C22B24" w:rsidP="00C22B24">
      <w:pPr>
        <w:pStyle w:val="Nothing"/>
      </w:pPr>
    </w:p>
    <w:p w14:paraId="125BAF51" w14:textId="1E7F54B6" w:rsidR="00C22B24" w:rsidRPr="00920B12" w:rsidRDefault="750671CE">
      <w:pPr>
        <w:pStyle w:val="Nothing"/>
        <w:ind w:firstLine="720"/>
      </w:pPr>
      <w:r>
        <w:t>Interestingly, Engstrom</w:t>
      </w:r>
      <w:r w:rsidR="00B05F31">
        <w:t>’</w:t>
      </w:r>
      <w:r>
        <w:t>s paper was published in a journal of legal ethics. Why do you think that is? What kinds of ethical problems arise from the settlement mill system?</w:t>
      </w:r>
    </w:p>
    <w:p w14:paraId="6261633B" w14:textId="77777777" w:rsidR="00C22B24" w:rsidRPr="00920B12" w:rsidRDefault="00C22B24">
      <w:pPr>
        <w:pStyle w:val="Nothing"/>
        <w:rPr>
          <w:b/>
        </w:rPr>
      </w:pPr>
    </w:p>
    <w:p w14:paraId="2F5E6DFA" w14:textId="77777777" w:rsidR="00C22B24" w:rsidRPr="00920B12" w:rsidRDefault="00C22B24">
      <w:pPr>
        <w:pStyle w:val="Nothing"/>
        <w:rPr>
          <w:b/>
        </w:rPr>
      </w:pPr>
    </w:p>
    <w:p w14:paraId="54ADE311" w14:textId="492814FB" w:rsidR="00C22B24" w:rsidRPr="00690EA7" w:rsidRDefault="00C22B24" w:rsidP="002502CC">
      <w:pPr>
        <w:pStyle w:val="Heading4"/>
      </w:pPr>
      <w:bookmarkStart w:id="271" w:name="_Toc364636113"/>
      <w:bookmarkStart w:id="272" w:name="_Toc518323307"/>
      <w:r w:rsidRPr="00690EA7">
        <w:t xml:space="preserve">The </w:t>
      </w:r>
      <w:r w:rsidR="008F739A">
        <w:t>F</w:t>
      </w:r>
      <w:r w:rsidRPr="00690EA7">
        <w:t xml:space="preserve">ailure of </w:t>
      </w:r>
      <w:r w:rsidR="0008194A">
        <w:t>N</w:t>
      </w:r>
      <w:r w:rsidRPr="00690EA7">
        <w:t>o-</w:t>
      </w:r>
      <w:r w:rsidR="00B41D0B">
        <w:t>F</w:t>
      </w:r>
      <w:r w:rsidRPr="00690EA7">
        <w:t xml:space="preserve">ault </w:t>
      </w:r>
      <w:r w:rsidR="008F739A">
        <w:t>A</w:t>
      </w:r>
      <w:r w:rsidRPr="00690EA7">
        <w:t>uto</w:t>
      </w:r>
      <w:bookmarkEnd w:id="271"/>
      <w:bookmarkEnd w:id="272"/>
    </w:p>
    <w:p w14:paraId="2DECD573" w14:textId="77777777" w:rsidR="00C22B24" w:rsidRDefault="00C22B24">
      <w:pPr>
        <w:pStyle w:val="Nothing"/>
        <w:rPr>
          <w:i/>
        </w:rPr>
      </w:pPr>
    </w:p>
    <w:p w14:paraId="71C5612F" w14:textId="21309388" w:rsidR="00C22B24" w:rsidRPr="00920B12" w:rsidRDefault="750671CE">
      <w:pPr>
        <w:pStyle w:val="Nothing"/>
        <w:ind w:firstLine="720"/>
      </w:pPr>
      <w:r>
        <w:t xml:space="preserve">In the mid-1960s, a group of professors responded to the expense of litigation in courts over tort cases with a novel proposal: </w:t>
      </w:r>
      <w:r w:rsidR="00B05F31">
        <w:t>“</w:t>
      </w:r>
      <w:r>
        <w:t>no-fault.</w:t>
      </w:r>
      <w:r w:rsidR="00B05F31">
        <w:t>”</w:t>
      </w:r>
      <w:r>
        <w:t xml:space="preserve"> Under their plan, only the gravely injured would have access to the tort system; instead, </w:t>
      </w:r>
      <w:r w:rsidRPr="750671CE">
        <w:rPr>
          <w:i/>
          <w:iCs/>
        </w:rPr>
        <w:t>all</w:t>
      </w:r>
      <w:r>
        <w:t xml:space="preserve"> car accident victims, regardless of fault, would receive partial but speedy compensation from their own insurers. Reformers modeled their plans on the workers</w:t>
      </w:r>
      <w:r w:rsidR="00B05F31">
        <w:t>’</w:t>
      </w:r>
      <w:r>
        <w:t xml:space="preserve"> compensation systems that had displaced tort law in workplaces half a century before.  The plans spread widely—and quickly. By 1976, about half of the states in the U.S. adopted some version of no-fault auto, or at least substantially restricted car accident victims</w:t>
      </w:r>
      <w:r w:rsidR="00B05F31">
        <w:t>’</w:t>
      </w:r>
      <w:r>
        <w:t xml:space="preserve"> ability to sue.</w:t>
      </w:r>
    </w:p>
    <w:p w14:paraId="3C2E420F" w14:textId="77777777" w:rsidR="00C22B24" w:rsidRPr="00920B12" w:rsidRDefault="00C22B24" w:rsidP="00C22B24">
      <w:pPr>
        <w:pStyle w:val="Nothing"/>
      </w:pPr>
    </w:p>
    <w:p w14:paraId="55A90833" w14:textId="0DBA0C0B" w:rsidR="00C22B24" w:rsidRPr="00920B12" w:rsidRDefault="750671CE" w:rsidP="00C22B24">
      <w:pPr>
        <w:pStyle w:val="Nothing"/>
        <w:ind w:firstLine="720"/>
      </w:pPr>
      <w:r>
        <w:t>But then the wave of reform halted. Resistance from the plaintiffs</w:t>
      </w:r>
      <w:r w:rsidR="00B05F31">
        <w:t>’</w:t>
      </w:r>
      <w:r>
        <w:t xml:space="preserve"> bar and some unexpected problems could reasonably explain the rapid end of no-fault programs. Yet Engstrom argues that the halt of no-fault auto expansion came when no-fault systems and the tort settlement system began to converge. Repeat-play claims agents had begun to produce in the shadow of tort law a system of settlement that resembled the no-fault systems of the reformers. Auto torts claims became less adversarial, with more victims recovering modest settlement awards. Meanwhile, modern no-fault systems became </w:t>
      </w:r>
      <w:r w:rsidRPr="750671CE">
        <w:rPr>
          <w:i/>
          <w:iCs/>
        </w:rPr>
        <w:t xml:space="preserve">more </w:t>
      </w:r>
      <w:r>
        <w:t xml:space="preserve">adversarial, with more claims, money, lawyers, and lawsuits. With less at stake, the </w:t>
      </w:r>
      <w:r>
        <w:lastRenderedPageBreak/>
        <w:t xml:space="preserve">momentum for no-fault systems faded. Nora Engstrom, </w:t>
      </w:r>
      <w:r w:rsidRPr="750671CE">
        <w:rPr>
          <w:i/>
          <w:iCs/>
        </w:rPr>
        <w:t>An Alternative Explanation for No-Fault</w:t>
      </w:r>
      <w:r w:rsidR="00B05F31">
        <w:rPr>
          <w:i/>
          <w:iCs/>
        </w:rPr>
        <w:t>’</w:t>
      </w:r>
      <w:r w:rsidRPr="750671CE">
        <w:rPr>
          <w:i/>
          <w:iCs/>
        </w:rPr>
        <w:t xml:space="preserve">s </w:t>
      </w:r>
      <w:r w:rsidR="00B05F31">
        <w:rPr>
          <w:i/>
          <w:iCs/>
        </w:rPr>
        <w:t>‘</w:t>
      </w:r>
      <w:r w:rsidRPr="750671CE">
        <w:rPr>
          <w:i/>
          <w:iCs/>
        </w:rPr>
        <w:t>Demise</w:t>
      </w:r>
      <w:r w:rsidR="00B05F31">
        <w:rPr>
          <w:i/>
          <w:iCs/>
        </w:rPr>
        <w:t>’</w:t>
      </w:r>
      <w:r w:rsidR="00D8231A" w:rsidRPr="00D8231A">
        <w:rPr>
          <w:iCs/>
        </w:rPr>
        <w:t>,</w:t>
      </w:r>
      <w:r>
        <w:t xml:space="preserve"> 61 </w:t>
      </w:r>
      <w:r w:rsidRPr="750671CE">
        <w:rPr>
          <w:smallCaps/>
        </w:rPr>
        <w:t>DePaul L. Rev</w:t>
      </w:r>
      <w:r>
        <w:t>. 303 (2011).</w:t>
      </w:r>
    </w:p>
    <w:p w14:paraId="50AC62B2" w14:textId="77777777" w:rsidR="00C22B24" w:rsidRPr="00920B12" w:rsidRDefault="00C22B24" w:rsidP="00C22B24">
      <w:pPr>
        <w:pStyle w:val="Nothing"/>
      </w:pPr>
    </w:p>
    <w:p w14:paraId="00531C29" w14:textId="6F2C4362" w:rsidR="00C22B24" w:rsidRPr="00920B12" w:rsidRDefault="750671CE" w:rsidP="00C22B24">
      <w:pPr>
        <w:pStyle w:val="Nothing"/>
        <w:ind w:firstLine="720"/>
      </w:pPr>
      <w:r>
        <w:t>What is at stake in choosing between tort and public compensation mechanisms like workers</w:t>
      </w:r>
      <w:r w:rsidR="00B05F31">
        <w:t>’</w:t>
      </w:r>
      <w:r>
        <w:t xml:space="preserve"> compensation and automobile no-fault systems?</w:t>
      </w:r>
    </w:p>
    <w:p w14:paraId="0F6C0E0A" w14:textId="77777777" w:rsidR="00C22B24" w:rsidRPr="00920B12" w:rsidRDefault="00C22B24" w:rsidP="00C22B24">
      <w:pPr>
        <w:pStyle w:val="Nothing"/>
      </w:pPr>
    </w:p>
    <w:p w14:paraId="603A88BA" w14:textId="77777777" w:rsidR="00C22B24" w:rsidRPr="00DA2193" w:rsidRDefault="00C22B24" w:rsidP="00654955">
      <w:pPr>
        <w:pStyle w:val="Heading2"/>
      </w:pPr>
      <w:bookmarkStart w:id="273" w:name="_Toc364636114"/>
      <w:bookmarkStart w:id="274" w:name="_Toc518323308"/>
      <w:r w:rsidRPr="00DA2193">
        <w:t>C.  Judges and Juries</w:t>
      </w:r>
      <w:bookmarkEnd w:id="273"/>
      <w:bookmarkEnd w:id="274"/>
    </w:p>
    <w:p w14:paraId="409C22D5" w14:textId="77777777" w:rsidR="00C22B24" w:rsidRDefault="00C22B24" w:rsidP="00C22B24">
      <w:pPr>
        <w:tabs>
          <w:tab w:val="left" w:pos="1658"/>
        </w:tabs>
        <w:rPr>
          <w:rFonts w:ascii="Times New Roman" w:hAnsi="Times New Roman" w:cs="Times New Roman"/>
        </w:rPr>
      </w:pPr>
    </w:p>
    <w:p w14:paraId="78D9712F" w14:textId="77777777" w:rsidR="00BE7A8B" w:rsidRPr="00920B12" w:rsidRDefault="00BE7A8B" w:rsidP="00C22B24">
      <w:pPr>
        <w:tabs>
          <w:tab w:val="left" w:pos="1658"/>
        </w:tabs>
        <w:rPr>
          <w:rFonts w:ascii="Times New Roman" w:hAnsi="Times New Roman" w:cs="Times New Roman"/>
        </w:rPr>
      </w:pPr>
    </w:p>
    <w:p w14:paraId="40F1285C"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Of course, there are still some cases that go to a civil jury.  And even those cases that do settle (which is the vast majority) settle in the shadow of the jury system such that their settlement values reflect the fact of the jury.  </w:t>
      </w:r>
    </w:p>
    <w:p w14:paraId="7EA6293C" w14:textId="77777777" w:rsidR="00C22B24" w:rsidRPr="00920B12" w:rsidRDefault="00C22B24" w:rsidP="00C22B24">
      <w:pPr>
        <w:ind w:firstLine="720"/>
        <w:rPr>
          <w:rFonts w:ascii="Times New Roman" w:hAnsi="Times New Roman" w:cs="Times New Roman"/>
        </w:rPr>
      </w:pPr>
    </w:p>
    <w:p w14:paraId="4788DE81" w14:textId="2BDD716A"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civil jury purports to be a shining hallmark of the American tort system—and </w:t>
      </w:r>
      <w:r w:rsidRPr="750671CE">
        <w:rPr>
          <w:rFonts w:ascii="Times New Roman" w:eastAsia="Times New Roman" w:hAnsi="Times New Roman" w:cs="Times New Roman"/>
          <w:i/>
          <w:iCs/>
        </w:rPr>
        <w:t>only</w:t>
      </w:r>
      <w:r w:rsidRPr="750671CE">
        <w:rPr>
          <w:rFonts w:ascii="Times New Roman" w:eastAsia="Times New Roman" w:hAnsi="Times New Roman" w:cs="Times New Roman"/>
        </w:rPr>
        <w:t xml:space="preserve"> the American tort system. While the English legal tradition invented the common law jury and then revered it for nearly eight centuries as one of the great </w:t>
      </w:r>
      <w:r w:rsidR="00B05F31">
        <w:rPr>
          <w:rFonts w:ascii="Times New Roman" w:eastAsia="Times New Roman" w:hAnsi="Times New Roman" w:cs="Times New Roman"/>
        </w:rPr>
        <w:t>“</w:t>
      </w:r>
      <w:r w:rsidRPr="750671CE">
        <w:rPr>
          <w:rFonts w:ascii="Times New Roman" w:eastAsia="Times New Roman" w:hAnsi="Times New Roman" w:cs="Times New Roman"/>
        </w:rPr>
        <w:t>ancient rights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the unwritten English constitution, the U.K. largely abandoned the civil jury trial by the middle of the twentieth century. Every common law country that received the civil jury from the British, including Australia and Canada, followed suit by the middle of the twentieth century.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smallCaps/>
        </w:rPr>
        <w:t>Neil Vidmar, World Jury Systems</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(2000). The United States, in short, is an international outlier, which raises two questions: Why has the U.S. held onto an institution that everyone else around the globe has thrown aside?  And should we join the crowd? </w:t>
      </w:r>
    </w:p>
    <w:p w14:paraId="68CCD081" w14:textId="77777777" w:rsidR="00C22B24" w:rsidRPr="00920B12" w:rsidRDefault="00C22B24" w:rsidP="00C22B24">
      <w:pPr>
        <w:rPr>
          <w:rFonts w:ascii="Times New Roman" w:hAnsi="Times New Roman" w:cs="Times New Roman"/>
        </w:rPr>
      </w:pPr>
    </w:p>
    <w:p w14:paraId="1467D64F" w14:textId="1817FEF9" w:rsidR="00C22B24" w:rsidRPr="00920B12"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In American tort law, the civil jury has played a distinctively large role</w:t>
      </w:r>
      <w:r w:rsidR="00994D98" w:rsidRPr="00994D98">
        <w:rPr>
          <w:rFonts w:ascii="Times New Roman" w:eastAsia="Times New Roman" w:hAnsi="Times New Roman" w:cs="Times New Roman"/>
        </w:rPr>
        <w:t>—</w:t>
      </w:r>
      <w:r w:rsidRPr="750671CE">
        <w:rPr>
          <w:rFonts w:ascii="Times New Roman" w:eastAsia="Times New Roman" w:hAnsi="Times New Roman" w:cs="Times New Roman"/>
        </w:rPr>
        <w:t>so much so that Dean Leon Green, a twentieth century giant in the field, once wrote that</w:t>
      </w:r>
      <w:r w:rsidRPr="750671CE">
        <w:rPr>
          <w:rFonts w:ascii="Times New Roman" w:eastAsia="Times New Roman" w:hAnsi="Times New Roman" w:cs="Times New Roman"/>
          <w:b/>
          <w:bCs/>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probably there is no class of cases which demands so much jury participation as those we label </w:t>
      </w:r>
      <w:r w:rsidR="00B05F31">
        <w:rPr>
          <w:rFonts w:ascii="Times New Roman" w:eastAsia="Times New Roman" w:hAnsi="Times New Roman" w:cs="Times New Roman"/>
        </w:rPr>
        <w:t>‘</w:t>
      </w:r>
      <w:r w:rsidRPr="750671CE">
        <w:rPr>
          <w:rFonts w:ascii="Times New Roman" w:eastAsia="Times New Roman" w:hAnsi="Times New Roman" w:cs="Times New Roman"/>
        </w:rPr>
        <w:t>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On the other hand, Green observed further, </w:t>
      </w:r>
      <w:r w:rsidR="00B05F31">
        <w:rPr>
          <w:rFonts w:ascii="Times New Roman" w:eastAsia="Times New Roman" w:hAnsi="Times New Roman" w:cs="Times New Roman"/>
        </w:rPr>
        <w:t>“</w:t>
      </w:r>
      <w:r w:rsidRPr="750671CE">
        <w:rPr>
          <w:rFonts w:ascii="Times New Roman" w:eastAsia="Times New Roman" w:hAnsi="Times New Roman" w:cs="Times New Roman"/>
        </w:rPr>
        <w:t>there is no other group for which the courts have developed so many subtle doctrines for effectually controlling jury judgment and reaching results that the appellate courts themselves approve.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Leon Green, Judge and Jury</w:t>
      </w:r>
      <w:r w:rsidRPr="750671CE">
        <w:rPr>
          <w:rFonts w:ascii="Times New Roman" w:eastAsia="Times New Roman" w:hAnsi="Times New Roman" w:cs="Times New Roman"/>
        </w:rPr>
        <w:t xml:space="preserve"> 386 (1930).  Reviewing the situation, another leading torts jurist contended that the </w:t>
      </w:r>
      <w:r w:rsidR="00B05F31">
        <w:rPr>
          <w:rFonts w:ascii="Times New Roman" w:eastAsia="Times New Roman" w:hAnsi="Times New Roman" w:cs="Times New Roman"/>
        </w:rPr>
        <w:t>“</w:t>
      </w:r>
      <w:r w:rsidRPr="750671CE">
        <w:rPr>
          <w:rFonts w:ascii="Times New Roman" w:eastAsia="Times New Roman" w:hAnsi="Times New Roman" w:cs="Times New Roman"/>
        </w:rPr>
        <w:t>allocation of work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between </w:t>
      </w:r>
      <w:r w:rsidR="00B05F31">
        <w:rPr>
          <w:rFonts w:ascii="Times New Roman" w:eastAsia="Times New Roman" w:hAnsi="Times New Roman" w:cs="Times New Roman"/>
        </w:rPr>
        <w:t>“</w:t>
      </w:r>
      <w:r w:rsidRPr="750671CE">
        <w:rPr>
          <w:rFonts w:ascii="Times New Roman" w:eastAsia="Times New Roman" w:hAnsi="Times New Roman" w:cs="Times New Roman"/>
        </w:rPr>
        <w:t>judge and jury in torts cases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is </w:t>
      </w:r>
      <w:r w:rsidR="00B05F31">
        <w:rPr>
          <w:rFonts w:ascii="Times New Roman" w:eastAsia="Times New Roman" w:hAnsi="Times New Roman" w:cs="Times New Roman"/>
        </w:rPr>
        <w:t>“</w:t>
      </w:r>
      <w:r w:rsidRPr="750671CE">
        <w:rPr>
          <w:rFonts w:ascii="Times New Roman" w:eastAsia="Times New Roman" w:hAnsi="Times New Roman" w:cs="Times New Roman"/>
        </w:rPr>
        <w:t>the end to which all doctrines, rules and formulae in current use in such cases are directed.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Fowler V. Harper, </w:t>
      </w:r>
      <w:r w:rsidRPr="750671CE">
        <w:rPr>
          <w:rFonts w:ascii="Times New Roman" w:eastAsia="Times New Roman" w:hAnsi="Times New Roman" w:cs="Times New Roman"/>
          <w:i/>
          <w:iCs/>
        </w:rPr>
        <w:t>Judge and Jury</w:t>
      </w:r>
      <w:r w:rsidRPr="750671CE">
        <w:rPr>
          <w:rFonts w:ascii="Times New Roman" w:eastAsia="Times New Roman" w:hAnsi="Times New Roman" w:cs="Times New Roman"/>
        </w:rPr>
        <w:t xml:space="preserve">, 6 </w:t>
      </w:r>
      <w:r w:rsidRPr="750671CE">
        <w:rPr>
          <w:rFonts w:ascii="Times New Roman" w:eastAsia="Times New Roman" w:hAnsi="Times New Roman" w:cs="Times New Roman"/>
          <w:smallCaps/>
        </w:rPr>
        <w:t>Ind. L.J</w:t>
      </w:r>
      <w:r w:rsidRPr="750671CE">
        <w:rPr>
          <w:rFonts w:ascii="Times New Roman" w:eastAsia="Times New Roman" w:hAnsi="Times New Roman" w:cs="Times New Roman"/>
          <w:i/>
          <w:iCs/>
        </w:rPr>
        <w:t>.</w:t>
      </w:r>
      <w:r w:rsidRPr="750671CE">
        <w:rPr>
          <w:rFonts w:ascii="Times New Roman" w:eastAsia="Times New Roman" w:hAnsi="Times New Roman" w:cs="Times New Roman"/>
        </w:rPr>
        <w:t xml:space="preserve"> 285, 285 (1931).</w:t>
      </w:r>
    </w:p>
    <w:p w14:paraId="6E954853" w14:textId="77777777" w:rsidR="00C22B24" w:rsidRPr="00920B12" w:rsidRDefault="00C22B24" w:rsidP="00C22B24">
      <w:pPr>
        <w:rPr>
          <w:rFonts w:ascii="Times New Roman" w:hAnsi="Times New Roman" w:cs="Times New Roman"/>
          <w:b/>
        </w:rPr>
      </w:pPr>
    </w:p>
    <w:p w14:paraId="700477C2" w14:textId="77777777" w:rsidR="00C22B24" w:rsidRPr="00920B12" w:rsidRDefault="00C22B24" w:rsidP="00C22B24">
      <w:pPr>
        <w:rPr>
          <w:rFonts w:ascii="Times New Roman" w:hAnsi="Times New Roman" w:cs="Times New Roman"/>
          <w:b/>
        </w:rPr>
      </w:pPr>
    </w:p>
    <w:p w14:paraId="767344FC" w14:textId="77777777" w:rsidR="00C22B24" w:rsidRPr="00920B12" w:rsidRDefault="00C22B24" w:rsidP="750671CE">
      <w:pPr>
        <w:rPr>
          <w:rFonts w:ascii="Times New Roman" w:eastAsia="Times New Roman" w:hAnsi="Times New Roman" w:cs="Times New Roman"/>
          <w:b/>
          <w:bCs/>
        </w:rPr>
      </w:pPr>
      <w:bookmarkStart w:id="275" w:name="_Toc518323309"/>
      <w:r w:rsidRPr="005F6519">
        <w:rPr>
          <w:rStyle w:val="Heading3Char"/>
          <w:i/>
        </w:rPr>
        <w:t>Baltimore &amp; Ohio Railroad Co. v. Goodman</w:t>
      </w:r>
      <w:bookmarkEnd w:id="275"/>
      <w:r w:rsidRPr="750671CE">
        <w:rPr>
          <w:rFonts w:ascii="Times New Roman" w:eastAsia="Times New Roman" w:hAnsi="Times New Roman" w:cs="Times New Roman"/>
          <w:b/>
          <w:bCs/>
        </w:rPr>
        <w:t>, 275 U.S. 66 (1927)</w:t>
      </w:r>
    </w:p>
    <w:p w14:paraId="3F2A6CF6" w14:textId="77777777" w:rsidR="00C22B24" w:rsidRPr="00920B12" w:rsidRDefault="00C22B24" w:rsidP="00C22B24">
      <w:pPr>
        <w:rPr>
          <w:rFonts w:ascii="Times New Roman" w:hAnsi="Times New Roman" w:cs="Times New Roman"/>
          <w:b/>
        </w:rPr>
      </w:pPr>
    </w:p>
    <w:p w14:paraId="59A2E51E" w14:textId="0D7E9AA5"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smallCaps/>
        </w:rPr>
        <w:t>Holmes,</w:t>
      </w:r>
      <w:r w:rsidRPr="750671CE">
        <w:rPr>
          <w:rFonts w:ascii="Times New Roman" w:eastAsia="Times New Roman" w:hAnsi="Times New Roman" w:cs="Times New Roman"/>
        </w:rPr>
        <w:t xml:space="preserve"> J. This is a suit brought by the widow and administratrix of Nathan Goodman against the petitioner for causing his death by running him down at a grade crossing. The defence is that Goodman</w:t>
      </w:r>
      <w:r w:rsidR="00B05F31">
        <w:rPr>
          <w:rFonts w:ascii="Times New Roman" w:eastAsia="Times New Roman" w:hAnsi="Times New Roman" w:cs="Times New Roman"/>
        </w:rPr>
        <w:t>’</w:t>
      </w:r>
      <w:r w:rsidRPr="750671CE">
        <w:rPr>
          <w:rFonts w:ascii="Times New Roman" w:eastAsia="Times New Roman" w:hAnsi="Times New Roman" w:cs="Times New Roman"/>
        </w:rPr>
        <w:t>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0628DF0C" w14:textId="2B8FAA5A"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Goodman was driving an automobile truck in an easterly direction and was killed </w:t>
      </w:r>
      <w:r w:rsidRPr="750671CE">
        <w:rPr>
          <w:rFonts w:ascii="Times New Roman" w:eastAsia="Times New Roman" w:hAnsi="Times New Roman" w:cs="Times New Roman"/>
        </w:rPr>
        <w:lastRenderedPageBreak/>
        <w:t xml:space="preserve">by a train running southwesterly across the road at a rate of not less than 60 miles an hour. The line was straight but it is said by the respondent that Goodman </w:t>
      </w:r>
      <w:r w:rsidR="00B05F31">
        <w:rPr>
          <w:rFonts w:ascii="Times New Roman" w:eastAsia="Times New Roman" w:hAnsi="Times New Roman" w:cs="Times New Roman"/>
        </w:rPr>
        <w:t>‘</w:t>
      </w:r>
      <w:r w:rsidRPr="750671CE">
        <w:rPr>
          <w:rFonts w:ascii="Times New Roman" w:eastAsia="Times New Roman" w:hAnsi="Times New Roman" w:cs="Times New Roman"/>
        </w:rPr>
        <w:t>had no practical view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79390698" w14:textId="0EFE86E9"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We do not go into further details as to Goodman</w:t>
      </w:r>
      <w:r w:rsidR="00B05F31">
        <w:rPr>
          <w:rFonts w:ascii="Times New Roman" w:eastAsia="Times New Roman" w:hAnsi="Times New Roman" w:cs="Times New Roman"/>
        </w:rPr>
        <w:t>’</w:t>
      </w:r>
      <w:r w:rsidRPr="750671CE">
        <w:rPr>
          <w:rFonts w:ascii="Times New Roman" w:eastAsia="Times New Roman" w:hAnsi="Times New Roman" w:cs="Times New Roman"/>
        </w:rPr>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rPr>
          <w:rFonts w:ascii="Times New Roman" w:eastAsia="Times New Roman" w:hAnsi="Times New Roman" w:cs="Times New Roman"/>
        </w:rPr>
        <w:t xml:space="preserve">. . . </w:t>
      </w:r>
      <w:r w:rsidRPr="750671CE">
        <w:rPr>
          <w:rFonts w:ascii="Times New Roman" w:eastAsia="Times New Roman" w:hAnsi="Times New Roman" w:cs="Times New Roman"/>
        </w:rPr>
        <w:t>that the question of due care very generally is left to the jury. But we are dealing with a standard of conduct, and when the standard is clear it should be laid down once for all by the Courts</w:t>
      </w:r>
      <w:r w:rsidR="00C921DB" w:rsidRPr="00C921DB">
        <w:rPr>
          <w:rFonts w:ascii="Times New Roman" w:eastAsia="Times New Roman" w:hAnsi="Times New Roman" w:cs="Times New Roman"/>
        </w:rPr>
        <w:t>. . . .</w:t>
      </w:r>
    </w:p>
    <w:p w14:paraId="1BBEE6AA"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05A3BB8A"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Judgment reversed.</w:t>
      </w:r>
    </w:p>
    <w:p w14:paraId="755E3DF3" w14:textId="77777777" w:rsidR="00C22B24" w:rsidRPr="00920B12" w:rsidRDefault="00C22B24" w:rsidP="00C22B24">
      <w:pPr>
        <w:widowControl w:val="0"/>
        <w:autoSpaceDE w:val="0"/>
        <w:autoSpaceDN w:val="0"/>
        <w:adjustRightInd w:val="0"/>
        <w:rPr>
          <w:rFonts w:ascii="Times New Roman" w:hAnsi="Times New Roman" w:cs="Times New Roman"/>
        </w:rPr>
      </w:pPr>
    </w:p>
    <w:p w14:paraId="3B7B828C" w14:textId="77777777" w:rsidR="00C22B24" w:rsidRPr="00920B12" w:rsidRDefault="00C22B24" w:rsidP="00C22B24">
      <w:pPr>
        <w:widowControl w:val="0"/>
        <w:autoSpaceDE w:val="0"/>
        <w:autoSpaceDN w:val="0"/>
        <w:adjustRightInd w:val="0"/>
        <w:rPr>
          <w:rFonts w:ascii="Times New Roman" w:hAnsi="Times New Roman" w:cs="Times New Roman"/>
          <w:b/>
        </w:rPr>
      </w:pPr>
    </w:p>
    <w:p w14:paraId="0C4C04A9" w14:textId="4A2BE012" w:rsidR="00C22B24" w:rsidRPr="00920B12" w:rsidRDefault="00C22B24" w:rsidP="750671CE">
      <w:pPr>
        <w:widowControl w:val="0"/>
        <w:autoSpaceDE w:val="0"/>
        <w:autoSpaceDN w:val="0"/>
        <w:adjustRightInd w:val="0"/>
        <w:rPr>
          <w:rFonts w:ascii="Times New Roman" w:eastAsia="Times New Roman" w:hAnsi="Times New Roman" w:cs="Times New Roman"/>
          <w:b/>
          <w:bCs/>
        </w:rPr>
      </w:pPr>
      <w:r w:rsidRPr="750671CE">
        <w:rPr>
          <w:rFonts w:ascii="Times New Roman" w:eastAsia="Times New Roman" w:hAnsi="Times New Roman" w:cs="Times New Roman"/>
          <w:b/>
          <w:bCs/>
          <w:smallCaps/>
        </w:rPr>
        <w:t xml:space="preserve"> </w:t>
      </w:r>
      <w:bookmarkStart w:id="276" w:name="_Toc518323310"/>
      <w:r w:rsidRPr="00F94B7E">
        <w:rPr>
          <w:rStyle w:val="Heading3Char"/>
          <w:smallCaps/>
        </w:rPr>
        <w:t>Oliver Wendell Holmes, Jr., The Common Law</w:t>
      </w:r>
      <w:bookmarkEnd w:id="276"/>
      <w:r w:rsidRPr="750671CE">
        <w:rPr>
          <w:rFonts w:ascii="Times New Roman" w:eastAsia="Times New Roman" w:hAnsi="Times New Roman" w:cs="Times New Roman"/>
          <w:b/>
          <w:bCs/>
          <w:i/>
          <w:iCs/>
        </w:rPr>
        <w:t xml:space="preserve"> </w:t>
      </w:r>
      <w:r w:rsidRPr="750671CE">
        <w:rPr>
          <w:rFonts w:ascii="Times New Roman" w:eastAsia="Times New Roman" w:hAnsi="Times New Roman" w:cs="Times New Roman"/>
          <w:b/>
          <w:bCs/>
        </w:rPr>
        <w:t xml:space="preserve">111, 123-4 (1881) </w:t>
      </w:r>
      <w:r w:rsidRPr="00920B12">
        <w:rPr>
          <w:rFonts w:ascii="Times New Roman" w:hAnsi="Times New Roman" w:cs="Times New Roman"/>
          <w:b/>
          <w:i/>
        </w:rPr>
        <w:br/>
      </w:r>
    </w:p>
    <w:p w14:paraId="5B5B8C07"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b/>
          <w:bCs/>
        </w:rPr>
      </w:pPr>
      <w:r w:rsidRPr="750671CE">
        <w:rPr>
          <w:rFonts w:ascii="Times New Roman" w:eastAsia="Times New Roman" w:hAnsi="Times New Roman" w:cs="Times New Roman"/>
        </w:rPr>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46BC61ED"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When a case arises in which the standard of conduct, pure and simple, is </w:t>
      </w:r>
      <w:r w:rsidRPr="750671CE">
        <w:rPr>
          <w:rFonts w:ascii="Times New Roman" w:eastAsia="Times New Roman" w:hAnsi="Times New Roman" w:cs="Times New Roman"/>
        </w:rPr>
        <w:lastRenderedPageBreak/>
        <w:t xml:space="preserve">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25B3FF42"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920B12" w:rsidRDefault="00C22B24" w:rsidP="00C22B24">
      <w:pPr>
        <w:widowControl w:val="0"/>
        <w:autoSpaceDE w:val="0"/>
        <w:autoSpaceDN w:val="0"/>
        <w:adjustRightInd w:val="0"/>
        <w:ind w:right="720"/>
        <w:rPr>
          <w:rFonts w:ascii="Times New Roman" w:hAnsi="Times New Roman" w:cs="Times New Roman"/>
        </w:rPr>
      </w:pPr>
    </w:p>
    <w:p w14:paraId="0F021B66"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If this be the proper conclusion in plain cases, further consequences ensue. Facts do not often exactly repeat themselves in practice; but cases with comparatively small variations from each other do. A judge who has long sat at </w:t>
      </w:r>
      <w:r w:rsidRPr="750671CE">
        <w:rPr>
          <w:rFonts w:ascii="Times New Roman" w:eastAsia="Times New Roman" w:hAnsi="Times New Roman" w:cs="Times New Roman"/>
          <w:i/>
          <w:iCs/>
        </w:rPr>
        <w:t>nisi prius</w:t>
      </w:r>
      <w:r w:rsidRPr="750671CE">
        <w:rPr>
          <w:rFonts w:ascii="Times New Roman" w:eastAsia="Times New Roman" w:hAnsi="Times New Roman" w:cs="Times New Roman"/>
        </w:rPr>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920B12" w:rsidRDefault="00C22B24">
      <w:pPr>
        <w:widowControl w:val="0"/>
        <w:autoSpaceDE w:val="0"/>
        <w:autoSpaceDN w:val="0"/>
        <w:adjustRightInd w:val="0"/>
        <w:ind w:right="720"/>
        <w:rPr>
          <w:rFonts w:ascii="Times New Roman" w:hAnsi="Times New Roman" w:cs="Times New Roman"/>
        </w:rPr>
      </w:pPr>
    </w:p>
    <w:p w14:paraId="15DFC260" w14:textId="77777777" w:rsidR="00C22B24" w:rsidRPr="00920B12" w:rsidRDefault="00C22B24">
      <w:pPr>
        <w:widowControl w:val="0"/>
        <w:autoSpaceDE w:val="0"/>
        <w:autoSpaceDN w:val="0"/>
        <w:adjustRightInd w:val="0"/>
        <w:ind w:right="720"/>
        <w:rPr>
          <w:rFonts w:ascii="Times New Roman" w:hAnsi="Times New Roman" w:cs="Times New Roman"/>
        </w:rPr>
      </w:pPr>
    </w:p>
    <w:p w14:paraId="4430A46E" w14:textId="77777777" w:rsidR="00C22B24" w:rsidRPr="00920B12" w:rsidRDefault="00C22B24" w:rsidP="002502CC">
      <w:pPr>
        <w:pStyle w:val="Heading4"/>
      </w:pPr>
      <w:bookmarkStart w:id="277" w:name="_Toc364636115"/>
      <w:bookmarkStart w:id="278" w:name="_Toc518323311"/>
      <w:r w:rsidRPr="00920B12">
        <w:t>Notes</w:t>
      </w:r>
      <w:bookmarkEnd w:id="277"/>
      <w:bookmarkEnd w:id="278"/>
    </w:p>
    <w:p w14:paraId="1920FBB6" w14:textId="77777777" w:rsidR="00C22B24" w:rsidRDefault="00C22B24" w:rsidP="00FB1320">
      <w:pPr>
        <w:widowControl w:val="0"/>
        <w:autoSpaceDE w:val="0"/>
        <w:autoSpaceDN w:val="0"/>
        <w:adjustRightInd w:val="0"/>
        <w:ind w:right="720"/>
        <w:rPr>
          <w:rFonts w:ascii="Times New Roman" w:hAnsi="Times New Roman" w:cs="Times New Roman"/>
          <w:b/>
        </w:rPr>
      </w:pPr>
    </w:p>
    <w:p w14:paraId="671797C8" w14:textId="77777777" w:rsidR="00FB1320" w:rsidRPr="00920B12" w:rsidRDefault="00FB1320" w:rsidP="00FB1320">
      <w:pPr>
        <w:widowControl w:val="0"/>
        <w:autoSpaceDE w:val="0"/>
        <w:autoSpaceDN w:val="0"/>
        <w:adjustRightInd w:val="0"/>
        <w:ind w:right="720"/>
        <w:rPr>
          <w:rFonts w:ascii="Times New Roman" w:hAnsi="Times New Roman" w:cs="Times New Roman"/>
          <w:b/>
        </w:rPr>
      </w:pPr>
    </w:p>
    <w:p w14:paraId="2165303D" w14:textId="68DB3251" w:rsidR="00C22B24" w:rsidRPr="00F94B7E" w:rsidRDefault="750671CE" w:rsidP="00F94B7E">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Holmes saw great appeal in creating hard and fast rules to govern cases with similar fact patterns.  In doing so, Holmes helped to illuminate an important distinction between two different kinds of legal norms. </w:t>
      </w:r>
      <w:r w:rsidR="005F6519">
        <w:rPr>
          <w:rFonts w:ascii="Times New Roman" w:eastAsia="Times New Roman" w:hAnsi="Times New Roman" w:cs="Times New Roman"/>
        </w:rPr>
        <w:t xml:space="preserve"> </w:t>
      </w:r>
      <w:r w:rsidRPr="00F94B7E">
        <w:rPr>
          <w:rFonts w:ascii="Times New Roman" w:eastAsia="Times New Roman" w:hAnsi="Times New Roman" w:cs="Times New Roman"/>
        </w:rPr>
        <w:t>One is rules.</w:t>
      </w:r>
      <w:r w:rsidR="005F6519">
        <w:rPr>
          <w:rFonts w:ascii="Times New Roman" w:eastAsia="Times New Roman" w:hAnsi="Times New Roman" w:cs="Times New Roman"/>
        </w:rPr>
        <w:t xml:space="preserve"> </w:t>
      </w:r>
      <w:r w:rsidRPr="00F94B7E">
        <w:rPr>
          <w:rFonts w:ascii="Times New Roman" w:eastAsia="Times New Roman" w:hAnsi="Times New Roman" w:cs="Times New Roman"/>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Default="00C22B24" w:rsidP="00C22B24">
      <w:pPr>
        <w:widowControl w:val="0"/>
        <w:autoSpaceDE w:val="0"/>
        <w:autoSpaceDN w:val="0"/>
        <w:adjustRightInd w:val="0"/>
        <w:rPr>
          <w:rFonts w:ascii="Times New Roman" w:hAnsi="Times New Roman" w:cs="Times New Roman"/>
        </w:rPr>
      </w:pPr>
    </w:p>
    <w:p w14:paraId="6EAFD510" w14:textId="6C5F8E6A"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In Holmes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view, a rule such as </w:t>
      </w:r>
      <w:r w:rsidR="00B05F31">
        <w:rPr>
          <w:rFonts w:ascii="Times New Roman" w:eastAsia="Times New Roman" w:hAnsi="Times New Roman" w:cs="Times New Roman"/>
        </w:rPr>
        <w:t>“</w:t>
      </w:r>
      <w:r w:rsidRPr="750671CE">
        <w:rPr>
          <w:rFonts w:ascii="Times New Roman" w:eastAsia="Times New Roman" w:hAnsi="Times New Roman" w:cs="Times New Roman"/>
        </w:rPr>
        <w:t>all drivers crossing the railroad must stop, look, and listen,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all stairs must have brass </w:t>
      </w:r>
      <w:r w:rsidR="003D02FE">
        <w:rPr>
          <w:rFonts w:ascii="Times New Roman" w:eastAsia="Times New Roman" w:hAnsi="Times New Roman" w:cs="Times New Roman"/>
        </w:rPr>
        <w:t xml:space="preserve">‘nosing’ strips </w:t>
      </w:r>
      <w:r w:rsidRPr="750671CE">
        <w:rPr>
          <w:rFonts w:ascii="Times New Roman" w:eastAsia="Times New Roman" w:hAnsi="Times New Roman" w:cs="Times New Roman"/>
        </w:rPr>
        <w:t>on their edges,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made for a </w:t>
      </w:r>
      <w:r w:rsidRPr="750671CE">
        <w:rPr>
          <w:rFonts w:ascii="Times New Roman" w:eastAsia="Times New Roman" w:hAnsi="Times New Roman" w:cs="Times New Roman"/>
        </w:rPr>
        <w:lastRenderedPageBreak/>
        <w:t xml:space="preserve">cleaner decision-making tool than the </w:t>
      </w:r>
      <w:r w:rsidR="00B05F31">
        <w:rPr>
          <w:rFonts w:ascii="Times New Roman" w:eastAsia="Times New Roman" w:hAnsi="Times New Roman" w:cs="Times New Roman"/>
        </w:rPr>
        <w:t>“</w:t>
      </w:r>
      <w:r w:rsidRPr="750671CE">
        <w:rPr>
          <w:rFonts w:ascii="Times New Roman" w:eastAsia="Times New Roman" w:hAnsi="Times New Roman" w:cs="Times New Roman"/>
        </w:rPr>
        <w:t>featureless generality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the negligence standard.  What are the general considerations when choosing between standards and rules?  What does the choice between these two legal technologies entail for the power of juries?    </w:t>
      </w:r>
    </w:p>
    <w:p w14:paraId="6A8DBB40" w14:textId="77777777" w:rsidR="00C22B24" w:rsidRDefault="00C22B24" w:rsidP="00C22B24">
      <w:pPr>
        <w:widowControl w:val="0"/>
        <w:autoSpaceDE w:val="0"/>
        <w:autoSpaceDN w:val="0"/>
        <w:adjustRightInd w:val="0"/>
        <w:rPr>
          <w:rFonts w:ascii="Times New Roman" w:hAnsi="Times New Roman" w:cs="Times New Roman"/>
        </w:rPr>
      </w:pPr>
    </w:p>
    <w:p w14:paraId="5A556A94" w14:textId="77777777" w:rsidR="00C22B24" w:rsidRPr="00920B12" w:rsidRDefault="00C22B24" w:rsidP="00C22B24">
      <w:pPr>
        <w:widowControl w:val="0"/>
        <w:autoSpaceDE w:val="0"/>
        <w:autoSpaceDN w:val="0"/>
        <w:adjustRightInd w:val="0"/>
        <w:rPr>
          <w:rFonts w:ascii="Times New Roman" w:hAnsi="Times New Roman" w:cs="Times New Roman"/>
        </w:rPr>
      </w:pPr>
    </w:p>
    <w:p w14:paraId="19E691ED" w14:textId="44BDA896" w:rsidR="00C22B24" w:rsidRPr="00F94B7E" w:rsidRDefault="750671CE" w:rsidP="00F94B7E">
      <w:pPr>
        <w:pStyle w:val="ListParagraph"/>
        <w:widowControl w:val="0"/>
        <w:numPr>
          <w:ilvl w:val="0"/>
          <w:numId w:val="91"/>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Does a jury serve any role other than the updating function Holmes alludes to in his discussion of medical malpractice cases, even in repeated fact pattern cases? Seven years after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replacement on</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the Supreme Court, Benjamin Cardozo, revisited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hard and fast judge-made rule for railroad crossing cases.</w:t>
      </w:r>
    </w:p>
    <w:p w14:paraId="3D78E2A0" w14:textId="77777777" w:rsidR="00C22B24" w:rsidRPr="00920B12" w:rsidRDefault="00C22B24" w:rsidP="00C22B24">
      <w:pPr>
        <w:rPr>
          <w:rFonts w:ascii="Times New Roman" w:hAnsi="Times New Roman" w:cs="Times New Roman"/>
          <w:b/>
        </w:rPr>
      </w:pPr>
    </w:p>
    <w:p w14:paraId="619AF06F" w14:textId="77777777" w:rsidR="00C22B24" w:rsidRPr="00920B12" w:rsidRDefault="00C22B24" w:rsidP="00C22B24">
      <w:pPr>
        <w:rPr>
          <w:rFonts w:ascii="Times New Roman" w:hAnsi="Times New Roman" w:cs="Times New Roman"/>
          <w:b/>
        </w:rPr>
      </w:pPr>
    </w:p>
    <w:p w14:paraId="1006CA23" w14:textId="77777777" w:rsidR="00C22B24" w:rsidRDefault="00C22B24" w:rsidP="750671CE">
      <w:pPr>
        <w:rPr>
          <w:rFonts w:ascii="Times New Roman" w:eastAsia="Times New Roman" w:hAnsi="Times New Roman" w:cs="Times New Roman"/>
          <w:b/>
          <w:bCs/>
        </w:rPr>
      </w:pPr>
      <w:bookmarkStart w:id="279" w:name="_Toc518323312"/>
      <w:r w:rsidRPr="005F6519">
        <w:rPr>
          <w:rStyle w:val="Heading3Char"/>
          <w:i/>
        </w:rPr>
        <w:t>Pokora v. Wabash Railroad Co</w:t>
      </w:r>
      <w:bookmarkEnd w:id="279"/>
      <w:r w:rsidRPr="750671CE">
        <w:rPr>
          <w:rFonts w:ascii="Times New Roman" w:eastAsia="Times New Roman" w:hAnsi="Times New Roman" w:cs="Times New Roman"/>
          <w:b/>
          <w:bCs/>
          <w:i/>
          <w:iCs/>
        </w:rPr>
        <w:t>.</w:t>
      </w:r>
      <w:r w:rsidRPr="750671CE">
        <w:rPr>
          <w:rFonts w:ascii="Times New Roman" w:eastAsia="Times New Roman" w:hAnsi="Times New Roman" w:cs="Times New Roman"/>
          <w:b/>
          <w:bCs/>
        </w:rPr>
        <w:t>, 292 U.S. 98 (1934)</w:t>
      </w:r>
    </w:p>
    <w:p w14:paraId="6F856532" w14:textId="77777777" w:rsidR="00C22B24" w:rsidRPr="00920B12" w:rsidRDefault="00C22B24" w:rsidP="00C22B24">
      <w:pPr>
        <w:rPr>
          <w:rFonts w:ascii="Times New Roman" w:hAnsi="Times New Roman" w:cs="Times New Roman"/>
          <w:b/>
        </w:rPr>
      </w:pPr>
    </w:p>
    <w:p w14:paraId="3489BE5B" w14:textId="77777777" w:rsidR="00010B15"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C</w:t>
      </w:r>
      <w:r w:rsidRPr="750671CE">
        <w:rPr>
          <w:rFonts w:ascii="Times New Roman" w:eastAsia="Times New Roman" w:hAnsi="Times New Roman" w:cs="Times New Roman"/>
          <w:smallCaps/>
        </w:rPr>
        <w:t>ardozo</w:t>
      </w:r>
      <w:r w:rsidRPr="750671CE">
        <w:rPr>
          <w:rFonts w:ascii="Times New Roman" w:eastAsia="Times New Roman" w:hAnsi="Times New Roman" w:cs="Times New Roman"/>
        </w:rPr>
        <w:t xml:space="preserve">, J. </w:t>
      </w:r>
    </w:p>
    <w:p w14:paraId="161E1DAB" w14:textId="77777777" w:rsidR="00010B15" w:rsidRDefault="00010B15" w:rsidP="750671CE">
      <w:pPr>
        <w:widowControl w:val="0"/>
        <w:autoSpaceDE w:val="0"/>
        <w:autoSpaceDN w:val="0"/>
        <w:adjustRightInd w:val="0"/>
        <w:ind w:firstLine="720"/>
        <w:rPr>
          <w:rFonts w:ascii="Times New Roman" w:eastAsia="Times New Roman" w:hAnsi="Times New Roman" w:cs="Times New Roman"/>
        </w:rPr>
      </w:pPr>
    </w:p>
    <w:p w14:paraId="6B88301D" w14:textId="2358861F"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John Pokora, driving his truck across a railway grade crossing in the city of Spring field, Ill., was struck by a train and injured. Upon the trial of his suit for damages, the District Court held that he had been guilty of contributory negligence, and directed a verdict for the defendant. The Circuit Court of Appeals (one judge dissenting) affirmed . . . resting its judgment on the opinion of this court in </w:t>
      </w:r>
      <w:r w:rsidRPr="750671CE">
        <w:rPr>
          <w:rFonts w:ascii="Times New Roman" w:eastAsia="Times New Roman" w:hAnsi="Times New Roman" w:cs="Times New Roman"/>
          <w:i/>
          <w:iCs/>
        </w:rPr>
        <w:t xml:space="preserve">B. </w:t>
      </w:r>
      <w:hyperlink r:id="rId46">
        <w:r w:rsidRPr="750671CE">
          <w:rPr>
            <w:rFonts w:ascii="Times New Roman" w:eastAsia="Times New Roman" w:hAnsi="Times New Roman" w:cs="Times New Roman"/>
            <w:i/>
            <w:iCs/>
          </w:rPr>
          <w:t>&amp; O.R. Co. v. Goodman,</w:t>
        </w:r>
        <w:r w:rsidRPr="750671CE">
          <w:rPr>
            <w:rFonts w:ascii="Times New Roman" w:eastAsia="Times New Roman" w:hAnsi="Times New Roman" w:cs="Times New Roman"/>
          </w:rPr>
          <w:t xml:space="preserve"> 275 U.S. 66.</w:t>
        </w:r>
      </w:hyperlink>
      <w:r w:rsidRPr="750671CE">
        <w:rPr>
          <w:rFonts w:ascii="Times New Roman" w:eastAsia="Times New Roman" w:hAnsi="Times New Roman" w:cs="Times New Roman"/>
        </w:rPr>
        <w:t xml:space="preserve"> A writ of certiorari brings the case here.</w:t>
      </w:r>
    </w:p>
    <w:p w14:paraId="62AAB99A" w14:textId="77777777" w:rsidR="00C22B24" w:rsidRPr="00920B12" w:rsidRDefault="00C22B24" w:rsidP="00C22B24">
      <w:pPr>
        <w:widowControl w:val="0"/>
        <w:autoSpaceDE w:val="0"/>
        <w:autoSpaceDN w:val="0"/>
        <w:adjustRightInd w:val="0"/>
        <w:rPr>
          <w:rFonts w:ascii="Times New Roman" w:hAnsi="Times New Roman" w:cs="Times New Roman"/>
        </w:rPr>
      </w:pPr>
    </w:p>
    <w:p w14:paraId="4A9F2688" w14:textId="77777777"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Pokora was an ice dealer, and had come to the crossing to load his truck with ice. The tracks of the Wabash Railway are laid along Tenth street, which runs north and south. There is a crossing at Edwards street running east and west. Two ice depots are on opposite corners of 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542CF039" w14:textId="77777777"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7448A43E" w14:textId="3AF96818"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w:t>
      </w:r>
      <w:r w:rsidRPr="750671CE">
        <w:rPr>
          <w:rFonts w:ascii="Times New Roman" w:eastAsia="Times New Roman" w:hAnsi="Times New Roman" w:cs="Times New Roman"/>
        </w:rPr>
        <w:lastRenderedPageBreak/>
        <w:t>the dimensions. . . . For all that appears he had no view of the main track northward, or none for a substantial distance, till the train was so near that escape had been cut off.</w:t>
      </w:r>
    </w:p>
    <w:p w14:paraId="21D1D669"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0A1B459A" w14:textId="59D7DD2A"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527F1EBA" w14:textId="0D1B4640"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argument is made, however, that our decision in </w:t>
      </w:r>
      <w:r w:rsidRPr="750671CE">
        <w:rPr>
          <w:rFonts w:ascii="Times New Roman" w:eastAsia="Times New Roman" w:hAnsi="Times New Roman" w:cs="Times New Roman"/>
          <w:i/>
          <w:iCs/>
        </w:rPr>
        <w:t>B. &amp; O.R. Co. v. Goodman</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supra</w:t>
      </w:r>
      <w:r w:rsidRPr="750671CE">
        <w:rPr>
          <w:rFonts w:ascii="Times New Roman" w:eastAsia="Times New Roman" w:hAnsi="Times New Roman" w:cs="Times New Roman"/>
        </w:rPr>
        <w:t>, is a barrier in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rPr>
          <w:rFonts w:ascii="Times New Roman" w:eastAsia="Times New Roman" w:hAnsi="Times New Roman" w:cs="Times New Roman"/>
        </w:rPr>
        <w:t>“</w:t>
      </w:r>
      <w:r w:rsidRPr="750671CE">
        <w:rPr>
          <w:rFonts w:ascii="Times New Roman" w:eastAsia="Times New Roman" w:hAnsi="Times New Roman" w:cs="Times New Roman"/>
        </w:rPr>
        <w:t>In such circumstances it seems to us that if a driver cannot be sure otherwise whether a train is dangerously near he must stop and get out of his vehicle, although obviously he will not often be required to do more than to stop and look.</w:t>
      </w:r>
      <w:r w:rsidR="00B05F31">
        <w:rPr>
          <w:rFonts w:ascii="Times New Roman" w:eastAsia="Times New Roman" w:hAnsi="Times New Roman" w:cs="Times New Roman"/>
        </w:rPr>
        <w:t>”</w:t>
      </w:r>
      <w:r w:rsidR="00806A76">
        <w:rPr>
          <w:rFonts w:ascii="Times New Roman" w:eastAsia="Times New Roman" w:hAnsi="Times New Roman" w:cs="Times New Roman"/>
        </w:rPr>
        <w:t xml:space="preserve"> </w:t>
      </w:r>
      <w:r w:rsidRPr="750671CE">
        <w:rPr>
          <w:rFonts w:ascii="Times New Roman" w:eastAsia="Times New Roman" w:hAnsi="Times New Roman" w:cs="Times New Roman"/>
        </w:rPr>
        <w:t>. . .</w:t>
      </w:r>
    </w:p>
    <w:p w14:paraId="71CA9897"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044CBC97" w14:textId="77777777"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w:t>
      </w:r>
      <w:r w:rsidRPr="750671CE">
        <w:rPr>
          <w:rFonts w:ascii="Times New Roman" w:eastAsia="Times New Roman" w:hAnsi="Times New Roman" w:cs="Times New Roman"/>
        </w:rPr>
        <w:lastRenderedPageBreak/>
        <w:t>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920B12" w:rsidRDefault="00C22B24" w:rsidP="007A3DCA">
      <w:pPr>
        <w:widowControl w:val="0"/>
        <w:autoSpaceDE w:val="0"/>
        <w:autoSpaceDN w:val="0"/>
        <w:adjustRightInd w:val="0"/>
        <w:rPr>
          <w:rFonts w:ascii="Times New Roman" w:hAnsi="Times New Roman" w:cs="Times New Roman"/>
        </w:rPr>
      </w:pPr>
    </w:p>
    <w:p w14:paraId="7F19BE11" w14:textId="2FE4AEF0"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rPr>
          <w:rFonts w:ascii="Times New Roman" w:eastAsia="Times New Roman" w:hAnsi="Times New Roman" w:cs="Times New Roman"/>
        </w:rPr>
        <w:t>’</w:t>
      </w:r>
      <w:r w:rsidRPr="750671CE">
        <w:rPr>
          <w:rFonts w:ascii="Times New Roman" w:eastAsia="Times New Roman" w:hAnsi="Times New Roman" w:cs="Times New Roman"/>
        </w:rPr>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920B12"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w:t>
      </w:r>
    </w:p>
    <w:p w14:paraId="4C532D01" w14:textId="77777777" w:rsidR="00C22B24" w:rsidRPr="00920B12" w:rsidRDefault="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judgment should be reversed, and the cause remanded for further proceedings in accordance with this opinion.</w:t>
      </w:r>
    </w:p>
    <w:p w14:paraId="2DF252AF" w14:textId="77777777" w:rsidR="00C22B24" w:rsidRDefault="00C22B24">
      <w:pPr>
        <w:rPr>
          <w:rFonts w:ascii="Times New Roman" w:hAnsi="Times New Roman" w:cs="Times New Roman"/>
          <w:b/>
        </w:rPr>
      </w:pPr>
    </w:p>
    <w:p w14:paraId="6FFC4F48" w14:textId="77777777" w:rsidR="00616027" w:rsidRPr="00920B12" w:rsidRDefault="00616027">
      <w:pPr>
        <w:rPr>
          <w:rFonts w:ascii="Times New Roman" w:hAnsi="Times New Roman" w:cs="Times New Roman"/>
          <w:b/>
        </w:rPr>
      </w:pPr>
    </w:p>
    <w:p w14:paraId="445ADCD0" w14:textId="77777777" w:rsidR="00C22B24" w:rsidRPr="00136C14" w:rsidRDefault="00C22B24" w:rsidP="002502CC">
      <w:pPr>
        <w:pStyle w:val="Heading4"/>
      </w:pPr>
      <w:bookmarkStart w:id="280" w:name="_Toc364636116"/>
      <w:bookmarkStart w:id="281" w:name="_Toc518323313"/>
      <w:r w:rsidRPr="00136C14">
        <w:t>Notes</w:t>
      </w:r>
      <w:bookmarkEnd w:id="280"/>
      <w:bookmarkEnd w:id="281"/>
    </w:p>
    <w:p w14:paraId="6CD5FE36" w14:textId="77777777" w:rsidR="00C22B24" w:rsidRDefault="00C22B24">
      <w:pPr>
        <w:rPr>
          <w:rFonts w:ascii="Times New Roman" w:hAnsi="Times New Roman" w:cs="Times New Roman"/>
          <w:b/>
        </w:rPr>
      </w:pPr>
    </w:p>
    <w:p w14:paraId="3D7A654F" w14:textId="77777777" w:rsidR="00616027" w:rsidRPr="008C70FD" w:rsidRDefault="00616027" w:rsidP="000A3755">
      <w:pPr>
        <w:rPr>
          <w:rFonts w:ascii="Times New Roman" w:hAnsi="Times New Roman" w:cs="Times New Roman"/>
          <w:b/>
        </w:rPr>
      </w:pPr>
    </w:p>
    <w:p w14:paraId="688657F9" w14:textId="690AA118" w:rsidR="00C22B24" w:rsidRPr="00F94B7E" w:rsidRDefault="750671CE" w:rsidP="00F94B7E">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 versus Holmes.</w:t>
      </w:r>
      <w:r w:rsidRPr="00F94B7E">
        <w:rPr>
          <w:rFonts w:ascii="Times New Roman" w:eastAsia="Times New Roman" w:hAnsi="Times New Roman" w:cs="Times New Roman"/>
        </w:rPr>
        <w:t xml:space="preserve"> Does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overrule </w:t>
      </w:r>
      <w:r w:rsidRPr="00F94B7E">
        <w:rPr>
          <w:rFonts w:ascii="Times New Roman" w:eastAsia="Times New Roman" w:hAnsi="Times New Roman" w:cs="Times New Roman"/>
          <w:i/>
          <w:iCs/>
        </w:rPr>
        <w:t>Goodman</w:t>
      </w:r>
      <w:r w:rsidRPr="00F94B7E">
        <w:rPr>
          <w:rFonts w:ascii="Times New Roman" w:eastAsia="Times New Roman" w:hAnsi="Times New Roman" w:cs="Times New Roman"/>
        </w:rPr>
        <w:t>?</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Or are the two grappling with different fact patterns? In </w:t>
      </w:r>
      <w:r w:rsidRPr="00F94B7E">
        <w:rPr>
          <w:rFonts w:ascii="Times New Roman" w:eastAsia="Times New Roman" w:hAnsi="Times New Roman" w:cs="Times New Roman"/>
          <w:i/>
          <w:iCs/>
        </w:rPr>
        <w:t>Pokora</w:t>
      </w:r>
      <w:r w:rsidRPr="00F94B7E">
        <w:rPr>
          <w:rFonts w:ascii="Times New Roman" w:eastAsia="Times New Roman" w:hAnsi="Times New Roman" w:cs="Times New Roman"/>
        </w:rPr>
        <w:t xml:space="preserve">, Cardozo suggests that the lower federal courts had not supported the hard and fast rule outlined in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 xml:space="preserve">Why might trial courts opt for a more jury-friendly, standard-like </w:t>
      </w:r>
      <w:r w:rsidRPr="00F94B7E">
        <w:rPr>
          <w:rFonts w:ascii="Times New Roman" w:eastAsia="Times New Roman" w:hAnsi="Times New Roman" w:cs="Times New Roman"/>
          <w:i/>
          <w:iCs/>
        </w:rPr>
        <w:t xml:space="preserve">Pokora </w:t>
      </w:r>
      <w:r w:rsidRPr="00F94B7E">
        <w:rPr>
          <w:rFonts w:ascii="Times New Roman" w:eastAsia="Times New Roman" w:hAnsi="Times New Roman" w:cs="Times New Roman"/>
        </w:rPr>
        <w:t xml:space="preserve">doctrine instead of a more judge-friendly, rule-like </w:t>
      </w:r>
      <w:r w:rsidRPr="00F94B7E">
        <w:rPr>
          <w:rFonts w:ascii="Times New Roman" w:eastAsia="Times New Roman" w:hAnsi="Times New Roman" w:cs="Times New Roman"/>
          <w:i/>
          <w:iCs/>
        </w:rPr>
        <w:t xml:space="preserve">Goodman </w:t>
      </w:r>
      <w:r w:rsidRPr="00F94B7E">
        <w:rPr>
          <w:rFonts w:ascii="Times New Roman" w:eastAsia="Times New Roman" w:hAnsi="Times New Roman" w:cs="Times New Roman"/>
        </w:rPr>
        <w:t>doctrine?</w:t>
      </w:r>
    </w:p>
    <w:p w14:paraId="04E9DD21" w14:textId="77777777" w:rsidR="00C22B24" w:rsidRDefault="00C22B24" w:rsidP="00C22B24">
      <w:pPr>
        <w:rPr>
          <w:rFonts w:ascii="Times New Roman" w:hAnsi="Times New Roman" w:cs="Times New Roman"/>
          <w:b/>
        </w:rPr>
      </w:pPr>
    </w:p>
    <w:p w14:paraId="1AD4DD28" w14:textId="77777777" w:rsidR="00C22B24" w:rsidRPr="00920B12" w:rsidRDefault="00C22B24" w:rsidP="00C22B24">
      <w:pPr>
        <w:rPr>
          <w:rFonts w:ascii="Times New Roman" w:hAnsi="Times New Roman" w:cs="Times New Roman"/>
          <w:b/>
        </w:rPr>
      </w:pPr>
    </w:p>
    <w:p w14:paraId="73351AC6" w14:textId="7400084E" w:rsidR="00C22B24" w:rsidRPr="00F94B7E" w:rsidRDefault="750671CE" w:rsidP="00F94B7E">
      <w:pPr>
        <w:pStyle w:val="ListParagraph"/>
        <w:numPr>
          <w:ilvl w:val="0"/>
          <w:numId w:val="92"/>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Grade</w:t>
      </w:r>
      <w:r w:rsidR="00FC7356" w:rsidRPr="00F94B7E">
        <w:rPr>
          <w:rFonts w:ascii="Times New Roman" w:eastAsia="Times New Roman" w:hAnsi="Times New Roman" w:cs="Times New Roman"/>
          <w:i/>
          <w:iCs/>
        </w:rPr>
        <w:t>-</w:t>
      </w:r>
      <w:r w:rsidRPr="00F94B7E">
        <w:rPr>
          <w:rFonts w:ascii="Times New Roman" w:eastAsia="Times New Roman" w:hAnsi="Times New Roman" w:cs="Times New Roman"/>
          <w:i/>
          <w:iCs/>
        </w:rPr>
        <w:t>crossing accidents in the 21</w:t>
      </w:r>
      <w:r w:rsidR="005804A9" w:rsidRPr="00F94B7E">
        <w:rPr>
          <w:rFonts w:ascii="Times New Roman" w:eastAsia="Times New Roman" w:hAnsi="Times New Roman" w:cs="Times New Roman"/>
          <w:i/>
          <w:iCs/>
        </w:rPr>
        <w:t>st</w:t>
      </w:r>
      <w:r w:rsidR="005804A9" w:rsidRPr="00F94B7E">
        <w:rPr>
          <w:rFonts w:ascii="Times New Roman" w:eastAsia="Times New Roman" w:hAnsi="Times New Roman" w:cs="Times New Roman"/>
          <w:i/>
          <w:iCs/>
          <w:vertAlign w:val="superscript"/>
        </w:rPr>
        <w:t xml:space="preserve"> </w:t>
      </w:r>
      <w:r w:rsidRPr="00F94B7E">
        <w:rPr>
          <w:rFonts w:ascii="Times New Roman" w:eastAsia="Times New Roman" w:hAnsi="Times New Roman" w:cs="Times New Roman"/>
          <w:i/>
          <w:iCs/>
        </w:rPr>
        <w:t>century.</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Grade-crossing accidents continue to vex the twenty-first century tort system. In the mid-2000s,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found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 average, one person a day dies at a crossing in the United States.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a series of stories, the paper documented the challenges plaintiffs face in wrongful death suits against railroad companies.  Among other things, the </w:t>
      </w:r>
      <w:r w:rsidRPr="00F94B7E">
        <w:rPr>
          <w:rFonts w:ascii="Times New Roman" w:eastAsia="Times New Roman" w:hAnsi="Times New Roman" w:cs="Times New Roman"/>
          <w:i/>
          <w:iCs/>
        </w:rPr>
        <w:t>Times</w:t>
      </w:r>
      <w:r w:rsidRPr="00F94B7E">
        <w:rPr>
          <w:rFonts w:ascii="Times New Roman" w:eastAsia="Times New Roman" w:hAnsi="Times New Roman" w:cs="Times New Roman"/>
        </w:rPr>
        <w:t xml:space="preserve"> series suggested that </w:t>
      </w:r>
      <w:r w:rsidRPr="00F94B7E">
        <w:rPr>
          <w:rFonts w:ascii="Times New Roman" w:eastAsia="Times New Roman" w:hAnsi="Times New Roman" w:cs="Times New Roman"/>
        </w:rPr>
        <w:lastRenderedPageBreak/>
        <w:t xml:space="preserve">railroads systematically destroyed relevant evidence in grade-crossing cases to avoid liability. </w:t>
      </w:r>
      <w:r w:rsidRPr="00F94B7E">
        <w:rPr>
          <w:rFonts w:ascii="Times New Roman" w:eastAsia="Times New Roman" w:hAnsi="Times New Roman" w:cs="Times New Roman"/>
          <w:i/>
          <w:iCs/>
        </w:rPr>
        <w:t>See, e.g.</w:t>
      </w:r>
      <w:r w:rsidRPr="00F94B7E">
        <w:rPr>
          <w:rFonts w:ascii="Times New Roman" w:eastAsia="Times New Roman" w:hAnsi="Times New Roman" w:cs="Times New Roman"/>
          <w:iCs/>
        </w:rPr>
        <w:t>,</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Walt Bogdanish, </w:t>
      </w:r>
      <w:r w:rsidRPr="00F94B7E">
        <w:rPr>
          <w:rFonts w:ascii="Times New Roman" w:eastAsia="Times New Roman" w:hAnsi="Times New Roman" w:cs="Times New Roman"/>
          <w:i/>
          <w:iCs/>
        </w:rPr>
        <w:t>In Deaths at Rail Crossings, Missing Evidence and Silence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July 11, 2004. </w:t>
      </w:r>
    </w:p>
    <w:p w14:paraId="57511690" w14:textId="77777777" w:rsidR="00C22B24" w:rsidRPr="00920B12" w:rsidRDefault="00C22B24" w:rsidP="00C22B24">
      <w:pPr>
        <w:rPr>
          <w:rFonts w:ascii="Times New Roman" w:hAnsi="Times New Roman" w:cs="Times New Roman"/>
        </w:rPr>
      </w:pPr>
    </w:p>
    <w:p w14:paraId="5CDB7D3C" w14:textId="404B7C24"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Despite Cardozo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apparent win in the judges versus juries debate in railroad crossings in the 1930s with </w:t>
      </w:r>
      <w:r w:rsidRPr="750671CE">
        <w:rPr>
          <w:rFonts w:ascii="Times New Roman" w:eastAsia="Times New Roman" w:hAnsi="Times New Roman" w:cs="Times New Roman"/>
          <w:i/>
          <w:iCs/>
        </w:rPr>
        <w:t>Pokora</w:t>
      </w:r>
      <w:r w:rsidRPr="750671CE">
        <w:rPr>
          <w:rFonts w:ascii="Times New Roman" w:eastAsia="Times New Roman" w:hAnsi="Times New Roman" w:cs="Times New Roman"/>
        </w:rPr>
        <w:t xml:space="preserve">, some state courts have continued to demand a </w:t>
      </w:r>
      <w:r w:rsidRPr="750671CE">
        <w:rPr>
          <w:rFonts w:ascii="Times New Roman" w:eastAsia="Times New Roman" w:hAnsi="Times New Roman" w:cs="Times New Roman"/>
          <w:i/>
          <w:iCs/>
        </w:rPr>
        <w:t xml:space="preserve">Goodman </w:t>
      </w:r>
      <w:r w:rsidRPr="750671CE">
        <w:rPr>
          <w:rFonts w:ascii="Times New Roman" w:eastAsia="Times New Roman" w:hAnsi="Times New Roman" w:cs="Times New Roman"/>
        </w:rPr>
        <w:t xml:space="preserve">rule-like structure in grade-crossing accidents, especially in single-track and open country situations. In </w:t>
      </w:r>
      <w:r w:rsidRPr="750671CE">
        <w:rPr>
          <w:rFonts w:ascii="Times New Roman" w:eastAsia="Times New Roman" w:hAnsi="Times New Roman" w:cs="Times New Roman"/>
          <w:i/>
          <w:iCs/>
        </w:rPr>
        <w:t xml:space="preserve">Ridgeway v. CSX Transportation, Inc., </w:t>
      </w:r>
      <w:r w:rsidRPr="750671CE">
        <w:rPr>
          <w:rFonts w:ascii="Times New Roman" w:eastAsia="Times New Roman" w:hAnsi="Times New Roman" w:cs="Times New Roman"/>
        </w:rPr>
        <w:t xml:space="preserve">723 So. 2d 600, 605 (Ala. 1998), the court found the </w:t>
      </w:r>
      <w:r w:rsidRPr="750671CE">
        <w:rPr>
          <w:rFonts w:ascii="Times New Roman" w:eastAsia="Times New Roman" w:hAnsi="Times New Roman" w:cs="Times New Roman"/>
          <w:i/>
          <w:iCs/>
        </w:rPr>
        <w:t xml:space="preserve">Goodman </w:t>
      </w:r>
      <w:r w:rsidRPr="750671CE">
        <w:rPr>
          <w:rFonts w:ascii="Times New Roman" w:eastAsia="Times New Roman" w:hAnsi="Times New Roman" w:cs="Times New Roman"/>
        </w:rPr>
        <w:t xml:space="preserve">rule </w:t>
      </w:r>
      <w:r w:rsidR="00B05F31">
        <w:rPr>
          <w:rFonts w:ascii="Times New Roman" w:eastAsia="Times New Roman" w:hAnsi="Times New Roman" w:cs="Times New Roman"/>
        </w:rPr>
        <w:t>“</w:t>
      </w:r>
      <w:r w:rsidRPr="750671CE">
        <w:rPr>
          <w:rFonts w:ascii="Times New Roman" w:eastAsia="Times New Roman" w:hAnsi="Times New Roman" w:cs="Times New Roman"/>
        </w:rPr>
        <w:t>deeply rooted in Alabama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elaborated that the rule in Alabama meant that </w:t>
      </w:r>
      <w:r w:rsidR="00B05F31">
        <w:rPr>
          <w:rFonts w:ascii="Times New Roman" w:eastAsia="Times New Roman" w:hAnsi="Times New Roman" w:cs="Times New Roman"/>
        </w:rPr>
        <w:t>“</w:t>
      </w:r>
      <w:r w:rsidRPr="750671CE">
        <w:rPr>
          <w:rFonts w:ascii="Times New Roman" w:eastAsia="Times New Roman" w:hAnsi="Times New Roman" w:cs="Times New Roman"/>
        </w:rPr>
        <w:t>a person who fails to stop, look, and listen before crossing a railroad track is, in the absence of special circumstances, contributorily negligent as a matter of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Supreme Court of Virginia also adopted a version of </w:t>
      </w:r>
      <w:r w:rsidRPr="750671CE">
        <w:rPr>
          <w:rFonts w:ascii="Times New Roman" w:eastAsia="Times New Roman" w:hAnsi="Times New Roman" w:cs="Times New Roman"/>
          <w:i/>
          <w:iCs/>
        </w:rPr>
        <w:t xml:space="preserve">Goodman, </w:t>
      </w:r>
      <w:r w:rsidRPr="750671CE">
        <w:rPr>
          <w:rFonts w:ascii="Times New Roman" w:eastAsia="Times New Roman" w:hAnsi="Times New Roman" w:cs="Times New Roman"/>
        </w:rPr>
        <w:t xml:space="preserve">calling a driver who had failed to adequately stop, look, and listen </w:t>
      </w:r>
      <w:r w:rsidR="00B05F31">
        <w:rPr>
          <w:rFonts w:ascii="Times New Roman" w:eastAsia="Times New Roman" w:hAnsi="Times New Roman" w:cs="Times New Roman"/>
        </w:rPr>
        <w:t>“</w:t>
      </w:r>
      <w:r w:rsidRPr="750671CE">
        <w:rPr>
          <w:rFonts w:ascii="Times New Roman" w:eastAsia="Times New Roman" w:hAnsi="Times New Roman" w:cs="Times New Roman"/>
        </w:rPr>
        <w:t>the architect of his own misfortune.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Wright v. Norfolk &amp; W. Ry. Co., </w:t>
      </w:r>
      <w:r w:rsidRPr="750671CE">
        <w:rPr>
          <w:rFonts w:ascii="Times New Roman" w:eastAsia="Times New Roman" w:hAnsi="Times New Roman" w:cs="Times New Roman"/>
        </w:rPr>
        <w:t xml:space="preserve">427 S.E.2d 724, 730 (Va. 1993). The driver had flouted Virginia law, which required </w:t>
      </w:r>
      <w:r w:rsidR="00B05F31">
        <w:rPr>
          <w:rFonts w:ascii="Times New Roman" w:eastAsia="Times New Roman" w:hAnsi="Times New Roman" w:cs="Times New Roman"/>
        </w:rPr>
        <w:t>“</w:t>
      </w:r>
      <w:r w:rsidRPr="750671CE">
        <w:rPr>
          <w:rFonts w:ascii="Times New Roman" w:eastAsia="Times New Roman" w:hAnsi="Times New Roman" w:cs="Times New Roman"/>
        </w:rPr>
        <w:t>the operator of a vehicle approaching a grade crossing . . . to look and listen at a time and place when both looking and listening will be effective, intelligently using both eyes and ears.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00190B65">
        <w:rPr>
          <w:rFonts w:ascii="Times New Roman" w:eastAsia="Times New Roman" w:hAnsi="Times New Roman" w:cs="Times New Roman"/>
          <w:iCs/>
        </w:rPr>
        <w:t>.</w:t>
      </w:r>
      <w:r w:rsidRPr="750671CE">
        <w:rPr>
          <w:rFonts w:ascii="Times New Roman" w:eastAsia="Times New Roman" w:hAnsi="Times New Roman" w:cs="Times New Roman"/>
          <w:i/>
          <w:iCs/>
        </w:rPr>
        <w:t>,</w:t>
      </w:r>
      <w:r w:rsidRPr="750671CE">
        <w:rPr>
          <w:rFonts w:ascii="Times New Roman" w:eastAsia="Times New Roman" w:hAnsi="Times New Roman" w:cs="Times New Roman"/>
        </w:rPr>
        <w:t xml:space="preserve"> (internal citations omitted).</w:t>
      </w:r>
    </w:p>
    <w:p w14:paraId="6B60485A" w14:textId="77777777" w:rsidR="00C22B24" w:rsidRPr="00920B12" w:rsidRDefault="00C22B24" w:rsidP="00C22B24">
      <w:pPr>
        <w:ind w:firstLine="720"/>
        <w:rPr>
          <w:rFonts w:ascii="Times New Roman" w:eastAsia="Times New Roman" w:hAnsi="Times New Roman" w:cs="Times New Roman"/>
        </w:rPr>
      </w:pPr>
    </w:p>
    <w:p w14:paraId="67C49190" w14:textId="2AE648D2"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Other state courts side with </w:t>
      </w:r>
      <w:r w:rsidRPr="750671CE">
        <w:rPr>
          <w:rFonts w:ascii="Times New Roman" w:eastAsia="Times New Roman" w:hAnsi="Times New Roman" w:cs="Times New Roman"/>
          <w:i/>
          <w:iCs/>
        </w:rPr>
        <w:t>Pokora</w:t>
      </w:r>
      <w:r w:rsidRPr="750671CE">
        <w:rPr>
          <w:rFonts w:ascii="Times New Roman" w:eastAsia="Times New Roman" w:hAnsi="Times New Roman" w:cs="Times New Roman"/>
        </w:rPr>
        <w:t xml:space="preserve"> and resolve the grade-crossing debate on the side of juries rather than judges. Judge Posner analogized an old Illinois railroad crossing rule to the </w:t>
      </w:r>
      <w:r w:rsidRPr="750671CE">
        <w:rPr>
          <w:rFonts w:ascii="Times New Roman" w:eastAsia="Times New Roman" w:hAnsi="Times New Roman" w:cs="Times New Roman"/>
          <w:i/>
          <w:iCs/>
        </w:rPr>
        <w:t xml:space="preserve">Goodman </w:t>
      </w:r>
      <w:r w:rsidRPr="750671CE">
        <w:rPr>
          <w:rFonts w:ascii="Times New Roman" w:eastAsia="Times New Roman" w:hAnsi="Times New Roman" w:cs="Times New Roman"/>
        </w:rPr>
        <w:t xml:space="preserve">rule and found that </w:t>
      </w:r>
      <w:r w:rsidR="00B05F31">
        <w:rPr>
          <w:rFonts w:ascii="Times New Roman" w:eastAsia="Times New Roman" w:hAnsi="Times New Roman" w:cs="Times New Roman"/>
        </w:rPr>
        <w:t>“</w:t>
      </w:r>
      <w:r w:rsidRPr="750671CE">
        <w:rPr>
          <w:rFonts w:ascii="Times New Roman" w:eastAsia="Times New Roman" w:hAnsi="Times New Roman" w:cs="Times New Roman"/>
        </w:rPr>
        <w:t>[b]oth rules buck the twentieth-century trend—as strong in Illinois as anywhere—toward leaving questions of care to the jury to be decided under the broad, unelaborated standard of 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Trevino v. Union Pac. R. Co.,</w:t>
      </w:r>
      <w:r w:rsidRPr="750671CE">
        <w:rPr>
          <w:rFonts w:ascii="Times New Roman" w:eastAsia="Times New Roman" w:hAnsi="Times New Roman" w:cs="Times New Roman"/>
        </w:rPr>
        <w:t xml:space="preserve"> 916 F.2d 1230, 1235 (7th Cir. 1990). And the more complicated the rail crossing, the more likely the plaintiff will get past the judge to the jury. For example, in </w:t>
      </w:r>
      <w:r w:rsidRPr="750671CE">
        <w:rPr>
          <w:rFonts w:ascii="Times New Roman" w:eastAsia="Times New Roman" w:hAnsi="Times New Roman" w:cs="Times New Roman"/>
          <w:i/>
          <w:iCs/>
        </w:rPr>
        <w:t>McKinney v. Yelavich,</w:t>
      </w:r>
      <w:r w:rsidRPr="750671CE">
        <w:rPr>
          <w:rFonts w:ascii="Times New Roman" w:eastAsia="Times New Roman" w:hAnsi="Times New Roman" w:cs="Times New Roman"/>
        </w:rPr>
        <w:t xml:space="preserve"> 90 N.W.2d 883 (Mich. 1958), the Supreme Court of Michigan refused the lower court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efforts towards </w:t>
      </w:r>
      <w:r w:rsidR="00B05F31">
        <w:rPr>
          <w:rFonts w:ascii="Times New Roman" w:eastAsia="Times New Roman" w:hAnsi="Times New Roman" w:cs="Times New Roman"/>
        </w:rPr>
        <w:t>“</w:t>
      </w:r>
      <w:r w:rsidRPr="750671CE">
        <w:rPr>
          <w:rFonts w:ascii="Times New Roman" w:eastAsia="Times New Roman" w:hAnsi="Times New Roman" w:cs="Times New Roman"/>
        </w:rPr>
        <w:t>rule canonization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contributory negligence in crossing cases, given that the pedestrian plaintiff had been hit in a complicated, poorly marked six-way intersection. The court gave a history of the </w:t>
      </w:r>
      <w:r w:rsidRPr="750671CE">
        <w:rPr>
          <w:rFonts w:ascii="Times New Roman" w:eastAsia="Times New Roman" w:hAnsi="Times New Roman" w:cs="Times New Roman"/>
          <w:i/>
          <w:iCs/>
        </w:rPr>
        <w:t xml:space="preserve">Goodman </w:t>
      </w:r>
      <w:r w:rsidRPr="750671CE">
        <w:rPr>
          <w:rFonts w:ascii="Times New Roman" w:eastAsia="Times New Roman" w:hAnsi="Times New Roman" w:cs="Times New Roman"/>
        </w:rPr>
        <w:t xml:space="preserve">and </w:t>
      </w:r>
      <w:r w:rsidRPr="750671CE">
        <w:rPr>
          <w:rFonts w:ascii="Times New Roman" w:eastAsia="Times New Roman" w:hAnsi="Times New Roman" w:cs="Times New Roman"/>
          <w:i/>
          <w:iCs/>
        </w:rPr>
        <w:t xml:space="preserve">Pokora </w:t>
      </w:r>
      <w:r w:rsidRPr="750671CE">
        <w:rPr>
          <w:rFonts w:ascii="Times New Roman" w:eastAsia="Times New Roman" w:hAnsi="Times New Roman" w:cs="Times New Roman"/>
        </w:rPr>
        <w:t>before explaining its view of the problem with allowing judges to craft hard and fast rules in negligence cases:</w:t>
      </w:r>
      <w:r w:rsidR="00C22B24">
        <w:br/>
      </w:r>
    </w:p>
    <w:p w14:paraId="7B113EAA" w14:textId="6FA617F0" w:rsidR="00C22B24" w:rsidRDefault="750671CE" w:rsidP="00F94B7E">
      <w:pPr>
        <w:pStyle w:val="blockquote"/>
      </w:pPr>
      <w:r w:rsidRPr="750671CE">
        <w:t xml:space="preserve">We have elaborated upon the history of the stop, look and listen </w:t>
      </w:r>
      <w:r w:rsidR="00B05F31">
        <w:t>“</w:t>
      </w:r>
      <w:r w:rsidRPr="750671CE">
        <w:t>rule</w:t>
      </w:r>
      <w:r w:rsidR="00B05F31">
        <w:t>”</w:t>
      </w:r>
      <w:r w:rsidRPr="750671CE">
        <w:t xml:space="preserve"> because it is characteristic of a host of others. Each has its origin in a justifiable holding in a particular fact situation. By lazy repetition the holding becomes a </w:t>
      </w:r>
      <w:r w:rsidR="00B05F31">
        <w:t>“</w:t>
      </w:r>
      <w:r w:rsidRPr="750671CE">
        <w:t>rule,</w:t>
      </w:r>
      <w:r w:rsidR="00B05F31">
        <w:t>”</w:t>
      </w:r>
      <w:r w:rsidRPr="750671CE">
        <w:t xml:space="preserve"> entirely divorced from its creative facts. It grows as an excrescence of injustice until its very strength concentrates a court</w:t>
      </w:r>
      <w:r w:rsidR="00B05F31">
        <w:t>’</w:t>
      </w:r>
      <w:r w:rsidRPr="750671CE">
        <w:t xml:space="preserve">s attention upon it, with, normally, the result seen in the </w:t>
      </w:r>
      <w:r w:rsidRPr="750671CE">
        <w:rPr>
          <w:i/>
          <w:iCs/>
        </w:rPr>
        <w:t>Pokora</w:t>
      </w:r>
      <w:r w:rsidRPr="750671CE">
        <w:t xml:space="preserve"> case.</w:t>
      </w:r>
    </w:p>
    <w:p w14:paraId="5F9DFB8A" w14:textId="77777777" w:rsidR="00C22B24" w:rsidRPr="00920B12" w:rsidRDefault="00C22B24" w:rsidP="00C22B24">
      <w:pPr>
        <w:ind w:left="720" w:right="720"/>
        <w:rPr>
          <w:rFonts w:ascii="Times New Roman" w:eastAsia="Times New Roman" w:hAnsi="Times New Roman" w:cs="Times New Roman"/>
        </w:rPr>
      </w:pPr>
    </w:p>
    <w:p w14:paraId="4AC7B9AB" w14:textId="5A6B9440" w:rsidR="00C22B24" w:rsidRPr="00920B12" w:rsidRDefault="750671CE" w:rsidP="00010B15">
      <w:pPr>
        <w:rPr>
          <w:rFonts w:ascii="Times New Roman" w:eastAsia="Times New Roman" w:hAnsi="Times New Roman" w:cs="Times New Roman"/>
        </w:rPr>
      </w:pP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Pokora </w:t>
      </w:r>
      <w:r w:rsidRPr="750671CE">
        <w:rPr>
          <w:rFonts w:ascii="Times New Roman" w:eastAsia="Times New Roman" w:hAnsi="Times New Roman" w:cs="Times New Roman"/>
        </w:rPr>
        <w:t xml:space="preserve">reigns not only in most state courts, but also in the Third Restatement, which warns that apparently </w:t>
      </w:r>
      <w:r w:rsidR="00B05F31">
        <w:rPr>
          <w:rFonts w:ascii="Times New Roman" w:eastAsia="Times New Roman" w:hAnsi="Times New Roman" w:cs="Times New Roman"/>
        </w:rPr>
        <w:t>“</w:t>
      </w:r>
      <w:r w:rsidRPr="750671CE">
        <w:rPr>
          <w:rFonts w:ascii="Times New Roman" w:eastAsia="Times New Roman" w:hAnsi="Times New Roman" w:cs="Times New Roman"/>
        </w:rPr>
        <w:t>constant or recurring issue[s] of conduct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often turn out </w:t>
      </w:r>
      <w:r w:rsidR="00B05F31">
        <w:rPr>
          <w:rFonts w:ascii="Times New Roman" w:eastAsia="Times New Roman" w:hAnsi="Times New Roman" w:cs="Times New Roman"/>
        </w:rPr>
        <w:t>“</w:t>
      </w:r>
      <w:r w:rsidRPr="750671CE">
        <w:rPr>
          <w:rFonts w:ascii="Times New Roman" w:eastAsia="Times New Roman" w:hAnsi="Times New Roman" w:cs="Times New Roman"/>
        </w:rPr>
        <w:t>on closer inspection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involve too many </w:t>
      </w:r>
      <w:r w:rsidR="00B05F31">
        <w:rPr>
          <w:rFonts w:ascii="Times New Roman" w:eastAsia="Times New Roman" w:hAnsi="Times New Roman" w:cs="Times New Roman"/>
        </w:rPr>
        <w:t>“</w:t>
      </w:r>
      <w:r w:rsidRPr="750671CE">
        <w:rPr>
          <w:rFonts w:ascii="Times New Roman" w:eastAsia="Times New Roman" w:hAnsi="Times New Roman" w:cs="Times New Roman"/>
        </w:rPr>
        <w:t>variables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one-size-fits-all treatment.  Tort law, insist the editors of the Restatement, adopts </w:t>
      </w:r>
      <w:r w:rsidR="00B05F31">
        <w:rPr>
          <w:rFonts w:ascii="Times New Roman" w:eastAsia="Times New Roman" w:hAnsi="Times New Roman" w:cs="Times New Roman"/>
        </w:rPr>
        <w:t>“</w:t>
      </w:r>
      <w:r w:rsidRPr="750671CE">
        <w:rPr>
          <w:rFonts w:ascii="Times New Roman" w:eastAsia="Times New Roman" w:hAnsi="Times New Roman" w:cs="Times New Roman"/>
        </w:rPr>
        <w:t>an ethics of particularism, which tends to cast doubt on the viability of general rules capable of producing determinate results.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Restatement (Third) of Torts: Phys. &amp; Emot. Harm</w:t>
      </w:r>
      <w:r w:rsidRPr="750671CE">
        <w:rPr>
          <w:rFonts w:ascii="Times New Roman" w:eastAsia="Times New Roman" w:hAnsi="Times New Roman" w:cs="Times New Roman"/>
        </w:rPr>
        <w:t xml:space="preserve"> § 8 (2010). On the other hand, </w:t>
      </w:r>
      <w:r w:rsidRPr="750671CE">
        <w:rPr>
          <w:rFonts w:ascii="Times New Roman" w:eastAsia="Times New Roman" w:hAnsi="Times New Roman" w:cs="Times New Roman"/>
        </w:rPr>
        <w:lastRenderedPageBreak/>
        <w:t xml:space="preserve">even the Restatement editors concede that </w:t>
      </w:r>
      <w:r w:rsidR="00B05F31">
        <w:rPr>
          <w:rFonts w:ascii="Times New Roman" w:eastAsia="Times New Roman" w:hAnsi="Times New Roman" w:cs="Times New Roman"/>
        </w:rPr>
        <w:t>“</w:t>
      </w:r>
      <w:r w:rsidRPr="750671CE">
        <w:rPr>
          <w:rFonts w:ascii="Times New Roman" w:eastAsia="Times New Roman" w:hAnsi="Times New Roman" w:cs="Times New Roman"/>
        </w:rPr>
        <w:t>[o]ccasionally . . . the need for providing a clear and stable answer to the question of negligence is so overwhelming as to justify a court in withdrawing the negligence evaluation from the 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They cite, for example, highway cases involving seatbelts, where the considerations are </w:t>
      </w:r>
      <w:r w:rsidR="00B05F31">
        <w:rPr>
          <w:rFonts w:ascii="Times New Roman" w:eastAsia="Times New Roman" w:hAnsi="Times New Roman" w:cs="Times New Roman"/>
        </w:rPr>
        <w:t>“</w:t>
      </w:r>
      <w:r w:rsidRPr="750671CE">
        <w:rPr>
          <w:rFonts w:ascii="Times New Roman" w:eastAsia="Times New Roman" w:hAnsi="Times New Roman" w:cs="Times New Roman"/>
        </w:rPr>
        <w:t>of such force as to make it acceptable for a state</w:t>
      </w:r>
      <w:r w:rsidR="00B05F31">
        <w:rPr>
          <w:rFonts w:ascii="Times New Roman" w:eastAsia="Times New Roman" w:hAnsi="Times New Roman" w:cs="Times New Roman"/>
        </w:rPr>
        <w:t>’</w:t>
      </w:r>
      <w:r w:rsidRPr="750671CE">
        <w:rPr>
          <w:rFonts w:ascii="Times New Roman" w:eastAsia="Times New Roman" w:hAnsi="Times New Roman" w:cs="Times New Roman"/>
        </w:rPr>
        <w:t>s highest court to reach a final, general decision as to whether not wearing seat belts is or is not contributory 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w:t>
      </w:r>
    </w:p>
    <w:p w14:paraId="6B2ABB79" w14:textId="77777777" w:rsidR="00C22B24" w:rsidRPr="00920B12" w:rsidRDefault="00C22B24" w:rsidP="00C22B24">
      <w:pPr>
        <w:rPr>
          <w:rFonts w:ascii="Times New Roman" w:eastAsia="Times New Roman" w:hAnsi="Times New Roman" w:cs="Times New Roman"/>
        </w:rPr>
      </w:pPr>
    </w:p>
    <w:p w14:paraId="6166EF71" w14:textId="24681D47" w:rsidR="00C22B24" w:rsidRPr="00F94B7E" w:rsidRDefault="750671CE" w:rsidP="00F94B7E">
      <w:pPr>
        <w:pStyle w:val="ListParagraph"/>
        <w:numPr>
          <w:ilvl w:val="0"/>
          <w:numId w:val="92"/>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The </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udge-</w:t>
      </w:r>
      <w:r w:rsidR="005804A9" w:rsidRPr="00F94B7E">
        <w:rPr>
          <w:rFonts w:ascii="Times New Roman" w:eastAsia="Times New Roman" w:hAnsi="Times New Roman" w:cs="Times New Roman"/>
          <w:i/>
          <w:iCs/>
        </w:rPr>
        <w:t>j</w:t>
      </w:r>
      <w:r w:rsidRPr="00F94B7E">
        <w:rPr>
          <w:rFonts w:ascii="Times New Roman" w:eastAsia="Times New Roman" w:hAnsi="Times New Roman" w:cs="Times New Roman"/>
          <w:i/>
          <w:iCs/>
        </w:rPr>
        <w:t xml:space="preserve">ury </w:t>
      </w:r>
      <w:r w:rsidR="005804A9" w:rsidRPr="00F94B7E">
        <w:rPr>
          <w:rFonts w:ascii="Times New Roman" w:eastAsia="Times New Roman" w:hAnsi="Times New Roman" w:cs="Times New Roman"/>
          <w:i/>
          <w:iCs/>
        </w:rPr>
        <w:t>d</w:t>
      </w:r>
      <w:r w:rsidRPr="00F94B7E">
        <w:rPr>
          <w:rFonts w:ascii="Times New Roman" w:eastAsia="Times New Roman" w:hAnsi="Times New Roman" w:cs="Times New Roman"/>
          <w:i/>
          <w:iCs/>
        </w:rPr>
        <w:t>ebate.</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judge versus jury debate is by no means confined to rail crossing accidents. Similar debates have cropped up around other repeat fact pattern cases. For example, New York courts sought to </w:t>
      </w:r>
      <w:r w:rsidR="00DD22F4">
        <w:rPr>
          <w:rFonts w:ascii="Times New Roman" w:eastAsia="Times New Roman" w:hAnsi="Times New Roman" w:cs="Times New Roman"/>
        </w:rPr>
        <w:t>manage</w:t>
      </w:r>
      <w:r w:rsidRPr="00F94B7E">
        <w:rPr>
          <w:rFonts w:ascii="Times New Roman" w:eastAsia="Times New Roman" w:hAnsi="Times New Roman" w:cs="Times New Roman"/>
        </w:rPr>
        <w:t xml:space="preserve"> slip-and-fall cases in public spaces with the doctrine that businesses have no duty to warn customers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hazards over which they could trip and fall. </w:t>
      </w:r>
      <w:r w:rsidRPr="00F94B7E">
        <w:rPr>
          <w:rFonts w:ascii="Times New Roman" w:eastAsia="Times New Roman" w:hAnsi="Times New Roman" w:cs="Times New Roman"/>
          <w:i/>
          <w:iCs/>
        </w:rPr>
        <w:t xml:space="preserve">See, e.g., Michalski v. Home Depot, Inc., </w:t>
      </w:r>
      <w:r w:rsidRPr="00F94B7E">
        <w:rPr>
          <w:rFonts w:ascii="Times New Roman" w:eastAsia="Times New Roman" w:hAnsi="Times New Roman" w:cs="Times New Roman"/>
        </w:rPr>
        <w:t xml:space="preserve">225 F.3d 113 (2d Cir. 2000); </w:t>
      </w:r>
      <w:r w:rsidRPr="00F94B7E">
        <w:rPr>
          <w:rFonts w:ascii="Times New Roman" w:eastAsia="Times New Roman" w:hAnsi="Times New Roman" w:cs="Times New Roman"/>
          <w:i/>
          <w:iCs/>
        </w:rPr>
        <w:t xml:space="preserve">Pinero v. Rite Aid of New York, Inc., </w:t>
      </w:r>
      <w:r w:rsidRPr="00F94B7E">
        <w:rPr>
          <w:rFonts w:ascii="Times New Roman" w:eastAsia="Times New Roman" w:hAnsi="Times New Roman" w:cs="Times New Roman"/>
        </w:rPr>
        <w:t xml:space="preserve">294 A.D. 2d 251 (N.Y. App. Div. 2002).  Where a hazard is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open and notorious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as a matter of law, a defendant has no duty to warn.</w:t>
      </w:r>
    </w:p>
    <w:p w14:paraId="44FC9DD7" w14:textId="77777777" w:rsidR="00C22B24" w:rsidRDefault="00C22B24" w:rsidP="00C22B24">
      <w:pPr>
        <w:rPr>
          <w:rFonts w:ascii="Times New Roman" w:hAnsi="Times New Roman" w:cs="Times New Roman"/>
          <w:b/>
        </w:rPr>
      </w:pPr>
    </w:p>
    <w:p w14:paraId="2A400824" w14:textId="77777777" w:rsidR="00C22B24" w:rsidRPr="00920B12" w:rsidRDefault="00C22B24" w:rsidP="00C22B24">
      <w:pPr>
        <w:rPr>
          <w:rFonts w:ascii="Times New Roman" w:hAnsi="Times New Roman" w:cs="Times New Roman"/>
          <w:b/>
        </w:rPr>
      </w:pPr>
    </w:p>
    <w:p w14:paraId="7585080B" w14:textId="33E157D4" w:rsidR="00C22B24" w:rsidRPr="00F94B7E" w:rsidRDefault="0082045D" w:rsidP="00F94B7E">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Studying</w:t>
      </w:r>
      <w:r w:rsidR="005804A9" w:rsidRPr="00F94B7E">
        <w:rPr>
          <w:rFonts w:ascii="Times New Roman" w:eastAsia="Times New Roman" w:hAnsi="Times New Roman" w:cs="Times New Roman"/>
          <w:i/>
          <w:iCs/>
        </w:rPr>
        <w:t xml:space="preserve"> the j</w:t>
      </w:r>
      <w:r w:rsidR="0016748D" w:rsidRPr="00F94B7E">
        <w:rPr>
          <w:rFonts w:ascii="Times New Roman" w:eastAsia="Times New Roman" w:hAnsi="Times New Roman" w:cs="Times New Roman"/>
          <w:i/>
          <w:iCs/>
        </w:rPr>
        <w:t>ury.</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 </w:t>
      </w:r>
      <w:r w:rsidR="0016748D" w:rsidRPr="00F94B7E">
        <w:rPr>
          <w:rFonts w:ascii="Times New Roman" w:eastAsia="Times New Roman" w:hAnsi="Times New Roman" w:cs="Times New Roman"/>
        </w:rPr>
        <w:t xml:space="preserve">The canonical study of juries was done at the </w:t>
      </w:r>
      <w:r w:rsidR="00A83B9B" w:rsidRPr="00F94B7E">
        <w:rPr>
          <w:rFonts w:ascii="Times New Roman" w:eastAsia="Times New Roman" w:hAnsi="Times New Roman" w:cs="Times New Roman"/>
        </w:rPr>
        <w:t>University</w:t>
      </w:r>
      <w:r w:rsidR="0016748D" w:rsidRPr="00F94B7E">
        <w:rPr>
          <w:rFonts w:ascii="Times New Roman" w:eastAsia="Times New Roman" w:hAnsi="Times New Roman" w:cs="Times New Roman"/>
        </w:rPr>
        <w:t xml:space="preserve"> of Chicago by Professors Harry Kalven and Hans Zeisel</w:t>
      </w:r>
      <w:r w:rsidR="00A83B9B" w:rsidRPr="00F94B7E">
        <w:rPr>
          <w:rFonts w:ascii="Times New Roman" w:eastAsia="Times New Roman" w:hAnsi="Times New Roman" w:cs="Times New Roman"/>
        </w:rPr>
        <w:t>,</w:t>
      </w:r>
      <w:r w:rsidR="0016748D" w:rsidRPr="00F94B7E">
        <w:rPr>
          <w:rFonts w:ascii="Times New Roman" w:eastAsia="Times New Roman" w:hAnsi="Times New Roman" w:cs="Times New Roman"/>
        </w:rPr>
        <w:t xml:space="preserve"> who studied 8,000 civil and criminal juries in the early 1960s. T</w:t>
      </w:r>
      <w:r w:rsidR="750671CE" w:rsidRPr="00F94B7E">
        <w:rPr>
          <w:rFonts w:ascii="Times New Roman" w:eastAsia="Times New Roman" w:hAnsi="Times New Roman" w:cs="Times New Roman"/>
        </w:rPr>
        <w:t>hey concluded that juries and judges agreed on a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outcome in 78% of criminal cases and 79% of civil cases. As they put it,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the jury agrees with the judge often enough to be reassuring, yet disagrees often enough to keep it interesting.</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Harry Kalven, Jr</w:t>
      </w:r>
      <w:r w:rsidR="0016748D"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The Dignity of the Civil Jury</w:t>
      </w:r>
      <w:r w:rsidR="750671CE" w:rsidRPr="00F94B7E">
        <w:rPr>
          <w:rFonts w:ascii="Times New Roman" w:eastAsia="Times New Roman" w:hAnsi="Times New Roman" w:cs="Times New Roman"/>
        </w:rPr>
        <w:t xml:space="preserve">, 50 </w:t>
      </w:r>
      <w:r w:rsidR="750671CE" w:rsidRPr="00F94B7E">
        <w:rPr>
          <w:rFonts w:ascii="Times New Roman" w:eastAsia="Times New Roman" w:hAnsi="Times New Roman" w:cs="Times New Roman"/>
          <w:smallCaps/>
        </w:rPr>
        <w:t>Va. L. Rev.</w:t>
      </w:r>
      <w:r w:rsidR="750671CE" w:rsidRPr="00F94B7E">
        <w:rPr>
          <w:rFonts w:ascii="Times New Roman" w:eastAsia="Times New Roman" w:hAnsi="Times New Roman" w:cs="Times New Roman"/>
        </w:rPr>
        <w:t xml:space="preserve"> 1055, 1064 (1964). </w:t>
      </w:r>
    </w:p>
    <w:p w14:paraId="0B928C54" w14:textId="77777777" w:rsidR="00C22B24" w:rsidRDefault="00C22B24" w:rsidP="00C22B24">
      <w:pPr>
        <w:rPr>
          <w:rFonts w:ascii="Times New Roman" w:hAnsi="Times New Roman" w:cs="Times New Roman"/>
        </w:rPr>
      </w:pPr>
    </w:p>
    <w:p w14:paraId="101E2F96" w14:textId="00E47D65"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20% of criminal cases in which the jury and judge disagreed, the jury was far more likely than a judge to acquit rather than convict.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smallCaps/>
        </w:rPr>
        <w:t>Harry Kalven, Jr. &amp; Hans Zeisel, The American Jury</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55-81</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(1966). 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rPr>
          <w:rFonts w:ascii="Times New Roman" w:eastAsia="Times New Roman" w:hAnsi="Times New Roman" w:cs="Times New Roman"/>
        </w:rPr>
        <w:t>“</w:t>
      </w:r>
      <w:r w:rsidRPr="750671CE">
        <w:rPr>
          <w:rFonts w:ascii="Times New Roman" w:eastAsia="Times New Roman" w:hAnsi="Times New Roman" w:cs="Times New Roman"/>
        </w:rPr>
        <w:t>Whereas the greater leniency of the jury toward the criminal defendant is congruent with popular expectations, the equality of pro-plaintiff response between judge and jury in civil cases is in sharp contrast to popular expectations.</w:t>
      </w:r>
      <w:r w:rsidR="00B05F31">
        <w:rPr>
          <w:rFonts w:ascii="Times New Roman" w:eastAsia="Times New Roman" w:hAnsi="Times New Roman" w:cs="Times New Roman"/>
        </w:rPr>
        <w:t>”</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Kalven, </w:t>
      </w:r>
      <w:r w:rsidRPr="750671CE">
        <w:rPr>
          <w:rFonts w:ascii="Times New Roman" w:eastAsia="Times New Roman" w:hAnsi="Times New Roman" w:cs="Times New Roman"/>
          <w:i/>
          <w:iCs/>
        </w:rPr>
        <w:t>The Dignity of the Civil Jury</w:t>
      </w:r>
      <w:r w:rsidRPr="750671CE">
        <w:rPr>
          <w:rFonts w:ascii="Times New Roman" w:eastAsia="Times New Roman" w:hAnsi="Times New Roman" w:cs="Times New Roman"/>
        </w:rPr>
        <w:t>,</w:t>
      </w:r>
      <w:r w:rsidR="0081550C">
        <w:rPr>
          <w:rFonts w:ascii="Times New Roman" w:eastAsia="Times New Roman" w:hAnsi="Times New Roman" w:cs="Times New Roman"/>
        </w:rPr>
        <w:t xml:space="preserve"> </w:t>
      </w:r>
      <w:r w:rsidR="0081550C" w:rsidRPr="00F94B7E">
        <w:rPr>
          <w:rFonts w:ascii="Times New Roman" w:eastAsia="Times New Roman" w:hAnsi="Times New Roman" w:cs="Times New Roman"/>
          <w:i/>
        </w:rPr>
        <w:t>supra</w:t>
      </w:r>
      <w:r w:rsidRPr="750671CE">
        <w:rPr>
          <w:rFonts w:ascii="Times New Roman" w:eastAsia="Times New Roman" w:hAnsi="Times New Roman" w:cs="Times New Roman"/>
        </w:rPr>
        <w:t xml:space="preserve"> at 1065. </w:t>
      </w:r>
    </w:p>
    <w:p w14:paraId="71144264" w14:textId="77777777" w:rsidR="00C22B24" w:rsidRPr="00920B12" w:rsidRDefault="00C22B24" w:rsidP="00C22B24">
      <w:pPr>
        <w:rPr>
          <w:rFonts w:ascii="Times New Roman" w:hAnsi="Times New Roman" w:cs="Times New Roman"/>
        </w:rPr>
      </w:pPr>
    </w:p>
    <w:p w14:paraId="3143D94F" w14:textId="66F31C8E"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Indeed, common popular perceptions of the jury tend to ascribe to the institution the failures of costliness, inefficiency, and inexperience</w:t>
      </w:r>
      <w:r w:rsidR="00A83B9B" w:rsidRPr="00A83B9B">
        <w:rPr>
          <w:rFonts w:ascii="Times New Roman" w:eastAsia="Times New Roman" w:hAnsi="Times New Roman" w:cs="Times New Roman"/>
        </w:rPr>
        <w:t>—</w:t>
      </w:r>
      <w:r w:rsidRPr="750671CE">
        <w:rPr>
          <w:rFonts w:ascii="Times New Roman" w:eastAsia="Times New Roman" w:hAnsi="Times New Roman" w:cs="Times New Roman"/>
        </w:rPr>
        <w:t xml:space="preserve">and sometimes even sheer incompetence. </w:t>
      </w:r>
      <w:r w:rsidRPr="750671CE">
        <w:rPr>
          <w:rFonts w:ascii="Times New Roman" w:eastAsia="Times New Roman" w:hAnsi="Times New Roman" w:cs="Times New Roman"/>
          <w:i/>
          <w:iCs/>
        </w:rPr>
        <w:t xml:space="preserve">See, e.g., </w:t>
      </w:r>
      <w:r w:rsidRPr="750671CE">
        <w:rPr>
          <w:rFonts w:ascii="Times New Roman" w:eastAsia="Times New Roman" w:hAnsi="Times New Roman" w:cs="Times New Roman"/>
          <w:smallCaps/>
        </w:rPr>
        <w:t>Franklin Strier, Reconstructing Justice: An Agenda for Trial Reform</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(1994). Yet more recent surveys of empirical work on the jury system tend to confirm Kalven and Zeisel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initial work, suggesting that judges and juries are not as different decision-makers as one might imagine. </w:t>
      </w:r>
      <w:r w:rsidRPr="750671CE">
        <w:rPr>
          <w:rFonts w:ascii="Times New Roman" w:eastAsia="Times New Roman" w:hAnsi="Times New Roman" w:cs="Times New Roman"/>
          <w:i/>
          <w:iCs/>
        </w:rPr>
        <w:t xml:space="preserve">See, e.g., </w:t>
      </w:r>
      <w:r w:rsidRPr="750671CE">
        <w:rPr>
          <w:rFonts w:ascii="Times New Roman" w:eastAsia="Times New Roman" w:hAnsi="Times New Roman" w:cs="Times New Roman"/>
        </w:rPr>
        <w:t xml:space="preserve">Neil Vidmar, </w:t>
      </w:r>
      <w:r w:rsidRPr="750671CE">
        <w:rPr>
          <w:rFonts w:ascii="Times New Roman" w:eastAsia="Times New Roman" w:hAnsi="Times New Roman" w:cs="Times New Roman"/>
          <w:i/>
          <w:iCs/>
        </w:rPr>
        <w:t>The Performance of the American Civil Jury: An Empirical Perspective</w:t>
      </w:r>
      <w:r w:rsidRPr="750671CE">
        <w:rPr>
          <w:rFonts w:ascii="Times New Roman" w:eastAsia="Times New Roman" w:hAnsi="Times New Roman" w:cs="Times New Roman"/>
        </w:rPr>
        <w:t xml:space="preserve">, 40 </w:t>
      </w:r>
      <w:r w:rsidRPr="750671CE">
        <w:rPr>
          <w:rFonts w:ascii="Times New Roman" w:eastAsia="Times New Roman" w:hAnsi="Times New Roman" w:cs="Times New Roman"/>
          <w:smallCaps/>
        </w:rPr>
        <w:t>Ariz. L. Rev</w:t>
      </w:r>
      <w:r w:rsidRPr="750671CE">
        <w:rPr>
          <w:rFonts w:ascii="Times New Roman" w:eastAsia="Times New Roman" w:hAnsi="Times New Roman" w:cs="Times New Roman"/>
        </w:rPr>
        <w:t xml:space="preserve">. 849 (1998). </w:t>
      </w:r>
    </w:p>
    <w:p w14:paraId="12F48398" w14:textId="77777777" w:rsidR="00C22B24" w:rsidRPr="00920B12" w:rsidRDefault="00C22B24" w:rsidP="00C22B24">
      <w:pPr>
        <w:rPr>
          <w:rFonts w:ascii="Times New Roman" w:hAnsi="Times New Roman" w:cs="Times New Roman"/>
        </w:rPr>
      </w:pPr>
    </w:p>
    <w:p w14:paraId="4969142B" w14:textId="00F6B97B"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 if Kalven and Zeisel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findings continue to hold true today—if judges and juries agree the vast majority of the time and are as pro-plaintiff as one another—is there </w:t>
      </w:r>
      <w:r w:rsidRPr="750671CE">
        <w:rPr>
          <w:rFonts w:ascii="Times New Roman" w:eastAsia="Times New Roman" w:hAnsi="Times New Roman" w:cs="Times New Roman"/>
        </w:rPr>
        <w:lastRenderedPageBreak/>
        <w:t xml:space="preserve">anything to be said on behalf of juries than cannot also be said </w:t>
      </w:r>
      <w:r w:rsidR="00055923">
        <w:rPr>
          <w:rFonts w:ascii="Times New Roman" w:eastAsia="Times New Roman" w:hAnsi="Times New Roman" w:cs="Times New Roman"/>
        </w:rPr>
        <w:t>on behalf of</w:t>
      </w:r>
      <w:r w:rsidR="00055923" w:rsidRPr="750671CE">
        <w:rPr>
          <w:rFonts w:ascii="Times New Roman" w:eastAsia="Times New Roman" w:hAnsi="Times New Roman" w:cs="Times New Roman"/>
        </w:rPr>
        <w:t xml:space="preserve"> </w:t>
      </w:r>
      <w:r w:rsidRPr="750671CE">
        <w:rPr>
          <w:rFonts w:ascii="Times New Roman" w:eastAsia="Times New Roman" w:hAnsi="Times New Roman" w:cs="Times New Roman"/>
        </w:rPr>
        <w:t>judges?</w:t>
      </w:r>
      <w:r w:rsidR="0016748D">
        <w:rPr>
          <w:rFonts w:ascii="Times New Roman" w:eastAsia="Times New Roman" w:hAnsi="Times New Roman" w:cs="Times New Roman"/>
        </w:rPr>
        <w:t xml:space="preserve"> For example, neither judges nor juries bring subject-matter expertise to the resolution of complicated questions of health and safety.</w:t>
      </w:r>
    </w:p>
    <w:p w14:paraId="5F378711" w14:textId="77777777" w:rsidR="00C22B24" w:rsidRPr="00920B12" w:rsidRDefault="00C22B24" w:rsidP="00C22B24">
      <w:pPr>
        <w:rPr>
          <w:rFonts w:ascii="Times New Roman" w:hAnsi="Times New Roman" w:cs="Times New Roman"/>
        </w:rPr>
      </w:pPr>
    </w:p>
    <w:p w14:paraId="70458205" w14:textId="405CED93" w:rsidR="00C22B24" w:rsidRPr="00920B12" w:rsidRDefault="750671CE" w:rsidP="750671CE">
      <w:pPr>
        <w:ind w:firstLine="720"/>
        <w:rPr>
          <w:rFonts w:ascii="Times New Roman" w:eastAsia="Times New Roman" w:hAnsi="Times New Roman" w:cs="Times New Roman"/>
          <w:i/>
          <w:iCs/>
        </w:rPr>
      </w:pPr>
      <w:r w:rsidRPr="750671CE">
        <w:rPr>
          <w:rFonts w:ascii="Times New Roman" w:eastAsia="Times New Roman" w:hAnsi="Times New Roman" w:cs="Times New Roman"/>
        </w:rPr>
        <w:t xml:space="preserve">One area where juries seem to behave differently on a systematic basis from judges is in the awarding of punitive damages. We will turn to punitive damages at the end of this </w:t>
      </w:r>
      <w:r w:rsidR="00190B65">
        <w:rPr>
          <w:rFonts w:ascii="Times New Roman" w:eastAsia="Times New Roman" w:hAnsi="Times New Roman" w:cs="Times New Roman"/>
        </w:rPr>
        <w:t>case</w:t>
      </w:r>
      <w:r w:rsidRPr="750671CE">
        <w:rPr>
          <w:rFonts w:ascii="Times New Roman" w:eastAsia="Times New Roman" w:hAnsi="Times New Roman" w:cs="Times New Roman"/>
        </w:rPr>
        <w:t xml:space="preserve">book.  For now, the important point is that juries seem to handle punitive damages awards quite differently from judges.  One study of over 500 mock jury sessions found that the jury group deliberation process produced radical changes in damages awards. They found that,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[a]s compared with the median of individual predeliberation judgments, dollar awards </w:t>
      </w:r>
      <w:r w:rsidRPr="750671CE">
        <w:rPr>
          <w:rFonts w:ascii="Times New Roman" w:eastAsia="Times New Roman" w:hAnsi="Times New Roman" w:cs="Times New Roman"/>
          <w:i/>
          <w:iCs/>
        </w:rPr>
        <w:t xml:space="preserve">increased </w:t>
      </w:r>
      <w:r w:rsidRPr="750671CE">
        <w:rPr>
          <w:rFonts w:ascii="Times New Roman" w:eastAsia="Times New Roman" w:hAnsi="Times New Roman" w:cs="Times New Roman"/>
        </w:rPr>
        <w:t>after group deliberation, often dramatically so: Among juries that voted to award punitive damages, 27% reached dollar verdicts that were as high or higher than the highest predeliberation judgment among their own jurors.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David Schkade, Cass Sunstein</w:t>
      </w:r>
      <w:r w:rsidR="00190B65">
        <w:rPr>
          <w:rFonts w:ascii="Times New Roman" w:eastAsia="Times New Roman" w:hAnsi="Times New Roman" w:cs="Times New Roman"/>
        </w:rPr>
        <w:t xml:space="preserve"> </w:t>
      </w:r>
      <w:r w:rsidRPr="750671CE">
        <w:rPr>
          <w:rFonts w:ascii="Times New Roman" w:eastAsia="Times New Roman" w:hAnsi="Times New Roman" w:cs="Times New Roman"/>
        </w:rPr>
        <w:t xml:space="preserve">&amp; Daniel Kahneman, </w:t>
      </w:r>
      <w:r w:rsidRPr="750671CE">
        <w:rPr>
          <w:rFonts w:ascii="Times New Roman" w:eastAsia="Times New Roman" w:hAnsi="Times New Roman" w:cs="Times New Roman"/>
          <w:i/>
          <w:iCs/>
        </w:rPr>
        <w:t>Deliberating about Dollars: The Severity Shift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in </w:t>
      </w:r>
      <w:r w:rsidRPr="750671CE">
        <w:rPr>
          <w:rFonts w:ascii="Times New Roman" w:eastAsia="Times New Roman" w:hAnsi="Times New Roman" w:cs="Times New Roman"/>
          <w:smallCaps/>
        </w:rPr>
        <w:t>Punitive Damages</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(2002) (emphasis omitted). In fact, while moral judgments of fault did not change after deliberation, dollar amounts </w:t>
      </w:r>
      <w:r w:rsidRPr="750671CE">
        <w:rPr>
          <w:rFonts w:ascii="Times New Roman" w:eastAsia="Times New Roman" w:hAnsi="Times New Roman" w:cs="Times New Roman"/>
          <w:i/>
          <w:iCs/>
        </w:rPr>
        <w:t xml:space="preserve">did. </w:t>
      </w:r>
    </w:p>
    <w:p w14:paraId="3599FAC5" w14:textId="77777777" w:rsidR="00C22B24" w:rsidRPr="00920B12" w:rsidRDefault="00C22B24" w:rsidP="00C22B24">
      <w:pPr>
        <w:rPr>
          <w:rFonts w:ascii="Times New Roman" w:hAnsi="Times New Roman" w:cs="Times New Roman"/>
          <w:i/>
        </w:rPr>
      </w:pPr>
    </w:p>
    <w:p w14:paraId="6F362244" w14:textId="17AADBEA"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Elsewhere, Sunstein has attributed this dollar-increasing phenomenon to the psychological dynamics of intra-group polarization by which groups </w:t>
      </w:r>
      <w:r w:rsidR="00B05F31">
        <w:rPr>
          <w:rFonts w:ascii="Times New Roman" w:eastAsia="Times New Roman" w:hAnsi="Times New Roman" w:cs="Times New Roman"/>
        </w:rPr>
        <w:t>“</w:t>
      </w:r>
      <w:r w:rsidRPr="750671CE">
        <w:rPr>
          <w:rFonts w:ascii="Times New Roman" w:eastAsia="Times New Roman" w:hAnsi="Times New Roman" w:cs="Times New Roman"/>
        </w:rPr>
        <w:t>go to extremes.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rPr>
        <w:t xml:space="preserve">Cass Sunstein, </w:t>
      </w:r>
      <w:r w:rsidRPr="750671CE">
        <w:rPr>
          <w:rFonts w:ascii="Times New Roman" w:eastAsia="Times New Roman" w:hAnsi="Times New Roman" w:cs="Times New Roman"/>
          <w:i/>
          <w:iCs/>
        </w:rPr>
        <w:t>The Law of Group Polarization</w:t>
      </w:r>
      <w:r w:rsidRPr="750671CE">
        <w:rPr>
          <w:rFonts w:ascii="Times New Roman" w:eastAsia="Times New Roman" w:hAnsi="Times New Roman" w:cs="Times New Roman"/>
        </w:rPr>
        <w:t xml:space="preserve"> 1, 18-19 (John M. Olin Law &amp; Economics Working Paper No. 91, 2000). </w:t>
      </w:r>
    </w:p>
    <w:p w14:paraId="0ACD8E95" w14:textId="77777777" w:rsidR="00C22B24" w:rsidRPr="00920B12" w:rsidRDefault="00C22B24" w:rsidP="00C22B24">
      <w:pPr>
        <w:rPr>
          <w:rFonts w:ascii="Times New Roman" w:hAnsi="Times New Roman" w:cs="Times New Roman"/>
        </w:rPr>
      </w:pPr>
    </w:p>
    <w:p w14:paraId="0AE3919F" w14:textId="24C1144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Others have faulted juries for rejecting—and even punishing—explicit cost-benefit reasoning through punitive damage awards. In the late 1990s, Professor </w:t>
      </w:r>
      <w:r w:rsidR="00190B65">
        <w:rPr>
          <w:rFonts w:ascii="Times New Roman" w:eastAsia="Times New Roman" w:hAnsi="Times New Roman" w:cs="Times New Roman"/>
        </w:rPr>
        <w:t xml:space="preserve">Kip </w:t>
      </w:r>
      <w:r w:rsidRPr="750671CE">
        <w:rPr>
          <w:rFonts w:ascii="Times New Roman" w:eastAsia="Times New Roman" w:hAnsi="Times New Roman" w:cs="Times New Roman"/>
        </w:rPr>
        <w:t xml:space="preserve">Viscusi surveyed about 500 juror-eligible adults to determine how they determine damages in hypothetical cases. He found that individuals awarded 50% larger punitive damages for companies that had performed a cost-benefit analysis, as compared to a similarly at-fault company that did not perform a cost-benefit analysis. In addition, individuals awarded larger punitive damages against companies that placed a </w:t>
      </w:r>
      <w:r w:rsidRPr="750671CE">
        <w:rPr>
          <w:rFonts w:ascii="Times New Roman" w:eastAsia="Times New Roman" w:hAnsi="Times New Roman" w:cs="Times New Roman"/>
          <w:i/>
          <w:iCs/>
        </w:rPr>
        <w:t xml:space="preserve">greater </w:t>
      </w:r>
      <w:r w:rsidRPr="750671CE">
        <w:rPr>
          <w:rFonts w:ascii="Times New Roman" w:eastAsia="Times New Roman" w:hAnsi="Times New Roman" w:cs="Times New Roman"/>
        </w:rPr>
        <w:t xml:space="preserve">value on the loss of a human life, in comparison to a company that </w:t>
      </w:r>
      <w:r w:rsidRPr="750671CE">
        <w:rPr>
          <w:rFonts w:ascii="Times New Roman" w:eastAsia="Times New Roman" w:hAnsi="Times New Roman" w:cs="Times New Roman"/>
          <w:i/>
          <w:iCs/>
        </w:rPr>
        <w:t>devalued</w:t>
      </w:r>
      <w:r w:rsidRPr="750671CE">
        <w:rPr>
          <w:rFonts w:ascii="Times New Roman" w:eastAsia="Times New Roman" w:hAnsi="Times New Roman" w:cs="Times New Roman"/>
        </w:rPr>
        <w:t xml:space="preserve"> human life. Thus </w:t>
      </w:r>
      <w:r w:rsidR="00B05F31">
        <w:rPr>
          <w:rFonts w:ascii="Times New Roman" w:eastAsia="Times New Roman" w:hAnsi="Times New Roman" w:cs="Times New Roman"/>
        </w:rPr>
        <w:t>“</w:t>
      </w:r>
      <w:r w:rsidRPr="750671CE">
        <w:rPr>
          <w:rFonts w:ascii="Times New Roman" w:eastAsia="Times New Roman" w:hAnsi="Times New Roman" w:cs="Times New Roman"/>
        </w:rPr>
        <w:t>companies are in the bizarre position of risking greater liability if they place more weight on consumer safety.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 Kip Viscusi, </w:t>
      </w:r>
      <w:r w:rsidRPr="750671CE">
        <w:rPr>
          <w:rFonts w:ascii="Times New Roman" w:eastAsia="Times New Roman" w:hAnsi="Times New Roman" w:cs="Times New Roman"/>
          <w:i/>
          <w:iCs/>
        </w:rPr>
        <w:t>Corporate Risk Analysis: A Reckless Act?</w:t>
      </w:r>
      <w:r w:rsidRPr="750671CE">
        <w:rPr>
          <w:rFonts w:ascii="Times New Roman" w:eastAsia="Times New Roman" w:hAnsi="Times New Roman" w:cs="Times New Roman"/>
        </w:rPr>
        <w:t xml:space="preserve">, 52 </w:t>
      </w:r>
      <w:r w:rsidRPr="750671CE">
        <w:rPr>
          <w:rFonts w:ascii="Times New Roman" w:eastAsia="Times New Roman" w:hAnsi="Times New Roman" w:cs="Times New Roman"/>
          <w:smallCaps/>
        </w:rPr>
        <w:t>Stan. L. Rev.</w:t>
      </w:r>
      <w:r w:rsidRPr="750671CE">
        <w:rPr>
          <w:rFonts w:ascii="Times New Roman" w:eastAsia="Times New Roman" w:hAnsi="Times New Roman" w:cs="Times New Roman"/>
        </w:rPr>
        <w:t xml:space="preserve"> 547, 555-60 (2000). </w:t>
      </w:r>
    </w:p>
    <w:p w14:paraId="575629AC" w14:textId="77777777" w:rsidR="00C22B24" w:rsidRDefault="00C22B24" w:rsidP="00C22B24">
      <w:pPr>
        <w:rPr>
          <w:rFonts w:ascii="Times New Roman" w:hAnsi="Times New Roman" w:cs="Times New Roman"/>
        </w:rPr>
      </w:pPr>
    </w:p>
    <w:p w14:paraId="1F898C12" w14:textId="77777777" w:rsidR="00C22B24" w:rsidRPr="00920B12" w:rsidRDefault="00C22B24" w:rsidP="00C22B24">
      <w:pPr>
        <w:rPr>
          <w:rFonts w:ascii="Times New Roman" w:hAnsi="Times New Roman" w:cs="Times New Roman"/>
        </w:rPr>
      </w:pPr>
    </w:p>
    <w:p w14:paraId="7ACF472E" w14:textId="7AA7673D" w:rsidR="00C22B24" w:rsidRPr="00F94B7E" w:rsidRDefault="750671CE" w:rsidP="00F94B7E">
      <w:pPr>
        <w:pStyle w:val="ListParagraph"/>
        <w:numPr>
          <w:ilvl w:val="0"/>
          <w:numId w:val="9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Why are juries still around?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If juries make the same decisions as judges, except when juries admonish wrongdoers with extreme (and, according to many observers, unwarranted) punitive damages, why are civil juries still around? What explains the persistence of the American civil jury system? The Seventh Amendment, which guarantees a civil jury in federal courts, has clear explanatory power for the federal civil jury system. 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Pr>
          <w:rFonts w:ascii="Times New Roman" w:eastAsia="Times New Roman" w:hAnsi="Times New Roman" w:cs="Times New Roman"/>
        </w:rPr>
        <w:t xml:space="preserve">almost </w:t>
      </w:r>
      <w:r w:rsidRPr="00F94B7E">
        <w:rPr>
          <w:rFonts w:ascii="Times New Roman" w:eastAsia="Times New Roman" w:hAnsi="Times New Roman" w:cs="Times New Roman"/>
        </w:rPr>
        <w:t xml:space="preserve">as easy to amend as </w:t>
      </w:r>
      <w:r w:rsidRPr="00F94B7E">
        <w:rPr>
          <w:rFonts w:ascii="Times New Roman" w:eastAsia="Times New Roman" w:hAnsi="Times New Roman" w:cs="Times New Roman"/>
        </w:rPr>
        <w:lastRenderedPageBreak/>
        <w:t xml:space="preserve">statutes.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Helen Herschkoff, </w:t>
      </w:r>
      <w:r w:rsidRPr="00F94B7E">
        <w:rPr>
          <w:rFonts w:ascii="Times New Roman" w:eastAsia="Times New Roman" w:hAnsi="Times New Roman" w:cs="Times New Roman"/>
          <w:i/>
          <w:iCs/>
        </w:rPr>
        <w:t>Positive Rights and State Constitutions: The Limits of Federal Rationality Review</w:t>
      </w:r>
      <w:r w:rsidRPr="00F94B7E">
        <w:rPr>
          <w:rFonts w:ascii="Times New Roman" w:eastAsia="Times New Roman" w:hAnsi="Times New Roman" w:cs="Times New Roman"/>
        </w:rPr>
        <w:t xml:space="preserve">, 112 </w:t>
      </w:r>
      <w:r w:rsidRPr="00F94B7E">
        <w:rPr>
          <w:rFonts w:ascii="Times New Roman" w:eastAsia="Times New Roman" w:hAnsi="Times New Roman" w:cs="Times New Roman"/>
          <w:smallCaps/>
        </w:rPr>
        <w:t>Harv.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1131 (1999); G. Alan Tarr, </w:t>
      </w:r>
      <w:r w:rsidRPr="00F94B7E">
        <w:rPr>
          <w:rFonts w:ascii="Times New Roman" w:eastAsia="Times New Roman" w:hAnsi="Times New Roman" w:cs="Times New Roman"/>
          <w:i/>
          <w:iCs/>
        </w:rPr>
        <w:t>Understanding State Constitutions</w:t>
      </w:r>
      <w:r w:rsidRPr="00F94B7E">
        <w:rPr>
          <w:rFonts w:ascii="Times New Roman" w:eastAsia="Times New Roman" w:hAnsi="Times New Roman" w:cs="Times New Roman"/>
        </w:rPr>
        <w:t xml:space="preserve">, 65 </w:t>
      </w:r>
      <w:r w:rsidRPr="00F94B7E">
        <w:rPr>
          <w:rFonts w:ascii="Times New Roman" w:eastAsia="Times New Roman" w:hAnsi="Times New Roman" w:cs="Times New Roman"/>
          <w:smallCaps/>
        </w:rPr>
        <w:t>Temp. L. Rev.</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1169, 1181-</w:t>
      </w:r>
      <w:r w:rsidR="00CF2A81" w:rsidRPr="00F94B7E">
        <w:rPr>
          <w:rFonts w:ascii="Times New Roman" w:eastAsia="Times New Roman" w:hAnsi="Times New Roman" w:cs="Times New Roman"/>
        </w:rPr>
        <w:t>8</w:t>
      </w:r>
      <w:r w:rsidRPr="00F94B7E">
        <w:rPr>
          <w:rFonts w:ascii="Times New Roman" w:eastAsia="Times New Roman" w:hAnsi="Times New Roman" w:cs="Times New Roman"/>
        </w:rPr>
        <w:t>4 (1992).</w:t>
      </w:r>
    </w:p>
    <w:p w14:paraId="7CEABC33" w14:textId="77777777" w:rsidR="00C22B24" w:rsidRPr="00920B12" w:rsidRDefault="00C22B24" w:rsidP="00C22B24">
      <w:pPr>
        <w:rPr>
          <w:rFonts w:ascii="Times New Roman" w:hAnsi="Times New Roman" w:cs="Times New Roman"/>
        </w:rPr>
      </w:pPr>
    </w:p>
    <w:p w14:paraId="5442E08B" w14:textId="6528DC2B" w:rsidR="00C22B24" w:rsidRPr="00920B12" w:rsidRDefault="750671CE" w:rsidP="750671CE">
      <w:pPr>
        <w:ind w:firstLine="720"/>
        <w:rPr>
          <w:rFonts w:ascii="Times New Roman" w:eastAsia="Times New Roman" w:hAnsi="Times New Roman" w:cs="Times New Roman"/>
          <w:i/>
          <w:iCs/>
        </w:rPr>
      </w:pPr>
      <w:r w:rsidRPr="750671CE">
        <w:rPr>
          <w:rFonts w:ascii="Times New Roman" w:eastAsia="Times New Roman" w:hAnsi="Times New Roman" w:cs="Times New Roman"/>
        </w:rPr>
        <w:t xml:space="preserve">The problem of explaining the durability of the jury grows when we look at its history.  When the Seventh Amendment was ratified, the civil jury may have been seen as </w:t>
      </w:r>
      <w:r w:rsidR="00B05F31">
        <w:rPr>
          <w:rFonts w:ascii="Times New Roman" w:eastAsia="Times New Roman" w:hAnsi="Times New Roman" w:cs="Times New Roman"/>
        </w:rPr>
        <w:t>“</w:t>
      </w:r>
      <w:r w:rsidRPr="750671CE">
        <w:rPr>
          <w:rFonts w:ascii="Times New Roman" w:eastAsia="Times New Roman" w:hAnsi="Times New Roman" w:cs="Times New Roman"/>
        </w:rPr>
        <w:t>a bulwark against tyranny.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But very quickly objections and critiques emerged.  By the time of the adoption of the Federal Rules of Civil Procedure in 1938, many scholars and judges </w:t>
      </w:r>
      <w:r w:rsidR="00B05F31">
        <w:rPr>
          <w:rFonts w:ascii="Times New Roman" w:eastAsia="Times New Roman" w:hAnsi="Times New Roman" w:cs="Times New Roman"/>
        </w:rPr>
        <w:t>“</w:t>
      </w:r>
      <w:r w:rsidRPr="750671CE">
        <w:rPr>
          <w:rFonts w:ascii="Times New Roman" w:eastAsia="Times New Roman" w:hAnsi="Times New Roman" w:cs="Times New Roman"/>
        </w:rPr>
        <w:t>regarded civil juries less as a bulwark . . . than as a nuisance.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Renee Lerner, </w:t>
      </w:r>
      <w:r w:rsidRPr="750671CE">
        <w:rPr>
          <w:rFonts w:ascii="Times New Roman" w:eastAsia="Times New Roman" w:hAnsi="Times New Roman" w:cs="Times New Roman"/>
          <w:i/>
          <w:iCs/>
        </w:rPr>
        <w:t>The Rise of Directed Verdict: Jury Power in Civil Cases Before the Federal Rules of 1938</w:t>
      </w:r>
      <w:r w:rsidRPr="750671CE">
        <w:rPr>
          <w:rFonts w:ascii="Times New Roman" w:eastAsia="Times New Roman" w:hAnsi="Times New Roman" w:cs="Times New Roman"/>
        </w:rPr>
        <w: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81 </w:t>
      </w:r>
      <w:r w:rsidRPr="750671CE">
        <w:rPr>
          <w:rFonts w:ascii="Times New Roman" w:eastAsia="Times New Roman" w:hAnsi="Times New Roman" w:cs="Times New Roman"/>
          <w:smallCaps/>
        </w:rPr>
        <w:t>G.W.U. L. Rev.</w:t>
      </w:r>
      <w:r w:rsidRPr="750671CE">
        <w:rPr>
          <w:rFonts w:ascii="Times New Roman" w:eastAsia="Times New Roman" w:hAnsi="Times New Roman" w:cs="Times New Roman"/>
        </w:rPr>
        <w:t xml:space="preserve"> 448, 451-</w:t>
      </w:r>
      <w:r w:rsidR="00CF2A81">
        <w:rPr>
          <w:rFonts w:ascii="Times New Roman" w:eastAsia="Times New Roman" w:hAnsi="Times New Roman" w:cs="Times New Roman"/>
        </w:rPr>
        <w:t>5</w:t>
      </w:r>
      <w:r w:rsidRPr="750671CE">
        <w:rPr>
          <w:rFonts w:ascii="Times New Roman" w:eastAsia="Times New Roman" w:hAnsi="Times New Roman" w:cs="Times New Roman"/>
        </w:rPr>
        <w:t>2 (2013). 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authority so substantially as to make abolishing the institution less imperative.  Green expressed much the same idea when he wrote that </w:t>
      </w:r>
    </w:p>
    <w:p w14:paraId="24AD239E" w14:textId="77777777" w:rsidR="00C22B24" w:rsidRPr="00920B12" w:rsidRDefault="00C22B24" w:rsidP="00C22B24">
      <w:pPr>
        <w:rPr>
          <w:rFonts w:ascii="Times New Roman" w:hAnsi="Times New Roman" w:cs="Times New Roman"/>
          <w:i/>
        </w:rPr>
      </w:pPr>
    </w:p>
    <w:p w14:paraId="213C2630" w14:textId="6EAB223D" w:rsidR="00C22B24" w:rsidRPr="00920B12" w:rsidRDefault="750671CE" w:rsidP="00F94B7E">
      <w:pPr>
        <w:pStyle w:val="blockquote"/>
      </w:pPr>
      <w:r w:rsidRPr="750671CE">
        <w:t xml:space="preserve">the extravagant pains we take to preserve the integrity of jury trial in final analysis are completely counteracted in the more extravagant provisions which we make for [judicial] review, together with the remarkable technique </w:t>
      </w:r>
      <w:r w:rsidR="0026352C">
        <w:t>. . .</w:t>
      </w:r>
      <w:r w:rsidRPr="750671CE">
        <w:t xml:space="preserve"> courts have developed for subjecting every phase of trial to their own scrutiny and judgment.</w:t>
      </w:r>
    </w:p>
    <w:p w14:paraId="1B91C559" w14:textId="77777777" w:rsidR="00C22B24" w:rsidRPr="00920B12" w:rsidRDefault="00C22B24" w:rsidP="00C22B24">
      <w:pPr>
        <w:rPr>
          <w:rFonts w:ascii="Times New Roman" w:hAnsi="Times New Roman" w:cs="Times New Roman"/>
          <w:i/>
        </w:rPr>
      </w:pPr>
    </w:p>
    <w:p w14:paraId="424CACDE" w14:textId="1F432F80" w:rsidR="00C22B24" w:rsidRPr="00920B12" w:rsidRDefault="00CF2A81" w:rsidP="750671CE">
      <w:pPr>
        <w:rPr>
          <w:rFonts w:ascii="Times New Roman" w:eastAsia="Times New Roman" w:hAnsi="Times New Roman" w:cs="Times New Roman"/>
        </w:rPr>
      </w:pPr>
      <w:r>
        <w:rPr>
          <w:rFonts w:ascii="Times New Roman" w:eastAsia="Times New Roman" w:hAnsi="Times New Roman" w:cs="Times New Roman"/>
          <w:smallCaps/>
        </w:rPr>
        <w:t xml:space="preserve">Leon </w:t>
      </w:r>
      <w:r w:rsidR="750671CE" w:rsidRPr="750671CE">
        <w:rPr>
          <w:rFonts w:ascii="Times New Roman" w:eastAsia="Times New Roman" w:hAnsi="Times New Roman" w:cs="Times New Roman"/>
          <w:smallCaps/>
        </w:rPr>
        <w:t>Green, Judge and Jury,</w:t>
      </w:r>
      <w:r w:rsidR="750671CE" w:rsidRPr="750671CE">
        <w:rPr>
          <w:rFonts w:ascii="Times New Roman" w:eastAsia="Times New Roman" w:hAnsi="Times New Roman" w:cs="Times New Roman"/>
        </w:rPr>
        <w:t xml:space="preserve"> 390-91</w:t>
      </w:r>
      <w:r>
        <w:rPr>
          <w:rFonts w:ascii="Times New Roman" w:eastAsia="Times New Roman" w:hAnsi="Times New Roman" w:cs="Times New Roman"/>
        </w:rPr>
        <w:t xml:space="preserve"> (1930)</w:t>
      </w:r>
      <w:r w:rsidR="750671CE" w:rsidRPr="750671CE">
        <w:rPr>
          <w:rFonts w:ascii="Times New Roman" w:eastAsia="Times New Roman" w:hAnsi="Times New Roman" w:cs="Times New Roman"/>
        </w:rPr>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 compensation did away with juries for work accidents.  And entire fields such as admiralty and maritime law, naturalization and immigration law, and bankruptcy law are largely conducted in the absence of juries. </w:t>
      </w:r>
      <w:r w:rsidR="750671CE" w:rsidRPr="750671CE">
        <w:rPr>
          <w:rFonts w:ascii="Times New Roman" w:eastAsia="Times New Roman" w:hAnsi="Times New Roman" w:cs="Times New Roman"/>
          <w:i/>
          <w:iCs/>
        </w:rPr>
        <w:t xml:space="preserve">See </w:t>
      </w:r>
      <w:r w:rsidR="750671CE" w:rsidRPr="750671CE">
        <w:rPr>
          <w:rFonts w:ascii="Times New Roman" w:eastAsia="Times New Roman" w:hAnsi="Times New Roman" w:cs="Times New Roman"/>
        </w:rPr>
        <w:t xml:space="preserve">Edward Devitt, </w:t>
      </w:r>
      <w:r w:rsidR="750671CE" w:rsidRPr="750671CE">
        <w:rPr>
          <w:rFonts w:ascii="Times New Roman" w:eastAsia="Times New Roman" w:hAnsi="Times New Roman" w:cs="Times New Roman"/>
          <w:i/>
          <w:iCs/>
        </w:rPr>
        <w:t>Federal Civil Jury Trials Should Be Abolished</w:t>
      </w:r>
      <w:r w:rsidR="750671CE" w:rsidRPr="750671CE">
        <w:rPr>
          <w:rFonts w:ascii="Times New Roman" w:eastAsia="Times New Roman" w:hAnsi="Times New Roman" w:cs="Times New Roman"/>
        </w:rPr>
        <w:t xml:space="preserve">, 60 A.B.A. J. 570 (1974). </w:t>
      </w:r>
    </w:p>
    <w:p w14:paraId="129089B5" w14:textId="77777777" w:rsidR="00C22B24" w:rsidRPr="00920B12" w:rsidRDefault="00C22B24" w:rsidP="00C22B24">
      <w:pPr>
        <w:rPr>
          <w:rFonts w:ascii="Times New Roman" w:hAnsi="Times New Roman" w:cs="Times New Roman"/>
        </w:rPr>
      </w:pPr>
    </w:p>
    <w:p w14:paraId="4DFF9C0D" w14:textId="364D6470"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Another distinctive factor in the U.S. is the politically influential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bar, which responded by embracing the beleaguered institution. Even as judges attempted to pry tort cases away from the jury and scholars and politicians attempted to pry personal injury cases away from civil trials entirely, in the 1950s and early 1960s</w:t>
      </w:r>
      <w:r w:rsidR="00190B65">
        <w:rPr>
          <w:rFonts w:ascii="Times New Roman" w:eastAsia="Times New Roman" w:hAnsi="Times New Roman" w:cs="Times New Roman"/>
        </w:rPr>
        <w:t>,</w:t>
      </w:r>
      <w:r w:rsidRPr="750671CE">
        <w:rPr>
          <w:rFonts w:ascii="Times New Roman" w:eastAsia="Times New Roman" w:hAnsi="Times New Roman" w:cs="Times New Roman"/>
        </w:rPr>
        <w:t xml:space="preserve">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bar became a powerful interest group defending the common law trial and the jury. Rallying against administrative alternatives as </w:t>
      </w:r>
      <w:r w:rsidR="00B05F31">
        <w:rPr>
          <w:rFonts w:ascii="Times New Roman" w:eastAsia="Times New Roman" w:hAnsi="Times New Roman" w:cs="Times New Roman"/>
        </w:rPr>
        <w:t>“</w:t>
      </w:r>
      <w:r w:rsidRPr="750671CE">
        <w:rPr>
          <w:rFonts w:ascii="Times New Roman" w:eastAsia="Times New Roman" w:hAnsi="Times New Roman" w:cs="Times New Roman"/>
        </w:rPr>
        <w:t>bureaucratic socialism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w:t>
      </w:r>
      <w:r w:rsidR="00B05F31">
        <w:rPr>
          <w:rFonts w:ascii="Times New Roman" w:eastAsia="Times New Roman" w:hAnsi="Times New Roman" w:cs="Times New Roman"/>
        </w:rPr>
        <w:t>“</w:t>
      </w:r>
      <w:r w:rsidRPr="750671CE">
        <w:rPr>
          <w:rFonts w:ascii="Times New Roman" w:eastAsia="Times New Roman" w:hAnsi="Times New Roman" w:cs="Times New Roman"/>
        </w:rPr>
        <w:t>modern totalitarianism,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against which only the jury could stand tall,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bar lobbied loudly and in many cases successfully against the displacement of the ancient Anglo-American institution.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smallCaps/>
        </w:rPr>
        <w:t>John Fabian Witt, Patriots and Cosmopolitans</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209-10 (2007).  </w:t>
      </w:r>
    </w:p>
    <w:p w14:paraId="62127A82" w14:textId="77777777" w:rsidR="00C22B24" w:rsidRPr="00920B12" w:rsidRDefault="00C22B24" w:rsidP="00C22B24">
      <w:pPr>
        <w:ind w:right="720"/>
        <w:rPr>
          <w:rFonts w:ascii="Times New Roman" w:hAnsi="Times New Roman" w:cs="Times New Roman"/>
        </w:rPr>
      </w:pPr>
    </w:p>
    <w:p w14:paraId="79F2BA9E" w14:textId="68404B3A"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Setting aside the continuing controversy over the merits of the jury, virtually everyone agrees that in day-to-day practice juries are deciding less and less. In a review of data on state and federal court trials through the mid-2000s, Professor Marc Galanter discovered a century-long decline in the proportion of civil trials terminating in or after trial: while about 20% of cases ended in trial in 1938, just 2% did in 2003. In fact, even as the absolute number of cases in federal and state systems has increased, there has still been a decline in the absolute number of civil trials. In 1992, federal courts held 1,728 tort trials with juries, and state courts in the seventy-five most populous counties held 9,431. Yet in 2001, federal courts 1,471 tort trials with juries, and the county courts held 7,218. That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 respective 33% and 24% decline in jury trials for tort cases over the course of a decade. Marc Galanter, </w:t>
      </w:r>
      <w:r w:rsidRPr="750671CE">
        <w:rPr>
          <w:rFonts w:ascii="Times New Roman" w:eastAsia="Times New Roman" w:hAnsi="Times New Roman" w:cs="Times New Roman"/>
          <w:i/>
          <w:iCs/>
        </w:rPr>
        <w:t>The Hundred-Year Decline of Trials and the Thirty Years War</w:t>
      </w:r>
      <w:r w:rsidRPr="750671CE">
        <w:rPr>
          <w:rFonts w:ascii="Times New Roman" w:eastAsia="Times New Roman" w:hAnsi="Times New Roman" w:cs="Times New Roman"/>
        </w:rPr>
        <w:t xml:space="preserve">, 57 </w:t>
      </w:r>
      <w:r w:rsidRPr="750671CE">
        <w:rPr>
          <w:rFonts w:ascii="Times New Roman" w:eastAsia="Times New Roman" w:hAnsi="Times New Roman" w:cs="Times New Roman"/>
          <w:smallCaps/>
        </w:rPr>
        <w:t>Stan. L. Rev.</w:t>
      </w:r>
      <w:r w:rsidRPr="750671CE">
        <w:rPr>
          <w:rFonts w:ascii="Times New Roman" w:eastAsia="Times New Roman" w:hAnsi="Times New Roman" w:cs="Times New Roman"/>
        </w:rPr>
        <w:t xml:space="preserve"> 1255, 1256-</w:t>
      </w:r>
      <w:r w:rsidR="00185D7A">
        <w:rPr>
          <w:rFonts w:ascii="Times New Roman" w:eastAsia="Times New Roman" w:hAnsi="Times New Roman" w:cs="Times New Roman"/>
        </w:rPr>
        <w:t>5</w:t>
      </w:r>
      <w:r w:rsidRPr="750671CE">
        <w:rPr>
          <w:rFonts w:ascii="Times New Roman" w:eastAsia="Times New Roman" w:hAnsi="Times New Roman" w:cs="Times New Roman"/>
        </w:rPr>
        <w:t xml:space="preserve">9 (2005).  </w:t>
      </w:r>
    </w:p>
    <w:p w14:paraId="6FEE4717" w14:textId="77777777" w:rsidR="00C22B24" w:rsidRDefault="00C22B24" w:rsidP="00C22B24">
      <w:pPr>
        <w:ind w:right="720"/>
        <w:rPr>
          <w:rFonts w:ascii="Times New Roman" w:hAnsi="Times New Roman" w:cs="Times New Roman"/>
        </w:rPr>
      </w:pPr>
    </w:p>
    <w:p w14:paraId="232A3BC3" w14:textId="77777777" w:rsidR="00C22B24" w:rsidRPr="00920B12" w:rsidRDefault="00C22B24" w:rsidP="00C22B24">
      <w:pPr>
        <w:ind w:right="720"/>
        <w:rPr>
          <w:rFonts w:ascii="Times New Roman" w:hAnsi="Times New Roman" w:cs="Times New Roman"/>
        </w:rPr>
      </w:pPr>
    </w:p>
    <w:p w14:paraId="26436BCD" w14:textId="3C322E98" w:rsidR="00C22B24" w:rsidRPr="00F94B7E" w:rsidRDefault="750671CE" w:rsidP="00F94B7E">
      <w:pPr>
        <w:pStyle w:val="ListParagraph"/>
        <w:numPr>
          <w:ilvl w:val="0"/>
          <w:numId w:val="92"/>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 xml:space="preserve">Replacing the jury. </w:t>
      </w:r>
      <w:r w:rsidRPr="00F94B7E">
        <w:rPr>
          <w:rFonts w:ascii="Times New Roman" w:eastAsia="Times New Roman" w:hAnsi="Times New Roman" w:cs="Times New Roman"/>
        </w:rPr>
        <w:t xml:space="preserve">What, if anything, has replaced the jury? In addition to more judge-intensive inquiries into the plausibility of pleadings, summary judgment, and class certification processes, civil trials have been dominated by a heightened judicial role in scrutinizing expert witnesses (in what are known as </w:t>
      </w:r>
      <w:r w:rsidRPr="00F94B7E">
        <w:rPr>
          <w:rFonts w:ascii="Times New Roman" w:eastAsia="Times New Roman" w:hAnsi="Times New Roman" w:cs="Times New Roman"/>
          <w:i/>
          <w:iCs/>
        </w:rPr>
        <w:t xml:space="preserve">Daubert </w:t>
      </w:r>
      <w:r w:rsidRPr="00F94B7E">
        <w:rPr>
          <w:rFonts w:ascii="Times New Roman" w:eastAsia="Times New Roman" w:hAnsi="Times New Roman" w:cs="Times New Roman"/>
        </w:rPr>
        <w:t xml:space="preserve">hearings). Professor Richard Nagareda contends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full-scale, front-to-back, common law trial before a jury has nearly vanished. Its replacement effectively consists of a regime of sequenced trial-like proceedings on what are formally pretrial motions, all ruled upon by a judge alone.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Richard Nagareda, </w:t>
      </w:r>
      <w:r w:rsidRPr="00F94B7E">
        <w:rPr>
          <w:rFonts w:ascii="Times New Roman" w:eastAsia="Times New Roman" w:hAnsi="Times New Roman" w:cs="Times New Roman"/>
          <w:i/>
          <w:iCs/>
        </w:rPr>
        <w:t>1938 All Over Again? Pretrial as Trial in Complex Litigation</w:t>
      </w:r>
      <w:r w:rsidRPr="00F94B7E">
        <w:rPr>
          <w:rFonts w:ascii="Times New Roman" w:eastAsia="Times New Roman" w:hAnsi="Times New Roman" w:cs="Times New Roman"/>
        </w:rPr>
        <w:t xml:space="preserve">, 60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647, 667-</w:t>
      </w:r>
      <w:r w:rsidR="00185D7A" w:rsidRPr="00F94B7E">
        <w:rPr>
          <w:rFonts w:ascii="Times New Roman" w:eastAsia="Times New Roman" w:hAnsi="Times New Roman" w:cs="Times New Roman"/>
        </w:rPr>
        <w:t>6</w:t>
      </w:r>
      <w:r w:rsidRPr="00F94B7E">
        <w:rPr>
          <w:rFonts w:ascii="Times New Roman" w:eastAsia="Times New Roman" w:hAnsi="Times New Roman" w:cs="Times New Roman"/>
        </w:rPr>
        <w:t xml:space="preserve">8 (2010). </w:t>
      </w:r>
    </w:p>
    <w:p w14:paraId="038B67A6" w14:textId="77777777" w:rsidR="00C22B24" w:rsidRPr="00920B12" w:rsidRDefault="00C22B24" w:rsidP="00C22B24">
      <w:pPr>
        <w:ind w:right="720"/>
        <w:rPr>
          <w:rFonts w:ascii="Times New Roman" w:hAnsi="Times New Roman" w:cs="Times New Roman"/>
        </w:rPr>
      </w:pPr>
    </w:p>
    <w:p w14:paraId="16140C6C"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More broadly, Professor John Langbein argues that the Federal Rules of Civil Procedure displaced both judge </w:t>
      </w:r>
      <w:r w:rsidRPr="750671CE">
        <w:rPr>
          <w:rFonts w:ascii="Times New Roman" w:eastAsia="Times New Roman" w:hAnsi="Times New Roman" w:cs="Times New Roman"/>
          <w:i/>
          <w:iCs/>
        </w:rPr>
        <w:t>and</w:t>
      </w:r>
      <w:r w:rsidRPr="750671CE">
        <w:rPr>
          <w:rFonts w:ascii="Times New Roman" w:eastAsia="Times New Roman" w:hAnsi="Times New Roman" w:cs="Times New Roman"/>
        </w:rPr>
        <w:t xml:space="preserve"> jury by arming both plaintiff and defendant with the information they need to settle early on in a case:</w:t>
      </w:r>
    </w:p>
    <w:p w14:paraId="1A2D38CB" w14:textId="77777777" w:rsidR="00C22B24" w:rsidRPr="00920B12" w:rsidRDefault="00C22B24" w:rsidP="00C22B24">
      <w:pPr>
        <w:ind w:right="720"/>
        <w:rPr>
          <w:rFonts w:ascii="Times New Roman" w:hAnsi="Times New Roman" w:cs="Times New Roman"/>
        </w:rPr>
      </w:pPr>
    </w:p>
    <w:p w14:paraId="53E88801" w14:textId="77777777" w:rsidR="00C22B24" w:rsidRPr="00920B12" w:rsidRDefault="750671CE" w:rsidP="00F94B7E">
      <w:pPr>
        <w:pStyle w:val="blockquote"/>
      </w:pPr>
      <w:r w:rsidRPr="750671CE">
        <w:t xml:space="preserve">[A]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w:t>
      </w:r>
      <w:r w:rsidRPr="750671CE">
        <w:lastRenderedPageBreak/>
        <w:t>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920B12" w:rsidRDefault="00C22B24" w:rsidP="00C22B24">
      <w:pPr>
        <w:rPr>
          <w:rFonts w:ascii="Times New Roman" w:hAnsi="Times New Roman" w:cs="Times New Roman"/>
        </w:rPr>
      </w:pPr>
    </w:p>
    <w:p w14:paraId="6582E522" w14:textId="6C325F26"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John Langbein, </w:t>
      </w:r>
      <w:r w:rsidRPr="750671CE">
        <w:rPr>
          <w:rFonts w:ascii="Times New Roman" w:eastAsia="Times New Roman" w:hAnsi="Times New Roman" w:cs="Times New Roman"/>
          <w:i/>
          <w:iCs/>
        </w:rPr>
        <w:t>The Disappearance of Civil Trial in the United States</w:t>
      </w:r>
      <w:r w:rsidRPr="750671CE">
        <w:rPr>
          <w:rFonts w:ascii="Times New Roman" w:eastAsia="Times New Roman" w:hAnsi="Times New Roman" w:cs="Times New Roman"/>
        </w:rPr>
        <w:t xml:space="preserve">, 122 </w:t>
      </w:r>
      <w:r w:rsidRPr="750671CE">
        <w:rPr>
          <w:rFonts w:ascii="Times New Roman" w:eastAsia="Times New Roman" w:hAnsi="Times New Roman" w:cs="Times New Roman"/>
          <w:smallCaps/>
        </w:rPr>
        <w:t>Yale L.J.</w:t>
      </w:r>
      <w:r w:rsidRPr="750671CE">
        <w:rPr>
          <w:rFonts w:ascii="Times New Roman" w:eastAsia="Times New Roman" w:hAnsi="Times New Roman" w:cs="Times New Roman"/>
        </w:rPr>
        <w:t xml:space="preserve"> 522 (2012). </w:t>
      </w:r>
    </w:p>
    <w:p w14:paraId="699D4522" w14:textId="77777777" w:rsidR="00C22B24" w:rsidRPr="00920B12" w:rsidRDefault="00C22B24" w:rsidP="00C22B24">
      <w:pPr>
        <w:rPr>
          <w:rFonts w:ascii="Times New Roman" w:hAnsi="Times New Roman" w:cs="Times New Roman"/>
        </w:rPr>
      </w:pPr>
    </w:p>
    <w:p w14:paraId="517205E3" w14:textId="1C153B30"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Ironically, the decline in jury trials may not be a sign of the decline of jury power at all.  In a world where discovery and pre-trial procedures such as </w:t>
      </w:r>
      <w:r w:rsidRPr="750671CE">
        <w:rPr>
          <w:rFonts w:ascii="Times New Roman" w:eastAsia="Times New Roman" w:hAnsi="Times New Roman" w:cs="Times New Roman"/>
          <w:i/>
          <w:iCs/>
        </w:rPr>
        <w:t>Daubert</w:t>
      </w:r>
      <w:r w:rsidRPr="750671CE">
        <w:rPr>
          <w:rFonts w:ascii="Times New Roman" w:eastAsia="Times New Roman" w:hAnsi="Times New Roman" w:cs="Times New Roman"/>
        </w:rPr>
        <w:t xml:space="preserve"> hearings allow the parties to have increasingly good information about the value of their claims, plaintiffs and defendants alike will look to settle more often.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jury hardly matters.  The quirks of any one 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outlier decision are washed away in the averaging that parties do when they estimate settlement values.  </w:t>
      </w:r>
    </w:p>
    <w:p w14:paraId="1E58BBD2" w14:textId="77777777" w:rsidR="00C22B24" w:rsidRPr="00920B12" w:rsidRDefault="00C22B24" w:rsidP="00C22B24">
      <w:pPr>
        <w:rPr>
          <w:rFonts w:ascii="Times New Roman" w:hAnsi="Times New Roman" w:cs="Times New Roman"/>
        </w:rPr>
      </w:pPr>
    </w:p>
    <w:p w14:paraId="4D2A1F69" w14:textId="77777777" w:rsidR="00C22B24" w:rsidRPr="00920B12" w:rsidRDefault="00C22B24" w:rsidP="00C22B24">
      <w:pPr>
        <w:rPr>
          <w:rFonts w:ascii="Times New Roman" w:hAnsi="Times New Roman" w:cs="Times New Roman"/>
        </w:rPr>
      </w:pPr>
    </w:p>
    <w:p w14:paraId="48F04E00" w14:textId="77777777" w:rsidR="00C22B24" w:rsidRPr="00FE2452" w:rsidRDefault="00C22B24" w:rsidP="00654955">
      <w:pPr>
        <w:pStyle w:val="Heading2"/>
      </w:pPr>
      <w:bookmarkStart w:id="282" w:name="_Toc364636117"/>
      <w:bookmarkStart w:id="283" w:name="_Toc518323314"/>
      <w:r w:rsidRPr="00FE2452">
        <w:t>D.  Custom</w:t>
      </w:r>
      <w:bookmarkEnd w:id="282"/>
      <w:bookmarkEnd w:id="283"/>
      <w:r w:rsidRPr="00FE2452">
        <w:t xml:space="preserve"> </w:t>
      </w:r>
    </w:p>
    <w:p w14:paraId="45ED2D98" w14:textId="77777777" w:rsidR="00C22B24" w:rsidRDefault="00C22B24" w:rsidP="00C22B24">
      <w:pPr>
        <w:tabs>
          <w:tab w:val="left" w:pos="1658"/>
        </w:tabs>
        <w:rPr>
          <w:rFonts w:ascii="Times New Roman" w:hAnsi="Times New Roman" w:cs="Times New Roman"/>
        </w:rPr>
      </w:pPr>
    </w:p>
    <w:p w14:paraId="36FAF7A9" w14:textId="77777777" w:rsidR="00C22B24" w:rsidRPr="00920B12" w:rsidRDefault="00C22B24" w:rsidP="00C22B24">
      <w:pPr>
        <w:tabs>
          <w:tab w:val="left" w:pos="1658"/>
        </w:tabs>
        <w:rPr>
          <w:rFonts w:ascii="Times New Roman" w:hAnsi="Times New Roman" w:cs="Times New Roman"/>
        </w:rPr>
      </w:pPr>
    </w:p>
    <w:p w14:paraId="54FBE742" w14:textId="04FF767E" w:rsidR="00C22B24" w:rsidRDefault="00C22B24" w:rsidP="00322687">
      <w:pPr>
        <w:pStyle w:val="Heading3"/>
      </w:pPr>
      <w:bookmarkStart w:id="284" w:name="_Toc364636118"/>
      <w:bookmarkStart w:id="285" w:name="_Toc518323315"/>
      <w:r w:rsidRPr="0014535A">
        <w:t>1.</w:t>
      </w:r>
      <w:r>
        <w:t xml:space="preserve"> The Basic Rule</w:t>
      </w:r>
      <w:r w:rsidR="00675F28" w:rsidRPr="00675F28">
        <w:t>—</w:t>
      </w:r>
      <w:r>
        <w:t>and Its Functions</w:t>
      </w:r>
      <w:bookmarkEnd w:id="284"/>
      <w:bookmarkEnd w:id="285"/>
    </w:p>
    <w:p w14:paraId="3F53BF88" w14:textId="77777777" w:rsidR="004741FB" w:rsidRDefault="004741FB" w:rsidP="004741FB">
      <w:pPr>
        <w:rPr>
          <w:lang w:eastAsia="en-US"/>
        </w:rPr>
      </w:pPr>
    </w:p>
    <w:p w14:paraId="7EB43DFE" w14:textId="1E61C986" w:rsidR="004741FB" w:rsidRPr="002502CC" w:rsidRDefault="004741FB" w:rsidP="002502CC">
      <w:pPr>
        <w:pStyle w:val="Heading4"/>
      </w:pPr>
      <w:bookmarkStart w:id="286" w:name="_Toc518323316"/>
      <w:r w:rsidRPr="002502CC">
        <w:rPr>
          <w:rStyle w:val="Heading4Char"/>
          <w:b/>
          <w:i/>
        </w:rPr>
        <w:t>The T.J. Hooper</w:t>
      </w:r>
      <w:r w:rsidRPr="002502CC">
        <w:t xml:space="preserve">, </w:t>
      </w:r>
      <w:r w:rsidRPr="002502CC">
        <w:rPr>
          <w:i w:val="0"/>
        </w:rPr>
        <w:t>53 F.2d 107 (S.D.N.Y. 1931)</w:t>
      </w:r>
      <w:bookmarkEnd w:id="286"/>
    </w:p>
    <w:p w14:paraId="5EE3B926" w14:textId="77777777" w:rsidR="00C22B24" w:rsidRPr="009418B2" w:rsidRDefault="00C22B24" w:rsidP="00C22B24">
      <w:pPr>
        <w:tabs>
          <w:tab w:val="left" w:pos="1658"/>
        </w:tabs>
        <w:rPr>
          <w:rFonts w:ascii="Times New Roman" w:hAnsi="Times New Roman" w:cs="Times New Roman"/>
        </w:rPr>
      </w:pPr>
    </w:p>
    <w:p w14:paraId="4BC21BE3" w14:textId="093A88A2"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B7582E">
        <w:rPr>
          <w:rFonts w:ascii="Times New Roman" w:eastAsia="Times New Roman" w:hAnsi="Times New Roman"/>
          <w:sz w:val="24"/>
          <w:szCs w:val="24"/>
        </w:rPr>
        <w:t>[These cases arose out of the foundering of two coal barge</w:t>
      </w:r>
      <w:r w:rsidRPr="00161E5A">
        <w:rPr>
          <w:rFonts w:ascii="Times New Roman" w:eastAsia="Times New Roman" w:hAnsi="Times New Roman"/>
          <w:sz w:val="24"/>
          <w:szCs w:val="24"/>
        </w:rPr>
        <w:t xml:space="preserve">s off the mid-Atlantic coast in March, 1928.  Two tugs, the </w:t>
      </w:r>
      <w:r w:rsidRPr="00F94B7E">
        <w:rPr>
          <w:rFonts w:ascii="Times New Roman" w:eastAsia="Times New Roman,Cambria" w:hAnsi="Times New Roman"/>
          <w:sz w:val="24"/>
          <w:szCs w:val="24"/>
        </w:rPr>
        <w:t>T. J. Hooper and Montrose, left Hampton Roads, bound for New York and New England ports on March 7.  Each tug towed three barges. There were no storm warnings at any station along the coast until 9:30 a.m. on March 9</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Several other tugs traveling along the coast that day pulled into the Delaware breakwater on the 8</w:t>
      </w:r>
      <w:r w:rsidR="00675F28" w:rsidRPr="00F94B7E">
        <w:rPr>
          <w:rFonts w:ascii="Times New Roman" w:eastAsia="Times New Roman,Cambria" w:hAnsi="Times New Roman"/>
          <w:sz w:val="24"/>
          <w:szCs w:val="24"/>
        </w:rPr>
        <w:t>th</w:t>
      </w:r>
      <w:r w:rsidRPr="00F94B7E">
        <w:rPr>
          <w:rFonts w:ascii="Times New Roman" w:eastAsia="Times New Roman,Cambria" w:hAnsi="Times New Roman"/>
          <w:sz w:val="24"/>
          <w:szCs w:val="24"/>
        </w:rPr>
        <w:t xml:space="preserve">,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the two tugs were unseaworthy in not having effective radio sets, capable of receiving the forecasts of unfavorable weather broadcast along the coast on March 8th.</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w:t>
      </w:r>
    </w:p>
    <w:p w14:paraId="70B49EC4" w14:textId="77777777" w:rsidR="00C22B24" w:rsidRPr="00190B65"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C3BB418" w14:textId="25985C56"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mallCaps/>
          <w:sz w:val="24"/>
          <w:szCs w:val="24"/>
        </w:rPr>
        <w:t>Coxe, J</w:t>
      </w:r>
      <w:r w:rsidR="00F2511C" w:rsidRPr="00F94B7E">
        <w:rPr>
          <w:rFonts w:ascii="Times New Roman" w:eastAsia="Times New Roman,Cambria" w:hAnsi="Times New Roman"/>
          <w:smallCaps/>
          <w:sz w:val="24"/>
          <w:szCs w:val="24"/>
        </w:rPr>
        <w:t>.</w:t>
      </w:r>
      <w:r w:rsidR="00675F28" w:rsidRPr="00F94B7E">
        <w:rPr>
          <w:rFonts w:ascii="Times New Roman" w:eastAsia="Times New Roman,Cambria" w:hAnsi="Times New Roman"/>
          <w:sz w:val="24"/>
          <w:szCs w:val="24"/>
        </w:rPr>
        <w:t xml:space="preserve"> . . .</w:t>
      </w:r>
      <w:r w:rsidRPr="00F94B7E">
        <w:rPr>
          <w:rFonts w:ascii="Times New Roman" w:eastAsia="Times New Roman,Cambria" w:hAnsi="Times New Roman"/>
          <w:b/>
          <w:bCs/>
          <w:sz w:val="24"/>
          <w:szCs w:val="24"/>
        </w:rPr>
        <w:t xml:space="preserve"> </w:t>
      </w:r>
      <w:r w:rsidRPr="00F94B7E">
        <w:rPr>
          <w:rFonts w:ascii="Times New Roman" w:eastAsia="Times New Roman,Cambria" w:hAnsi="Times New Roman"/>
          <w:sz w:val="24"/>
          <w:szCs w:val="24"/>
        </w:rPr>
        <w:t>[U]nless the Hooper and Montrose were under a duty to have radio apparatus capable of receiving reports of that kind, the charge against them of negligence must necessarily fail. . . .</w:t>
      </w:r>
    </w:p>
    <w:p w14:paraId="7978F653"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08EC6CA" w14:textId="5C0B048F"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Concededly, there is no statutory law on the subject applicable to tugs of that type, the radio statute applying only to steamers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licensed to carry, or carrying, fifty or more persons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and excepting by its terms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steamers plying between ports, or places, less than two hundred miles apart.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U.S. Code Annotated, title 46, § 484. The standard of seaworthiness is not, however, dependent on statutory enactment, or condemned to inertia or rigidity, but changes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with advancing knowledge, experience, and the changed appliances of navigation.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It is particularly affected by new devices of demonstrated worth, which have become recognized as regular equipment by common usage.</w:t>
      </w:r>
    </w:p>
    <w:p w14:paraId="706CF7F1" w14:textId="77777777" w:rsidR="00C22B24" w:rsidRPr="00190B65"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F70BA1C" w14:textId="77777777"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Radio broadcasting was no new or untried thing in March, 1928. Everywhere, and in almost every field of activity, it was being utilized as an aid to communication, and for the dissemination of information. And that radio sets were in widespread use on vessels of all kinds is clearly indicated by the testimony in this case. Twice a day the government broadcast from Arlington weather reports forecasting weather conditions. Clearly this was important information which navigators could not afford to ignore.</w:t>
      </w:r>
    </w:p>
    <w:p w14:paraId="42A08AD4" w14:textId="77777777" w:rsidR="00C22B24" w:rsidRPr="00190B65"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3FACBDF" w14:textId="678BDF22"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Captain Powell, master of the Menominee, who was a witness for the tugs, testified that prior to March, 1928, his tug, and all other seagoing tugs of his company, were equipped by the owner with efficient radio sets, and that he regarded a radio as part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of the necessary equipment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of every reasonably well-equipped tug in the coastwise service. He further testified that 90 per cent. of the coastwise tugs operating along the coast were so equipped. It is, of course, true that many of these radio sets were the personal property of the tug master, and not supplied by the owner. This was so with the Mars, Waltham, and Menominee; but, notwithstanding that fact, the use of the radio was shown to be so extensive as to amount almost to a universal practice in the navigation of coastwise tugs along the coast. I think therefore there was a duty on the part of the tug owner to supply effective receiving sets.</w:t>
      </w:r>
    </w:p>
    <w:p w14:paraId="676BF038" w14:textId="77777777" w:rsidR="00C22B24" w:rsidRPr="00190B65"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2EB75C0" w14:textId="0FEEC395"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How have the tugs met this requirement? The Hooper had a radio set which belonged to her master, but was practically useless even before the tug left Hampton Roads, and was generally out of order. Similarly, the radio on the Montrose was the personal property of Captain Walton, and was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 home made set,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which was not in very good working order, and was admittedly ineffective. Neither tug received any of the radio reports broadcast on March 8th. And Captain Savage of the Hooper admitted that if he had received such reports he would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quite likely</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have turned into the breakwater. . . .  Likewise, Captain Walton of the Montrose admitted that if he had received the weather reports on the 8th, which were received by the other tug captains, 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certainly would have gone into Breakwater.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I cannot escape the conclusion, therefore, that if the two tugs had had proper radios, in good working order, on March 8th, they would have followed the Mars, Waltham, A. L. Walker, and Menominee into the breakwater, and would have avoided the storm which overtook them on March 9th.</w:t>
      </w:r>
    </w:p>
    <w:p w14:paraId="42DF89BC" w14:textId="611B0C88" w:rsidR="00C22B24" w:rsidRPr="00F94B7E" w:rsidRDefault="750671CE" w:rsidP="00F94B7E">
      <w:pPr>
        <w:pStyle w:val="NormalWeb"/>
        <w:shd w:val="clear" w:color="auto" w:fill="FFFFFF" w:themeFill="background1"/>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lastRenderedPageBreak/>
        <w:t>. . .</w:t>
      </w:r>
    </w:p>
    <w:p w14:paraId="14B3BF00" w14:textId="77777777" w:rsidR="00C22B24" w:rsidRPr="00190B65"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4EB32456" w14:textId="77777777"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I hold therefore . . . that the tugs T. J. Hooper and Montrose were unseaworthy in failing to have effective radio sets, capable of receiving weather reports on March 8th . . . .</w:t>
      </w:r>
    </w:p>
    <w:p w14:paraId="4985E011" w14:textId="77777777" w:rsidR="00C22B24" w:rsidRPr="00190B65"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46D35EA8" w14:textId="77777777" w:rsidR="00966624" w:rsidRPr="009418B2" w:rsidRDefault="009666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4124B7F8" w14:textId="77777777" w:rsidR="0090537A" w:rsidRPr="00190B65" w:rsidRDefault="0090537A" w:rsidP="002502CC">
      <w:pPr>
        <w:pStyle w:val="Heading4"/>
      </w:pPr>
      <w:bookmarkStart w:id="287" w:name="_Toc518323317"/>
      <w:r w:rsidRPr="00F94B7E">
        <w:t>The T.J. Hooper</w:t>
      </w:r>
      <w:r w:rsidRPr="002502CC">
        <w:rPr>
          <w:i w:val="0"/>
        </w:rPr>
        <w:t>, 60 F.2d 737 (2d Cir. 1932)</w:t>
      </w:r>
      <w:bookmarkEnd w:id="287"/>
    </w:p>
    <w:p w14:paraId="35106191" w14:textId="77777777" w:rsidR="00C22B24" w:rsidRPr="00920B12"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mallCaps/>
          <w:sz w:val="24"/>
          <w:szCs w:val="24"/>
        </w:rPr>
      </w:pPr>
    </w:p>
    <w:p w14:paraId="507BB5A4" w14:textId="77777777"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190B65">
        <w:rPr>
          <w:rFonts w:ascii="Times New Roman" w:eastAsia="Times New Roman" w:hAnsi="Times New Roman"/>
          <w:smallCaps/>
          <w:sz w:val="24"/>
          <w:szCs w:val="24"/>
        </w:rPr>
        <w:t xml:space="preserve">Hand, J.  </w:t>
      </w:r>
      <w:r w:rsidRPr="00F94B7E">
        <w:rPr>
          <w:rFonts w:ascii="Times New Roman" w:eastAsia="Times New Roman,Cambria" w:hAnsi="Times New Roman"/>
          <w:sz w:val="24"/>
          <w:szCs w:val="24"/>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190B65"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17E4A231" w14:textId="3F952D92"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Moderate north, shifting to east and southeast winds, increasing Friday, fair weather to-night.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190B65" w:rsidRDefault="00C22B24" w:rsidP="00C22B24">
      <w:pPr>
        <w:shd w:val="clear" w:color="auto" w:fill="FFFFFF"/>
        <w:ind w:firstLine="720"/>
        <w:textAlignment w:val="baseline"/>
        <w:rPr>
          <w:rFonts w:ascii="Times New Roman" w:eastAsiaTheme="minorHAnsi" w:hAnsi="Times New Roman" w:cs="Times New Roman"/>
        </w:rPr>
      </w:pPr>
    </w:p>
    <w:p w14:paraId="577D8232" w14:textId="1533FBBD"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Moreover, the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Montrose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and the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Hooper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would have had the benefit of the evening report from Arlington had they had proper receiving sets. This predicted worse weather; it read: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Increasing east and southeast winds, becoming fresh to strong, Friday night and increasing cloudiness followed by rain Friday.</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bare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increase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of the morning had become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fresh to strong.</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To be sure this scarcely foretold a gale of from forty to fifty miles for five hours or more, rising at one time to fifty-six; but if the four tows thought the first report enough, the second ought to have laid any doubts. The master of the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Montrose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himself, when asked what he would have done had he received a substantially similar report, said that he would certainly have put in. The master of the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Hooper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was also asked for his opinion, and said that he would have turned back also, but this admission is somewhat vitiated by the incorporation in the question of the statement that it was a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storm warning,</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190B65" w:rsidRDefault="00C22B24" w:rsidP="00C22B24">
      <w:pPr>
        <w:shd w:val="clear" w:color="auto" w:fill="FFFFFF"/>
        <w:tabs>
          <w:tab w:val="left" w:pos="1980"/>
        </w:tabs>
        <w:ind w:firstLine="720"/>
        <w:textAlignment w:val="baseline"/>
        <w:rPr>
          <w:rFonts w:ascii="Times New Roman" w:eastAsiaTheme="minorHAnsi" w:hAnsi="Times New Roman" w:cs="Times New Roman"/>
        </w:rPr>
      </w:pPr>
      <w:r w:rsidRPr="00190B65">
        <w:rPr>
          <w:rFonts w:ascii="Times New Roman" w:eastAsiaTheme="minorHAnsi" w:hAnsi="Times New Roman" w:cs="Times New Roman"/>
        </w:rPr>
        <w:tab/>
      </w:r>
    </w:p>
    <w:p w14:paraId="519284AD" w14:textId="638913C1"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w:t>
      </w:r>
      <w:r w:rsidRPr="00F94B7E">
        <w:rPr>
          <w:rFonts w:ascii="Times New Roman" w:eastAsia="Times New Roman,Cambria" w:hAnsi="Times New Roman" w:cs="Times New Roman"/>
        </w:rPr>
        <w:lastRenderedPageBreak/>
        <w:t>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190B65" w:rsidRDefault="00C22B24" w:rsidP="003A3C74">
      <w:pPr>
        <w:shd w:val="clear" w:color="auto" w:fill="FFFFFF"/>
        <w:textAlignment w:val="baseline"/>
        <w:rPr>
          <w:rFonts w:ascii="Times New Roman" w:eastAsiaTheme="minorHAnsi" w:hAnsi="Times New Roman" w:cs="Times New Roman"/>
        </w:rPr>
      </w:pPr>
    </w:p>
    <w:p w14:paraId="7096FBA5" w14:textId="77777777"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F94B7E" w:rsidRDefault="0090537A" w:rsidP="750671CE">
      <w:pPr>
        <w:shd w:val="clear" w:color="auto" w:fill="FFFFFF" w:themeFill="background1"/>
        <w:ind w:firstLine="720"/>
        <w:textAlignment w:val="baseline"/>
        <w:rPr>
          <w:rFonts w:ascii="Times New Roman" w:eastAsia="Times New Roman,Cambria" w:hAnsi="Times New Roman" w:cs="Times New Roman"/>
        </w:rPr>
      </w:pPr>
    </w:p>
    <w:p w14:paraId="6B40E159" w14:textId="77777777" w:rsidR="00C22B24" w:rsidRPr="00F94B7E" w:rsidRDefault="750671CE" w:rsidP="750671CE">
      <w:pPr>
        <w:shd w:val="clear" w:color="auto" w:fill="FFFFFF" w:themeFill="background1"/>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Decree affirmed.</w:t>
      </w:r>
    </w:p>
    <w:p w14:paraId="33120FA4" w14:textId="77777777" w:rsidR="00C22B24" w:rsidRPr="00920B12" w:rsidRDefault="00C22B24">
      <w:pPr>
        <w:tabs>
          <w:tab w:val="left" w:pos="456"/>
        </w:tabs>
        <w:rPr>
          <w:rFonts w:ascii="Times New Roman" w:hAnsi="Times New Roman" w:cs="Times New Roman"/>
        </w:rPr>
      </w:pPr>
    </w:p>
    <w:p w14:paraId="56EEC73D" w14:textId="77777777" w:rsidR="00C22B24" w:rsidRPr="00920B12" w:rsidRDefault="00C22B24">
      <w:pPr>
        <w:shd w:val="clear" w:color="auto" w:fill="FFFFFF"/>
        <w:textAlignment w:val="baseline"/>
        <w:rPr>
          <w:rFonts w:ascii="Times New Roman" w:eastAsiaTheme="minorHAnsi" w:hAnsi="Times New Roman" w:cs="Times New Roman"/>
        </w:rPr>
      </w:pPr>
    </w:p>
    <w:p w14:paraId="215E6600" w14:textId="77777777" w:rsidR="00C22B24" w:rsidRPr="00301F53" w:rsidRDefault="00C22B24" w:rsidP="002502CC">
      <w:pPr>
        <w:pStyle w:val="Heading4"/>
      </w:pPr>
      <w:bookmarkStart w:id="288" w:name="_Toc384558957"/>
      <w:bookmarkStart w:id="289" w:name="_Toc364636119"/>
      <w:bookmarkStart w:id="290" w:name="_Toc518323318"/>
      <w:r w:rsidRPr="00301F53">
        <w:t>Notes</w:t>
      </w:r>
      <w:bookmarkEnd w:id="288"/>
      <w:bookmarkEnd w:id="289"/>
      <w:bookmarkEnd w:id="290"/>
    </w:p>
    <w:p w14:paraId="3D7BC4A0" w14:textId="77777777" w:rsidR="00C22B24" w:rsidRDefault="00C22B24" w:rsidP="00966624">
      <w:pPr>
        <w:shd w:val="clear" w:color="auto" w:fill="FFFFFF"/>
        <w:textAlignment w:val="baseline"/>
        <w:rPr>
          <w:rFonts w:ascii="Times New Roman" w:eastAsiaTheme="minorHAnsi" w:hAnsi="Times New Roman" w:cs="Times New Roman"/>
          <w:b/>
          <w:u w:val="single"/>
        </w:rPr>
      </w:pPr>
    </w:p>
    <w:p w14:paraId="156F4178" w14:textId="77777777" w:rsidR="00966624" w:rsidRPr="00920B12" w:rsidRDefault="00966624" w:rsidP="00966624">
      <w:pPr>
        <w:shd w:val="clear" w:color="auto" w:fill="FFFFFF"/>
        <w:textAlignment w:val="baseline"/>
        <w:rPr>
          <w:rFonts w:ascii="Times New Roman" w:eastAsiaTheme="minorHAnsi" w:hAnsi="Times New Roman" w:cs="Times New Roman"/>
          <w:b/>
          <w:u w:val="single"/>
        </w:rPr>
      </w:pPr>
    </w:p>
    <w:p w14:paraId="5032F18F" w14:textId="36C0D618" w:rsidR="00C22B24" w:rsidRPr="00F94B7E" w:rsidRDefault="750671CE" w:rsidP="00F94B7E">
      <w:pPr>
        <w:pStyle w:val="ListParagraph"/>
        <w:numPr>
          <w:ilvl w:val="0"/>
          <w:numId w:val="93"/>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The Restatement.  </w:t>
      </w:r>
      <w:r w:rsidRPr="00F94B7E">
        <w:rPr>
          <w:rFonts w:ascii="Times New Roman" w:eastAsia="Times New Roman,Cambria" w:hAnsi="Times New Roman" w:cs="Times New Roman"/>
        </w:rPr>
        <w:t xml:space="preserve">According to the Restatement (Third) of Torts,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complying with custom confirms that the actor has behaved in an ordinary way.</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Restatement (Third) of Torts: Liab. for Phys. &amp; Emot. Harm</w:t>
      </w:r>
      <w:r w:rsidRPr="00F94B7E">
        <w:rPr>
          <w:rFonts w:ascii="Times New Roman" w:eastAsia="Times New Roman,Cambria" w:hAnsi="Times New Roman" w:cs="Times New Roman"/>
        </w:rPr>
        <w:t xml:space="preserve"> § 13 cmt. a (2010). The Restatement further provides that compliance with custom is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evidence that the actor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conduct is not negligent but does not preclude a finding of negligence.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 13. </w:t>
      </w:r>
    </w:p>
    <w:p w14:paraId="4D69E712" w14:textId="77777777" w:rsidR="00C22B24" w:rsidRDefault="00C22B24" w:rsidP="00C22B24">
      <w:pPr>
        <w:shd w:val="clear" w:color="auto" w:fill="FFFFFF"/>
        <w:textAlignment w:val="baseline"/>
        <w:rPr>
          <w:rFonts w:ascii="Times New Roman" w:eastAsiaTheme="minorHAnsi" w:hAnsi="Times New Roman" w:cs="Times New Roman"/>
        </w:rPr>
      </w:pPr>
    </w:p>
    <w:p w14:paraId="72D27B7F" w14:textId="77777777" w:rsidR="00C22B24" w:rsidRPr="006C1843" w:rsidRDefault="00C22B24" w:rsidP="00C22B24">
      <w:pPr>
        <w:shd w:val="clear" w:color="auto" w:fill="FFFFFF"/>
        <w:textAlignment w:val="baseline"/>
        <w:rPr>
          <w:rFonts w:ascii="Times New Roman" w:eastAsiaTheme="minorHAnsi" w:hAnsi="Times New Roman" w:cs="Times New Roman"/>
        </w:rPr>
      </w:pPr>
    </w:p>
    <w:p w14:paraId="0FD8AECD" w14:textId="1EE22073" w:rsidR="00C22B24" w:rsidRPr="00F94B7E" w:rsidRDefault="750671CE" w:rsidP="00F94B7E">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t>When is a practice a custom?</w:t>
      </w:r>
      <w:r w:rsidRPr="00F94B7E">
        <w:rPr>
          <w:rFonts w:ascii="Times New Roman" w:eastAsia="Times New Roman,Cambria" w:hAnsi="Times New Roman" w:cs="Times New Roman"/>
        </w:rPr>
        <w:t xml:space="preserve">  </w:t>
      </w:r>
      <w:r w:rsidRPr="00F94B7E">
        <w:rPr>
          <w:rFonts w:ascii="Times New Roman" w:eastAsia="Times New Roman" w:hAnsi="Times New Roman" w:cs="Times New Roman"/>
        </w:rPr>
        <w:t xml:space="preserve">Customs may provide evidence of reasonableness. But what constitutes a custom? </w:t>
      </w:r>
    </w:p>
    <w:p w14:paraId="06B6A519" w14:textId="77777777" w:rsidR="00C22B24" w:rsidRPr="00046D36" w:rsidRDefault="00C22B24" w:rsidP="00C22B24">
      <w:pPr>
        <w:rPr>
          <w:rFonts w:ascii="Times New Roman" w:hAnsi="Times New Roman" w:cs="Times New Roman"/>
          <w:bCs/>
        </w:rPr>
      </w:pPr>
    </w:p>
    <w:p w14:paraId="27E87385" w14:textId="7BD451A8" w:rsidR="00C22B24" w:rsidRPr="00046D36"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 custom is </w:t>
      </w:r>
      <w:r w:rsidR="00B05F31">
        <w:rPr>
          <w:rFonts w:ascii="Times New Roman" w:eastAsia="Times New Roman" w:hAnsi="Times New Roman" w:cs="Times New Roman"/>
        </w:rPr>
        <w:t>“</w:t>
      </w:r>
      <w:r w:rsidRPr="750671CE">
        <w:rPr>
          <w:rFonts w:ascii="Times New Roman" w:eastAsia="Times New Roman" w:hAnsi="Times New Roman" w:cs="Times New Roman"/>
        </w:rPr>
        <w:t>a fairly well-defined and regular usage or way of doing a specific thing, among a group of people such as a trade, calling, or profession.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3 </w:t>
      </w:r>
      <w:r w:rsidRPr="750671CE">
        <w:rPr>
          <w:rFonts w:ascii="Times New Roman" w:eastAsia="Times New Roman" w:hAnsi="Times New Roman" w:cs="Times New Roman"/>
          <w:smallCaps/>
        </w:rPr>
        <w:t xml:space="preserve">Fowler V. </w:t>
      </w:r>
      <w:r w:rsidRPr="750671CE">
        <w:rPr>
          <w:rFonts w:ascii="Times New Roman" w:eastAsia="Times New Roman" w:hAnsi="Times New Roman" w:cs="Times New Roman"/>
          <w:smallCaps/>
        </w:rPr>
        <w:lastRenderedPageBreak/>
        <w:t xml:space="preserve">Harper, Fleming James, Jr. &amp; Oscar S. Gray, Harper, James </w:t>
      </w:r>
      <w:r w:rsidR="009418B2">
        <w:rPr>
          <w:rFonts w:ascii="Times New Roman" w:eastAsia="Times New Roman" w:hAnsi="Times New Roman" w:cs="Times New Roman"/>
          <w:smallCaps/>
        </w:rPr>
        <w:t>&amp;</w:t>
      </w:r>
      <w:r w:rsidR="009418B2" w:rsidRPr="750671CE">
        <w:rPr>
          <w:rFonts w:ascii="Times New Roman" w:eastAsia="Times New Roman" w:hAnsi="Times New Roman" w:cs="Times New Roman"/>
          <w:smallCaps/>
        </w:rPr>
        <w:t xml:space="preserve"> </w:t>
      </w:r>
      <w:r w:rsidRPr="750671CE">
        <w:rPr>
          <w:rFonts w:ascii="Times New Roman" w:eastAsia="Times New Roman" w:hAnsi="Times New Roman" w:cs="Times New Roman"/>
          <w:smallCaps/>
        </w:rPr>
        <w:t xml:space="preserve">Gray on Torts </w:t>
      </w:r>
      <w:r w:rsidRPr="750671CE">
        <w:rPr>
          <w:rFonts w:ascii="Times New Roman" w:eastAsia="Times New Roman" w:hAnsi="Times New Roman" w:cs="Times New Roman"/>
        </w:rPr>
        <w:t xml:space="preserve">§ 17.3 (3d ed. 2006). The U.S. Supreme Court, in an 1838 action for ejectment of land, defined custom as </w:t>
      </w:r>
      <w:r w:rsidR="00B05F31">
        <w:rPr>
          <w:rFonts w:ascii="Times New Roman" w:eastAsia="Times New Roman" w:hAnsi="Times New Roman" w:cs="Times New Roman"/>
        </w:rPr>
        <w:t>“</w:t>
      </w:r>
      <w:r w:rsidRPr="750671CE">
        <w:rPr>
          <w:rFonts w:ascii="Times New Roman" w:eastAsia="Times New Roman" w:hAnsi="Times New Roman" w:cs="Times New Roman"/>
        </w:rPr>
        <w:t>the law or rule which is not written and which men have used for a long time, supporting themselves by it in the things and reasons with respect to which they have exercised 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being introduced by the people, deriving its authority from the express or tacit consent of the king, and having the force of law. </w:t>
      </w:r>
      <w:r w:rsidRPr="750671CE">
        <w:rPr>
          <w:rFonts w:ascii="Times New Roman" w:eastAsia="Times New Roman" w:hAnsi="Times New Roman" w:cs="Times New Roman"/>
          <w:i/>
          <w:iCs/>
        </w:rPr>
        <w:t>See Strother v. Lucas</w:t>
      </w:r>
      <w:r w:rsidRPr="750671CE">
        <w:rPr>
          <w:rFonts w:ascii="Times New Roman" w:eastAsia="Times New Roman" w:hAnsi="Times New Roman" w:cs="Times New Roman"/>
        </w:rPr>
        <w:t xml:space="preserve">, 37 U.S. 410, 445-46 (1838).  </w:t>
      </w:r>
    </w:p>
    <w:p w14:paraId="1BA47B14" w14:textId="77777777" w:rsidR="00C22B24" w:rsidRPr="00046D36" w:rsidRDefault="00C22B24" w:rsidP="00C22B24">
      <w:pPr>
        <w:rPr>
          <w:rFonts w:ascii="Times New Roman" w:hAnsi="Times New Roman" w:cs="Times New Roman"/>
          <w:bCs/>
        </w:rPr>
      </w:pPr>
    </w:p>
    <w:p w14:paraId="101265DE" w14:textId="1B4D8ACD" w:rsidR="00C22B24" w:rsidRPr="00046D36"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To count as a custom, a practice must be general, </w:t>
      </w:r>
      <w:r w:rsidRPr="750671CE">
        <w:rPr>
          <w:rFonts w:ascii="Times New Roman" w:eastAsia="Times New Roman" w:hAnsi="Times New Roman" w:cs="Times New Roman"/>
          <w:i/>
          <w:iCs/>
        </w:rPr>
        <w:t>see Wise &amp; Co. v. Wecoline Products</w:t>
      </w:r>
      <w:r w:rsidRPr="750671CE">
        <w:rPr>
          <w:rFonts w:ascii="Times New Roman" w:eastAsia="Times New Roman" w:hAnsi="Times New Roman" w:cs="Times New Roman"/>
        </w:rPr>
        <w:t xml:space="preserve">, 36 N.E.2d 623 (N.Y. 1941); </w:t>
      </w:r>
      <w:r w:rsidRPr="750671CE">
        <w:rPr>
          <w:rFonts w:ascii="Times New Roman" w:eastAsia="Times New Roman" w:hAnsi="Times New Roman" w:cs="Times New Roman"/>
          <w:i/>
          <w:iCs/>
        </w:rPr>
        <w:t>Alberts v. Mutual Serv. Cas. Ins. Co.</w:t>
      </w:r>
      <w:r w:rsidRPr="750671CE">
        <w:rPr>
          <w:rFonts w:ascii="Times New Roman" w:eastAsia="Times New Roman" w:hAnsi="Times New Roman" w:cs="Times New Roman"/>
        </w:rPr>
        <w:t>, 123 N.W.2d 96 (S.D. 1963)</w:t>
      </w:r>
      <w:r w:rsidR="009418B2">
        <w:rPr>
          <w:rFonts w:ascii="Times New Roman" w:eastAsia="Times New Roman" w:hAnsi="Times New Roman" w:cs="Times New Roman"/>
        </w:rPr>
        <w:t>,</w:t>
      </w:r>
      <w:r w:rsidRPr="750671CE">
        <w:rPr>
          <w:rFonts w:ascii="Times New Roman" w:eastAsia="Times New Roman" w:hAnsi="Times New Roman" w:cs="Times New Roman"/>
        </w:rPr>
        <w:t xml:space="preserve"> definite, fixed, reasonable, and old enough to have been known to parties,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Dial v. Lathrop R-II Sch. Dist.</w:t>
      </w:r>
      <w:r w:rsidRPr="750671CE">
        <w:rPr>
          <w:rFonts w:ascii="Times New Roman" w:eastAsia="Times New Roman" w:hAnsi="Times New Roman" w:cs="Times New Roman"/>
        </w:rPr>
        <w:t xml:space="preserve">, 871 S.W.2d 444, 449 (Mo. 1994).  A custom does not have to be universal. </w:t>
      </w:r>
      <w:r w:rsidRPr="750671CE">
        <w:rPr>
          <w:rFonts w:ascii="Times New Roman" w:eastAsia="Times New Roman" w:hAnsi="Times New Roman" w:cs="Times New Roman"/>
          <w:i/>
          <w:iCs/>
        </w:rPr>
        <w:t>See U.S. v. Stanolind Crude Oil Purchasing Co.</w:t>
      </w:r>
      <w:r w:rsidRPr="750671CE">
        <w:rPr>
          <w:rFonts w:ascii="Times New Roman" w:eastAsia="Times New Roman" w:hAnsi="Times New Roman" w:cs="Times New Roman"/>
        </w:rPr>
        <w:t xml:space="preserve">, 113 F.2d 194 (C.C.A. 10th Cir. 1940). However, it has to be known and practiced by more than a few people and cannot be limited to isolated instances. </w:t>
      </w:r>
      <w:r w:rsidRPr="750671CE">
        <w:rPr>
          <w:rFonts w:ascii="Times New Roman" w:eastAsia="Times New Roman" w:hAnsi="Times New Roman" w:cs="Times New Roman"/>
          <w:i/>
          <w:iCs/>
        </w:rPr>
        <w:t>See El Encanto, Inc. v. Boca Raton Club, Inc.</w:t>
      </w:r>
      <w:r w:rsidRPr="750671CE">
        <w:rPr>
          <w:rFonts w:ascii="Times New Roman" w:eastAsia="Times New Roman" w:hAnsi="Times New Roman" w:cs="Times New Roman"/>
        </w:rPr>
        <w:t xml:space="preserve">, 68 So.2d 819 (Fla. 1953). </w:t>
      </w:r>
    </w:p>
    <w:p w14:paraId="2CDAA095" w14:textId="77777777" w:rsidR="00C22B24" w:rsidRPr="00F94B7E" w:rsidRDefault="00C22B24" w:rsidP="00C22B24">
      <w:pPr>
        <w:ind w:firstLine="720"/>
        <w:rPr>
          <w:rFonts w:ascii="Times" w:hAnsi="Times" w:cs="Times New Roman"/>
          <w:bCs/>
          <w:color w:val="008000"/>
        </w:rPr>
      </w:pPr>
    </w:p>
    <w:p w14:paraId="5A4F510A" w14:textId="77777777" w:rsidR="00C22B24" w:rsidRPr="00F94B7E" w:rsidRDefault="00C22B24" w:rsidP="00C22B24">
      <w:pPr>
        <w:shd w:val="clear" w:color="auto" w:fill="FFFFFF"/>
        <w:textAlignment w:val="baseline"/>
        <w:rPr>
          <w:rFonts w:ascii="Times" w:eastAsiaTheme="minorHAnsi" w:hAnsi="Times" w:cs="Times New Roman"/>
          <w:u w:val="single"/>
        </w:rPr>
      </w:pPr>
    </w:p>
    <w:p w14:paraId="2FE4CF77" w14:textId="585DF252" w:rsidR="00C22B24" w:rsidRPr="00F94B7E" w:rsidRDefault="750671CE" w:rsidP="00F94B7E">
      <w:pPr>
        <w:pStyle w:val="ListParagraph"/>
        <w:numPr>
          <w:ilvl w:val="0"/>
          <w:numId w:val="93"/>
        </w:numPr>
        <w:ind w:left="0" w:firstLine="360"/>
        <w:rPr>
          <w:rFonts w:ascii="Times New Roman" w:eastAsia="Times New Roman" w:hAnsi="Times New Roman" w:cs="Times New Roman"/>
        </w:rPr>
      </w:pPr>
      <w:r w:rsidRPr="00F94B7E">
        <w:rPr>
          <w:rFonts w:ascii="Times" w:hAnsi="Times"/>
          <w:i/>
          <w:iCs/>
        </w:rPr>
        <w:t>Majoritarian default rules.</w:t>
      </w:r>
      <w:r w:rsidRPr="00F94B7E">
        <w:rPr>
          <w:rFonts w:ascii="Times" w:hAnsi="Times"/>
        </w:rPr>
        <w:t xml:space="preserve">  </w:t>
      </w:r>
      <w:r w:rsidRPr="00F94B7E">
        <w:rPr>
          <w:rFonts w:ascii="Times" w:eastAsia="Times New Roman" w:hAnsi="Times" w:cs="Times New Roman"/>
        </w:rPr>
        <w:t>Why defer to custom, as Judge Coxe suggests?  One reason might be that the groups that create customs and are responsible for the practices in a given field ha</w:t>
      </w:r>
      <w:r w:rsidRPr="00F94B7E">
        <w:rPr>
          <w:rFonts w:ascii="Times New Roman" w:eastAsia="Times New Roman" w:hAnsi="Times New Roman" w:cs="Times New Roman"/>
        </w:rPr>
        <w:t>ve lots of very good information about the relevant field and are well positioned</w:t>
      </w:r>
      <w:r w:rsidR="009418B2">
        <w:rPr>
          <w:rFonts w:ascii="Times New Roman" w:eastAsia="Times New Roman" w:hAnsi="Times New Roman" w:cs="Times New Roman"/>
        </w:rPr>
        <w:t>—</w:t>
      </w:r>
      <w:r w:rsidRPr="00F94B7E">
        <w:rPr>
          <w:rFonts w:ascii="Times New Roman" w:eastAsia="Times New Roman" w:hAnsi="Times New Roman" w:cs="Times New Roman"/>
        </w:rPr>
        <w:t>much better positioned than judges and juries</w:t>
      </w:r>
      <w:r w:rsidR="009418B2">
        <w:rPr>
          <w:rFonts w:ascii="Times New Roman" w:eastAsia="Times New Roman" w:hAnsi="Times New Roman" w:cs="Times New Roman"/>
        </w:rPr>
        <w:t>—</w:t>
      </w:r>
      <w:r w:rsidRPr="00F94B7E">
        <w:rPr>
          <w:rFonts w:ascii="Times New Roman" w:eastAsia="Times New Roman" w:hAnsi="Times New Roman" w:cs="Times New Roman"/>
        </w:rPr>
        <w:t xml:space="preserve">to make informed decisions about which risks are reasonable and which risks are not.  An industry practice or custom is something that arises out of those informed decisions. The case for following custom is strongest when, as in </w:t>
      </w:r>
      <w:r w:rsidRPr="00F94B7E">
        <w:rPr>
          <w:rFonts w:ascii="Times New Roman" w:eastAsia="Times New Roman" w:hAnsi="Times New Roman" w:cs="Times New Roman"/>
          <w:i/>
          <w:iCs/>
        </w:rPr>
        <w:t>The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T.J. Hooper</w:t>
      </w:r>
      <w:r w:rsidRPr="00F94B7E">
        <w:rPr>
          <w:rFonts w:ascii="Times New Roman" w:eastAsia="Times New Roman" w:hAnsi="Times New Roman" w:cs="Times New Roman"/>
        </w:rPr>
        <w:t xml:space="preserve">, the parties are in contractual relationships with one another in which the customs of the relevant industry are known to all involved.  </w:t>
      </w:r>
    </w:p>
    <w:p w14:paraId="77F7D21B" w14:textId="77777777" w:rsidR="00C22B24" w:rsidRDefault="00C22B24" w:rsidP="00C22B24">
      <w:pPr>
        <w:tabs>
          <w:tab w:val="left" w:pos="456"/>
        </w:tabs>
        <w:rPr>
          <w:rFonts w:ascii="Times New Roman" w:hAnsi="Times New Roman" w:cs="Times New Roman"/>
        </w:rPr>
      </w:pPr>
    </w:p>
    <w:p w14:paraId="794459C1" w14:textId="5A6F6074" w:rsidR="00C22B24" w:rsidRPr="00920B12" w:rsidRDefault="00654955" w:rsidP="750671CE">
      <w:pPr>
        <w:tabs>
          <w:tab w:val="left" w:pos="456"/>
        </w:tabs>
        <w:rPr>
          <w:rFonts w:ascii="Times New Roman" w:eastAsia="Times New Roman" w:hAnsi="Times New Roman" w:cs="Times New Roman"/>
        </w:rPr>
      </w:pPr>
      <w:r>
        <w:rPr>
          <w:rFonts w:ascii="Times New Roman" w:hAnsi="Times New Roman" w:cs="Times New Roman"/>
        </w:rPr>
        <w:tab/>
      </w:r>
      <w:r w:rsidR="00C22B24" w:rsidRPr="750671CE">
        <w:rPr>
          <w:rFonts w:ascii="Times New Roman" w:eastAsia="Times New Roman" w:hAnsi="Times New Roman" w:cs="Times New Roman"/>
        </w:rPr>
        <w:t>We might think of industry customs or practices in such cases as default rules of contractual interpretation, or contract presumptions.  The question, one might say, is this: how would the parties have allocated the los</w:t>
      </w:r>
      <w:r w:rsidR="00F2614D">
        <w:rPr>
          <w:rFonts w:ascii="Times New Roman" w:eastAsia="Times New Roman" w:hAnsi="Times New Roman" w:cs="Times New Roman"/>
        </w:rPr>
        <w:t>s</w:t>
      </w:r>
      <w:r w:rsidR="00C22B24" w:rsidRPr="750671CE">
        <w:rPr>
          <w:rFonts w:ascii="Times New Roman" w:eastAsia="Times New Roman" w:hAnsi="Times New Roman" w:cs="Times New Roman"/>
        </w:rPr>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485EF9">
        <w:rPr>
          <w:rFonts w:ascii="Times New Roman" w:eastAsia="Times New Roman" w:hAnsi="Times New Roman" w:cs="Times New Roman"/>
        </w:rPr>
        <w:t>—</w:t>
      </w:r>
      <w:r w:rsidR="00C22B24" w:rsidRPr="750671CE">
        <w:rPr>
          <w:rFonts w:ascii="Times New Roman" w:eastAsia="Times New Roman" w:hAnsi="Times New Roman" w:cs="Times New Roman"/>
        </w:rPr>
        <w:t>and thus that the presumptive or default term of the contract for cases of losses because of the absence of such a radio would be to allocate the costs to the tugs.  In most cases, the theory goes, the allocation that follows what the parties would usually do</w:t>
      </w:r>
      <w:r w:rsidR="00485EF9" w:rsidRPr="00485EF9">
        <w:rPr>
          <w:rFonts w:ascii="Times New Roman" w:eastAsia="Times New Roman" w:hAnsi="Times New Roman" w:cs="Times New Roman"/>
        </w:rPr>
        <w:t>—</w:t>
      </w:r>
      <w:r w:rsidR="00C22B24" w:rsidRPr="750671CE">
        <w:rPr>
          <w:rFonts w:ascii="Times New Roman" w:eastAsia="Times New Roman" w:hAnsi="Times New Roman" w:cs="Times New Roman"/>
        </w:rPr>
        <w:t>the so-called majoritarian default</w:t>
      </w:r>
      <w:r w:rsidR="00485EF9" w:rsidRPr="00485EF9">
        <w:rPr>
          <w:rFonts w:ascii="Times New Roman" w:eastAsia="Times New Roman" w:hAnsi="Times New Roman" w:cs="Times New Roman"/>
        </w:rPr>
        <w:t>—</w:t>
      </w:r>
      <w:r w:rsidR="00C22B24" w:rsidRPr="750671CE">
        <w:rPr>
          <w:rFonts w:ascii="Times New Roman" w:eastAsia="Times New Roman" w:hAnsi="Times New Roman" w:cs="Times New Roman"/>
        </w:rPr>
        <w:t xml:space="preserve">will best reflect the expectations of the parties.  For this argument in contract law more generally, see Robert Scott, </w:t>
      </w:r>
      <w:r w:rsidR="00C22B24" w:rsidRPr="750671CE">
        <w:rPr>
          <w:rFonts w:ascii="Times New Roman" w:eastAsia="Times New Roman" w:hAnsi="Times New Roman" w:cs="Times New Roman"/>
          <w:i/>
          <w:iCs/>
        </w:rPr>
        <w:t>Theory of Default Rules</w:t>
      </w:r>
      <w:r w:rsidR="00C22B24" w:rsidRPr="750671CE">
        <w:rPr>
          <w:rFonts w:ascii="Times New Roman" w:eastAsia="Times New Roman" w:hAnsi="Times New Roman" w:cs="Times New Roman"/>
          <w:smallCaps/>
        </w:rPr>
        <w:t>, 19 J. Legal Stud.</w:t>
      </w:r>
      <w:r w:rsidR="00C22B24" w:rsidRPr="750671CE">
        <w:rPr>
          <w:rFonts w:ascii="Times New Roman" w:eastAsia="Times New Roman" w:hAnsi="Times New Roman" w:cs="Times New Roman"/>
        </w:rPr>
        <w:t xml:space="preserve"> 597, 607-08 (1990). </w:t>
      </w:r>
    </w:p>
    <w:p w14:paraId="4E343C5F" w14:textId="77777777" w:rsidR="00C22B24" w:rsidRDefault="00C22B24" w:rsidP="00C22B24">
      <w:pPr>
        <w:tabs>
          <w:tab w:val="left" w:pos="456"/>
        </w:tabs>
        <w:rPr>
          <w:rFonts w:ascii="Times New Roman" w:hAnsi="Times New Roman" w:cs="Times New Roman"/>
        </w:rPr>
      </w:pPr>
    </w:p>
    <w:p w14:paraId="44FCDAB5" w14:textId="77777777" w:rsidR="00C22B24" w:rsidRPr="00920B12" w:rsidRDefault="00C22B24" w:rsidP="00C22B24">
      <w:pPr>
        <w:tabs>
          <w:tab w:val="left" w:pos="456"/>
        </w:tabs>
        <w:rPr>
          <w:rFonts w:ascii="Times New Roman" w:hAnsi="Times New Roman" w:cs="Times New Roman"/>
        </w:rPr>
      </w:pPr>
    </w:p>
    <w:p w14:paraId="335F358F" w14:textId="1FFEDABC" w:rsidR="00C22B24" w:rsidRPr="00F94B7E" w:rsidRDefault="750671CE" w:rsidP="00F94B7E">
      <w:pPr>
        <w:pStyle w:val="ListParagraph"/>
        <w:numPr>
          <w:ilvl w:val="0"/>
          <w:numId w:val="9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Neighbors and strangers.</w:t>
      </w:r>
      <w:r w:rsidRPr="00F94B7E">
        <w:rPr>
          <w:rFonts w:ascii="Times New Roman" w:eastAsia="Times New Roman" w:hAnsi="Times New Roman" w:cs="Times New Roman"/>
        </w:rPr>
        <w:t xml:space="preserve"> Would Judge Coxe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w:t>
      </w:r>
      <w:r w:rsidRPr="00F94B7E">
        <w:rPr>
          <w:rFonts w:ascii="Times New Roman" w:eastAsia="Times New Roman" w:hAnsi="Times New Roman" w:cs="Times New Roman"/>
        </w:rPr>
        <w:lastRenderedPageBreak/>
        <w:t>storm?  The parties to tug and barge contracts may have very good information about the risks of storms and the costs and benefits of radios.  But do they have good reason</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absent tort liability</w:t>
      </w:r>
      <w:r w:rsidR="008D3640" w:rsidRPr="00F94B7E">
        <w:rPr>
          <w:rFonts w:ascii="Times New Roman" w:eastAsia="Times New Roman" w:hAnsi="Times New Roman" w:cs="Times New Roman"/>
        </w:rPr>
        <w:t>—</w:t>
      </w:r>
      <w:r w:rsidRPr="00F94B7E">
        <w:rPr>
          <w:rFonts w:ascii="Times New Roman" w:eastAsia="Times New Roman" w:hAnsi="Times New Roman" w:cs="Times New Roman"/>
        </w:rPr>
        <w:t xml:space="preserve">for considering the interests of such third parties?   </w:t>
      </w:r>
    </w:p>
    <w:p w14:paraId="669686B0" w14:textId="77777777" w:rsidR="00C22B24" w:rsidRDefault="00C22B24" w:rsidP="00C22B24">
      <w:pPr>
        <w:shd w:val="clear" w:color="auto" w:fill="FFFFFF"/>
        <w:textAlignment w:val="baseline"/>
        <w:rPr>
          <w:rFonts w:ascii="Times New Roman" w:eastAsiaTheme="minorHAnsi" w:hAnsi="Times New Roman" w:cs="Times New Roman"/>
        </w:rPr>
      </w:pPr>
    </w:p>
    <w:p w14:paraId="37BA02AD"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6058089" w14:textId="0F1A2E06" w:rsidR="00C22B24" w:rsidRPr="00F94B7E" w:rsidRDefault="750671CE" w:rsidP="00F94B7E">
      <w:pPr>
        <w:pStyle w:val="ListParagraph"/>
        <w:numPr>
          <w:ilvl w:val="0"/>
          <w:numId w:val="93"/>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The odd thing about Hand</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 Customs and practices in a particular field may not reflect the implicit contract terms that are best for everyone involved.  Consider, for example, the next case, </w:t>
      </w:r>
      <w:r w:rsidRPr="00F94B7E">
        <w:rPr>
          <w:rFonts w:ascii="Times New Roman" w:eastAsia="Times New Roman,Cambria" w:hAnsi="Times New Roman" w:cs="Times New Roman"/>
          <w:i/>
          <w:iCs/>
        </w:rPr>
        <w:t>Trimarco v. Klein</w:t>
      </w:r>
      <w:r w:rsidRPr="00F94B7E">
        <w:rPr>
          <w:rFonts w:ascii="Times New Roman" w:eastAsia="Times New Roman,Cambria" w:hAnsi="Times New Roman" w:cs="Times New Roman"/>
        </w:rPr>
        <w:t>:</w:t>
      </w:r>
    </w:p>
    <w:p w14:paraId="4C20F1DE" w14:textId="77777777" w:rsidR="00C22B24" w:rsidRPr="00B7582E" w:rsidRDefault="00C22B24" w:rsidP="00C22B24">
      <w:pPr>
        <w:tabs>
          <w:tab w:val="left" w:pos="456"/>
        </w:tabs>
        <w:rPr>
          <w:rFonts w:ascii="Times New Roman" w:hAnsi="Times New Roman" w:cs="Times New Roman"/>
        </w:rPr>
      </w:pPr>
    </w:p>
    <w:p w14:paraId="7A71D30C" w14:textId="77777777" w:rsidR="00513C14" w:rsidRPr="00161E5A" w:rsidRDefault="00513C14" w:rsidP="00C22B24">
      <w:pPr>
        <w:tabs>
          <w:tab w:val="left" w:pos="456"/>
        </w:tabs>
        <w:rPr>
          <w:rFonts w:ascii="Times New Roman" w:hAnsi="Times New Roman" w:cs="Times New Roman"/>
        </w:rPr>
      </w:pPr>
    </w:p>
    <w:p w14:paraId="1B3A0A9E" w14:textId="1CB614C9" w:rsidR="004C6AFB" w:rsidRPr="00B7582E" w:rsidRDefault="004C6AFB" w:rsidP="750671CE">
      <w:pPr>
        <w:tabs>
          <w:tab w:val="left" w:pos="456"/>
        </w:tabs>
        <w:rPr>
          <w:rFonts w:ascii="Times New Roman" w:eastAsia="Times New Roman" w:hAnsi="Times New Roman" w:cs="Times New Roman"/>
        </w:rPr>
      </w:pPr>
      <w:bookmarkStart w:id="291" w:name="_Toc518323319"/>
      <w:r w:rsidRPr="00B7582E">
        <w:rPr>
          <w:rStyle w:val="Heading4Char"/>
        </w:rPr>
        <w:t>Trimarco v. Klein</w:t>
      </w:r>
      <w:bookmarkEnd w:id="291"/>
      <w:r w:rsidRPr="00B7582E">
        <w:rPr>
          <w:rFonts w:ascii="Times New Roman" w:eastAsia="Times New Roman" w:hAnsi="Times New Roman" w:cs="Times New Roman"/>
          <w:b/>
          <w:bCs/>
        </w:rPr>
        <w:t>, 436 N.E.2d 502 (N.Y. 1982)</w:t>
      </w:r>
    </w:p>
    <w:p w14:paraId="26EBB348" w14:textId="77777777" w:rsidR="00C22B24" w:rsidRPr="00B7582E" w:rsidRDefault="00C22B24" w:rsidP="00C22B24">
      <w:pPr>
        <w:tabs>
          <w:tab w:val="left" w:pos="456"/>
        </w:tabs>
        <w:rPr>
          <w:rFonts w:ascii="Times New Roman" w:hAnsi="Times New Roman" w:cs="Times New Roman"/>
        </w:rPr>
      </w:pPr>
    </w:p>
    <w:p w14:paraId="41C8D221" w14:textId="4359D2E5"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[Plaintiff Vincent N. Trimarco recovered a judgment of $240,000 for personal   injuries suffered when he fell through a glass door enclosing the bathtub in the apartment plaintiff rented in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building.  The Court of Appeals summarized the following as facts a reasonable trier of fact could have found:</w:t>
      </w:r>
    </w:p>
    <w:p w14:paraId="50321920"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2CFAB200" w14:textId="7A6459D8" w:rsidR="00C22B24" w:rsidRPr="00F94B7E" w:rsidRDefault="00B05F31"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[A]ccording to the trial testimony, at the time of the incident [,] plaintiff . . . was in the process of sliding the door open so that he could exit the tub. It is undisputed that the occurrence was sudden and unexpected and the injuries he received from the lacerating glass most severe.</w:t>
      </w:r>
    </w:p>
    <w:p w14:paraId="288B6785"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070F11AB" w14:textId="4926610F" w:rsidR="00C22B24" w:rsidRPr="00F94B7E" w:rsidRDefault="00B05F31"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The door, which turned out to have been made of ordinary glass variously estimated as one sixteenth to one quarter of an inch in thickness, . . . presented no different appearance to the plaintiff . . . than did tempered safety glass, which [plaintiff] assumed it to be. Nor was there any suggestion that defendants ever brought its true nature to their attention.</w:t>
      </w:r>
    </w:p>
    <w:p w14:paraId="68257102"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7F6D5A26" w14:textId="363E2A3A" w:rsidR="00C22B24" w:rsidRPr="00F94B7E" w:rsidRDefault="00B05F31"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 . . [S]ince at least the early 1950</w:t>
      </w: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s, a practice of using shatterproof glazing materials for bathroom enclosures had come into common use, so that by 1976 the glass door here no longer conformed to accepted safety standards.  . . . [D]efendants</w:t>
      </w: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 xml:space="preserve"> managing agent, who long had enjoyed extensive familiarity with the management of multiple dwelling units in the New York City area, [further testified] that, since at least 1965, it was customary for landlords who had occasion to install glass for shower enclosures, whether to replace broken glass or to comply with the request of a tenant or otherwise, to do so with </w:t>
      </w:r>
      <w:r w:rsidRPr="00F94B7E">
        <w:rPr>
          <w:rFonts w:ascii="Times New Roman" w:eastAsia="Times New Roman,Cambria" w:hAnsi="Times New Roman" w:cs="Times New Roman"/>
        </w:rPr>
        <w:t>“</w:t>
      </w:r>
      <w:r w:rsidR="750671CE" w:rsidRPr="00F94B7E">
        <w:rPr>
          <w:rFonts w:ascii="Times New Roman" w:eastAsia="Times New Roman,Cambria" w:hAnsi="Times New Roman" w:cs="Times New Roman"/>
        </w:rPr>
        <w:t>some material such as plastic or safety glass.</w:t>
      </w:r>
      <w:r w:rsidRPr="00F94B7E">
        <w:rPr>
          <w:rFonts w:ascii="Times New Roman" w:eastAsia="Times New Roman,Cambria" w:hAnsi="Times New Roman" w:cs="Times New Roman"/>
        </w:rPr>
        <w:t>”</w:t>
      </w:r>
    </w:p>
    <w:p w14:paraId="212870BF"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277A1C7D" w14:textId="279B7288"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The Appellate Division reversed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s jury verdict and dismissed the complaint, ruling that even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assuming that there existed a custom and usage at the time to </w:t>
      </w:r>
      <w:r w:rsidRPr="00F94B7E">
        <w:rPr>
          <w:rFonts w:ascii="Times New Roman" w:eastAsia="Times New Roman,Cambria" w:hAnsi="Times New Roman" w:cs="Times New Roman"/>
        </w:rPr>
        <w:lastRenderedPageBreak/>
        <w:t>substitute shatterproof glass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and that this was a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better way or a safer method of enclosing showers,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plaintiff could not recover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unless prior notice of the danger came to the defendants either from the plaintiff or by reason of a similar accident in the building.</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 . .</w:t>
      </w:r>
      <w:r w:rsidR="00B7582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The dissenters in the Appellate Division argued that there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indeed was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ample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evidence of custom and usage to support the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verdict.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w:t>
      </w:r>
    </w:p>
    <w:p w14:paraId="12A3BDBB"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2EB26C00" w14:textId="11858361"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F</w:t>
      </w:r>
      <w:r w:rsidRPr="00F94B7E">
        <w:rPr>
          <w:rFonts w:ascii="Times New Roman" w:eastAsia="Times New Roman,Cambria" w:hAnsi="Times New Roman" w:cs="Times New Roman"/>
          <w:smallCaps/>
        </w:rPr>
        <w:t>uchsberg</w:t>
      </w:r>
      <w:r w:rsidRPr="00F94B7E">
        <w:rPr>
          <w:rFonts w:ascii="Times New Roman" w:eastAsia="Times New Roman,Cambria" w:hAnsi="Times New Roman" w:cs="Times New Roman"/>
        </w:rPr>
        <w:t>, J. . . .</w:t>
      </w:r>
      <w:r w:rsidR="00B7582E">
        <w:rPr>
          <w:rFonts w:ascii="Times New Roman" w:eastAsia="Times New Roman,Cambria" w:hAnsi="Times New Roman" w:cs="Times New Roman"/>
        </w:rPr>
        <w:t xml:space="preserve"> </w:t>
      </w:r>
      <w:r w:rsidRPr="00F94B7E">
        <w:rPr>
          <w:rFonts w:ascii="Times New Roman" w:eastAsia="Times New Roman,Cambria" w:hAnsi="Times New Roman" w:cs="Times New Roman"/>
        </w:rPr>
        <w:t xml:space="preserve">Which brings us to the well-recognized and pragmatic proposition that when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certain dangers have been removed by a customary way of doing things safely, this custom may be proved to show that [the one charged with the dereliction] has fallen below the required standard.</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 . .</w:t>
      </w:r>
      <w:r w:rsidR="00B7582E">
        <w:rPr>
          <w:rFonts w:ascii="Times New Roman" w:eastAsia="Times New Roman,Cambria" w:hAnsi="Times New Roman" w:cs="Times New Roman"/>
        </w:rPr>
        <w:t xml:space="preserve"> </w:t>
      </w:r>
      <w:r w:rsidRPr="00F94B7E">
        <w:rPr>
          <w:rFonts w:ascii="Times New Roman" w:eastAsia="Times New Roman,Cambria" w:hAnsi="Times New Roman" w:cs="Times New Roman"/>
        </w:rPr>
        <w:t>Such proof, of course, is not admitted in the abstract. It must bear on what is reasonable conduct under all the circumstances, the quintessential test of negligence.</w:t>
      </w:r>
    </w:p>
    <w:p w14:paraId="0DE61744"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4F174852" w14:textId="6B12122E"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(Pound, </w:t>
      </w:r>
      <w:r w:rsidRPr="00F94B7E">
        <w:rPr>
          <w:rFonts w:ascii="Times New Roman" w:eastAsia="Times New Roman,Cambria" w:hAnsi="Times New Roman" w:cs="Times New Roman"/>
          <w:i/>
        </w:rPr>
        <w:t>Administrative Application of Legal Standards</w:t>
      </w:r>
      <w:r w:rsidRPr="00F94B7E">
        <w:rPr>
          <w:rFonts w:ascii="Times New Roman" w:eastAsia="Times New Roman,Cambria" w:hAnsi="Times New Roman" w:cs="Times New Roman"/>
        </w:rPr>
        <w:t xml:space="preserve">, 44 </w:t>
      </w:r>
      <w:r w:rsidRPr="00F94B7E">
        <w:rPr>
          <w:rFonts w:ascii="Times New Roman" w:eastAsia="Times New Roman,Cambria" w:hAnsi="Times New Roman" w:cs="Times New Roman"/>
          <w:smallCaps/>
        </w:rPr>
        <w:t>ABA Rep</w:t>
      </w:r>
      <w:r w:rsidRPr="00F94B7E">
        <w:rPr>
          <w:rFonts w:ascii="Times New Roman" w:eastAsia="Times New Roman,Cambria" w:hAnsi="Times New Roman" w:cs="Times New Roman"/>
        </w:rPr>
        <w:t>, 445, 456-57).</w:t>
      </w:r>
    </w:p>
    <w:p w14:paraId="4B3E499B"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2F9A94A7" w14:textId="29B1F7CC"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F94B7E">
        <w:rPr>
          <w:rFonts w:ascii="Times New Roman" w:eastAsia="Times New Roman,Cambria" w:hAnsi="Times New Roman" w:cs="Times New Roman"/>
          <w:i/>
          <w:iCs/>
        </w:rPr>
        <w:t>Custom and Negligence</w:t>
      </w:r>
      <w:r w:rsidRPr="00F94B7E">
        <w:rPr>
          <w:rFonts w:ascii="Times New Roman" w:eastAsia="Times New Roman,Cambria" w:hAnsi="Times New Roman" w:cs="Times New Roman"/>
        </w:rPr>
        <w:t xml:space="preserve">, 42 </w:t>
      </w:r>
      <w:r w:rsidRPr="00F94B7E">
        <w:rPr>
          <w:rFonts w:ascii="Times New Roman" w:eastAsia="Times New Roman,Cambria" w:hAnsi="Times New Roman" w:cs="Times New Roman"/>
          <w:smallCaps/>
        </w:rPr>
        <w:t>Col[um]. L. Rev.</w:t>
      </w:r>
      <w:r w:rsidRPr="00F94B7E">
        <w:rPr>
          <w:rFonts w:ascii="Times New Roman" w:eastAsia="Times New Roman,Cambria" w:hAnsi="Times New Roman" w:cs="Times New Roman"/>
        </w:rPr>
        <w:t xml:space="preserve"> 1147, 1148 [(1942)]).  Following in the train of both of these boons is the custom</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exemplification of the opportunities it provides to others to learn of the safe way, if that the customary one be. . . .</w:t>
      </w:r>
    </w:p>
    <w:p w14:paraId="5845A03C"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02210846" w14:textId="7480BEEB"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From all this it is not to be assumed customary practice and usage need be universal. It suffices that it be fairly well defined and in the same calling or business so that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the actor may be charged with knowledge of it or negligent ignorance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(Prosser, Torts [4th ed], § 33, p. 168 . . .).</w:t>
      </w:r>
    </w:p>
    <w:p w14:paraId="48471D2D"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6B372695" w14:textId="24FE4539"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now classic statement on this subject expresses it,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[w]hat </w:t>
      </w:r>
      <w:r w:rsidRPr="00F94B7E">
        <w:rPr>
          <w:rFonts w:ascii="Times New Roman" w:eastAsia="Times New Roman,Cambria" w:hAnsi="Times New Roman" w:cs="Times New Roman"/>
        </w:rPr>
        <w:lastRenderedPageBreak/>
        <w:t>usually is done may be evidence of what ought to be done, but what ought to be done is fixed by a standard of reasonable prudence, whether it usually is complied with or not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Texas &amp; Pacific Ry. Co. v. Behymer</w:t>
      </w:r>
      <w:r w:rsidRPr="00F94B7E">
        <w:rPr>
          <w:rFonts w:ascii="Times New Roman" w:eastAsia="Times New Roman,Cambria" w:hAnsi="Times New Roman" w:cs="Times New Roman"/>
        </w:rPr>
        <w:t>, 189 U.S. 468, 470 [(1903)]).</w:t>
      </w:r>
    </w:p>
    <w:p w14:paraId="3DD00DCD" w14:textId="77777777" w:rsidR="00C22B24" w:rsidRPr="00B7582E" w:rsidRDefault="00C22B24" w:rsidP="00C22B24">
      <w:pPr>
        <w:ind w:left="1440" w:right="1440"/>
        <w:rPr>
          <w:rFonts w:ascii="Times New Roman" w:eastAsiaTheme="minorHAnsi" w:hAnsi="Times New Roman" w:cs="Times New Roman"/>
        </w:rPr>
      </w:pPr>
    </w:p>
    <w:p w14:paraId="71AE4C0F" w14:textId="5CFE3CEB"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So measured, the case the plaintiff presented . . . was enough to send it to the jury and to sustain the verdict reached. The expert testimony, [and] the admissions of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54B7E198" w14:textId="1A7955B3"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Furthermore, the charge on this subject was correct. The Trial Judge placed the evidence of custom and usage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by others engaged in the same business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in proper perspective, when, among other things, he told the jury that the issue on which it was received was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the reasonableness of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conduct under all the circumstances.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He also emphasized that the testimony on this score was not conclusive, not only by saying so but by explaining that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the mere fact that another person or landlord may have used a better or safer practice does not establish a standard</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and that it was for the jurors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to determine whether or not the evidence in this case does establish a general custom or practice.</w:t>
      </w:r>
      <w:r w:rsidR="00B05F31" w:rsidRPr="00F94B7E">
        <w:rPr>
          <w:rFonts w:ascii="Times New Roman" w:eastAsia="Times New Roman,Cambria" w:hAnsi="Times New Roman" w:cs="Times New Roman"/>
        </w:rPr>
        <w:t>”</w:t>
      </w:r>
    </w:p>
    <w:p w14:paraId="2D565631"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643564B3" w14:textId="77777777"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B7582E" w:rsidRDefault="00C22B24" w:rsidP="00C22B24">
      <w:pPr>
        <w:shd w:val="clear" w:color="auto" w:fill="FFFFFF"/>
        <w:ind w:firstLine="720"/>
        <w:textAlignment w:val="baseline"/>
        <w:rPr>
          <w:rFonts w:ascii="Times New Roman" w:eastAsiaTheme="minorHAnsi" w:hAnsi="Times New Roman" w:cs="Times New Roman"/>
        </w:rPr>
      </w:pPr>
    </w:p>
    <w:p w14:paraId="1268E49B" w14:textId="7BBA7CB3" w:rsidR="00C22B24" w:rsidRPr="00F94B7E" w:rsidRDefault="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Order reversed, with costs, and case remitted to Supreme Court, Bronx County, for a new trial in accordance with the opinion herein.</w:t>
      </w:r>
    </w:p>
    <w:p w14:paraId="5D16CC46" w14:textId="77777777" w:rsidR="00C22B24" w:rsidRPr="00B7582E" w:rsidRDefault="00C22B24" w:rsidP="00513C14">
      <w:pPr>
        <w:shd w:val="clear" w:color="auto" w:fill="FFFFFF"/>
        <w:ind w:firstLine="720"/>
        <w:textAlignment w:val="baseline"/>
        <w:rPr>
          <w:rFonts w:ascii="Times New Roman" w:eastAsiaTheme="minorHAnsi" w:hAnsi="Times New Roman" w:cs="Times New Roman"/>
        </w:rPr>
      </w:pPr>
    </w:p>
    <w:p w14:paraId="448D4FA7" w14:textId="77777777" w:rsidR="00513C14" w:rsidRPr="00161E5A" w:rsidRDefault="00513C14" w:rsidP="00513C14">
      <w:pPr>
        <w:shd w:val="clear" w:color="auto" w:fill="FFFFFF"/>
        <w:ind w:firstLine="720"/>
        <w:textAlignment w:val="baseline"/>
        <w:rPr>
          <w:rFonts w:ascii="Times New Roman" w:eastAsiaTheme="minorHAnsi" w:hAnsi="Times New Roman" w:cs="Times New Roman"/>
        </w:rPr>
      </w:pPr>
    </w:p>
    <w:p w14:paraId="4EA77B96" w14:textId="5921CDBC" w:rsidR="00C22B24" w:rsidRPr="00B7582E" w:rsidRDefault="004C6AFB" w:rsidP="002502CC">
      <w:pPr>
        <w:pStyle w:val="Heading4"/>
      </w:pPr>
      <w:bookmarkStart w:id="292" w:name="_Toc364636120"/>
      <w:bookmarkStart w:id="293" w:name="_Toc518323320"/>
      <w:r w:rsidRPr="00B7582E">
        <w:t>Notes</w:t>
      </w:r>
      <w:bookmarkEnd w:id="292"/>
      <w:bookmarkEnd w:id="293"/>
    </w:p>
    <w:p w14:paraId="616AE8E9" w14:textId="77777777" w:rsidR="00C22B24" w:rsidRPr="00B7582E" w:rsidRDefault="00C22B24">
      <w:pPr>
        <w:shd w:val="clear" w:color="auto" w:fill="FFFFFF"/>
        <w:textAlignment w:val="baseline"/>
        <w:rPr>
          <w:rFonts w:ascii="Times New Roman" w:eastAsiaTheme="minorHAnsi" w:hAnsi="Times New Roman" w:cs="Times New Roman"/>
        </w:rPr>
      </w:pPr>
    </w:p>
    <w:p w14:paraId="7C3586D7" w14:textId="77777777" w:rsidR="00513C14" w:rsidRPr="00B7582E" w:rsidRDefault="00513C14" w:rsidP="00513C14">
      <w:pPr>
        <w:shd w:val="clear" w:color="auto" w:fill="FFFFFF"/>
        <w:textAlignment w:val="baseline"/>
        <w:rPr>
          <w:rFonts w:ascii="Times New Roman" w:eastAsiaTheme="minorHAnsi" w:hAnsi="Times New Roman" w:cs="Times New Roman"/>
        </w:rPr>
      </w:pPr>
    </w:p>
    <w:p w14:paraId="5D762A74" w14:textId="2073FACF" w:rsidR="00C22B24" w:rsidRPr="00F94B7E" w:rsidRDefault="750671CE" w:rsidP="00F94B7E">
      <w:pPr>
        <w:pStyle w:val="ListParagraph"/>
        <w:numPr>
          <w:ilvl w:val="0"/>
          <w:numId w:val="94"/>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69455A7F"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24ADAB21" w14:textId="6F847DBF" w:rsidR="00C22B24" w:rsidRPr="00F94B7E" w:rsidRDefault="750671CE" w:rsidP="00F94B7E">
      <w:pPr>
        <w:pStyle w:val="ListParagraph"/>
        <w:numPr>
          <w:ilvl w:val="0"/>
          <w:numId w:val="94"/>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Penalty default rules.</w:t>
      </w:r>
      <w:r w:rsidRPr="00F94B7E">
        <w:rPr>
          <w:rFonts w:ascii="Times New Roman" w:eastAsia="Times New Roman,Cambria" w:hAnsi="Times New Roman" w:cs="Times New Roman"/>
        </w:rPr>
        <w:t xml:space="preserve">  Professors Ian Ayres and Robert Gertner take issue with deference to custom, at least under conditions of asymmetric information.  Their observation 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w:t>
      </w:r>
      <w:r w:rsidRPr="00F94B7E">
        <w:rPr>
          <w:rFonts w:ascii="Times New Roman" w:eastAsia="Times New Roman,Cambria" w:hAnsi="Times New Roman" w:cs="Times New Roman"/>
        </w:rPr>
        <w:lastRenderedPageBreak/>
        <w:t>inserting the customary rule, but rather by inserting a rule that disfavors the party with more information.  Moving forward, such a rule</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which they call a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penalty default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because it would penalize the party with better information</w:t>
      </w:r>
      <w:r w:rsidR="00F96410"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creates powerful incentives for the informed party to lay its information on the table so that the less informed counterparty has the chance to take it into account.  </w:t>
      </w:r>
    </w:p>
    <w:p w14:paraId="358AE788"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2CE11E61" w14:textId="125FC6CC" w:rsidR="00C22B24" w:rsidRPr="00161E5A" w:rsidRDefault="750671CE" w:rsidP="750671CE">
      <w:pPr>
        <w:shd w:val="clear" w:color="auto" w:fill="FFFFFF" w:themeFill="background1"/>
        <w:ind w:firstLine="720"/>
        <w:textAlignment w:val="baseline"/>
        <w:rPr>
          <w:rFonts w:ascii="Times New Roman" w:eastAsia="Times New Roman" w:hAnsi="Times New Roman" w:cs="Times New Roman"/>
        </w:rPr>
      </w:pPr>
      <w:r w:rsidRPr="00F94B7E">
        <w:rPr>
          <w:rFonts w:ascii="Times New Roman" w:eastAsia="Times New Roman,Cambria" w:hAnsi="Times New Roman" w:cs="Times New Roman"/>
        </w:rPr>
        <w:t xml:space="preserve">Does the Ayres and Gertner theory of penalty defaults help explain the outcome in </w:t>
      </w:r>
      <w:r w:rsidRPr="00F94B7E">
        <w:rPr>
          <w:rFonts w:ascii="Times New Roman" w:eastAsia="Times New Roman,Cambria" w:hAnsi="Times New Roman" w:cs="Times New Roman"/>
          <w:i/>
          <w:iCs/>
        </w:rPr>
        <w:t>Trimarco</w:t>
      </w:r>
      <w:r w:rsidRPr="00F94B7E">
        <w:rPr>
          <w:rFonts w:ascii="Times New Roman" w:eastAsia="Times New Roman,Cambria" w:hAnsi="Times New Roman" w:cs="Times New Roman"/>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F94B7E">
        <w:rPr>
          <w:rFonts w:ascii="Times New Roman" w:eastAsia="Times New Roman,Cambria" w:hAnsi="Times New Roman" w:cs="Times New Roman"/>
          <w:i/>
          <w:iCs/>
        </w:rPr>
        <w:t xml:space="preserve">See </w:t>
      </w:r>
      <w:r w:rsidRPr="00F94B7E">
        <w:rPr>
          <w:rFonts w:ascii="Times New Roman" w:eastAsia="Times New Roman,Cambria" w:hAnsi="Times New Roman" w:cs="Times New Roman"/>
        </w:rPr>
        <w:t xml:space="preserve">Ian Ayres &amp; Robert Gertner, </w:t>
      </w:r>
      <w:r w:rsidRPr="00F94B7E">
        <w:rPr>
          <w:rFonts w:ascii="Times New Roman" w:eastAsia="Times New Roman,Cambria" w:hAnsi="Times New Roman" w:cs="Times New Roman"/>
          <w:i/>
          <w:iCs/>
        </w:rPr>
        <w:t>Filling Gaps in Incomplete Contracts: An Economic Theory of Default Rules</w:t>
      </w:r>
      <w:r w:rsidRPr="00F94B7E">
        <w:rPr>
          <w:rFonts w:ascii="Times New Roman" w:eastAsia="Times New Roman,Cambria" w:hAnsi="Times New Roman" w:cs="Times New Roman"/>
        </w:rPr>
        <w:t xml:space="preserve">, 99 </w:t>
      </w:r>
      <w:r w:rsidRPr="00B7582E">
        <w:rPr>
          <w:rFonts w:ascii="Times New Roman" w:eastAsia="Times New Roman" w:hAnsi="Times New Roman" w:cs="Times New Roman"/>
          <w:smallCaps/>
        </w:rPr>
        <w:t>Yale L.J</w:t>
      </w:r>
      <w:r w:rsidRPr="00B7582E">
        <w:rPr>
          <w:rFonts w:ascii="Times New Roman" w:eastAsia="Times New Roman" w:hAnsi="Times New Roman" w:cs="Times New Roman"/>
        </w:rPr>
        <w:t>. 87, 127 (1989).</w:t>
      </w:r>
    </w:p>
    <w:p w14:paraId="53573E23"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3C144D8A"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71EF8B62" w14:textId="77777777" w:rsidR="00C22B24" w:rsidRPr="0014535A" w:rsidRDefault="00C22B24" w:rsidP="00322687">
      <w:pPr>
        <w:pStyle w:val="Heading3"/>
      </w:pPr>
      <w:bookmarkStart w:id="294" w:name="_Toc364636121"/>
      <w:bookmarkStart w:id="295" w:name="_Toc518323321"/>
      <w:r w:rsidRPr="0014535A">
        <w:t>2.  Custom and Medical Malpractice Cases</w:t>
      </w:r>
      <w:bookmarkEnd w:id="294"/>
      <w:bookmarkEnd w:id="295"/>
    </w:p>
    <w:p w14:paraId="0DC33028" w14:textId="77777777" w:rsidR="00C22B24" w:rsidRDefault="00C22B24" w:rsidP="00C22B24">
      <w:pPr>
        <w:shd w:val="clear" w:color="auto" w:fill="FFFFFF"/>
        <w:textAlignment w:val="baseline"/>
        <w:rPr>
          <w:rFonts w:ascii="Times New Roman" w:eastAsiaTheme="minorHAnsi" w:hAnsi="Times New Roman" w:cs="Times New Roman"/>
          <w:b/>
          <w:u w:val="single"/>
        </w:rPr>
      </w:pPr>
    </w:p>
    <w:p w14:paraId="4880B41D" w14:textId="77777777" w:rsidR="00D869C0" w:rsidRPr="00920B12" w:rsidRDefault="00D869C0" w:rsidP="00C22B24">
      <w:pPr>
        <w:shd w:val="clear" w:color="auto" w:fill="FFFFFF"/>
        <w:textAlignment w:val="baseline"/>
        <w:rPr>
          <w:rFonts w:ascii="Times New Roman" w:eastAsiaTheme="minorHAnsi" w:hAnsi="Times New Roman" w:cs="Times New Roman"/>
          <w:b/>
          <w:u w:val="single"/>
        </w:rPr>
      </w:pPr>
    </w:p>
    <w:p w14:paraId="141B2442" w14:textId="4590A431"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The custom rule takes on a different cast in medical care cases.  As you read the following case, ask yourself why</w:t>
      </w:r>
      <w:r w:rsidR="00975567" w:rsidRPr="00F94B7E">
        <w:rPr>
          <w:rFonts w:ascii="Times New Roman" w:eastAsia="Times New Roman,Cambria" w:hAnsi="Times New Roman" w:cs="Times New Roman"/>
        </w:rPr>
        <w:t>—</w:t>
      </w:r>
      <w:r w:rsidRPr="00F94B7E">
        <w:rPr>
          <w:rFonts w:ascii="Times New Roman" w:eastAsia="Times New Roman,Cambria" w:hAnsi="Times New Roman" w:cs="Times New Roman"/>
        </w:rPr>
        <w:t>if at all</w:t>
      </w:r>
      <w:r w:rsidR="00975567"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the custom of the profession ought to be treated differently in medical care than in other social domains.  </w:t>
      </w:r>
    </w:p>
    <w:p w14:paraId="704AB484" w14:textId="77777777" w:rsidR="00C22B24" w:rsidRPr="00156BD9" w:rsidRDefault="00C22B24" w:rsidP="00C22B24">
      <w:pPr>
        <w:shd w:val="clear" w:color="auto" w:fill="FFFFFF"/>
        <w:textAlignment w:val="baseline"/>
        <w:rPr>
          <w:rFonts w:ascii="Times New Roman" w:eastAsiaTheme="minorHAnsi" w:hAnsi="Times New Roman" w:cs="Times New Roman"/>
          <w:b/>
          <w:u w:val="single"/>
        </w:rPr>
      </w:pPr>
    </w:p>
    <w:p w14:paraId="7D10038D" w14:textId="77777777" w:rsidR="00D869C0" w:rsidRPr="004F001E" w:rsidRDefault="00D869C0" w:rsidP="00C22B24">
      <w:pPr>
        <w:shd w:val="clear" w:color="auto" w:fill="FFFFFF"/>
        <w:textAlignment w:val="baseline"/>
        <w:rPr>
          <w:rFonts w:ascii="Times New Roman" w:eastAsiaTheme="minorHAnsi" w:hAnsi="Times New Roman" w:cs="Times New Roman"/>
          <w:b/>
          <w:u w:val="single"/>
        </w:rPr>
      </w:pPr>
    </w:p>
    <w:p w14:paraId="483DD8C3" w14:textId="07B19506" w:rsidR="004C6AFB" w:rsidRPr="00F94B7E" w:rsidRDefault="004C6AFB" w:rsidP="750671CE">
      <w:pPr>
        <w:shd w:val="clear" w:color="auto" w:fill="FFFFFF" w:themeFill="background1"/>
        <w:textAlignment w:val="baseline"/>
        <w:rPr>
          <w:rFonts w:ascii="Times New Roman" w:eastAsia="Times New Roman,Cambria" w:hAnsi="Times New Roman" w:cs="Times New Roman"/>
        </w:rPr>
      </w:pPr>
      <w:bookmarkStart w:id="296" w:name="_Toc518323322"/>
      <w:r w:rsidRPr="004F001E">
        <w:rPr>
          <w:rStyle w:val="Heading4Char"/>
        </w:rPr>
        <w:t>Brune v. Belinkoff</w:t>
      </w:r>
      <w:bookmarkEnd w:id="296"/>
      <w:r w:rsidRPr="00F94B7E">
        <w:rPr>
          <w:rFonts w:ascii="Times New Roman" w:eastAsia="Times New Roman,Cambria" w:hAnsi="Times New Roman" w:cs="Times New Roman"/>
          <w:b/>
          <w:bCs/>
        </w:rPr>
        <w:t>, 235 N.E.2d 793 (Mass. 1968)</w:t>
      </w:r>
    </w:p>
    <w:p w14:paraId="6FDDDBCB"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2D45FD59" w14:textId="3498163B" w:rsidR="00C22B24" w:rsidRPr="00920B12" w:rsidRDefault="00C22B24"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smallCaps/>
          <w:color w:val="000000"/>
        </w:rPr>
        <w:t>Spalding, J</w:t>
      </w:r>
      <w:r w:rsidRPr="750671CE">
        <w:rPr>
          <w:rFonts w:ascii="Times New Roman" w:eastAsia="Times New Roman" w:hAnsi="Times New Roman" w:cs="Times New Roman"/>
          <w:b/>
          <w:bCs/>
          <w:color w:val="000000"/>
        </w:rPr>
        <w:t xml:space="preserve">. </w:t>
      </w:r>
      <w:r w:rsidRPr="750671CE">
        <w:rPr>
          <w:rFonts w:ascii="Times New Roman" w:eastAsia="Times New Roman" w:hAnsi="Times New Roman" w:cs="Times New Roman"/>
          <w:color w:val="000000"/>
        </w:rPr>
        <w:t xml:space="preserve"> </w:t>
      </w:r>
      <w:r w:rsidRPr="00920B12">
        <w:rPr>
          <w:rFonts w:ascii="Times New Roman" w:hAnsi="Times New Roman" w:cs="Times New Roman"/>
          <w:color w:val="000000"/>
        </w:rPr>
        <w:tab/>
      </w:r>
      <w:r w:rsidRPr="750671CE">
        <w:rPr>
          <w:rFonts w:ascii="Times New Roman" w:eastAsia="Times New Roman" w:hAnsi="Times New Roman" w:cs="Times New Roman"/>
        </w:rPr>
        <w:t>In this action of tort for malpractice Theresa Brune (plaintiff) seeks to recover from the defendant because of alleged negligence in administering a spinal anesthetic. There is a count by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husband for consequential damages. The jury returned verdicts for the defendant on each count. The case comes here on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exceptions to the judge</w:t>
      </w:r>
      <w:r w:rsidR="00B05F31">
        <w:rPr>
          <w:rFonts w:ascii="Times New Roman" w:eastAsia="Times New Roman" w:hAnsi="Times New Roman" w:cs="Times New Roman"/>
        </w:rPr>
        <w:t>’</w:t>
      </w:r>
      <w:r w:rsidRPr="750671CE">
        <w:rPr>
          <w:rFonts w:ascii="Times New Roman" w:eastAsia="Times New Roman" w:hAnsi="Times New Roman" w:cs="Times New Roman"/>
        </w:rPr>
        <w:t>s refusal to grant certain requests for instructions, to portions of the charge, and to the denial of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motion for a new trial.</w:t>
      </w:r>
    </w:p>
    <w:p w14:paraId="711509E2" w14:textId="77777777" w:rsidR="00C22B24" w:rsidRPr="00920B12" w:rsidRDefault="00C22B24" w:rsidP="00C22B24">
      <w:pPr>
        <w:widowControl w:val="0"/>
        <w:autoSpaceDE w:val="0"/>
        <w:autoSpaceDN w:val="0"/>
        <w:adjustRightInd w:val="0"/>
        <w:rPr>
          <w:rFonts w:ascii="Times New Roman" w:hAnsi="Times New Roman" w:cs="Times New Roman"/>
        </w:rPr>
      </w:pPr>
    </w:p>
    <w:p w14:paraId="4F29190A" w14:textId="26CC2EC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plaintiff was delivered of a baby on October 4, 1958, at St. Luke</w:t>
      </w:r>
      <w:r w:rsidR="00B05F31">
        <w:rPr>
          <w:rFonts w:ascii="Times New Roman" w:eastAsia="Times New Roman" w:hAnsi="Times New Roman" w:cs="Times New Roman"/>
        </w:rPr>
        <w:t>’</w:t>
      </w:r>
      <w:r w:rsidRPr="750671CE">
        <w:rPr>
          <w:rFonts w:ascii="Times New Roman" w:eastAsia="Times New Roman" w:hAnsi="Times New Roman" w:cs="Times New Roman"/>
        </w:rPr>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35BAEFD6" w14:textId="5297A418"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Testimony was given by eight physicians. Much of it related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condition. There was ample evidence that her condition resulted from an excessive dosage of pontocaine.</w:t>
      </w:r>
    </w:p>
    <w:p w14:paraId="2969A1F9"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920B12" w:rsidRDefault="00C22B24" w:rsidP="00C22B24">
      <w:pPr>
        <w:widowControl w:val="0"/>
        <w:autoSpaceDE w:val="0"/>
        <w:autoSpaceDN w:val="0"/>
        <w:adjustRightInd w:val="0"/>
        <w:rPr>
          <w:rFonts w:ascii="Times New Roman" w:hAnsi="Times New Roman" w:cs="Times New Roman"/>
        </w:rPr>
      </w:pPr>
    </w:p>
    <w:p w14:paraId="0C572BED" w14:textId="3E206459"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exception to the refusal to give their first request for instruction and their exception to a portion of the charge present substantially the same question and will be considered together. The request reads: </w:t>
      </w:r>
      <w:r w:rsidR="00B05F31">
        <w:rPr>
          <w:rFonts w:ascii="Times New Roman" w:eastAsia="Times New Roman" w:hAnsi="Times New Roman" w:cs="Times New Roman"/>
        </w:rPr>
        <w:t>“</w:t>
      </w:r>
      <w:r w:rsidRPr="750671CE">
        <w:rPr>
          <w:rFonts w:ascii="Times New Roman" w:eastAsia="Times New Roman" w:hAnsi="Times New Roman" w:cs="Times New Roman"/>
        </w:rPr>
        <w:t>As a specialist, the defendant owed the plaintiff the duty to have and use the care and skill commonly possessed and used by similar specialist[s] in like circumstances.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relevant portion of the charge excepted to was as follows: </w:t>
      </w:r>
      <w:r w:rsidR="00B05F31">
        <w:rPr>
          <w:rFonts w:ascii="Times New Roman" w:eastAsia="Times New Roman" w:hAnsi="Times New Roman" w:cs="Times New Roman"/>
        </w:rPr>
        <w:t>“</w:t>
      </w:r>
      <w:r w:rsidRPr="750671CE">
        <w:rPr>
          <w:rFonts w:ascii="Times New Roman" w:eastAsia="Times New Roman" w:hAnsi="Times New Roman" w:cs="Times New Roman"/>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Pr>
          <w:rFonts w:ascii="Times New Roman" w:eastAsia="Times New Roman" w:hAnsi="Times New Roman" w:cs="Times New Roman"/>
        </w:rPr>
        <w:t>”</w:t>
      </w:r>
    </w:p>
    <w:p w14:paraId="073CC964"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4206ADD6"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basic issue raised by the exceptions to the charge and to the refused request is whether the defendant was to be judged by the standard of doctors practising in New Bedford.</w:t>
      </w:r>
    </w:p>
    <w:p w14:paraId="1547C08A" w14:textId="77777777" w:rsidR="00C22B24" w:rsidRPr="00920B12" w:rsidRDefault="00C22B24" w:rsidP="00C22B24">
      <w:pPr>
        <w:widowControl w:val="0"/>
        <w:autoSpaceDE w:val="0"/>
        <w:autoSpaceDN w:val="0"/>
        <w:adjustRightInd w:val="0"/>
        <w:rPr>
          <w:rFonts w:ascii="Times New Roman" w:hAnsi="Times New Roman" w:cs="Times New Roman"/>
        </w:rPr>
      </w:pPr>
    </w:p>
    <w:p w14:paraId="7CB220C8" w14:textId="6FBD042E"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instruction given to the jury was based on the rule, often called the </w:t>
      </w:r>
      <w:r w:rsidR="00B05F31">
        <w:rPr>
          <w:rFonts w:ascii="Times New Roman" w:eastAsia="Times New Roman" w:hAnsi="Times New Roman" w:cs="Times New Roman"/>
        </w:rPr>
        <w:t>“</w:t>
      </w:r>
      <w:r w:rsidRPr="750671CE">
        <w:rPr>
          <w:rFonts w:ascii="Times New Roman" w:eastAsia="Times New Roman" w:hAnsi="Times New Roman" w:cs="Times New Roman"/>
        </w:rPr>
        <w:t>community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locality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first enunciated in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Pr>
          <w:rFonts w:ascii="Times New Roman" w:eastAsia="Times New Roman" w:hAnsi="Times New Roman" w:cs="Times New Roman"/>
        </w:rPr>
        <w:t>‘</w:t>
      </w:r>
      <w:r w:rsidRPr="750671CE">
        <w:rPr>
          <w:rFonts w:ascii="Times New Roman" w:eastAsia="Times New Roman" w:hAnsi="Times New Roman" w:cs="Times New Roman"/>
        </w:rPr>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rPr>
          <w:rFonts w:ascii="Times New Roman" w:eastAsia="Times New Roman" w:hAnsi="Times New Roman" w:cs="Times New Roman"/>
        </w:rPr>
        <w:t>’”</w:t>
      </w:r>
    </w:p>
    <w:p w14:paraId="58A090C4" w14:textId="77777777" w:rsidR="00C22B24" w:rsidRPr="00920B12" w:rsidRDefault="00C22B24" w:rsidP="00C22B24">
      <w:pPr>
        <w:widowControl w:val="0"/>
        <w:autoSpaceDE w:val="0"/>
        <w:autoSpaceDN w:val="0"/>
        <w:adjustRightInd w:val="0"/>
        <w:rPr>
          <w:rFonts w:ascii="Times New Roman" w:hAnsi="Times New Roman" w:cs="Times New Roman"/>
        </w:rPr>
      </w:pPr>
    </w:p>
    <w:p w14:paraId="22DE8FA3"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rationale of the rule of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xml:space="preserve"> is that a physician in a small or rural community will lack opportunities to keep abreast with the advances in the profession and that he will not have the most modern facilities for treating his patients. Thus, it </w:t>
      </w:r>
      <w:r w:rsidRPr="750671CE">
        <w:rPr>
          <w:rFonts w:ascii="Times New Roman" w:eastAsia="Times New Roman" w:hAnsi="Times New Roman" w:cs="Times New Roman"/>
        </w:rPr>
        <w:lastRenderedPageBreak/>
        <w:t>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almost ninety years ago now be reexamined in the light of contemporary conditions. . . .</w:t>
      </w:r>
    </w:p>
    <w:p w14:paraId="4F393149" w14:textId="77777777" w:rsidR="00C22B24" w:rsidRPr="00920B12" w:rsidRDefault="00C22B24" w:rsidP="00C22B24">
      <w:pPr>
        <w:widowControl w:val="0"/>
        <w:autoSpaceDE w:val="0"/>
        <w:autoSpaceDN w:val="0"/>
        <w:adjustRightInd w:val="0"/>
        <w:rPr>
          <w:rFonts w:ascii="Times New Roman" w:hAnsi="Times New Roman" w:cs="Times New Roman"/>
        </w:rPr>
      </w:pPr>
    </w:p>
    <w:p w14:paraId="6024ABE3" w14:textId="049D7938"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Because of the importance of the subject, and the fact that we have been asked to abandon the </w:t>
      </w:r>
      <w:r w:rsidR="00B05F31">
        <w:rPr>
          <w:rFonts w:ascii="Times New Roman" w:eastAsia="Times New Roman" w:hAnsi="Times New Roman" w:cs="Times New Roman"/>
        </w:rPr>
        <w:t>“</w:t>
      </w:r>
      <w:r w:rsidRPr="750671CE">
        <w:rPr>
          <w:rFonts w:ascii="Times New Roman" w:eastAsia="Times New Roman" w:hAnsi="Times New Roman" w:cs="Times New Roman"/>
        </w:rPr>
        <w:t>locality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we have reviewed the relevant decisions at some length. We are of opinion that the </w:t>
      </w:r>
      <w:r w:rsidR="00B05F31">
        <w:rPr>
          <w:rFonts w:ascii="Times New Roman" w:eastAsia="Times New Roman" w:hAnsi="Times New Roman" w:cs="Times New Roman"/>
        </w:rPr>
        <w:t>“</w:t>
      </w:r>
      <w:r w:rsidRPr="750671CE">
        <w:rPr>
          <w:rFonts w:ascii="Times New Roman" w:eastAsia="Times New Roman" w:hAnsi="Times New Roman" w:cs="Times New Roman"/>
        </w:rPr>
        <w:t>locality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of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which measures a physician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xml:space="preserve"> is hereby overruled. The present case affords a good illustration of the inappropriateness of the </w:t>
      </w:r>
      <w:r w:rsidR="00B05F31">
        <w:rPr>
          <w:rFonts w:ascii="Times New Roman" w:eastAsia="Times New Roman" w:hAnsi="Times New Roman" w:cs="Times New Roman"/>
        </w:rPr>
        <w:t>“</w:t>
      </w:r>
      <w:r w:rsidRPr="750671CE">
        <w:rPr>
          <w:rFonts w:ascii="Times New Roman" w:eastAsia="Times New Roman" w:hAnsi="Times New Roman" w:cs="Times New Roman"/>
        </w:rPr>
        <w:t>locality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750671CE">
        <w:rPr>
          <w:rFonts w:ascii="Times New Roman" w:eastAsia="Times New Roman" w:hAnsi="Times New Roman" w:cs="Times New Roman"/>
          <w:i/>
          <w:iCs/>
        </w:rPr>
        <w:t>Small v. Howard</w:t>
      </w:r>
      <w:r w:rsidRPr="750671CE">
        <w:rPr>
          <w:rFonts w:ascii="Times New Roman" w:eastAsia="Times New Roman" w:hAnsi="Times New Roman" w:cs="Times New Roman"/>
        </w:rPr>
        <w:t xml:space="preserve">, who ninety years ago was called upon to perform difficult surgery.   Yet the trial judge told the jury that if the skill and ability of New Bedford physicians were </w:t>
      </w:r>
      <w:r w:rsidR="00B05F31">
        <w:rPr>
          <w:rFonts w:ascii="Times New Roman" w:eastAsia="Times New Roman" w:hAnsi="Times New Roman" w:cs="Times New Roman"/>
        </w:rPr>
        <w:t>“</w:t>
      </w:r>
      <w:r w:rsidRPr="750671CE">
        <w:rPr>
          <w:rFonts w:ascii="Times New Roman" w:eastAsia="Times New Roman" w:hAnsi="Times New Roman" w:cs="Times New Roman"/>
        </w:rPr>
        <w:t>fifty percent inferior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those obtaining in Boston the defendant should be judged by New Bedford standards, </w:t>
      </w:r>
      <w:r w:rsidR="00B05F31">
        <w:rPr>
          <w:rFonts w:ascii="Times New Roman" w:eastAsia="Times New Roman" w:hAnsi="Times New Roman" w:cs="Times New Roman"/>
        </w:rPr>
        <w:t>“</w:t>
      </w:r>
      <w:r w:rsidRPr="750671CE">
        <w:rPr>
          <w:rFonts w:ascii="Times New Roman" w:eastAsia="Times New Roman" w:hAnsi="Times New Roman" w:cs="Times New Roman"/>
        </w:rPr>
        <w:t>having regard to the current state of advance of the profession.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This may well be carrying the rule of Small v. Howard to its logical conclusion, but it is, we submit, a reductio ad absurdum of the rule.</w:t>
      </w:r>
    </w:p>
    <w:p w14:paraId="79E312A8" w14:textId="77777777" w:rsidR="00C22B24" w:rsidRPr="00920B12" w:rsidRDefault="00C22B24" w:rsidP="00C22B24">
      <w:pPr>
        <w:widowControl w:val="0"/>
        <w:autoSpaceDE w:val="0"/>
        <w:autoSpaceDN w:val="0"/>
        <w:adjustRightInd w:val="0"/>
        <w:rPr>
          <w:rFonts w:ascii="Times New Roman" w:hAnsi="Times New Roman" w:cs="Times New Roman"/>
        </w:rPr>
      </w:pPr>
    </w:p>
    <w:p w14:paraId="174FA627"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920B12" w:rsidRDefault="00C22B24" w:rsidP="00C22B24">
      <w:pPr>
        <w:widowControl w:val="0"/>
        <w:autoSpaceDE w:val="0"/>
        <w:autoSpaceDN w:val="0"/>
        <w:adjustRightInd w:val="0"/>
        <w:rPr>
          <w:rFonts w:ascii="Times New Roman" w:hAnsi="Times New Roman" w:cs="Times New Roman"/>
        </w:rPr>
      </w:pPr>
    </w:p>
    <w:p w14:paraId="28C347C9"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7CAE8AC0" w14:textId="0AACA4FE" w:rsidR="00C22B24"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Because the instructions permitted the jury to judge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conduct against a standard that has now been determined to be incorrect,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exceptions to the charge and to the refusal of his request must be sustained. . . .</w:t>
      </w:r>
    </w:p>
    <w:p w14:paraId="6D8A1CFA" w14:textId="77777777" w:rsidR="004C6AFB" w:rsidRDefault="004C6AFB" w:rsidP="00D869C0">
      <w:pPr>
        <w:widowControl w:val="0"/>
        <w:autoSpaceDE w:val="0"/>
        <w:autoSpaceDN w:val="0"/>
        <w:adjustRightInd w:val="0"/>
        <w:rPr>
          <w:rFonts w:ascii="Times New Roman" w:hAnsi="Times New Roman" w:cs="Times New Roman"/>
        </w:rPr>
      </w:pPr>
    </w:p>
    <w:p w14:paraId="2E484656" w14:textId="77777777" w:rsidR="00D869C0" w:rsidRDefault="00D869C0" w:rsidP="00D869C0">
      <w:pPr>
        <w:widowControl w:val="0"/>
        <w:autoSpaceDE w:val="0"/>
        <w:autoSpaceDN w:val="0"/>
        <w:adjustRightInd w:val="0"/>
        <w:rPr>
          <w:rFonts w:ascii="Times New Roman" w:hAnsi="Times New Roman" w:cs="Times New Roman"/>
        </w:rPr>
      </w:pPr>
    </w:p>
    <w:p w14:paraId="569F26BB" w14:textId="77777777" w:rsidR="000B20BA" w:rsidRDefault="000B20BA">
      <w:pPr>
        <w:rPr>
          <w:rFonts w:ascii="Times New Roman" w:eastAsiaTheme="minorHAnsi" w:hAnsi="Times New Roman" w:cs="Times New Roman"/>
          <w:b/>
          <w:bCs/>
          <w:i/>
          <w:szCs w:val="28"/>
          <w:lang w:eastAsia="en-US"/>
        </w:rPr>
      </w:pPr>
      <w:r>
        <w:br w:type="page"/>
      </w:r>
    </w:p>
    <w:p w14:paraId="6686A1AC" w14:textId="134EF1CE" w:rsidR="004C6AFB" w:rsidRPr="00920B12" w:rsidRDefault="004C6AFB" w:rsidP="002502CC">
      <w:pPr>
        <w:pStyle w:val="Heading4"/>
      </w:pPr>
      <w:bookmarkStart w:id="297" w:name="_Toc364636122"/>
      <w:bookmarkStart w:id="298" w:name="_Toc518323323"/>
      <w:r>
        <w:lastRenderedPageBreak/>
        <w:t>Notes</w:t>
      </w:r>
      <w:bookmarkEnd w:id="297"/>
      <w:bookmarkEnd w:id="298"/>
    </w:p>
    <w:p w14:paraId="4F0DE840" w14:textId="77777777" w:rsidR="00C22B24" w:rsidRPr="00920B12" w:rsidRDefault="00C22B24">
      <w:pPr>
        <w:widowControl w:val="0"/>
        <w:autoSpaceDE w:val="0"/>
        <w:autoSpaceDN w:val="0"/>
        <w:adjustRightInd w:val="0"/>
        <w:rPr>
          <w:rFonts w:ascii="Times New Roman" w:hAnsi="Times New Roman" w:cs="Times New Roman"/>
        </w:rPr>
      </w:pPr>
    </w:p>
    <w:p w14:paraId="093A0E9A" w14:textId="77777777" w:rsidR="00C22B24" w:rsidRPr="00920B12" w:rsidRDefault="00C22B24">
      <w:pPr>
        <w:widowControl w:val="0"/>
        <w:autoSpaceDE w:val="0"/>
        <w:autoSpaceDN w:val="0"/>
        <w:adjustRightInd w:val="0"/>
        <w:rPr>
          <w:rFonts w:ascii="Times New Roman" w:hAnsi="Times New Roman" w:cs="Times New Roman"/>
        </w:rPr>
      </w:pPr>
    </w:p>
    <w:p w14:paraId="39518695" w14:textId="51FB4E3A" w:rsidR="00C22B24" w:rsidRDefault="750671CE" w:rsidP="00F94B7E">
      <w:pPr>
        <w:pStyle w:val="ListParagraph"/>
        <w:numPr>
          <w:ilvl w:val="0"/>
          <w:numId w:val="95"/>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rPr>
        <w:t xml:space="preserve">Compare </w:t>
      </w:r>
      <w:r w:rsidRPr="00F94B7E">
        <w:rPr>
          <w:rFonts w:ascii="Times New Roman" w:eastAsia="Times New Roman" w:hAnsi="Times New Roman" w:cs="Times New Roman"/>
          <w:iCs/>
        </w:rPr>
        <w:t>Brune</w:t>
      </w:r>
      <w:r w:rsidRPr="00F94B7E">
        <w:rPr>
          <w:rFonts w:ascii="Times New Roman" w:eastAsia="Times New Roman" w:hAnsi="Times New Roman" w:cs="Times New Roman"/>
          <w:i/>
        </w:rPr>
        <w:t xml:space="preserve"> to </w:t>
      </w:r>
      <w:r w:rsidRPr="00F94B7E">
        <w:rPr>
          <w:rFonts w:ascii="Times New Roman" w:eastAsia="Times New Roman" w:hAnsi="Times New Roman" w:cs="Times New Roman"/>
          <w:iCs/>
        </w:rPr>
        <w:t>Trimarco</w:t>
      </w:r>
      <w:r w:rsidRPr="00F94B7E">
        <w:rPr>
          <w:rFonts w:ascii="Times New Roman" w:eastAsia="Times New Roman" w:hAnsi="Times New Roman" w:cs="Times New Roman"/>
          <w:i/>
        </w:rPr>
        <w:t xml:space="preserve"> or </w:t>
      </w:r>
      <w:r w:rsidRPr="00F94B7E">
        <w:rPr>
          <w:rFonts w:ascii="Times New Roman" w:eastAsia="Times New Roman" w:hAnsi="Times New Roman" w:cs="Times New Roman"/>
          <w:iCs/>
        </w:rPr>
        <w:t>T.J. Hooper</w:t>
      </w:r>
      <w:r w:rsidRPr="00F94B7E">
        <w:rPr>
          <w:rFonts w:ascii="Times New Roman" w:eastAsia="Times New Roman" w:hAnsi="Times New Roman" w:cs="Times New Roman"/>
        </w:rPr>
        <w:t>.  Why is the rule for custom in medical malpractice different from the rule for custom in negligence cases more generally?</w:t>
      </w:r>
    </w:p>
    <w:p w14:paraId="78702830" w14:textId="77777777" w:rsidR="00E511E4" w:rsidRDefault="00E511E4" w:rsidP="00F94B7E">
      <w:pPr>
        <w:pStyle w:val="ListParagraph"/>
        <w:shd w:val="clear" w:color="auto" w:fill="FFFFFF" w:themeFill="background1"/>
        <w:ind w:left="360"/>
        <w:textAlignment w:val="baseline"/>
        <w:rPr>
          <w:rFonts w:ascii="Times New Roman" w:eastAsia="Times New Roman" w:hAnsi="Times New Roman" w:cs="Times New Roman"/>
          <w:i/>
        </w:rPr>
      </w:pPr>
    </w:p>
    <w:p w14:paraId="2A161EDF" w14:textId="77777777" w:rsidR="00E511E4" w:rsidRPr="00F94B7E" w:rsidRDefault="00E511E4" w:rsidP="00F94B7E">
      <w:pPr>
        <w:pStyle w:val="ListParagraph"/>
        <w:shd w:val="clear" w:color="auto" w:fill="FFFFFF" w:themeFill="background1"/>
        <w:ind w:left="360"/>
        <w:textAlignment w:val="baseline"/>
        <w:rPr>
          <w:rFonts w:ascii="Times New Roman" w:eastAsia="Times New Roman" w:hAnsi="Times New Roman" w:cs="Times New Roman"/>
        </w:rPr>
      </w:pPr>
    </w:p>
    <w:p w14:paraId="55FBF444" w14:textId="4119B1A4" w:rsidR="00C22B24" w:rsidRPr="00F94B7E" w:rsidRDefault="750671CE" w:rsidP="00F94B7E">
      <w:pPr>
        <w:pStyle w:val="ListParagraph"/>
        <w:numPr>
          <w:ilvl w:val="0"/>
          <w:numId w:val="95"/>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Custom in medical malpractice cases.</w:t>
      </w:r>
      <w:r w:rsidRPr="00F94B7E">
        <w:rPr>
          <w:rFonts w:ascii="Times New Roman" w:eastAsia="Times New Roman" w:hAnsi="Times New Roman" w:cs="Times New Roman"/>
        </w:rPr>
        <w:t xml:space="preserve">  Although most courts have deferred to custom in medical malpractice cases, the Washington Supreme Court did the opposite in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the plaintiff, a 32-year-old patient, consulted the defendants, two ophthalmologists, for what seemed to be myopia. The physicians did not administer a pressure or field of vision test until nine years after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first consultation. Upon administering the test, however, the physicians discovered that the patient was actually suffering from glaucoma, a disease that is undetectable in the absence of a pressure test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until the damage has become irreversible.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Helling v. Carey</w:t>
      </w:r>
      <w:r w:rsidRPr="00F94B7E">
        <w:rPr>
          <w:rFonts w:ascii="Times New Roman" w:eastAsia="Times New Roman" w:hAnsi="Times New Roman" w:cs="Times New Roman"/>
        </w:rPr>
        <w:t xml:space="preserve">, 519 P.2d 981, 981 (Wash. 1974). At the time of test, the plaintiff had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essentially lost her peripheral vision.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982. The plaintiff sued the ophthalmologists, alleging that she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sustained severe and permanent damage to her eyes as a proximate result of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negligence in failing to administer a timely glaucoma test.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Even though medical experts testified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standards for the profession . . . do not require routine pressure test[s] for glaucoma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patients under forty, the court disagreed.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Overriding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customary practices, the Washington Supreme Court held that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reasonable standard that should have been followed [by the physicians] . . .  was the timely giving of [a] simple, harmless pressure test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984. </w:t>
      </w:r>
    </w:p>
    <w:p w14:paraId="3DD6C8FE" w14:textId="77777777" w:rsidR="00C22B24" w:rsidRPr="00920B12" w:rsidRDefault="00C22B24" w:rsidP="00C22B24">
      <w:pPr>
        <w:shd w:val="clear" w:color="auto" w:fill="FFFFFF"/>
        <w:textAlignment w:val="baseline"/>
        <w:rPr>
          <w:rFonts w:ascii="Times New Roman" w:hAnsi="Times New Roman" w:cs="Times New Roman"/>
        </w:rPr>
      </w:pPr>
    </w:p>
    <w:p w14:paraId="73E98E83" w14:textId="4A60B6C8" w:rsidR="00C22B24" w:rsidRPr="00920B12" w:rsidRDefault="750671CE" w:rsidP="750671CE">
      <w:pPr>
        <w:shd w:val="clear" w:color="auto" w:fill="FFFFFF" w:themeFill="background1"/>
        <w:ind w:firstLine="720"/>
        <w:textAlignment w:val="baseline"/>
        <w:rPr>
          <w:rFonts w:ascii="Times New Roman" w:eastAsia="Times New Roman" w:hAnsi="Times New Roman" w:cs="Times New Roman"/>
        </w:rPr>
      </w:pPr>
      <w:r w:rsidRPr="750671CE">
        <w:rPr>
          <w:rFonts w:ascii="Times New Roman" w:eastAsia="Times New Roman" w:hAnsi="Times New Roman" w:cs="Times New Roman"/>
        </w:rPr>
        <w:t xml:space="preserve">In later cases, Washington courts have curtailed </w:t>
      </w:r>
      <w:r w:rsidRPr="750671CE">
        <w:rPr>
          <w:rFonts w:ascii="Times New Roman" w:eastAsia="Times New Roman" w:hAnsi="Times New Roman" w:cs="Times New Roman"/>
          <w:i/>
          <w:iCs/>
        </w:rPr>
        <w:t>Helling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holding. For example, just two years after </w:t>
      </w:r>
      <w:r w:rsidRPr="750671CE">
        <w:rPr>
          <w:rFonts w:ascii="Times New Roman" w:eastAsia="Times New Roman" w:hAnsi="Times New Roman" w:cs="Times New Roman"/>
          <w:i/>
          <w:iCs/>
        </w:rPr>
        <w:t>Helling</w:t>
      </w:r>
      <w:r w:rsidRPr="750671CE">
        <w:rPr>
          <w:rFonts w:ascii="Times New Roman" w:eastAsia="Times New Roman" w:hAnsi="Times New Roman" w:cs="Times New Roman"/>
        </w:rPr>
        <w:t xml:space="preserve"> was decided, the Washington Court of Appeals noted, </w:t>
      </w:r>
      <w:r w:rsidR="00B05F31">
        <w:rPr>
          <w:rFonts w:ascii="Times New Roman" w:eastAsia="Times New Roman" w:hAnsi="Times New Roman" w:cs="Times New Roman"/>
        </w:rPr>
        <w:t>“</w:t>
      </w:r>
      <w:r w:rsidRPr="750671CE">
        <w:rPr>
          <w:rFonts w:ascii="Times New Roman" w:eastAsia="Times New Roman" w:hAnsi="Times New Roman" w:cs="Times New Roman"/>
        </w:rPr>
        <w:t>[</w:t>
      </w:r>
      <w:r w:rsidRPr="750671CE">
        <w:rPr>
          <w:rFonts w:ascii="Times New Roman" w:eastAsia="Times New Roman" w:hAnsi="Times New Roman" w:cs="Times New Roman"/>
          <w:i/>
          <w:iCs/>
        </w:rPr>
        <w:t>Helling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holding . . . was intended to be restricted solely to its own </w:t>
      </w:r>
      <w:r w:rsidR="00B05F31">
        <w:rPr>
          <w:rFonts w:ascii="Times New Roman" w:eastAsia="Times New Roman" w:hAnsi="Times New Roman" w:cs="Times New Roman"/>
        </w:rPr>
        <w:t>‘</w:t>
      </w:r>
      <w:r w:rsidRPr="750671CE">
        <w:rPr>
          <w:rFonts w:ascii="Times New Roman" w:eastAsia="Times New Roman" w:hAnsi="Times New Roman" w:cs="Times New Roman"/>
        </w:rPr>
        <w:t>unique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facts, i.e., cases in which an ophthalmologist is alleged to have failed to test for glaucoma under the same or similar circumstances.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Meeks v. Marx</w:t>
      </w:r>
      <w:r w:rsidRPr="750671CE">
        <w:rPr>
          <w:rFonts w:ascii="Times New Roman" w:eastAsia="Times New Roman" w:hAnsi="Times New Roman" w:cs="Times New Roman"/>
        </w:rPr>
        <w:t xml:space="preserve">, 550 P.2d 1158, 1162 (Wash. Ct. App. 1976).  </w:t>
      </w:r>
    </w:p>
    <w:p w14:paraId="620D3A6A" w14:textId="77777777" w:rsidR="00C22B24" w:rsidRDefault="00C22B24" w:rsidP="00C22B24">
      <w:pPr>
        <w:shd w:val="clear" w:color="auto" w:fill="FFFFFF"/>
        <w:textAlignment w:val="baseline"/>
        <w:rPr>
          <w:rFonts w:ascii="Times New Roman" w:hAnsi="Times New Roman" w:cs="Times New Roman"/>
        </w:rPr>
      </w:pPr>
    </w:p>
    <w:p w14:paraId="3086D40B" w14:textId="77777777" w:rsidR="00C22B24" w:rsidRPr="00920B12" w:rsidRDefault="00C22B24" w:rsidP="00C22B24">
      <w:pPr>
        <w:shd w:val="clear" w:color="auto" w:fill="FFFFFF"/>
        <w:textAlignment w:val="baseline"/>
        <w:rPr>
          <w:rFonts w:ascii="Times New Roman" w:hAnsi="Times New Roman" w:cs="Times New Roman"/>
        </w:rPr>
      </w:pPr>
    </w:p>
    <w:p w14:paraId="3F81742D" w14:textId="27160B11" w:rsidR="00C22B24" w:rsidRPr="00F94B7E" w:rsidRDefault="750671CE" w:rsidP="00F94B7E">
      <w:pPr>
        <w:pStyle w:val="ListParagraph"/>
        <w:numPr>
          <w:ilvl w:val="0"/>
          <w:numId w:val="95"/>
        </w:numPr>
        <w:shd w:val="clear" w:color="auto" w:fill="FFFFFF" w:themeFill="background1"/>
        <w:ind w:left="0" w:firstLine="360"/>
        <w:textAlignment w:val="baseline"/>
        <w:rPr>
          <w:rFonts w:ascii="Times New Roman" w:eastAsia="Times New Roman" w:hAnsi="Times New Roman" w:cs="Times New Roman"/>
        </w:rPr>
      </w:pPr>
      <w:r w:rsidRPr="00F94B7E">
        <w:rPr>
          <w:rFonts w:ascii="Times New Roman" w:eastAsia="Times New Roman" w:hAnsi="Times New Roman" w:cs="Times New Roman"/>
          <w:i/>
          <w:iCs/>
        </w:rPr>
        <w:t>The glaucoma case.</w:t>
      </w:r>
      <w:r w:rsidRPr="00F94B7E">
        <w:rPr>
          <w:rFonts w:ascii="Times New Roman" w:eastAsia="Times New Roman" w:hAnsi="Times New Roman" w:cs="Times New Roman"/>
        </w:rPr>
        <w:t xml:space="preserve">  Glaucoma testing is now standard, though probably not as a result of the Washington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Helling</w:t>
      </w:r>
      <w:r w:rsidRPr="00F94B7E">
        <w:rPr>
          <w:rFonts w:ascii="Times New Roman" w:eastAsia="Times New Roman" w:hAnsi="Times New Roman" w:cs="Times New Roman"/>
        </w:rPr>
        <w:t xml:space="preserve">. 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glaucoma is a process,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physicians often use glaucoma tests to establish a baseline to determine whether the optic nerve has changed. George L. Spaeth, </w:t>
      </w:r>
      <w:r w:rsidRPr="00F94B7E">
        <w:rPr>
          <w:rFonts w:ascii="Times New Roman" w:eastAsia="Times New Roman" w:hAnsi="Times New Roman" w:cs="Times New Roman"/>
          <w:i/>
          <w:iCs/>
        </w:rPr>
        <w:t>Glaucoma Testing: Too Much of a Good Thing</w:t>
      </w:r>
      <w:r w:rsidRPr="00F94B7E">
        <w:rPr>
          <w:rFonts w:ascii="Times New Roman" w:eastAsia="Times New Roman" w:hAnsi="Times New Roman" w:cs="Times New Roman"/>
        </w:rPr>
        <w:t xml:space="preserve">, 20 </w:t>
      </w:r>
      <w:r w:rsidRPr="00F94B7E">
        <w:rPr>
          <w:rFonts w:ascii="Times New Roman" w:eastAsia="Times New Roman" w:hAnsi="Times New Roman" w:cs="Times New Roman"/>
          <w:smallCaps/>
        </w:rPr>
        <w:t>Rev. Ophthalmology 100, 103</w:t>
      </w:r>
      <w:r w:rsidRPr="00F94B7E">
        <w:rPr>
          <w:rFonts w:ascii="Times New Roman" w:eastAsia="Times New Roman" w:hAnsi="Times New Roman" w:cs="Times New Roman"/>
        </w:rPr>
        <w:t xml:space="preserve"> (2013). Frequent and unnecessary glaucoma testing, however, has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develop[ed] a standard of care that says [glaucoma testing] should be done.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Some combination of third-party-payment for medical services, tort liability risk, and professional standardization has had the effect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driv[ing] up the cost of care significantly and unnecessarily.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102.</w:t>
      </w:r>
    </w:p>
    <w:p w14:paraId="6452B571" w14:textId="77777777" w:rsidR="00C22B24" w:rsidRDefault="00C22B24" w:rsidP="00C22B24">
      <w:pPr>
        <w:shd w:val="clear" w:color="auto" w:fill="FFFFFF"/>
        <w:textAlignment w:val="baseline"/>
        <w:rPr>
          <w:rFonts w:ascii="Times New Roman" w:hAnsi="Times New Roman" w:cs="Times New Roman"/>
        </w:rPr>
      </w:pPr>
    </w:p>
    <w:p w14:paraId="54079ABF" w14:textId="77777777" w:rsidR="00C22B24" w:rsidRPr="00920B12" w:rsidRDefault="00C22B24" w:rsidP="00C22B24">
      <w:pPr>
        <w:shd w:val="clear" w:color="auto" w:fill="FFFFFF"/>
        <w:textAlignment w:val="baseline"/>
        <w:rPr>
          <w:rFonts w:ascii="Times New Roman" w:hAnsi="Times New Roman" w:cs="Times New Roman"/>
        </w:rPr>
      </w:pPr>
    </w:p>
    <w:p w14:paraId="42C88467" w14:textId="13B34BB1" w:rsidR="00C22B24" w:rsidRPr="00F94B7E" w:rsidRDefault="750671CE" w:rsidP="00F94B7E">
      <w:pPr>
        <w:pStyle w:val="ListParagraph"/>
        <w:numPr>
          <w:ilvl w:val="0"/>
          <w:numId w:val="95"/>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 w:hAnsi="Times New Roman" w:cs="Times New Roman"/>
        </w:rPr>
        <w:lastRenderedPageBreak/>
        <w:t>Even when courts follow the general rule of custom in medical malpractice, many think that this is one of the least well functioning areas of American tort law.  Consider the views of some of the leading authorities on medical malpractice, David Studdert, Michelle Mello, and Troyen Brennan:</w:t>
      </w:r>
    </w:p>
    <w:p w14:paraId="218C364A" w14:textId="77777777" w:rsidR="00C22B24" w:rsidRPr="00156BD9" w:rsidRDefault="00C22B24" w:rsidP="00C22B24">
      <w:pPr>
        <w:widowControl w:val="0"/>
        <w:autoSpaceDE w:val="0"/>
        <w:autoSpaceDN w:val="0"/>
        <w:adjustRightInd w:val="0"/>
        <w:rPr>
          <w:rFonts w:ascii="Times New Roman" w:hAnsi="Times New Roman" w:cs="Times New Roman"/>
        </w:rPr>
      </w:pPr>
    </w:p>
    <w:p w14:paraId="1B0B8AAE" w14:textId="184701F9" w:rsidR="00C22B24" w:rsidRDefault="004C6AFB" w:rsidP="750671CE">
      <w:pPr>
        <w:widowControl w:val="0"/>
        <w:autoSpaceDE w:val="0"/>
        <w:autoSpaceDN w:val="0"/>
        <w:adjustRightInd w:val="0"/>
        <w:rPr>
          <w:rFonts w:ascii="Times New Roman" w:eastAsia="Times New Roman" w:hAnsi="Times New Roman" w:cs="Times New Roman"/>
          <w:b/>
          <w:bCs/>
        </w:rPr>
      </w:pPr>
      <w:bookmarkStart w:id="299" w:name="_Toc518323324"/>
      <w:r w:rsidRPr="00F94B7E">
        <w:rPr>
          <w:rStyle w:val="Heading4Char"/>
          <w:i w:val="0"/>
        </w:rPr>
        <w:t xml:space="preserve">David M. Studdert, </w:t>
      </w:r>
      <w:r w:rsidR="00B7582E" w:rsidRPr="00156BD9">
        <w:rPr>
          <w:rStyle w:val="Heading4Char"/>
          <w:i w:val="0"/>
        </w:rPr>
        <w:t>Michelle M. Mello &amp; Troy</w:t>
      </w:r>
      <w:r w:rsidR="00B7582E" w:rsidRPr="004F001E">
        <w:rPr>
          <w:rStyle w:val="Heading4Char"/>
          <w:i w:val="0"/>
        </w:rPr>
        <w:t>en A. Brennan</w:t>
      </w:r>
      <w:r w:rsidRPr="00F94B7E">
        <w:rPr>
          <w:rStyle w:val="Heading4Char"/>
          <w:i w:val="0"/>
        </w:rPr>
        <w:t>,</w:t>
      </w:r>
      <w:r w:rsidRPr="00156BD9">
        <w:rPr>
          <w:rStyle w:val="Heading4Char"/>
        </w:rPr>
        <w:t xml:space="preserve"> Medical Malpractice</w:t>
      </w:r>
      <w:bookmarkEnd w:id="299"/>
      <w:r w:rsidRPr="004F001E">
        <w:rPr>
          <w:rFonts w:ascii="Times New Roman" w:eastAsia="Times New Roman" w:hAnsi="Times New Roman" w:cs="Times New Roman"/>
          <w:b/>
          <w:bCs/>
        </w:rPr>
        <w:t xml:space="preserve">, 350 </w:t>
      </w:r>
      <w:r w:rsidRPr="004F001E">
        <w:rPr>
          <w:rFonts w:ascii="Times New Roman" w:eastAsia="Times New Roman" w:hAnsi="Times New Roman" w:cs="Times New Roman"/>
          <w:b/>
          <w:bCs/>
          <w:smallCaps/>
        </w:rPr>
        <w:t>New Eng. J. Med</w:t>
      </w:r>
      <w:r w:rsidRPr="004F001E">
        <w:rPr>
          <w:rFonts w:ascii="Times New Roman" w:eastAsia="Times New Roman" w:hAnsi="Times New Roman" w:cs="Times New Roman"/>
          <w:b/>
          <w:bCs/>
        </w:rPr>
        <w:t>. 283, 283-86 (200</w:t>
      </w:r>
      <w:r w:rsidR="00B95C11">
        <w:rPr>
          <w:rFonts w:ascii="Times New Roman" w:eastAsia="Times New Roman" w:hAnsi="Times New Roman" w:cs="Times New Roman"/>
          <w:b/>
          <w:bCs/>
        </w:rPr>
        <w:t>4</w:t>
      </w:r>
      <w:r w:rsidRPr="004F001E">
        <w:rPr>
          <w:rFonts w:ascii="Times New Roman" w:eastAsia="Times New Roman" w:hAnsi="Times New Roman" w:cs="Times New Roman"/>
          <w:b/>
          <w:bCs/>
        </w:rPr>
        <w:t>)</w:t>
      </w:r>
    </w:p>
    <w:p w14:paraId="41687CF4" w14:textId="77777777" w:rsidR="004F001E" w:rsidRPr="004F001E" w:rsidRDefault="004F001E" w:rsidP="750671CE">
      <w:pPr>
        <w:widowControl w:val="0"/>
        <w:autoSpaceDE w:val="0"/>
        <w:autoSpaceDN w:val="0"/>
        <w:adjustRightInd w:val="0"/>
        <w:rPr>
          <w:rFonts w:ascii="Times New Roman" w:eastAsia="Times New Roman" w:hAnsi="Times New Roman" w:cs="Times New Roman"/>
          <w:b/>
          <w:bCs/>
        </w:rPr>
      </w:pPr>
    </w:p>
    <w:p w14:paraId="0149A245" w14:textId="77777777"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Prompted by the malpractice crisis of the mid-1980s, a research team at Harvard University embarked on a review of medical records from over 30,000 hospital 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19109512" w14:textId="77237024" w:rsidR="00C22B24" w:rsidRPr="00920B12"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53714549" w14:textId="4DFEF018" w:rsidR="00C22B24" w:rsidRPr="00920B12" w:rsidRDefault="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scheme. . . .</w:t>
      </w:r>
    </w:p>
    <w:p w14:paraId="7C47DE61" w14:textId="77777777" w:rsidR="004C6AFB" w:rsidRDefault="004C6AFB" w:rsidP="00E337C6">
      <w:pPr>
        <w:widowControl w:val="0"/>
        <w:autoSpaceDE w:val="0"/>
        <w:autoSpaceDN w:val="0"/>
        <w:adjustRightInd w:val="0"/>
        <w:rPr>
          <w:rFonts w:ascii="Times New Roman" w:hAnsi="Times New Roman" w:cs="Times New Roman"/>
        </w:rPr>
      </w:pPr>
    </w:p>
    <w:p w14:paraId="304E649F" w14:textId="77777777" w:rsidR="00E337C6" w:rsidRDefault="00E337C6" w:rsidP="00E337C6">
      <w:pPr>
        <w:widowControl w:val="0"/>
        <w:autoSpaceDE w:val="0"/>
        <w:autoSpaceDN w:val="0"/>
        <w:adjustRightInd w:val="0"/>
        <w:rPr>
          <w:rFonts w:ascii="Times New Roman" w:hAnsi="Times New Roman" w:cs="Times New Roman"/>
        </w:rPr>
      </w:pPr>
    </w:p>
    <w:p w14:paraId="56BE2268" w14:textId="573AE425" w:rsidR="004C6AFB" w:rsidRDefault="004C6AFB" w:rsidP="002502CC">
      <w:pPr>
        <w:pStyle w:val="Heading4"/>
      </w:pPr>
      <w:bookmarkStart w:id="300" w:name="_Toc364636123"/>
      <w:bookmarkStart w:id="301" w:name="_Toc518323325"/>
      <w:r>
        <w:t>Notes</w:t>
      </w:r>
      <w:bookmarkEnd w:id="300"/>
      <w:bookmarkEnd w:id="301"/>
    </w:p>
    <w:p w14:paraId="0F9B5FFD" w14:textId="77777777" w:rsidR="004C6AFB" w:rsidRDefault="004C6AFB" w:rsidP="00E337C6">
      <w:pPr>
        <w:rPr>
          <w:lang w:eastAsia="en-US"/>
        </w:rPr>
      </w:pPr>
    </w:p>
    <w:p w14:paraId="4A7706FF" w14:textId="77777777" w:rsidR="00E337C6" w:rsidRPr="004C6AFB" w:rsidRDefault="00E337C6" w:rsidP="00E337C6">
      <w:pPr>
        <w:rPr>
          <w:lang w:eastAsia="en-US"/>
        </w:rPr>
      </w:pPr>
    </w:p>
    <w:p w14:paraId="3C22F4B7" w14:textId="6E531367" w:rsidR="00C22B24" w:rsidRPr="00F94B7E" w:rsidRDefault="750671CE" w:rsidP="00F94B7E">
      <w:pPr>
        <w:pStyle w:val="ListParagraph"/>
        <w:numPr>
          <w:ilvl w:val="0"/>
          <w:numId w:val="96"/>
        </w:numPr>
        <w:ind w:left="0" w:firstLine="360"/>
        <w:rPr>
          <w:rFonts w:ascii="Times New Roman" w:eastAsia="Times New Roman,Cambria" w:hAnsi="Times New Roman" w:cs="Times New Roman"/>
        </w:rPr>
      </w:pPr>
      <w:r w:rsidRPr="00B7582E">
        <w:rPr>
          <w:rFonts w:ascii="Times New Roman" w:eastAsia="Times New Roman" w:hAnsi="Times New Roman" w:cs="Times New Roman"/>
          <w:i/>
          <w:iCs/>
        </w:rPr>
        <w:t>State malpractice judgments</w:t>
      </w:r>
      <w:r w:rsidRPr="00B7582E">
        <w:rPr>
          <w:rFonts w:ascii="Times New Roman" w:eastAsia="Times New Roman" w:hAnsi="Times New Roman" w:cs="Times New Roman"/>
        </w:rPr>
        <w:t>.</w:t>
      </w:r>
      <w:r w:rsidRPr="00B7582E">
        <w:rPr>
          <w:rFonts w:ascii="Times New Roman" w:eastAsia="Times New Roman" w:hAnsi="Times New Roman" w:cs="Times New Roman"/>
          <w:b/>
          <w:bCs/>
        </w:rPr>
        <w:t xml:space="preserve"> </w:t>
      </w:r>
      <w:r w:rsidRPr="00B7582E">
        <w:rPr>
          <w:rFonts w:ascii="Times New Roman" w:eastAsia="Times New Roman" w:hAnsi="Times New Roman" w:cs="Times New Roman"/>
        </w:rPr>
        <w:t xml:space="preserve"> </w:t>
      </w:r>
      <w:r w:rsidRPr="00F94B7E">
        <w:rPr>
          <w:rFonts w:ascii="Times New Roman" w:eastAsia="Times New Roman,Cambria" w:hAnsi="Times New Roman" w:cs="Times New Roman"/>
        </w:rPr>
        <w:t xml:space="preserve">In recent years, state medical malpractice judgments have been declining. In Washington, the number of malpractice payments has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declined 6.1% from 1991 to 2004.</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total number of payments has declined 35.6% over the same period. </w:t>
      </w:r>
      <w:r w:rsidRPr="00B7582E">
        <w:rPr>
          <w:rFonts w:ascii="Times New Roman" w:eastAsia="Times New Roman" w:hAnsi="Times New Roman" w:cs="Times New Roman"/>
          <w:i/>
          <w:iCs/>
        </w:rPr>
        <w:t>Fewer Lawsuits and More Doctors: The Myths of Washington</w:t>
      </w:r>
      <w:r w:rsidRPr="00161E5A">
        <w:rPr>
          <w:rFonts w:ascii="Times New Roman" w:eastAsia="Times New Roman" w:hAnsi="Times New Roman" w:cs="Times New Roman"/>
          <w:i/>
          <w:iCs/>
        </w:rPr>
        <w:t xml:space="preserve"> State</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i/>
          <w:iCs/>
        </w:rPr>
        <w:t xml:space="preserve">s Medical Malpractice </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i/>
          <w:iCs/>
        </w:rPr>
        <w:t>Crisis</w:t>
      </w:r>
      <w:r w:rsidRPr="00B7582E">
        <w:rPr>
          <w:rFonts w:ascii="Times New Roman" w:eastAsia="Times New Roman" w:hAnsi="Times New Roman" w:cs="Times New Roman"/>
        </w:rPr>
        <w:t>,</w:t>
      </w:r>
      <w:r w:rsidR="00B05F31" w:rsidRPr="00B7582E">
        <w:rPr>
          <w:rFonts w:ascii="Times New Roman" w:eastAsia="Times New Roman" w:hAnsi="Times New Roman" w:cs="Times New Roman"/>
          <w:i/>
          <w:iCs/>
        </w:rPr>
        <w:t>”</w:t>
      </w:r>
      <w:r w:rsidRPr="00B7582E">
        <w:rPr>
          <w:rFonts w:ascii="Times New Roman" w:eastAsia="Times New Roman" w:hAnsi="Times New Roman" w:cs="Times New Roman"/>
        </w:rPr>
        <w:t xml:space="preserve"> </w:t>
      </w:r>
      <w:r w:rsidRPr="00B7582E">
        <w:rPr>
          <w:rFonts w:ascii="Times New Roman" w:eastAsia="Times New Roman" w:hAnsi="Times New Roman" w:cs="Times New Roman"/>
          <w:smallCaps/>
        </w:rPr>
        <w:t>Pub. Citizen</w:t>
      </w:r>
      <w:r w:rsidRPr="00B7582E">
        <w:rPr>
          <w:rFonts w:ascii="Times New Roman" w:eastAsia="Times New Roman" w:hAnsi="Times New Roman" w:cs="Times New Roman"/>
        </w:rPr>
        <w:t xml:space="preserve"> (Sept. 2005), </w:t>
      </w:r>
      <w:r w:rsidRPr="00B7582E">
        <w:rPr>
          <w:rFonts w:ascii="Times New Roman" w:eastAsia="Times New Roman" w:hAnsi="Times New Roman" w:cs="Times New Roman"/>
        </w:rPr>
        <w:lastRenderedPageBreak/>
        <w:t xml:space="preserve">https://www.citizen.org/documents/WashMedMal.pdf. </w:t>
      </w:r>
      <w:r w:rsidRPr="00B7582E">
        <w:rPr>
          <w:rFonts w:ascii="Times New Roman" w:eastAsia="Times New Roman" w:hAnsi="Times New Roman" w:cs="Times New Roman"/>
          <w:i/>
          <w:iCs/>
        </w:rPr>
        <w:t xml:space="preserve"> </w:t>
      </w:r>
      <w:r w:rsidRPr="00B7582E">
        <w:rPr>
          <w:rFonts w:ascii="Times New Roman" w:eastAsia="Times New Roman" w:hAnsi="Times New Roman" w:cs="Times New Roman"/>
        </w:rPr>
        <w:t xml:space="preserve">And the declines seem to be continuing.  </w:t>
      </w:r>
      <w:r w:rsidRPr="00F94B7E">
        <w:rPr>
          <w:rFonts w:ascii="Times New Roman" w:eastAsia="Times New Roman,Cambria" w:hAnsi="Times New Roman" w:cs="Times New Roman"/>
        </w:rPr>
        <w:t xml:space="preserve">In Oklahoma, for example, the number of malpractice judgments is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at the lowest level of the decade.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See below. </w:t>
      </w:r>
    </w:p>
    <w:p w14:paraId="2412E53A" w14:textId="77777777" w:rsidR="00C22B24" w:rsidRPr="00920B12" w:rsidRDefault="00C22B24" w:rsidP="00C22B24">
      <w:pPr>
        <w:widowControl w:val="0"/>
        <w:autoSpaceDE w:val="0"/>
        <w:autoSpaceDN w:val="0"/>
        <w:adjustRightInd w:val="0"/>
        <w:ind w:firstLine="720"/>
        <w:rPr>
          <w:rFonts w:ascii="Times New Roman" w:hAnsi="Times New Roman" w:cs="Times New Roman"/>
        </w:rPr>
      </w:pPr>
    </w:p>
    <w:p w14:paraId="03F0A642" w14:textId="77777777" w:rsidR="00C22B24" w:rsidRPr="00920B12" w:rsidRDefault="00C22B24" w:rsidP="00C22B24">
      <w:pPr>
        <w:widowControl w:val="0"/>
        <w:autoSpaceDE w:val="0"/>
        <w:autoSpaceDN w:val="0"/>
        <w:adjustRightInd w:val="0"/>
        <w:ind w:firstLine="720"/>
        <w:rPr>
          <w:rFonts w:ascii="Times New Roman" w:hAnsi="Times New Roman" w:cs="Times New Roman"/>
        </w:rPr>
      </w:pPr>
      <w:r w:rsidRPr="00920B12">
        <w:rPr>
          <w:rFonts w:ascii="Times New Roman" w:hAnsi="Times New Roman" w:cs="Times New Roman"/>
          <w:noProof/>
          <w:lang w:eastAsia="en-US"/>
        </w:rPr>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226F0B1" w14:textId="77777777" w:rsidR="00C22B24" w:rsidRPr="00920B12" w:rsidRDefault="00C22B24" w:rsidP="00C22B24">
      <w:pPr>
        <w:ind w:left="110"/>
        <w:rPr>
          <w:rFonts w:ascii="Times New Roman" w:hAnsi="Times New Roman" w:cs="Times New Roman"/>
        </w:rPr>
      </w:pPr>
    </w:p>
    <w:p w14:paraId="6AEC9169"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1093648E" w14:textId="626B3256" w:rsidR="00C22B24" w:rsidRPr="00F94B7E" w:rsidRDefault="750671CE" w:rsidP="750671CE">
      <w:pPr>
        <w:shd w:val="clear" w:color="auto" w:fill="FFFFFF" w:themeFill="background1"/>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Data obtained from Wayne Green, </w:t>
      </w:r>
      <w:r w:rsidRPr="00F94B7E">
        <w:rPr>
          <w:rFonts w:ascii="Times New Roman" w:eastAsia="Times New Roman,Cambria" w:hAnsi="Times New Roman" w:cs="Times New Roman"/>
          <w:i/>
          <w:iCs/>
        </w:rPr>
        <w:t>State Malpractice Judgments Down 28 Percent Since 2009</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Tulsa World</w:t>
      </w:r>
      <w:r w:rsidRPr="00F94B7E">
        <w:rPr>
          <w:rFonts w:ascii="Times New Roman" w:eastAsia="Times New Roman,Cambria" w:hAnsi="Times New Roman" w:cs="Times New Roman"/>
        </w:rPr>
        <w:t xml:space="preserve">, July 31, 2012, </w:t>
      </w:r>
      <w:r w:rsidRPr="00F94B7E">
        <w:rPr>
          <w:rFonts w:ascii="Times New Roman" w:eastAsia="Times New Roman,Cambria" w:hAnsi="Times New Roman" w:cs="Times New Roman"/>
          <w:i/>
          <w:iCs/>
        </w:rPr>
        <w:t>available at</w:t>
      </w:r>
      <w:r w:rsidRPr="00F94B7E">
        <w:rPr>
          <w:rFonts w:ascii="Times New Roman" w:eastAsia="Times New Roman,Cambria" w:hAnsi="Times New Roman" w:cs="Times New Roman"/>
        </w:rPr>
        <w:t xml:space="preserve"> </w:t>
      </w:r>
      <w:hyperlink r:id="rId48" w:history="1">
        <w:r w:rsidRPr="00117D32">
          <w:rPr>
            <w:rStyle w:val="Hyperlink"/>
            <w:rFonts w:ascii="Times New Roman" w:hAnsi="Times New Roman" w:cs="Times New Roman"/>
          </w:rPr>
          <w:t>http://www.tulsaworld.com/news/government/state-malpractice-judgments-at--year-low/article_c9c63271-494a-54cc-9de9-713bc347453f.html?mode=story</w:t>
        </w:r>
      </w:hyperlink>
      <w:r w:rsidRPr="00F94B7E">
        <w:rPr>
          <w:rFonts w:ascii="Times New Roman" w:eastAsia="Times New Roman,Cambria" w:hAnsi="Times New Roman" w:cs="Times New Roman"/>
        </w:rPr>
        <w:t>.</w:t>
      </w:r>
    </w:p>
    <w:p w14:paraId="0185555C" w14:textId="77777777" w:rsidR="00C22B24" w:rsidRPr="00B7582E" w:rsidRDefault="00C22B24" w:rsidP="00C22B24">
      <w:pPr>
        <w:shd w:val="clear" w:color="auto" w:fill="FFFFFF"/>
        <w:textAlignment w:val="baseline"/>
        <w:rPr>
          <w:rFonts w:ascii="Times New Roman" w:eastAsiaTheme="minorHAnsi" w:hAnsi="Times New Roman" w:cs="Times New Roman"/>
        </w:rPr>
      </w:pPr>
    </w:p>
    <w:p w14:paraId="73285F9E"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6EE92F40" w14:textId="7D49E64E" w:rsidR="00C22B24" w:rsidRPr="00F94B7E" w:rsidRDefault="750671CE" w:rsidP="00F94B7E">
      <w:pPr>
        <w:pStyle w:val="ListParagraph"/>
        <w:numPr>
          <w:ilvl w:val="0"/>
          <w:numId w:val="96"/>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t xml:space="preserve">Medical malpractice and </w:t>
      </w:r>
      <w:r w:rsidRPr="00F94B7E">
        <w:rPr>
          <w:rFonts w:ascii="Times New Roman" w:eastAsia="Times New Roman" w:hAnsi="Times New Roman" w:cs="Times New Roman"/>
          <w:i/>
          <w:iCs/>
        </w:rPr>
        <w:t>insurance premiums</w:t>
      </w:r>
      <w:r w:rsidRPr="00F94B7E">
        <w:rPr>
          <w:rFonts w:ascii="Times New Roman" w:eastAsia="Times New Roman,Cambria" w:hAnsi="Times New Roman" w:cs="Times New Roman"/>
        </w:rPr>
        <w:t>.</w:t>
      </w:r>
      <w:r w:rsidRPr="00F94B7E">
        <w:rPr>
          <w:rFonts w:ascii="Times New Roman" w:eastAsia="Times New Roman" w:hAnsi="Times New Roman" w:cs="Times New Roman"/>
        </w:rPr>
        <w:t xml:space="preserve"> Doctors complain mightily (and often with good reason!) about the costs of their malpractice insurance.  Physicians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premiums rose in the 1970s, 1980s, and 2000s.  But the increase does not seem to have been driven by a medical malpractice crisis. Through studying Texas Department of Insurance data, Bernard Black </w:t>
      </w:r>
      <w:r w:rsidR="00B7582E" w:rsidRPr="00B7582E">
        <w:rPr>
          <w:rFonts w:ascii="Times New Roman" w:eastAsia="Times New Roman" w:hAnsi="Times New Roman" w:cs="Times New Roman"/>
        </w:rPr>
        <w:t>and his co-authors</w:t>
      </w:r>
      <w:r w:rsidRPr="00F94B7E">
        <w:rPr>
          <w:rFonts w:ascii="Times New Roman" w:eastAsia="Times New Roman" w:hAnsi="Times New Roman" w:cs="Times New Roman"/>
        </w:rPr>
        <w:t xml:space="preserve"> argue that the number of large paid malpractice claims (over $25,000 per claim in constant 1998 dollars) was constant from 1991 to 2002. The number of small paid claims (less than $10,000 per claim in constant 1998 dollars) actually declined over the same period.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Bernard Black</w:t>
      </w:r>
      <w:r w:rsidR="00B7582E" w:rsidRPr="00B7582E">
        <w:rPr>
          <w:rFonts w:ascii="Times New Roman" w:eastAsia="Times New Roman" w:hAnsi="Times New Roman" w:cs="Times New Roman"/>
        </w:rPr>
        <w:t>, Charles Silver, David A. Hyman &amp; William M. Sage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Stability, Not Crisis: Medical Malpractice Claim Outcomes in Texas: 1988-2002</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2 J. Empirical Legal Stud.</w:t>
      </w:r>
      <w:r w:rsidRPr="00F94B7E">
        <w:rPr>
          <w:rFonts w:ascii="Times New Roman" w:eastAsia="Times New Roman" w:hAnsi="Times New Roman" w:cs="Times New Roman"/>
        </w:rPr>
        <w:t xml:space="preserve"> 207, 207 (2005). </w:t>
      </w:r>
    </w:p>
    <w:p w14:paraId="02C6A390" w14:textId="77777777" w:rsidR="00C22B24" w:rsidRDefault="00C22B24" w:rsidP="00C22B24">
      <w:pPr>
        <w:shd w:val="clear" w:color="auto" w:fill="FFFFFF"/>
        <w:textAlignment w:val="baseline"/>
        <w:rPr>
          <w:rFonts w:ascii="Times New Roman" w:eastAsiaTheme="minorHAnsi" w:hAnsi="Times New Roman" w:cs="Times New Roman"/>
        </w:rPr>
      </w:pPr>
    </w:p>
    <w:p w14:paraId="197D81CA" w14:textId="77777777" w:rsidR="00C22B24" w:rsidRPr="00920B12" w:rsidRDefault="00C22B24" w:rsidP="00C22B24">
      <w:pPr>
        <w:shd w:val="clear" w:color="auto" w:fill="FFFFFF"/>
        <w:textAlignment w:val="baseline"/>
        <w:rPr>
          <w:rFonts w:ascii="Times New Roman" w:eastAsiaTheme="minorHAnsi" w:hAnsi="Times New Roman" w:cs="Times New Roman"/>
        </w:rPr>
      </w:pPr>
    </w:p>
    <w:p w14:paraId="7EE8D7E1" w14:textId="25EA5BD9" w:rsidR="00C22B24" w:rsidRPr="00F94B7E" w:rsidRDefault="750671CE" w:rsidP="00F94B7E">
      <w:pPr>
        <w:pStyle w:val="ListParagraph"/>
        <w:numPr>
          <w:ilvl w:val="0"/>
          <w:numId w:val="96"/>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Changing the supply of physicians? </w:t>
      </w:r>
      <w:r w:rsidRPr="00F94B7E">
        <w:rPr>
          <w:rFonts w:ascii="Times New Roman" w:eastAsia="Times New Roman,Cambria" w:hAnsi="Times New Roman" w:cs="Times New Roman"/>
        </w:rPr>
        <w:t xml:space="preserve"> Rising premiums, however,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seem not to have an effect on the total number of physicians in each state.</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Katherine Baicker &amp; </w:t>
      </w:r>
      <w:r w:rsidRPr="00F94B7E">
        <w:rPr>
          <w:rFonts w:ascii="Times New Roman" w:eastAsia="Times New Roman,Cambria" w:hAnsi="Times New Roman" w:cs="Times New Roman"/>
        </w:rPr>
        <w:lastRenderedPageBreak/>
        <w:t xml:space="preserve">Amitabh Chandra, </w:t>
      </w:r>
      <w:r w:rsidRPr="00F94B7E">
        <w:rPr>
          <w:rFonts w:ascii="Times New Roman" w:eastAsia="Times New Roman,Cambria" w:hAnsi="Times New Roman" w:cs="Times New Roman"/>
          <w:i/>
          <w:iCs/>
        </w:rPr>
        <w:t>Defensive Medicine and Disappearing Doctors</w:t>
      </w:r>
      <w:r w:rsidRPr="00F94B7E">
        <w:rPr>
          <w:rFonts w:ascii="Times New Roman" w:eastAsia="Times New Roman,Cambria" w:hAnsi="Times New Roman" w:cs="Times New Roman"/>
        </w:rPr>
        <w:t xml:space="preserve">, 28 </w:t>
      </w:r>
      <w:r w:rsidRPr="00F94B7E">
        <w:rPr>
          <w:rFonts w:ascii="Times New Roman" w:eastAsia="Times New Roman,Cambria" w:hAnsi="Times New Roman" w:cs="Times New Roman"/>
          <w:smallCaps/>
        </w:rPr>
        <w:t>Reg.</w:t>
      </w:r>
      <w:r w:rsidRPr="00F94B7E">
        <w:rPr>
          <w:rFonts w:ascii="Times New Roman" w:eastAsia="Times New Roman,Cambria" w:hAnsi="Times New Roman" w:cs="Times New Roman"/>
        </w:rPr>
        <w:t xml:space="preserve"> 24, 29 (2005). Older practitioners in rural areas may leave their practices when premiums increase because they have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fewer patients over whom to spread their increased costs of malpractice premiums.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But it is not clear that these departures wouldn</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608B85F4"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639EBACE" w14:textId="2AA60F9E" w:rsidR="00C22B24" w:rsidRPr="00F94B7E" w:rsidRDefault="750671CE" w:rsidP="00F94B7E">
      <w:pPr>
        <w:pStyle w:val="ListParagraph"/>
        <w:numPr>
          <w:ilvl w:val="0"/>
          <w:numId w:val="96"/>
        </w:numPr>
        <w:ind w:left="0" w:firstLine="360"/>
        <w:rPr>
          <w:rFonts w:ascii="Times New Roman" w:eastAsia="Times New Roman,Cambria" w:hAnsi="Times New Roman" w:cs="Times New Roman"/>
        </w:rPr>
      </w:pPr>
      <w:r w:rsidRPr="00F94B7E">
        <w:rPr>
          <w:rFonts w:ascii="Times New Roman" w:eastAsia="Times New Roman,Cambria" w:hAnsi="Times New Roman" w:cs="Times New Roman"/>
          <w:i/>
          <w:iCs/>
        </w:rPr>
        <w:t>Medical malpractice and health care costs.</w:t>
      </w:r>
      <w:r w:rsidRPr="00F94B7E">
        <w:rPr>
          <w:rFonts w:ascii="Times New Roman" w:eastAsia="Times New Roman" w:hAnsi="Times New Roman" w:cs="Times New Roman"/>
        </w:rPr>
        <w:t xml:space="preserve"> According to one recent study, the costs of the medical liability system amount to $55.6 billion per year, or 2.4% of the United States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total health care expenditures.  Michelle M. Mello, Amitabh Chandra, Atul A. Gawande &amp; David M. Studdert, </w:t>
      </w:r>
      <w:r w:rsidRPr="00F94B7E">
        <w:rPr>
          <w:rFonts w:ascii="Times New Roman" w:eastAsia="Times New Roman" w:hAnsi="Times New Roman" w:cs="Times New Roman"/>
          <w:i/>
          <w:iCs/>
        </w:rPr>
        <w:t>National Costs of the Medical Liability System</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Health Affairs</w:t>
      </w:r>
      <w:r w:rsidRPr="00F94B7E">
        <w:rPr>
          <w:rFonts w:ascii="Times New Roman" w:eastAsia="Times New Roman" w:hAnsi="Times New Roman" w:cs="Times New Roman"/>
        </w:rPr>
        <w:t xml:space="preserve"> 1569 (2010).  The authors of the study included in that figure $45 billion in so-called defensive medicine, which they defined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tests, procedures, or visits, or [decisions to] avoid certain high-risk patients or procedures, primarily (but not solely) because of concern about malpractice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Cambria" w:hAnsi="Times New Roman" w:cs="Times New Roman"/>
        </w:rPr>
        <w:t xml:space="preserve">Defensive medicine includes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supplemental care, such as additional testing or treatment; replaced care, such as referral to other physicians; and reduced care, including refusal to treat particular patients.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Lee Black, </w:t>
      </w:r>
      <w:r w:rsidRPr="00F94B7E">
        <w:rPr>
          <w:rFonts w:ascii="Times New Roman" w:eastAsia="Times New Roman,Cambria" w:hAnsi="Times New Roman" w:cs="Times New Roman"/>
          <w:i/>
          <w:iCs/>
        </w:rPr>
        <w:t>Health Law: Effect of Malpractice Law on the Practice of Medicine</w:t>
      </w:r>
      <w:r w:rsidRPr="00F94B7E">
        <w:rPr>
          <w:rFonts w:ascii="Times New Roman" w:eastAsia="Times New Roman,Cambria" w:hAnsi="Times New Roman" w:cs="Times New Roman"/>
        </w:rPr>
        <w:t xml:space="preserve">, 9 </w:t>
      </w:r>
      <w:r w:rsidRPr="00F94B7E">
        <w:rPr>
          <w:rFonts w:ascii="Times New Roman" w:eastAsia="Times New Roman,Cambria" w:hAnsi="Times New Roman" w:cs="Times New Roman"/>
          <w:smallCaps/>
        </w:rPr>
        <w:t>Am. Med. Ass</w:t>
      </w:r>
      <w:r w:rsidR="00B05F31" w:rsidRPr="00F94B7E">
        <w:rPr>
          <w:rFonts w:ascii="Times New Roman" w:eastAsia="Times New Roman,Cambria" w:hAnsi="Times New Roman" w:cs="Times New Roman"/>
          <w:smallCaps/>
        </w:rPr>
        <w:t>’</w:t>
      </w:r>
      <w:r w:rsidRPr="00F94B7E">
        <w:rPr>
          <w:rFonts w:ascii="Times New Roman" w:eastAsia="Times New Roman,Cambria" w:hAnsi="Times New Roman" w:cs="Times New Roman"/>
          <w:smallCaps/>
        </w:rPr>
        <w:t>n J. Ethics</w:t>
      </w:r>
      <w:r w:rsidRPr="00F94B7E">
        <w:rPr>
          <w:rFonts w:ascii="Times New Roman" w:eastAsia="Times New Roman,Cambria" w:hAnsi="Times New Roman" w:cs="Times New Roman"/>
        </w:rPr>
        <w:t xml:space="preserve"> 437, 437 (2007). But as the authors of the </w:t>
      </w:r>
      <w:r w:rsidRPr="00F94B7E">
        <w:rPr>
          <w:rFonts w:ascii="Times New Roman" w:eastAsia="Times New Roman,Cambria" w:hAnsi="Times New Roman" w:cs="Times New Roman"/>
          <w:i/>
        </w:rPr>
        <w:t>Health Affairs</w:t>
      </w:r>
      <w:r w:rsidRPr="00F94B7E">
        <w:rPr>
          <w:rFonts w:ascii="Times New Roman" w:eastAsia="Times New Roman,Cambria" w:hAnsi="Times New Roman" w:cs="Times New Roman"/>
        </w:rPr>
        <w:t xml:space="preserve"> study emphasize, there are at least two problems with their defensive medicine estimate.  First, it is </w:t>
      </w:r>
      <w:r w:rsidRPr="00F94B7E">
        <w:rPr>
          <w:rFonts w:ascii="Times New Roman" w:eastAsia="Times New Roman" w:hAnsi="Times New Roman" w:cs="Times New Roman"/>
        </w:rPr>
        <w:t>exceedingly difficult</w:t>
      </w:r>
      <w:r w:rsidRPr="00F94B7E">
        <w:rPr>
          <w:rFonts w:ascii="Times New Roman" w:eastAsia="Times New Roman,Cambria" w:hAnsi="Times New Roman" w:cs="Times New Roman"/>
        </w:rPr>
        <w:t xml:space="preserve"> to distinguish defensive care from care that has been caused by incentives to provide more care that are inherent in </w:t>
      </w:r>
      <w:r w:rsidRPr="00F94B7E">
        <w:rPr>
          <w:rFonts w:ascii="Times New Roman" w:eastAsia="Times New Roman" w:hAnsi="Times New Roman" w:cs="Times New Roman"/>
        </w:rPr>
        <w:t>the third</w:t>
      </w:r>
      <w:r w:rsidR="00161E5A">
        <w:rPr>
          <w:rFonts w:ascii="Times New Roman" w:eastAsia="Times New Roman" w:hAnsi="Times New Roman" w:cs="Times New Roman"/>
        </w:rPr>
        <w:t>-</w:t>
      </w:r>
      <w:r w:rsidRPr="00F94B7E">
        <w:rPr>
          <w:rFonts w:ascii="Times New Roman" w:eastAsia="Times New Roman" w:hAnsi="Times New Roman" w:cs="Times New Roman"/>
        </w:rPr>
        <w:t xml:space="preserve">party payer system; any estimates of the costs of defensive medicine must therefore be treated with great caution.  Second, the estimate tells us nothing about either the benefits (or perhaps additional harms) for patients of the additional care produced by the threat of malpractice suits.  After all, one of the aims of tort law is to incentivize sensible expenditures on safety.    </w:t>
      </w:r>
    </w:p>
    <w:p w14:paraId="5B715085"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252AD66F" w14:textId="77777777" w:rsidR="00C22B24" w:rsidRPr="00161E5A" w:rsidRDefault="00C22B24" w:rsidP="00C22B24">
      <w:pPr>
        <w:shd w:val="clear" w:color="auto" w:fill="FFFFFF"/>
        <w:textAlignment w:val="baseline"/>
        <w:rPr>
          <w:rFonts w:ascii="Times New Roman" w:eastAsiaTheme="minorHAnsi" w:hAnsi="Times New Roman" w:cs="Times New Roman"/>
        </w:rPr>
      </w:pPr>
    </w:p>
    <w:p w14:paraId="77712B2D" w14:textId="2716A7A6" w:rsidR="00C22B24" w:rsidRPr="00161E5A" w:rsidRDefault="750671CE" w:rsidP="00F94B7E">
      <w:pPr>
        <w:pStyle w:val="ListParagraph"/>
        <w:numPr>
          <w:ilvl w:val="0"/>
          <w:numId w:val="96"/>
        </w:numPr>
        <w:ind w:left="0" w:firstLine="360"/>
        <w:rPr>
          <w:rFonts w:ascii="Times New Roman" w:eastAsia="Times New Roman" w:hAnsi="Times New Roman" w:cs="Times New Roman"/>
        </w:rPr>
      </w:pPr>
      <w:r w:rsidRPr="00F94B7E">
        <w:rPr>
          <w:rFonts w:ascii="Times New Roman" w:eastAsia="Times New Roman,Cambria" w:hAnsi="Times New Roman" w:cs="Times New Roman"/>
          <w:i/>
          <w:iCs/>
        </w:rPr>
        <w:t xml:space="preserve">How important really is medical malpractice reform to doctors?  </w:t>
      </w:r>
      <w:r w:rsidRPr="00F94B7E">
        <w:rPr>
          <w:rFonts w:ascii="Times New Roman" w:eastAsia="Times New Roman,Cambria" w:hAnsi="Times New Roman" w:cs="Times New Roman"/>
        </w:rPr>
        <w:t>Even though the American Medical Association (AMA) has taken strong public positions in favor of malpractice reform to reduce malpractice costs, the AMA apparently did not make malpractice reform a priority in closed-door Affordable Care Act</w:t>
      </w:r>
      <w:r w:rsidRPr="00F94B7E">
        <w:rPr>
          <w:rFonts w:ascii="Times New Roman" w:eastAsia="Times New Roman,Cambria" w:hAnsi="Times New Roman" w:cs="Times New Roman"/>
          <w:i/>
          <w:iCs/>
        </w:rPr>
        <w:t xml:space="preserve"> </w:t>
      </w:r>
      <w:r w:rsidRPr="00F94B7E">
        <w:rPr>
          <w:rFonts w:ascii="Times New Roman" w:eastAsia="Times New Roman,Cambria" w:hAnsi="Times New Roman" w:cs="Times New Roman"/>
        </w:rPr>
        <w:t>negotiations with the White House. Instead, the AMA focused on increasing physicians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Medicare payments, purportedly to the exclusion of virtually all else. </w:t>
      </w:r>
      <w:r w:rsidRPr="00F94B7E">
        <w:rPr>
          <w:rFonts w:ascii="Times New Roman" w:eastAsia="Times New Roman,Cambria" w:hAnsi="Times New Roman" w:cs="Times New Roman"/>
          <w:i/>
          <w:iCs/>
        </w:rPr>
        <w:t>See</w:t>
      </w:r>
      <w:r w:rsidRPr="00F94B7E">
        <w:rPr>
          <w:rFonts w:ascii="Times New Roman" w:eastAsia="Times New Roman,Cambria" w:hAnsi="Times New Roman" w:cs="Times New Roman"/>
        </w:rPr>
        <w:t xml:space="preserve"> Ezekiel Emanuel, </w:t>
      </w:r>
      <w:r w:rsidRPr="00F94B7E">
        <w:rPr>
          <w:rFonts w:ascii="Times New Roman" w:eastAsia="Times New Roman,Cambria" w:hAnsi="Times New Roman" w:cs="Times New Roman"/>
          <w:i/>
          <w:iCs/>
        </w:rPr>
        <w:t>Inside the Making of Obamacare</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smallCaps/>
        </w:rPr>
        <w:t xml:space="preserve">Wall St. J., </w:t>
      </w:r>
      <w:r w:rsidRPr="00F94B7E">
        <w:rPr>
          <w:rFonts w:ascii="Times New Roman" w:eastAsia="Times New Roman,Cambria" w:hAnsi="Times New Roman" w:cs="Times New Roman"/>
        </w:rPr>
        <w:t xml:space="preserve">Mar. 8, 2014, at C3 (noting that the final version of the Affordable Care Act merely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funded states to test their own malpractice reforms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Does this tell us anything about the real politics of medical malpractice?</w:t>
      </w:r>
    </w:p>
    <w:p w14:paraId="4B9248CB" w14:textId="77777777" w:rsidR="00C22B24" w:rsidRPr="00161E5A" w:rsidRDefault="00C22B24" w:rsidP="00C22B24">
      <w:pPr>
        <w:tabs>
          <w:tab w:val="left" w:pos="1658"/>
        </w:tabs>
        <w:rPr>
          <w:rFonts w:ascii="Times New Roman" w:hAnsi="Times New Roman" w:cs="Times New Roman"/>
        </w:rPr>
      </w:pPr>
    </w:p>
    <w:p w14:paraId="45FF7FDE" w14:textId="77777777" w:rsidR="00C22B24" w:rsidRPr="00161E5A" w:rsidRDefault="00C22B24" w:rsidP="00C22B24">
      <w:pPr>
        <w:tabs>
          <w:tab w:val="left" w:pos="1658"/>
        </w:tabs>
        <w:rPr>
          <w:rFonts w:ascii="Times New Roman" w:hAnsi="Times New Roman" w:cs="Times New Roman"/>
        </w:rPr>
      </w:pPr>
    </w:p>
    <w:p w14:paraId="43CBF438" w14:textId="20B38CE6" w:rsidR="00C22F1D" w:rsidRPr="00F94B7E" w:rsidRDefault="00C22F1D" w:rsidP="00F94B7E">
      <w:pPr>
        <w:pStyle w:val="ListParagraph"/>
        <w:numPr>
          <w:ilvl w:val="0"/>
          <w:numId w:val="96"/>
        </w:numPr>
        <w:shd w:val="clear" w:color="auto" w:fill="FFFFFF"/>
        <w:ind w:left="0" w:firstLine="360"/>
        <w:rPr>
          <w:rFonts w:ascii="Times New Roman" w:hAnsi="Times New Roman" w:cs="Times New Roman"/>
          <w:color w:val="222222"/>
        </w:rPr>
      </w:pPr>
      <w:r w:rsidRPr="00F94B7E">
        <w:rPr>
          <w:rFonts w:ascii="Times New Roman" w:hAnsi="Times New Roman" w:cs="Times New Roman"/>
          <w:i/>
          <w:iCs/>
          <w:color w:val="000000"/>
        </w:rPr>
        <w:t>Is there an effect of medical malpractice liability on health outcomes?  </w:t>
      </w:r>
      <w:r w:rsidRPr="00F94B7E">
        <w:rPr>
          <w:rFonts w:ascii="Times New Roman" w:hAnsi="Times New Roman" w:cs="Times New Roman"/>
          <w:color w:val="222222"/>
        </w:rPr>
        <w:t xml:space="preserve">One goal of medical malpractice liability is to improve health outcomes by creating good </w:t>
      </w:r>
      <w:r w:rsidRPr="00F94B7E">
        <w:rPr>
          <w:rFonts w:ascii="Times New Roman" w:hAnsi="Times New Roman" w:cs="Times New Roman"/>
          <w:color w:val="222222"/>
        </w:rPr>
        <w:lastRenderedPageBreak/>
        <w:t>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F94B7E">
        <w:rPr>
          <w:rFonts w:ascii="Times New Roman" w:hAnsi="Times New Roman" w:cs="Times New Roman"/>
          <w:i/>
          <w:iCs/>
          <w:color w:val="000000"/>
        </w:rPr>
        <w:t>Association Between State Medical Malpractice Environment and Postoperative Outcomes in the United States</w:t>
      </w:r>
      <w:r w:rsidRPr="00F94B7E">
        <w:rPr>
          <w:rFonts w:ascii="Times New Roman" w:hAnsi="Times New Roman" w:cs="Times New Roman"/>
          <w:color w:val="222222"/>
        </w:rPr>
        <w:t>, 224 </w:t>
      </w:r>
      <w:r w:rsidRPr="00F94B7E">
        <w:rPr>
          <w:rFonts w:ascii="Times New Roman" w:hAnsi="Times New Roman" w:cs="Times New Roman"/>
          <w:color w:val="000000"/>
        </w:rPr>
        <w:t>J</w:t>
      </w:r>
      <w:r w:rsidRPr="00F94B7E">
        <w:rPr>
          <w:rFonts w:ascii="Times New Roman" w:hAnsi="Times New Roman" w:cs="Times New Roman"/>
          <w:smallCaps/>
          <w:color w:val="000000"/>
        </w:rPr>
        <w:t>. Am. College Surgeons</w:t>
      </w:r>
      <w:r w:rsidRPr="00F94B7E">
        <w:rPr>
          <w:rFonts w:ascii="Times New Roman" w:hAnsi="Times New Roman" w:cs="Times New Roman"/>
          <w:smallCaps/>
          <w:color w:val="222222"/>
        </w:rPr>
        <w:t> 310</w:t>
      </w:r>
      <w:r w:rsidRPr="00F94B7E">
        <w:rPr>
          <w:rFonts w:ascii="Times New Roman" w:hAnsi="Times New Roman" w:cs="Times New Roman"/>
          <w:color w:val="222222"/>
        </w:rPr>
        <w:t xml:space="preserve"> (2017); s</w:t>
      </w:r>
      <w:r w:rsidRPr="00F94B7E">
        <w:rPr>
          <w:rFonts w:ascii="Times New Roman" w:hAnsi="Times New Roman" w:cs="Times New Roman"/>
          <w:i/>
          <w:iCs/>
          <w:color w:val="000000"/>
        </w:rPr>
        <w:t>ee also</w:t>
      </w:r>
      <w:r w:rsidRPr="00F94B7E">
        <w:rPr>
          <w:rFonts w:ascii="Times New Roman" w:hAnsi="Times New Roman" w:cs="Times New Roman"/>
          <w:color w:val="222222"/>
        </w:rPr>
        <w:t> Michael Frakes &amp; Anupam B. Jena, </w:t>
      </w:r>
      <w:r w:rsidRPr="00F94B7E">
        <w:rPr>
          <w:rFonts w:ascii="Times New Roman" w:hAnsi="Times New Roman" w:cs="Times New Roman"/>
          <w:i/>
          <w:iCs/>
          <w:color w:val="000000"/>
        </w:rPr>
        <w:t>Does Medical Malpractice Law Improve Health Care Quality?</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143 J</w:t>
      </w:r>
      <w:r w:rsidRPr="00F94B7E">
        <w:rPr>
          <w:rFonts w:ascii="Times New Roman" w:hAnsi="Times New Roman" w:cs="Times New Roman"/>
          <w:smallCaps/>
          <w:color w:val="000000"/>
        </w:rPr>
        <w:t>. Public Econ</w:t>
      </w:r>
      <w:r w:rsidRPr="00F94B7E">
        <w:rPr>
          <w:rFonts w:ascii="Times New Roman" w:hAnsi="Times New Roman" w:cs="Times New Roman"/>
          <w:smallCaps/>
          <w:color w:val="222222"/>
        </w:rPr>
        <w:t>. 142</w:t>
      </w:r>
      <w:r w:rsidRPr="00F94B7E">
        <w:rPr>
          <w:rFonts w:ascii="Times New Roman" w:hAnsi="Times New Roman" w:cs="Times New Roman"/>
          <w:color w:val="222222"/>
        </w:rPr>
        <w:t xml:space="preserve"> (2016) (suggesting that damage caps play “at most a modest role” in improving patient outcomes).  Nor do state damage caps affect rates of births by cesarean section. Sabrina Safrin, </w:t>
      </w:r>
      <w:r w:rsidRPr="00F94B7E">
        <w:rPr>
          <w:rFonts w:ascii="Times New Roman" w:hAnsi="Times New Roman" w:cs="Times New Roman"/>
          <w:i/>
          <w:iCs/>
          <w:color w:val="000000"/>
        </w:rPr>
        <w:t>The C-Section Epidemic: What’s Tort Reform Got to Do with It?,</w:t>
      </w:r>
      <w:r w:rsidRPr="00F94B7E">
        <w:rPr>
          <w:rFonts w:ascii="Times New Roman" w:hAnsi="Times New Roman" w:cs="Times New Roman"/>
          <w:color w:val="222222"/>
        </w:rPr>
        <w:t> </w:t>
      </w:r>
      <w:r w:rsidRPr="00F94B7E">
        <w:rPr>
          <w:rFonts w:ascii="Times New Roman" w:hAnsi="Times New Roman" w:cs="Times New Roman"/>
          <w:smallCaps/>
          <w:color w:val="000000"/>
        </w:rPr>
        <w:t>U. Ill. L. Rev.</w:t>
      </w:r>
      <w:r w:rsidRPr="00F94B7E">
        <w:rPr>
          <w:rFonts w:ascii="Times New Roman" w:hAnsi="Times New Roman" w:cs="Times New Roman"/>
          <w:smallCaps/>
          <w:color w:val="222222"/>
        </w:rPr>
        <w:t> </w:t>
      </w:r>
      <w:r w:rsidRPr="00F94B7E">
        <w:rPr>
          <w:rFonts w:ascii="Times New Roman" w:hAnsi="Times New Roman" w:cs="Times New Roman"/>
          <w:color w:val="222222"/>
        </w:rPr>
        <w:t xml:space="preserve">(forthcoming 2018), </w:t>
      </w:r>
      <w:r w:rsidRPr="00F94B7E">
        <w:rPr>
          <w:rFonts w:ascii="Times New Roman" w:hAnsi="Times New Roman" w:cs="Times New Roman"/>
          <w:i/>
          <w:iCs/>
          <w:color w:val="000000"/>
        </w:rPr>
        <w:t>available at</w:t>
      </w:r>
      <w:r w:rsidRPr="00F94B7E">
        <w:rPr>
          <w:rFonts w:ascii="Times New Roman" w:hAnsi="Times New Roman" w:cs="Times New Roman"/>
          <w:color w:val="222222"/>
        </w:rPr>
        <w:t> </w:t>
      </w:r>
      <w:hyperlink r:id="rId49" w:history="1">
        <w:r w:rsidRPr="005F6519">
          <w:rPr>
            <w:rStyle w:val="Hyperlink"/>
            <w:rFonts w:ascii="Times New Roman" w:hAnsi="Times New Roman" w:cs="Times New Roman"/>
          </w:rPr>
          <w:t>https://papers.ssrn.com/sol3/papers.cfm?abstract_id=2970685</w:t>
        </w:r>
      </w:hyperlink>
      <w:r w:rsidRPr="00F94B7E">
        <w:rPr>
          <w:rFonts w:ascii="Times New Roman" w:hAnsi="Times New Roman" w:cs="Times New Roman"/>
          <w:color w:val="222222"/>
        </w:rPr>
        <w:t xml:space="preserve">.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Pr="00F94B7E">
        <w:rPr>
          <w:rFonts w:ascii="Times New Roman" w:hAnsi="Times New Roman" w:cs="Times New Roman"/>
          <w:i/>
          <w:color w:val="222222"/>
        </w:rPr>
        <w:t>See</w:t>
      </w:r>
      <w:r w:rsidRPr="00F94B7E">
        <w:rPr>
          <w:rFonts w:ascii="Times New Roman" w:hAnsi="Times New Roman" w:cs="Times New Roman"/>
          <w:color w:val="222222"/>
        </w:rPr>
        <w:t xml:space="preserve"> </w:t>
      </w:r>
      <w:r w:rsidRPr="00F94B7E">
        <w:rPr>
          <w:rFonts w:ascii="Times New Roman" w:hAnsi="Times New Roman" w:cs="Times New Roman"/>
          <w:smallCaps/>
          <w:color w:val="222222"/>
        </w:rPr>
        <w:t>Tom Baker, The Medical Malpractice Myth</w:t>
      </w:r>
      <w:r w:rsidRPr="00F94B7E">
        <w:rPr>
          <w:rFonts w:ascii="Times New Roman" w:hAnsi="Times New Roman" w:cs="Times New Roman"/>
          <w:color w:val="222222"/>
        </w:rPr>
        <w:t xml:space="preserve"> 108-10 (2008); </w:t>
      </w:r>
      <w:r w:rsidRPr="00F94B7E">
        <w:rPr>
          <w:rFonts w:ascii="Times New Roman" w:hAnsi="Times New Roman" w:cs="Times New Roman"/>
          <w:i/>
          <w:color w:val="222222"/>
        </w:rPr>
        <w:t>see also</w:t>
      </w:r>
      <w:r w:rsidRPr="00F94B7E">
        <w:rPr>
          <w:rFonts w:ascii="Times New Roman" w:hAnsi="Times New Roman" w:cs="Times New Roman"/>
          <w:color w:val="222222"/>
        </w:rPr>
        <w:t xml:space="preserve"> Robert A. Caplan</w:t>
      </w:r>
      <w:r w:rsidR="00B95C11">
        <w:rPr>
          <w:rFonts w:ascii="Times New Roman" w:hAnsi="Times New Roman" w:cs="Times New Roman"/>
          <w:color w:val="222222"/>
        </w:rPr>
        <w:t>, Karen L. Posner, Richard J. Ward &amp; Frederick W. Cheney</w:t>
      </w:r>
      <w:r w:rsidRPr="00F94B7E">
        <w:rPr>
          <w:rFonts w:ascii="Times New Roman" w:hAnsi="Times New Roman" w:cs="Times New Roman"/>
          <w:color w:val="222222"/>
        </w:rPr>
        <w:t xml:space="preserve">, </w:t>
      </w:r>
      <w:r w:rsidRPr="00F94B7E">
        <w:rPr>
          <w:rFonts w:ascii="Times New Roman" w:hAnsi="Times New Roman" w:cs="Times New Roman"/>
          <w:i/>
          <w:color w:val="222222"/>
        </w:rPr>
        <w:t>Adverse Respiratory Events in Anesthesia: A Closed Claims Analysis</w:t>
      </w:r>
      <w:r w:rsidRPr="00F94B7E">
        <w:rPr>
          <w:rFonts w:ascii="Times New Roman" w:hAnsi="Times New Roman" w:cs="Times New Roman"/>
          <w:color w:val="222222"/>
        </w:rPr>
        <w:t xml:space="preserve">, 72 </w:t>
      </w:r>
      <w:r w:rsidRPr="00F94B7E">
        <w:rPr>
          <w:rFonts w:ascii="Times New Roman" w:hAnsi="Times New Roman" w:cs="Times New Roman"/>
          <w:smallCaps/>
          <w:color w:val="222222"/>
        </w:rPr>
        <w:t>Anesthesiology</w:t>
      </w:r>
      <w:r w:rsidRPr="00F94B7E">
        <w:rPr>
          <w:rFonts w:ascii="Times New Roman" w:hAnsi="Times New Roman" w:cs="Times New Roman"/>
          <w:color w:val="222222"/>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Default="00C22F1D" w:rsidP="00C22B24">
      <w:pPr>
        <w:tabs>
          <w:tab w:val="left" w:pos="1658"/>
        </w:tabs>
        <w:rPr>
          <w:rFonts w:ascii="Times New Roman" w:hAnsi="Times New Roman" w:cs="Times New Roman"/>
        </w:rPr>
      </w:pPr>
    </w:p>
    <w:p w14:paraId="3B252235" w14:textId="77777777" w:rsidR="00E337C6" w:rsidRPr="00920B12" w:rsidRDefault="00E337C6" w:rsidP="00C22B24">
      <w:pPr>
        <w:tabs>
          <w:tab w:val="left" w:pos="1658"/>
        </w:tabs>
        <w:rPr>
          <w:rFonts w:ascii="Times New Roman" w:hAnsi="Times New Roman" w:cs="Times New Roman"/>
        </w:rPr>
      </w:pPr>
    </w:p>
    <w:p w14:paraId="75D9459B" w14:textId="77777777" w:rsidR="00C22B24" w:rsidRPr="00696961" w:rsidRDefault="00C22B24" w:rsidP="005B6DA7">
      <w:pPr>
        <w:pStyle w:val="Heading2"/>
      </w:pPr>
      <w:bookmarkStart w:id="302" w:name="_Toc364636124"/>
      <w:bookmarkStart w:id="303" w:name="_Toc518323326"/>
      <w:r w:rsidRPr="00696961">
        <w:t>E.  Statutes and Regulations</w:t>
      </w:r>
      <w:bookmarkEnd w:id="302"/>
      <w:bookmarkEnd w:id="303"/>
    </w:p>
    <w:p w14:paraId="2B5042F8" w14:textId="77777777" w:rsidR="00C22B24" w:rsidRPr="00920B12" w:rsidRDefault="00C22B24" w:rsidP="00C22B24">
      <w:pPr>
        <w:rPr>
          <w:rFonts w:ascii="Times New Roman" w:hAnsi="Times New Roman" w:cs="Times New Roman"/>
          <w:smallCaps/>
        </w:rPr>
      </w:pPr>
    </w:p>
    <w:p w14:paraId="41260114" w14:textId="77777777" w:rsidR="00C22B24" w:rsidRPr="00920B12" w:rsidRDefault="00C22B24" w:rsidP="00C22B24">
      <w:pPr>
        <w:rPr>
          <w:rFonts w:ascii="Times New Roman" w:hAnsi="Times New Roman" w:cs="Times New Roman"/>
          <w:smallCaps/>
        </w:rPr>
      </w:pPr>
    </w:p>
    <w:p w14:paraId="6A044610"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 far we have dealt mostly with court-made, common law materials.  But a pervasive question in the modern state is how to deal with legislation and regulatory directives.  Writing more than thirty years ago, Guido Calabresi put it this way:</w:t>
      </w:r>
    </w:p>
    <w:p w14:paraId="4100BFEF" w14:textId="77777777" w:rsidR="00C22B24" w:rsidRPr="00920B12" w:rsidRDefault="00C22B24" w:rsidP="00C22B24">
      <w:pPr>
        <w:rPr>
          <w:rFonts w:ascii="Times New Roman" w:hAnsi="Times New Roman" w:cs="Times New Roman"/>
        </w:rPr>
      </w:pPr>
    </w:p>
    <w:p w14:paraId="54D011C9" w14:textId="513E8C6C" w:rsidR="00C22B24" w:rsidRPr="00920B12" w:rsidRDefault="750671CE" w:rsidP="00F94B7E">
      <w:pPr>
        <w:pStyle w:val="blockquote"/>
      </w:pPr>
      <w:r w:rsidRPr="750671CE">
        <w:t xml:space="preserve">The last fifty to eighty years have seen a fundamental change in American law. In this time we have gone from a legal system dominated by the common law, divined by courts, to one in which statutes, enacted by legislatures, have become the primary source of law. The consequences of this </w:t>
      </w:r>
      <w:r w:rsidR="00B05F31">
        <w:t>“</w:t>
      </w:r>
      <w:r w:rsidRPr="750671CE">
        <w:t>orgy of statute making,</w:t>
      </w:r>
      <w:r w:rsidR="00B05F31">
        <w:t>”</w:t>
      </w:r>
      <w:r w:rsidRPr="750671CE">
        <w:t xml:space="preserve"> in Grant Gilmore</w:t>
      </w:r>
      <w:r w:rsidR="00B05F31">
        <w:t>’</w:t>
      </w:r>
      <w:r w:rsidRPr="750671CE">
        <w:t xml:space="preserve">s felicitous phrase, are just beginning to be recognized. The change itself and its effect on our whole legal system have not been systematically treated.  </w:t>
      </w:r>
    </w:p>
    <w:p w14:paraId="4D471D51" w14:textId="77777777" w:rsidR="00C22B24" w:rsidRPr="00696961" w:rsidRDefault="00C22B24" w:rsidP="00C22B24">
      <w:pPr>
        <w:rPr>
          <w:rFonts w:ascii="Times New Roman" w:hAnsi="Times New Roman" w:cs="Times New Roman"/>
          <w:smallCaps/>
        </w:rPr>
      </w:pPr>
    </w:p>
    <w:p w14:paraId="3C3C8956"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Guido Calabresi, A Common Law for the Age of Statutes 1</w:t>
      </w:r>
      <w:r w:rsidRPr="750671CE">
        <w:rPr>
          <w:rFonts w:ascii="Times New Roman" w:eastAsia="Times New Roman" w:hAnsi="Times New Roman" w:cs="Times New Roman"/>
        </w:rPr>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920B12" w:rsidRDefault="00C22B24" w:rsidP="00C22B24">
      <w:pPr>
        <w:rPr>
          <w:rFonts w:ascii="Times New Roman" w:hAnsi="Times New Roman" w:cs="Times New Roman"/>
        </w:rPr>
      </w:pPr>
    </w:p>
    <w:p w14:paraId="7A7D21C7" w14:textId="77777777" w:rsidR="00C22B24" w:rsidRPr="00920B12"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 xml:space="preserve">In what follows in this section, we take up three specific problems arising out of legislative and regulatory directives in the torts field. (1) What is the significance of </w:t>
      </w:r>
      <w:r w:rsidRPr="750671CE">
        <w:rPr>
          <w:rFonts w:ascii="Times New Roman" w:eastAsia="Times New Roman" w:hAnsi="Times New Roman" w:cs="Times New Roman"/>
          <w:i/>
          <w:iCs/>
        </w:rPr>
        <w:t>deviation from</w:t>
      </w:r>
      <w:r w:rsidRPr="750671CE">
        <w:rPr>
          <w:rFonts w:ascii="Times New Roman" w:eastAsia="Times New Roman" w:hAnsi="Times New Roman" w:cs="Times New Roman"/>
        </w:rPr>
        <w:t xml:space="preserve"> a legislative or regulatory safety standard for determinations of common law reasonableness and negligence? (2) What is the significance of </w:t>
      </w:r>
      <w:r w:rsidRPr="750671CE">
        <w:rPr>
          <w:rFonts w:ascii="Times New Roman" w:eastAsia="Times New Roman" w:hAnsi="Times New Roman" w:cs="Times New Roman"/>
          <w:i/>
          <w:iCs/>
        </w:rPr>
        <w:t>compliance with</w:t>
      </w:r>
      <w:r w:rsidRPr="750671CE">
        <w:rPr>
          <w:rFonts w:ascii="Times New Roman" w:eastAsia="Times New Roman" w:hAnsi="Times New Roman" w:cs="Times New Roman"/>
        </w:rPr>
        <w:t xml:space="preserve"> a legislative or regulatory safety standard for determinations of common law reasonableness and negligence? (3) When does a statutory safety standard imply a private cause of action in tort that would not have existed at common law?  </w:t>
      </w:r>
    </w:p>
    <w:p w14:paraId="2D85D365" w14:textId="77777777" w:rsidR="00C22B24" w:rsidRPr="00920B12" w:rsidRDefault="00C22B24" w:rsidP="00C22B24">
      <w:pPr>
        <w:rPr>
          <w:rFonts w:ascii="Times New Roman" w:hAnsi="Times New Roman" w:cs="Times New Roman"/>
          <w:smallCaps/>
        </w:rPr>
      </w:pPr>
    </w:p>
    <w:p w14:paraId="020B862A" w14:textId="77777777" w:rsidR="00C22B24" w:rsidRPr="00920B12" w:rsidRDefault="00C22B24" w:rsidP="00C22B24">
      <w:pPr>
        <w:rPr>
          <w:rFonts w:ascii="Times New Roman" w:hAnsi="Times New Roman" w:cs="Times New Roman"/>
        </w:rPr>
      </w:pPr>
    </w:p>
    <w:p w14:paraId="0F269CC7" w14:textId="77777777" w:rsidR="00C22B24" w:rsidRPr="00696961" w:rsidRDefault="00C22B24" w:rsidP="00322687">
      <w:pPr>
        <w:pStyle w:val="Heading3"/>
      </w:pPr>
      <w:bookmarkStart w:id="304" w:name="_Toc364636125"/>
      <w:bookmarkStart w:id="305" w:name="_Toc518323327"/>
      <w:r>
        <w:t>1</w:t>
      </w:r>
      <w:r w:rsidRPr="00696961">
        <w:t>.  Violations of Statutory Standards</w:t>
      </w:r>
      <w:bookmarkEnd w:id="304"/>
      <w:bookmarkEnd w:id="305"/>
    </w:p>
    <w:p w14:paraId="1466F4C7" w14:textId="77777777" w:rsidR="00C22B24" w:rsidRPr="00F94B7E" w:rsidRDefault="00C22B24" w:rsidP="00C22B24">
      <w:pPr>
        <w:rPr>
          <w:rFonts w:ascii="Times" w:hAnsi="Times" w:cs="Times New Roman"/>
        </w:rPr>
      </w:pPr>
    </w:p>
    <w:p w14:paraId="560AACCF" w14:textId="77777777" w:rsidR="00140453" w:rsidRPr="00F94B7E" w:rsidRDefault="00140453" w:rsidP="002502CC">
      <w:pPr>
        <w:rPr>
          <w:rStyle w:val="Heading4Char"/>
          <w:rFonts w:ascii="Times" w:eastAsiaTheme="minorEastAsia" w:hAnsi="Times" w:cstheme="minorEastAsia"/>
          <w:i w:val="0"/>
        </w:rPr>
      </w:pPr>
      <w:bookmarkStart w:id="306" w:name="_Toc518323328"/>
      <w:r w:rsidRPr="00F94B7E">
        <w:rPr>
          <w:rStyle w:val="Heading4Char"/>
          <w:rFonts w:ascii="Times" w:eastAsiaTheme="minorEastAsia" w:hAnsi="Times" w:cstheme="minorEastAsia"/>
        </w:rPr>
        <w:t>Martin v. Herzog</w:t>
      </w:r>
      <w:r w:rsidRPr="00F94B7E">
        <w:rPr>
          <w:rStyle w:val="Heading4Char"/>
          <w:rFonts w:ascii="Times" w:eastAsiaTheme="minorEastAsia" w:hAnsi="Times" w:cstheme="minorEastAsia"/>
          <w:i w:val="0"/>
        </w:rPr>
        <w:t>,</w:t>
      </w:r>
      <w:bookmarkEnd w:id="306"/>
      <w:r w:rsidRPr="00F94B7E">
        <w:rPr>
          <w:rStyle w:val="Heading4Char"/>
          <w:rFonts w:ascii="Times" w:eastAsiaTheme="minorEastAsia" w:hAnsi="Times" w:cstheme="minorEastAsia"/>
          <w:i w:val="0"/>
        </w:rPr>
        <w:t xml:space="preserve"> </w:t>
      </w:r>
      <w:r w:rsidRPr="002502CC">
        <w:rPr>
          <w:rFonts w:ascii="Times New Roman" w:hAnsi="Times New Roman" w:cs="Times New Roman"/>
          <w:b/>
        </w:rPr>
        <w:t>19 N.E.2d 987 (N.Y. 1920)</w:t>
      </w:r>
    </w:p>
    <w:p w14:paraId="5E84C305" w14:textId="77777777" w:rsidR="00C22B24" w:rsidRPr="00F94B7E" w:rsidRDefault="00C22B24" w:rsidP="00C22B24">
      <w:pPr>
        <w:rPr>
          <w:rFonts w:ascii="Times" w:hAnsi="Times" w:cs="Times New Roman"/>
        </w:rPr>
      </w:pPr>
    </w:p>
    <w:p w14:paraId="263A723B" w14:textId="77777777" w:rsidR="00C22B24" w:rsidRPr="00920B12" w:rsidRDefault="750671CE" w:rsidP="750671CE">
      <w:pPr>
        <w:rPr>
          <w:rFonts w:ascii="Times New Roman" w:eastAsia="Times New Roman" w:hAnsi="Times New Roman" w:cs="Times New Roman"/>
        </w:rPr>
      </w:pPr>
      <w:r w:rsidRPr="00F94B7E">
        <w:rPr>
          <w:rFonts w:ascii="Times" w:eastAsia="Times New Roman" w:hAnsi="Times" w:cs="Times New Roman"/>
          <w:smallCaps/>
        </w:rPr>
        <w:t>Cardozo</w:t>
      </w:r>
      <w:r w:rsidRPr="750671CE">
        <w:rPr>
          <w:rFonts w:ascii="Times New Roman" w:eastAsia="Times New Roman" w:hAnsi="Times New Roman" w:cs="Times New Roman"/>
        </w:rPr>
        <w:t>, J.</w:t>
      </w:r>
    </w:p>
    <w:p w14:paraId="2B3D0BFD" w14:textId="77777777" w:rsidR="00C22B24" w:rsidRPr="00920B12" w:rsidRDefault="00C22B24" w:rsidP="00C22B24">
      <w:pPr>
        <w:ind w:firstLine="720"/>
        <w:rPr>
          <w:rFonts w:ascii="Times New Roman" w:hAnsi="Times New Roman" w:cs="Times New Roman"/>
        </w:rPr>
      </w:pPr>
    </w:p>
    <w:p w14:paraId="6001B87B" w14:textId="3C2391BC"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action is one to recover damages for injuries resulting in death. Plaintiff and her husband, while driving toward Tarrytown in a buggy on the night of August 21, 1915, were struck by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920B12" w:rsidRDefault="00C22B24" w:rsidP="00C22B24">
      <w:pPr>
        <w:ind w:firstLine="720"/>
        <w:rPr>
          <w:rFonts w:ascii="Times New Roman" w:hAnsi="Times New Roman" w:cs="Times New Roman"/>
        </w:rPr>
      </w:pPr>
    </w:p>
    <w:p w14:paraId="0D8F8A9B" w14:textId="01367B3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agree with the Appellate Division that the charge to the jury was erroneous and misleading. . . . In the body of the charge the trial judge said that the jury could consider the absence of light </w:t>
      </w:r>
      <w:r w:rsidR="00B05F31">
        <w:rPr>
          <w:rFonts w:ascii="Times New Roman" w:eastAsia="Times New Roman" w:hAnsi="Times New Roman" w:cs="Times New Roman"/>
        </w:rPr>
        <w:t>“</w:t>
      </w:r>
      <w:r w:rsidRPr="750671CE">
        <w:rPr>
          <w:rFonts w:ascii="Times New Roman" w:eastAsia="Times New Roman" w:hAnsi="Times New Roman" w:cs="Times New Roman"/>
        </w:rPr>
        <w:t>in determining whether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intestate was guilty of contributory negligence in failing to have a light upon the buggy as provided by law. I do not mean to say that the absence of light necessarily makes him negligent, but it is a fact for your consideration.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defendant requested a ruling that the absence of a light on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vehicle was </w:t>
      </w:r>
      <w:r w:rsidR="00B05F31">
        <w:rPr>
          <w:rFonts w:ascii="Times New Roman" w:eastAsia="Times New Roman" w:hAnsi="Times New Roman" w:cs="Times New Roman"/>
        </w:rPr>
        <w:t>“</w:t>
      </w:r>
      <w:r w:rsidRPr="750671CE">
        <w:rPr>
          <w:rFonts w:ascii="Times New Roman" w:eastAsia="Times New Roman" w:hAnsi="Times New Roman" w:cs="Times New Roman"/>
        </w:rPr>
        <w:t>prima facie evidence of contributory 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This request was refused, and the jury were again instructed that they might consider the absence of lights as some evidence of negligence, but that it was not conclusive evidence. The plaintiff then requested a charge that </w:t>
      </w:r>
      <w:r w:rsidR="00B05F31">
        <w:rPr>
          <w:rFonts w:ascii="Times New Roman" w:eastAsia="Times New Roman" w:hAnsi="Times New Roman" w:cs="Times New Roman"/>
        </w:rPr>
        <w:t>“</w:t>
      </w:r>
      <w:r w:rsidRPr="750671CE">
        <w:rPr>
          <w:rFonts w:ascii="Times New Roman" w:eastAsia="Times New Roman" w:hAnsi="Times New Roman" w:cs="Times New Roman"/>
        </w:rPr>
        <w:t>the fact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intestate was driving without a light is not negligence in itself,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to this the court acceded. The defendant saved his rights by appropriate exceptions.</w:t>
      </w:r>
    </w:p>
    <w:p w14:paraId="630C4BE5" w14:textId="210CCA86"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rPr>
          <w:rFonts w:ascii="Times New Roman" w:eastAsia="Times New Roman" w:hAnsi="Times New Roman" w:cs="Times New Roman"/>
        </w:rPr>
        <w:t xml:space="preserve"> . . .</w:t>
      </w:r>
    </w:p>
    <w:p w14:paraId="69C87292" w14:textId="77777777" w:rsidR="00C22B24" w:rsidRPr="00920B12" w:rsidRDefault="00C22B24" w:rsidP="00C22B24">
      <w:pPr>
        <w:ind w:firstLine="720"/>
        <w:rPr>
          <w:rFonts w:ascii="Times New Roman" w:hAnsi="Times New Roman" w:cs="Times New Roman"/>
        </w:rPr>
      </w:pPr>
    </w:p>
    <w:p w14:paraId="49E037D6" w14:textId="59A3111F"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conditions here present they come together and coalesce. A rule less rigid has been applied where the one who complains of the omission is not a member of the class for whose protection the safeguard is designed.</w:t>
      </w:r>
      <w:r w:rsidR="00DE164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Some relaxation there has also been where the safeguard is prescribed by local ordinance, and not by statute.</w:t>
      </w:r>
      <w:r w:rsidR="00DE164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Whether it has become too deeply rooted to be abandoned, even if it be thought illogical, is a question not now before us. . . .</w:t>
      </w:r>
    </w:p>
    <w:p w14:paraId="39CADCB1" w14:textId="77777777" w:rsidR="00C22B24" w:rsidRPr="00920B12" w:rsidRDefault="00C22B24" w:rsidP="00C22B24">
      <w:pPr>
        <w:ind w:firstLine="720"/>
        <w:rPr>
          <w:rFonts w:ascii="Times New Roman" w:hAnsi="Times New Roman" w:cs="Times New Roman"/>
        </w:rPr>
      </w:pPr>
    </w:p>
    <w:p w14:paraId="368144DF" w14:textId="5FD4AF3F"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920B12" w:rsidRDefault="00C22B24" w:rsidP="00C22B24">
      <w:pPr>
        <w:rPr>
          <w:rFonts w:ascii="Times New Roman" w:hAnsi="Times New Roman" w:cs="Times New Roman"/>
        </w:rPr>
      </w:pPr>
    </w:p>
    <w:p w14:paraId="50BDC9BF" w14:textId="7D53EDAF"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 .</w:t>
      </w:r>
    </w:p>
    <w:p w14:paraId="1BF174A3" w14:textId="77777777" w:rsidR="00C22B24" w:rsidRPr="00920B12" w:rsidRDefault="00C22B24" w:rsidP="00C22B24">
      <w:pPr>
        <w:rPr>
          <w:rFonts w:ascii="Times New Roman" w:hAnsi="Times New Roman" w:cs="Times New Roman"/>
        </w:rPr>
      </w:pPr>
    </w:p>
    <w:p w14:paraId="1914594C" w14:textId="49689E95"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are persuaded that the tendency of the charge, and of all the rulings, following it, was to minimize unduly, in the minds of the triers of the facts, the gravity of the decedent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fault. Errors may not be ignored as unsubstantial, when they tend to such an outcome. A statute designed for the protection of human life is not to be brushed aside as a form of words, its commands reduced to the level of cautions, and the duty to obey attenuated into an option to conform. The order of the Appellate Division should be </w:t>
      </w:r>
      <w:r w:rsidRPr="750671CE">
        <w:rPr>
          <w:rFonts w:ascii="Times New Roman" w:eastAsia="Times New Roman" w:hAnsi="Times New Roman" w:cs="Times New Roman"/>
        </w:rPr>
        <w:lastRenderedPageBreak/>
        <w:t>affirmed, and judgment absolute directed on the stipulation in favor of the defendant, with costs in all courts.</w:t>
      </w:r>
    </w:p>
    <w:p w14:paraId="3CB28869" w14:textId="77777777" w:rsidR="00C22B24" w:rsidRPr="00920B12" w:rsidRDefault="00C22B24" w:rsidP="00C22B24">
      <w:pPr>
        <w:rPr>
          <w:rFonts w:ascii="Times New Roman" w:hAnsi="Times New Roman" w:cs="Times New Roman"/>
        </w:rPr>
      </w:pPr>
    </w:p>
    <w:p w14:paraId="2827E8C8" w14:textId="77777777" w:rsidR="00C22B24" w:rsidRPr="00920B12" w:rsidRDefault="00C22B24">
      <w:pPr>
        <w:rPr>
          <w:rFonts w:ascii="Times New Roman" w:hAnsi="Times New Roman" w:cs="Times New Roman"/>
        </w:rPr>
      </w:pPr>
    </w:p>
    <w:p w14:paraId="1E1A02D2" w14:textId="77777777" w:rsidR="00C22B24" w:rsidRPr="00920B12" w:rsidRDefault="00C22B24" w:rsidP="002502CC">
      <w:pPr>
        <w:pStyle w:val="Heading4"/>
      </w:pPr>
      <w:bookmarkStart w:id="307" w:name="_Toc364636126"/>
      <w:bookmarkStart w:id="308" w:name="_Toc518323329"/>
      <w:r w:rsidRPr="00920B12">
        <w:t>Note</w:t>
      </w:r>
      <w:bookmarkEnd w:id="307"/>
      <w:bookmarkEnd w:id="308"/>
    </w:p>
    <w:p w14:paraId="66EAF4AC" w14:textId="77777777" w:rsidR="00C22B24" w:rsidRDefault="00C22B24" w:rsidP="00E337C6">
      <w:pPr>
        <w:rPr>
          <w:rFonts w:ascii="Times New Roman" w:hAnsi="Times New Roman" w:cs="Times New Roman"/>
        </w:rPr>
      </w:pPr>
    </w:p>
    <w:p w14:paraId="3AE757B8" w14:textId="77777777" w:rsidR="00E337C6" w:rsidRPr="00920B12" w:rsidRDefault="00E337C6" w:rsidP="00E337C6">
      <w:pPr>
        <w:rPr>
          <w:rFonts w:ascii="Times New Roman" w:hAnsi="Times New Roman" w:cs="Times New Roman"/>
        </w:rPr>
      </w:pPr>
    </w:p>
    <w:p w14:paraId="5EB96823" w14:textId="06D3A9A3" w:rsidR="00C22B24" w:rsidRPr="00920B12" w:rsidRDefault="005F6519" w:rsidP="005F6519">
      <w:pPr>
        <w:ind w:firstLine="720"/>
        <w:rPr>
          <w:rFonts w:ascii="Times New Roman" w:eastAsia="Times New Roman" w:hAnsi="Times New Roman" w:cs="Times New Roman"/>
        </w:rPr>
      </w:pPr>
      <w:r>
        <w:rPr>
          <w:rFonts w:ascii="Times New Roman" w:eastAsia="Times New Roman" w:hAnsi="Times New Roman" w:cs="Times New Roman"/>
        </w:rPr>
        <w:t xml:space="preserve">1. </w:t>
      </w:r>
      <w:r w:rsidR="750671CE" w:rsidRPr="750671CE">
        <w:rPr>
          <w:rFonts w:ascii="Times New Roman" w:eastAsia="Times New Roman" w:hAnsi="Times New Roman" w:cs="Times New Roman"/>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920B12" w:rsidRDefault="00C22B24" w:rsidP="00C22B24">
      <w:pPr>
        <w:rPr>
          <w:rFonts w:ascii="Times New Roman" w:hAnsi="Times New Roman" w:cs="Times New Roman"/>
        </w:rPr>
      </w:pPr>
    </w:p>
    <w:p w14:paraId="7D2330C6"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Does the case for deference to statutes seem the same after reading the next case? </w:t>
      </w:r>
    </w:p>
    <w:p w14:paraId="4A132A25" w14:textId="77777777" w:rsidR="00C22B24" w:rsidRPr="00920B12" w:rsidRDefault="00C22B24" w:rsidP="00C22B24">
      <w:pPr>
        <w:rPr>
          <w:rFonts w:ascii="Times New Roman" w:hAnsi="Times New Roman" w:cs="Times New Roman"/>
          <w:b/>
        </w:rPr>
      </w:pPr>
    </w:p>
    <w:p w14:paraId="5C449DFD" w14:textId="77777777" w:rsidR="00C22B24" w:rsidRPr="00920B12" w:rsidRDefault="00C22B24" w:rsidP="00C22B24">
      <w:pPr>
        <w:rPr>
          <w:rFonts w:ascii="Times New Roman" w:hAnsi="Times New Roman" w:cs="Times New Roman"/>
          <w:b/>
        </w:rPr>
      </w:pPr>
    </w:p>
    <w:p w14:paraId="4F6DD6DD" w14:textId="77777777" w:rsidR="00C22B24" w:rsidRPr="00F94B7E" w:rsidRDefault="00C22B24" w:rsidP="009F5ED8">
      <w:pPr>
        <w:rPr>
          <w:rFonts w:ascii="Times" w:hAnsi="Times"/>
          <w:b/>
        </w:rPr>
      </w:pPr>
      <w:bookmarkStart w:id="309" w:name="_Toc518323330"/>
      <w:r w:rsidRPr="00F94B7E">
        <w:rPr>
          <w:rStyle w:val="Heading4Char"/>
          <w:rFonts w:ascii="Times" w:eastAsiaTheme="minorEastAsia" w:hAnsi="Times" w:cstheme="minorEastAsia"/>
        </w:rPr>
        <w:t>Tedla v. Ellman</w:t>
      </w:r>
      <w:bookmarkEnd w:id="309"/>
      <w:r w:rsidRPr="00F94B7E">
        <w:rPr>
          <w:rFonts w:ascii="Times" w:hAnsi="Times"/>
          <w:b/>
        </w:rPr>
        <w:t>, 19 N.E.2d 287 (N.Y. 1939)</w:t>
      </w:r>
    </w:p>
    <w:p w14:paraId="43D8C1F7" w14:textId="77777777" w:rsidR="00C22B24" w:rsidRPr="00920B12" w:rsidRDefault="00C22B24" w:rsidP="00C22B24">
      <w:pPr>
        <w:rPr>
          <w:rFonts w:ascii="Times New Roman" w:hAnsi="Times New Roman" w:cs="Times New Roman"/>
        </w:rPr>
      </w:pPr>
    </w:p>
    <w:p w14:paraId="6D95E6DC"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Lehman</w:t>
      </w:r>
      <w:r w:rsidRPr="750671CE">
        <w:rPr>
          <w:rFonts w:ascii="Times New Roman" w:eastAsia="Times New Roman" w:hAnsi="Times New Roman" w:cs="Times New Roman"/>
        </w:rPr>
        <w:t>, J.</w:t>
      </w:r>
    </w:p>
    <w:p w14:paraId="2AC686BA" w14:textId="77777777" w:rsidR="00C22B24" w:rsidRPr="00920B12" w:rsidRDefault="00C22B24" w:rsidP="00C22B24">
      <w:pPr>
        <w:rPr>
          <w:rFonts w:ascii="Times New Roman" w:hAnsi="Times New Roman" w:cs="Times New Roman"/>
        </w:rPr>
      </w:pPr>
    </w:p>
    <w:p w14:paraId="1D2B4A57" w14:textId="17D23EB3"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While walking along a highway, Anna Tedla and her brother, John Bac</w:t>
      </w:r>
      <w:r w:rsidR="009F5ED8">
        <w:rPr>
          <w:rFonts w:ascii="Times New Roman" w:eastAsia="Times New Roman" w:hAnsi="Times New Roman" w:cs="Times New Roman"/>
        </w:rPr>
        <w:t>h</w:t>
      </w:r>
      <w:r w:rsidRPr="750671CE">
        <w:rPr>
          <w:rFonts w:ascii="Times New Roman" w:eastAsia="Times New Roman" w:hAnsi="Times New Roman" w:cs="Times New Roman"/>
        </w:rPr>
        <w:t xml:space="preserve">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w:t>
      </w:r>
      <w:r w:rsidR="00B05F31">
        <w:rPr>
          <w:rFonts w:ascii="Times New Roman" w:eastAsia="Times New Roman" w:hAnsi="Times New Roman" w:cs="Times New Roman"/>
        </w:rPr>
        <w:t>“</w:t>
      </w:r>
      <w:r w:rsidRPr="750671CE">
        <w:rPr>
          <w:rFonts w:ascii="Times New Roman" w:eastAsia="Times New Roman" w:hAnsi="Times New Roman" w:cs="Times New Roman"/>
        </w:rPr>
        <w:t>Sunrise Highway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 major route connecting New York City and Long Island] and wheeling baby carriages containing junk and wood which they had picked up at the incinerator. It was about six o</w:t>
      </w:r>
      <w:r w:rsidR="00B05F31">
        <w:rPr>
          <w:rFonts w:ascii="Times New Roman" w:eastAsia="Times New Roman" w:hAnsi="Times New Roman" w:cs="Times New Roman"/>
        </w:rPr>
        <w:t>’</w:t>
      </w:r>
      <w:r w:rsidRPr="750671CE">
        <w:rPr>
          <w:rFonts w:ascii="Times New Roman" w:eastAsia="Times New Roman" w:hAnsi="Times New Roman" w:cs="Times New Roman"/>
        </w:rPr>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920B12" w:rsidRDefault="00C22B24" w:rsidP="00C22B24">
      <w:pPr>
        <w:ind w:firstLine="720"/>
        <w:rPr>
          <w:rFonts w:ascii="Times New Roman" w:hAnsi="Times New Roman" w:cs="Times New Roman"/>
        </w:rPr>
      </w:pPr>
    </w:p>
    <w:p w14:paraId="59DFC5BD" w14:textId="77BC10B2"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rPr>
          <w:rFonts w:ascii="Times New Roman" w:eastAsia="Times New Roman" w:hAnsi="Times New Roman" w:cs="Times New Roman"/>
        </w:rPr>
        <w:t>“</w:t>
      </w:r>
      <w:r w:rsidRPr="750671CE">
        <w:rPr>
          <w:rFonts w:ascii="Times New Roman" w:eastAsia="Times New Roman" w:hAnsi="Times New Roman" w:cs="Times New Roman"/>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8A3C5C">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Mrs. Tedla and her brother did not observe the statutory rule, and at the time of the accident were proceeding in easterly direction on the east bound or right-hand </w:t>
      </w:r>
      <w:r w:rsidRPr="750671CE">
        <w:rPr>
          <w:rFonts w:ascii="Times New Roman" w:eastAsia="Times New Roman" w:hAnsi="Times New Roman" w:cs="Times New Roman"/>
        </w:rPr>
        <w:lastRenderedPageBreak/>
        <w:t>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920B12" w:rsidRDefault="00C22B24" w:rsidP="00C22B24">
      <w:pPr>
        <w:ind w:firstLine="720"/>
        <w:rPr>
          <w:rFonts w:ascii="Times New Roman" w:hAnsi="Times New Roman" w:cs="Times New Roman"/>
        </w:rPr>
      </w:pPr>
    </w:p>
    <w:p w14:paraId="55388F40" w14:textId="04D97B4C"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920B12" w:rsidRDefault="00C22B24" w:rsidP="00C22B24">
      <w:pPr>
        <w:ind w:firstLine="720"/>
        <w:rPr>
          <w:rFonts w:ascii="Times New Roman" w:hAnsi="Times New Roman" w:cs="Times New Roman"/>
        </w:rPr>
      </w:pPr>
    </w:p>
    <w:p w14:paraId="23321571" w14:textId="265BC530"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920B12" w:rsidRDefault="00C22B24" w:rsidP="00C22B24">
      <w:pPr>
        <w:rPr>
          <w:rFonts w:ascii="Times New Roman" w:hAnsi="Times New Roman" w:cs="Times New Roman"/>
        </w:rPr>
      </w:pPr>
    </w:p>
    <w:p w14:paraId="269E2BD9" w14:textId="3FE12E10"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plaintiffs showed by the testimony of a State policeman that </w:t>
      </w:r>
      <w:r w:rsidR="00B05F31">
        <w:rPr>
          <w:rFonts w:ascii="Times New Roman" w:eastAsia="Times New Roman" w:hAnsi="Times New Roman" w:cs="Times New Roman"/>
        </w:rPr>
        <w:t>“</w:t>
      </w:r>
      <w:r w:rsidRPr="750671CE">
        <w:rPr>
          <w:rFonts w:ascii="Times New Roman" w:eastAsia="Times New Roman" w:hAnsi="Times New Roman" w:cs="Times New Roman"/>
        </w:rPr>
        <w:t>there were very few cars going east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at the time of the accident, but that going west there was </w:t>
      </w:r>
      <w:r w:rsidR="00B05F31">
        <w:rPr>
          <w:rFonts w:ascii="Times New Roman" w:eastAsia="Times New Roman" w:hAnsi="Times New Roman" w:cs="Times New Roman"/>
        </w:rPr>
        <w:t>“</w:t>
      </w:r>
      <w:r w:rsidRPr="750671CE">
        <w:rPr>
          <w:rFonts w:ascii="Times New Roman" w:eastAsia="Times New Roman" w:hAnsi="Times New Roman" w:cs="Times New Roman"/>
        </w:rPr>
        <w:t>very heavy Sunday night traffic.</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Until the recent adoption of the new statutory rule for pedestrians, ordinary prudence would have dictated that pedestrians should not expose themselves to the danger of walking along the roadway upon which the </w:t>
      </w:r>
      <w:r w:rsidR="00B05F31">
        <w:rPr>
          <w:rFonts w:ascii="Times New Roman" w:eastAsia="Times New Roman" w:hAnsi="Times New Roman" w:cs="Times New Roman"/>
        </w:rPr>
        <w:t>“</w:t>
      </w:r>
      <w:r w:rsidRPr="750671CE">
        <w:rPr>
          <w:rFonts w:ascii="Times New Roman" w:eastAsia="Times New Roman" w:hAnsi="Times New Roman" w:cs="Times New Roman"/>
        </w:rPr>
        <w:t>very heavy Sunday night traffic</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920B12" w:rsidRDefault="00C22B24" w:rsidP="00C22B24">
      <w:pPr>
        <w:ind w:firstLine="720"/>
        <w:rPr>
          <w:rFonts w:ascii="Times New Roman" w:hAnsi="Times New Roman" w:cs="Times New Roman"/>
        </w:rPr>
      </w:pPr>
    </w:p>
    <w:p w14:paraId="611D5CD5" w14:textId="29A88D38"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appellants lean heavily upon [</w:t>
      </w:r>
      <w:r w:rsidRPr="750671CE">
        <w:rPr>
          <w:rFonts w:ascii="Times New Roman" w:eastAsia="Times New Roman" w:hAnsi="Times New Roman" w:cs="Times New Roman"/>
          <w:i/>
          <w:iCs/>
        </w:rPr>
        <w:t>Martin v. Herzog</w:t>
      </w:r>
      <w:r w:rsidRPr="750671CE">
        <w:rPr>
          <w:rFonts w:ascii="Times New Roman" w:eastAsia="Times New Roman" w:hAnsi="Times New Roman" w:cs="Times New Roman"/>
        </w:rPr>
        <w:t xml:space="preserve">] and kindred cases and the principle established by them.  The analogy is, however, incomplete. The </w:t>
      </w:r>
      <w:r w:rsidR="00B05F31">
        <w:rPr>
          <w:rFonts w:ascii="Times New Roman" w:eastAsia="Times New Roman" w:hAnsi="Times New Roman" w:cs="Times New Roman"/>
        </w:rPr>
        <w:t>“</w:t>
      </w:r>
      <w:r w:rsidRPr="750671CE">
        <w:rPr>
          <w:rFonts w:ascii="Times New Roman" w:eastAsia="Times New Roman" w:hAnsi="Times New Roman" w:cs="Times New Roman"/>
        </w:rPr>
        <w:t>established rule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should not be weakened either by subtle distinctions or by extension beyond its letter or spirit into a field where </w:t>
      </w:r>
      <w:r w:rsidR="00B05F31">
        <w:rPr>
          <w:rFonts w:ascii="Times New Roman" w:eastAsia="Times New Roman" w:hAnsi="Times New Roman" w:cs="Times New Roman"/>
        </w:rPr>
        <w:t>“</w:t>
      </w:r>
      <w:r w:rsidRPr="750671CE">
        <w:rPr>
          <w:rFonts w:ascii="Times New Roman" w:eastAsia="Times New Roman" w:hAnsi="Times New Roman" w:cs="Times New Roman"/>
        </w:rPr>
        <w:t>by the very terms of the hypothesis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rPr>
          <w:rFonts w:ascii="Times New Roman" w:eastAsia="Times New Roman" w:hAnsi="Times New Roman" w:cs="Times New Roman"/>
        </w:rPr>
        <w:t>“</w:t>
      </w:r>
      <w:r w:rsidRPr="750671CE">
        <w:rPr>
          <w:rFonts w:ascii="Times New Roman" w:eastAsia="Times New Roman" w:hAnsi="Times New Roman" w:cs="Times New Roman"/>
        </w:rPr>
        <w:t>by the very terms of the hypothesis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rule applies where the </w:t>
      </w:r>
      <w:r w:rsidRPr="750671CE">
        <w:rPr>
          <w:rFonts w:ascii="Times New Roman" w:eastAsia="Times New Roman" w:hAnsi="Times New Roman" w:cs="Times New Roman"/>
        </w:rPr>
        <w:lastRenderedPageBreak/>
        <w:t xml:space="preserve">Legislature has prescribed safeguards </w:t>
      </w:r>
      <w:r w:rsidR="00B05F31">
        <w:rPr>
          <w:rFonts w:ascii="Times New Roman" w:eastAsia="Times New Roman" w:hAnsi="Times New Roman" w:cs="Times New Roman"/>
        </w:rPr>
        <w:t>“</w:t>
      </w:r>
      <w:r w:rsidRPr="750671CE">
        <w:rPr>
          <w:rFonts w:ascii="Times New Roman" w:eastAsia="Times New Roman" w:hAnsi="Times New Roman" w:cs="Times New Roman"/>
        </w:rPr>
        <w:t>for the benefit of another that he may be preserved in life or limb.</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920B12" w:rsidRDefault="00C22B24" w:rsidP="00C22B24">
      <w:pPr>
        <w:rPr>
          <w:rFonts w:ascii="Times New Roman" w:hAnsi="Times New Roman" w:cs="Times New Roman"/>
        </w:rPr>
      </w:pPr>
    </w:p>
    <w:p w14:paraId="306D8492" w14:textId="6D478798"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and, specifically, a rule of the road</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may accomplish its intended purpose under usual conditions, but, when the unusual occurs, strict observance may defeat the purpose of the rule and produce catastrophic results.</w:t>
      </w:r>
    </w:p>
    <w:p w14:paraId="74839327" w14:textId="77777777" w:rsidR="00C22B24" w:rsidRPr="00920B12" w:rsidRDefault="00C22B24" w:rsidP="00C22B24">
      <w:pPr>
        <w:rPr>
          <w:rFonts w:ascii="Times New Roman" w:hAnsi="Times New Roman" w:cs="Times New Roman"/>
        </w:rPr>
      </w:pPr>
    </w:p>
    <w:p w14:paraId="76B12F42" w14:textId="60D28E3E"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rPr>
          <w:rFonts w:ascii="Times New Roman" w:eastAsia="Times New Roman" w:hAnsi="Times New Roman" w:cs="Times New Roman"/>
        </w:rPr>
        <w:t xml:space="preserve">a </w:t>
      </w:r>
      <w:r w:rsidRPr="750671CE">
        <w:rPr>
          <w:rFonts w:ascii="Times New Roman" w:eastAsia="Times New Roman" w:hAnsi="Times New Roman" w:cs="Times New Roman"/>
        </w:rPr>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920B12" w:rsidRDefault="00C22B24" w:rsidP="00C22B24">
      <w:pPr>
        <w:ind w:firstLine="720"/>
        <w:rPr>
          <w:rFonts w:ascii="Times New Roman" w:hAnsi="Times New Roman" w:cs="Times New Roman"/>
        </w:rPr>
      </w:pPr>
    </w:p>
    <w:p w14:paraId="6886830B" w14:textId="6C29C83A"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 . . .</w:t>
      </w:r>
    </w:p>
    <w:p w14:paraId="0B5E34BC" w14:textId="77777777" w:rsidR="00C22B24" w:rsidRPr="00920B12" w:rsidRDefault="00C22B24" w:rsidP="00C22B24">
      <w:pPr>
        <w:rPr>
          <w:rFonts w:ascii="Times New Roman" w:hAnsi="Times New Roman" w:cs="Times New Roman"/>
        </w:rPr>
      </w:pPr>
    </w:p>
    <w:p w14:paraId="4D6587A7" w14:textId="28331E7D" w:rsidR="00EE188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rPr>
          <w:rFonts w:ascii="Times New Roman" w:eastAsia="Times New Roman" w:hAnsi="Times New Roman" w:cs="Times New Roman"/>
        </w:rPr>
        <w:t>. . .</w:t>
      </w:r>
    </w:p>
    <w:p w14:paraId="6DC4B9A3" w14:textId="77777777" w:rsidR="00C22B24" w:rsidRPr="00920B12" w:rsidRDefault="00C22B24" w:rsidP="00F94B7E">
      <w:pPr>
        <w:ind w:firstLine="720"/>
        <w:rPr>
          <w:rFonts w:ascii="Times New Roman" w:hAnsi="Times New Roman" w:cs="Times New Roman"/>
        </w:rPr>
      </w:pPr>
    </w:p>
    <w:p w14:paraId="2F1288CB"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each action, the judgment should be affirmed, with costs.</w:t>
      </w:r>
    </w:p>
    <w:p w14:paraId="7516A0D8" w14:textId="77777777" w:rsidR="00C22B24" w:rsidRPr="00920B12" w:rsidRDefault="00C22B24" w:rsidP="00C22B24">
      <w:pPr>
        <w:rPr>
          <w:rFonts w:ascii="Times New Roman" w:hAnsi="Times New Roman" w:cs="Times New Roman"/>
        </w:rPr>
      </w:pPr>
    </w:p>
    <w:p w14:paraId="00257B27" w14:textId="51C2DCC7" w:rsidR="00C22B24" w:rsidRPr="00920B12" w:rsidRDefault="750671CE">
      <w:pPr>
        <w:rPr>
          <w:rFonts w:ascii="Times New Roman" w:eastAsia="Times New Roman" w:hAnsi="Times New Roman" w:cs="Times New Roman"/>
        </w:rPr>
      </w:pPr>
      <w:r w:rsidRPr="750671CE">
        <w:rPr>
          <w:rFonts w:ascii="Times New Roman" w:eastAsia="Times New Roman" w:hAnsi="Times New Roman" w:cs="Times New Roman"/>
        </w:rPr>
        <w:t>O</w:t>
      </w:r>
      <w:r w:rsidR="00B05F31">
        <w:rPr>
          <w:rFonts w:ascii="Times New Roman" w:eastAsia="Times New Roman" w:hAnsi="Times New Roman" w:cs="Times New Roman"/>
        </w:rPr>
        <w:t>’</w:t>
      </w:r>
      <w:r w:rsidRPr="750671CE">
        <w:rPr>
          <w:rFonts w:ascii="Times New Roman" w:eastAsia="Times New Roman" w:hAnsi="Times New Roman" w:cs="Times New Roman"/>
          <w:smallCaps/>
        </w:rPr>
        <w:t xml:space="preserve">Brien </w:t>
      </w:r>
      <w:r w:rsidRPr="750671CE">
        <w:rPr>
          <w:rFonts w:ascii="Times New Roman" w:eastAsia="Times New Roman" w:hAnsi="Times New Roman" w:cs="Times New Roman"/>
        </w:rPr>
        <w:t xml:space="preserve">and </w:t>
      </w:r>
      <w:r w:rsidRPr="750671CE">
        <w:rPr>
          <w:rFonts w:ascii="Times New Roman" w:eastAsia="Times New Roman" w:hAnsi="Times New Roman" w:cs="Times New Roman"/>
          <w:smallCaps/>
        </w:rPr>
        <w:t xml:space="preserve">Finch, </w:t>
      </w:r>
      <w:r w:rsidRPr="750671CE">
        <w:rPr>
          <w:rFonts w:ascii="Times New Roman" w:eastAsia="Times New Roman" w:hAnsi="Times New Roman" w:cs="Times New Roman"/>
        </w:rPr>
        <w:t xml:space="preserve">JJ., dissent on the authority of </w:t>
      </w:r>
      <w:r w:rsidRPr="750671CE">
        <w:rPr>
          <w:rFonts w:ascii="Times New Roman" w:eastAsia="Times New Roman" w:hAnsi="Times New Roman" w:cs="Times New Roman"/>
          <w:i/>
          <w:iCs/>
        </w:rPr>
        <w:t>Martin v. Herzog</w:t>
      </w:r>
      <w:r w:rsidRPr="750671CE">
        <w:rPr>
          <w:rFonts w:ascii="Times New Roman" w:eastAsia="Times New Roman" w:hAnsi="Times New Roman" w:cs="Times New Roman"/>
        </w:rPr>
        <w:t xml:space="preserve"> </w:t>
      </w:r>
      <w:r w:rsidR="002F1D81">
        <w:rPr>
          <w:rFonts w:ascii="Times New Roman" w:eastAsia="Times New Roman" w:hAnsi="Times New Roman" w:cs="Times New Roman"/>
        </w:rPr>
        <w:t xml:space="preserve">. . . </w:t>
      </w:r>
      <w:r w:rsidRPr="750671CE">
        <w:rPr>
          <w:rFonts w:ascii="Times New Roman" w:eastAsia="Times New Roman" w:hAnsi="Times New Roman" w:cs="Times New Roman"/>
        </w:rPr>
        <w:t>.</w:t>
      </w:r>
    </w:p>
    <w:p w14:paraId="38F2443C" w14:textId="77777777" w:rsidR="00C22B24" w:rsidRPr="00920B12" w:rsidRDefault="00C22B24">
      <w:pPr>
        <w:rPr>
          <w:rFonts w:ascii="Times New Roman" w:hAnsi="Times New Roman" w:cs="Times New Roman"/>
        </w:rPr>
      </w:pPr>
    </w:p>
    <w:p w14:paraId="41308D10" w14:textId="77777777" w:rsidR="00C22B24" w:rsidRPr="00920B12" w:rsidRDefault="00C22B24">
      <w:pPr>
        <w:rPr>
          <w:rFonts w:ascii="Times New Roman" w:hAnsi="Times New Roman" w:cs="Times New Roman"/>
        </w:rPr>
      </w:pPr>
    </w:p>
    <w:p w14:paraId="7EA069D0" w14:textId="77777777" w:rsidR="00C22B24" w:rsidRPr="00920B12" w:rsidRDefault="00C22B24" w:rsidP="002502CC">
      <w:pPr>
        <w:pStyle w:val="Heading4"/>
      </w:pPr>
      <w:bookmarkStart w:id="310" w:name="_Toc364636127"/>
      <w:bookmarkStart w:id="311" w:name="_Toc518323331"/>
      <w:r w:rsidRPr="00920B12">
        <w:t>Notes</w:t>
      </w:r>
      <w:bookmarkEnd w:id="310"/>
      <w:bookmarkEnd w:id="311"/>
    </w:p>
    <w:p w14:paraId="6B0849F2" w14:textId="77777777" w:rsidR="00C22B24" w:rsidRDefault="00C22B24" w:rsidP="00E337C6">
      <w:pPr>
        <w:rPr>
          <w:rFonts w:ascii="Times New Roman" w:hAnsi="Times New Roman" w:cs="Times New Roman"/>
        </w:rPr>
      </w:pPr>
    </w:p>
    <w:p w14:paraId="03B2471A" w14:textId="77777777" w:rsidR="00E337C6" w:rsidRPr="00920B12" w:rsidRDefault="00E337C6" w:rsidP="00E337C6">
      <w:pPr>
        <w:rPr>
          <w:rFonts w:ascii="Times New Roman" w:hAnsi="Times New Roman" w:cs="Times New Roman"/>
        </w:rPr>
      </w:pPr>
    </w:p>
    <w:p w14:paraId="3809ACA5" w14:textId="04FD5A11" w:rsidR="00C22B24" w:rsidRPr="00F94B7E" w:rsidRDefault="750671CE" w:rsidP="00F94B7E">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Distinguishing </w:t>
      </w:r>
      <w:r w:rsidRPr="00F94B7E">
        <w:rPr>
          <w:rFonts w:ascii="Times New Roman" w:eastAsia="Times New Roman" w:hAnsi="Times New Roman" w:cs="Times New Roman"/>
        </w:rPr>
        <w:t>Martin v. Herzog.  How does Judge Lehman distinguish Cardozo</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approach in </w:t>
      </w:r>
      <w:r w:rsidRPr="00F94B7E">
        <w:rPr>
          <w:rFonts w:ascii="Times New Roman" w:eastAsia="Times New Roman" w:hAnsi="Times New Roman" w:cs="Times New Roman"/>
          <w:i/>
          <w:iCs/>
        </w:rPr>
        <w:t>Martin v. Herzog</w:t>
      </w:r>
      <w:r w:rsidRPr="00F94B7E">
        <w:rPr>
          <w:rFonts w:ascii="Times New Roman" w:eastAsia="Times New Roman" w:hAnsi="Times New Roman" w:cs="Times New Roman"/>
        </w:rPr>
        <w:t xml:space="preserve">?  Does the distinction between safety statutes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rules of the road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explain the difference between </w:t>
      </w:r>
      <w:r w:rsidRPr="00F94B7E">
        <w:rPr>
          <w:rFonts w:ascii="Times New Roman" w:eastAsia="Times New Roman" w:hAnsi="Times New Roman" w:cs="Times New Roman"/>
          <w:i/>
          <w:iCs/>
        </w:rPr>
        <w:t>Martin</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xml:space="preserve">? </w:t>
      </w:r>
    </w:p>
    <w:p w14:paraId="663106C9" w14:textId="77777777" w:rsidR="00C22B24" w:rsidRDefault="00C22B24" w:rsidP="00C22B24">
      <w:pPr>
        <w:rPr>
          <w:rFonts w:ascii="Times New Roman" w:hAnsi="Times New Roman" w:cs="Times New Roman"/>
        </w:rPr>
      </w:pPr>
    </w:p>
    <w:p w14:paraId="01DE4CDA" w14:textId="77777777" w:rsidR="00C22B24" w:rsidRPr="00920B12" w:rsidRDefault="00C22B24" w:rsidP="003A3C74">
      <w:pPr>
        <w:ind w:firstLine="720"/>
        <w:rPr>
          <w:rFonts w:ascii="Times New Roman" w:hAnsi="Times New Roman" w:cs="Times New Roman"/>
        </w:rPr>
      </w:pPr>
    </w:p>
    <w:p w14:paraId="4836F606" w14:textId="11C6257A" w:rsidR="00C22B24" w:rsidRPr="00F94B7E" w:rsidRDefault="750671CE" w:rsidP="00F94B7E">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Irving Lehman.  </w:t>
      </w:r>
      <w:r w:rsidRPr="00F94B7E">
        <w:rPr>
          <w:rFonts w:ascii="Times New Roman" w:eastAsia="Times New Roman" w:hAnsi="Times New Roman" w:cs="Times New Roman"/>
        </w:rPr>
        <w:t>In 1939, Irving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brother, Herbert Lehman, was governor of New York.  Both Lehmans were highly-respected mid-century liberals.  The </w:t>
      </w:r>
      <w:r w:rsidRPr="00F94B7E">
        <w:rPr>
          <w:rFonts w:ascii="Times New Roman" w:eastAsia="Times New Roman" w:hAnsi="Times New Roman" w:cs="Times New Roman"/>
          <w:i/>
          <w:iCs/>
        </w:rPr>
        <w:t>New York Times</w:t>
      </w:r>
      <w:r w:rsidRPr="00F94B7E">
        <w:rPr>
          <w:rFonts w:ascii="Times New Roman" w:eastAsia="Times New Roman" w:hAnsi="Times New Roman" w:cs="Times New Roman"/>
        </w:rPr>
        <w:t xml:space="preserve"> obituary for Irving, who died in 1945, described him as a jurist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whose interpretation of the law made it a living force subject to change and development with the appearance of new problems and new outlooks.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Irving Lehman, 69, Noted Jurist, Dies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Sep</w:t>
      </w:r>
      <w:r w:rsidR="00BF73FB" w:rsidRPr="00F94B7E">
        <w:rPr>
          <w:rFonts w:ascii="Times New Roman" w:eastAsia="Times New Roman" w:hAnsi="Times New Roman" w:cs="Times New Roman"/>
        </w:rPr>
        <w:t>t</w:t>
      </w:r>
      <w:r w:rsidRPr="00F94B7E">
        <w:rPr>
          <w:rFonts w:ascii="Times New Roman" w:eastAsia="Times New Roman" w:hAnsi="Times New Roman" w:cs="Times New Roman"/>
        </w:rPr>
        <w:t>. 23, 1945.  Does a flexible theory of the law as a living and evolving institution help explain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in </w:t>
      </w:r>
      <w:r w:rsidRPr="00F94B7E">
        <w:rPr>
          <w:rFonts w:ascii="Times New Roman" w:eastAsia="Times New Roman" w:hAnsi="Times New Roman" w:cs="Times New Roman"/>
          <w:i/>
          <w:iCs/>
        </w:rPr>
        <w:t>Tedla</w:t>
      </w:r>
      <w:r w:rsidRPr="00F94B7E">
        <w:rPr>
          <w:rFonts w:ascii="Times New Roman" w:eastAsia="Times New Roman" w:hAnsi="Times New Roman" w:cs="Times New Roman"/>
        </w:rPr>
        <w:t>?  Does Judge Lehman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living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theory have implications for the relationship between statutes and the common law more generally?  Note that the book with which we began this section, Guido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A Common Law for the Age of Statutes</w:t>
      </w:r>
      <w:r w:rsidRPr="00F94B7E">
        <w:rPr>
          <w:rFonts w:ascii="Times New Roman" w:eastAsia="Times New Roman" w:hAnsi="Times New Roman" w:cs="Times New Roman"/>
        </w:rPr>
        <w:t>, was principally concerned with the problem of statutes that had become, by passage of time and changes in values, out of date or otherwise out of step with the spirit of the times.</w:t>
      </w:r>
    </w:p>
    <w:p w14:paraId="7F89322C" w14:textId="77777777" w:rsidR="00C22B24" w:rsidRDefault="00C22B24" w:rsidP="00C22B24">
      <w:pPr>
        <w:rPr>
          <w:rFonts w:ascii="Times New Roman" w:hAnsi="Times New Roman" w:cs="Times New Roman"/>
        </w:rPr>
      </w:pPr>
    </w:p>
    <w:p w14:paraId="4D56CBB4" w14:textId="77777777" w:rsidR="00C22B24" w:rsidRPr="00920B12" w:rsidRDefault="00C22B24" w:rsidP="00C22B24">
      <w:pPr>
        <w:rPr>
          <w:rFonts w:ascii="Times New Roman" w:hAnsi="Times New Roman" w:cs="Times New Roman"/>
        </w:rPr>
      </w:pPr>
    </w:p>
    <w:p w14:paraId="15D18CD6" w14:textId="75DC4126" w:rsidR="00C22B24" w:rsidRPr="00F94B7E" w:rsidRDefault="00923774" w:rsidP="00F94B7E">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Meta i</w:t>
      </w:r>
      <w:r w:rsidR="750671CE" w:rsidRPr="00F94B7E">
        <w:rPr>
          <w:rFonts w:ascii="Times New Roman" w:eastAsia="Times New Roman" w:hAnsi="Times New Roman" w:cs="Times New Roman"/>
          <w:i/>
          <w:iCs/>
        </w:rPr>
        <w:t>nstitutional choice</w:t>
      </w:r>
      <w:r w:rsidR="750671CE" w:rsidRPr="00F94B7E">
        <w:rPr>
          <w:rFonts w:ascii="Times New Roman" w:eastAsia="Times New Roman" w:hAnsi="Times New Roman" w:cs="Times New Roman"/>
        </w:rPr>
        <w:t>.  Does Lehman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maker under the circumstances? </w:t>
      </w:r>
    </w:p>
    <w:p w14:paraId="2314BC6B" w14:textId="77777777" w:rsidR="00C22B24" w:rsidRPr="00920B12" w:rsidRDefault="00C22B24" w:rsidP="00C22B24">
      <w:pPr>
        <w:rPr>
          <w:rFonts w:ascii="Times New Roman" w:hAnsi="Times New Roman" w:cs="Times New Roman"/>
        </w:rPr>
      </w:pPr>
    </w:p>
    <w:p w14:paraId="6D8D2411" w14:textId="77777777" w:rsidR="00C22B24" w:rsidRPr="00920B12" w:rsidRDefault="00C22B24" w:rsidP="00C22B24">
      <w:pPr>
        <w:rPr>
          <w:rFonts w:ascii="Times New Roman" w:hAnsi="Times New Roman" w:cs="Times New Roman"/>
        </w:rPr>
      </w:pPr>
    </w:p>
    <w:p w14:paraId="5AADA027" w14:textId="400E9CA7" w:rsidR="00C22B24" w:rsidRPr="00F94B7E" w:rsidRDefault="00923774" w:rsidP="00F94B7E">
      <w:pPr>
        <w:pStyle w:val="ListParagraph"/>
        <w:numPr>
          <w:ilvl w:val="0"/>
          <w:numId w:val="9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Statutory standards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courts are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less rigid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when the party charging negligence on the basis of a statutory safeguard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is not a member of the class for whose protection the safeguard is designed.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51E5DB4C" w14:textId="77777777" w:rsidR="00C22B24" w:rsidRPr="00920B12" w:rsidRDefault="00C22B24" w:rsidP="00C22B24">
      <w:pPr>
        <w:rPr>
          <w:rFonts w:ascii="Times New Roman" w:hAnsi="Times New Roman" w:cs="Times New Roman"/>
        </w:rPr>
      </w:pPr>
    </w:p>
    <w:p w14:paraId="7A1AD85C" w14:textId="77777777" w:rsidR="00C22B24" w:rsidRPr="00920B12" w:rsidRDefault="00C22B24" w:rsidP="00C22B24">
      <w:pPr>
        <w:rPr>
          <w:rFonts w:ascii="Times New Roman" w:hAnsi="Times New Roman" w:cs="Times New Roman"/>
          <w:b/>
        </w:rPr>
      </w:pPr>
    </w:p>
    <w:p w14:paraId="72EB34E2" w14:textId="019691CF" w:rsidR="00C22B24" w:rsidRPr="00F94B7E" w:rsidRDefault="00C22B24" w:rsidP="0014575E">
      <w:pPr>
        <w:rPr>
          <w:rFonts w:ascii="Times" w:hAnsi="Times" w:cstheme="minorEastAsia"/>
          <w:b/>
          <w:bCs/>
          <w:i/>
          <w:szCs w:val="28"/>
          <w:lang w:eastAsia="en-US"/>
        </w:rPr>
      </w:pPr>
      <w:bookmarkStart w:id="312" w:name="_Toc518323332"/>
      <w:r w:rsidRPr="00F94B7E">
        <w:rPr>
          <w:rStyle w:val="Heading4Char"/>
          <w:rFonts w:ascii="Times" w:eastAsiaTheme="minorEastAsia" w:hAnsi="Times" w:cstheme="minorEastAsia"/>
        </w:rPr>
        <w:lastRenderedPageBreak/>
        <w:t>Gorris v. Scott</w:t>
      </w:r>
      <w:bookmarkEnd w:id="312"/>
      <w:r w:rsidRPr="00F94B7E">
        <w:rPr>
          <w:rFonts w:ascii="Times" w:hAnsi="Times"/>
          <w:b/>
        </w:rPr>
        <w:t>, [1874] L.R. 9 Ex. 125</w:t>
      </w:r>
    </w:p>
    <w:p w14:paraId="1B9EC209" w14:textId="77777777" w:rsidR="00C22B24" w:rsidRPr="00920B12" w:rsidRDefault="00C22B24" w:rsidP="00C22B24">
      <w:pPr>
        <w:rPr>
          <w:rFonts w:ascii="Times New Roman" w:hAnsi="Times New Roman" w:cs="Times New Roman"/>
        </w:rPr>
      </w:pPr>
    </w:p>
    <w:p w14:paraId="34868B04"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K</w:t>
      </w:r>
      <w:r w:rsidRPr="750671CE">
        <w:rPr>
          <w:rFonts w:ascii="Times New Roman" w:eastAsia="Times New Roman" w:hAnsi="Times New Roman" w:cs="Times New Roman"/>
          <w:smallCaps/>
        </w:rPr>
        <w:t>elly</w:t>
      </w:r>
      <w:r w:rsidRPr="750671CE">
        <w:rPr>
          <w:rFonts w:ascii="Times New Roman" w:eastAsia="Times New Roman" w:hAnsi="Times New Roman" w:cs="Times New Roman"/>
        </w:rPr>
        <w:t>, C.B.</w:t>
      </w:r>
    </w:p>
    <w:p w14:paraId="288FF7B0" w14:textId="77777777" w:rsidR="00C22B24" w:rsidRPr="00920B12" w:rsidRDefault="00C22B24" w:rsidP="00C22B24">
      <w:pPr>
        <w:rPr>
          <w:rFonts w:ascii="Times New Roman" w:hAnsi="Times New Roman" w:cs="Times New Roman"/>
        </w:rPr>
      </w:pPr>
    </w:p>
    <w:p w14:paraId="361DEF9B"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920B12" w:rsidRDefault="00C22B24" w:rsidP="00C22B24">
      <w:pPr>
        <w:rPr>
          <w:rFonts w:ascii="Times New Roman" w:hAnsi="Times New Roman" w:cs="Times New Roman"/>
        </w:rPr>
      </w:pPr>
    </w:p>
    <w:p w14:paraId="3B8F1DAA"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920B12" w:rsidRDefault="00C22B24" w:rsidP="00C22B24">
      <w:pPr>
        <w:rPr>
          <w:rFonts w:ascii="Times New Roman" w:hAnsi="Times New Roman" w:cs="Times New Roman"/>
        </w:rPr>
      </w:pPr>
    </w:p>
    <w:p w14:paraId="374B29B4"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920B12" w:rsidRDefault="00C22B24" w:rsidP="00C22B24">
      <w:pPr>
        <w:rPr>
          <w:rFonts w:ascii="Times New Roman" w:hAnsi="Times New Roman" w:cs="Times New Roman"/>
        </w:rPr>
      </w:pPr>
    </w:p>
    <w:p w14:paraId="5E7294C3" w14:textId="77777777"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P</w:t>
      </w:r>
      <w:r w:rsidRPr="750671CE">
        <w:rPr>
          <w:rFonts w:ascii="Times New Roman" w:eastAsia="Times New Roman" w:hAnsi="Times New Roman" w:cs="Times New Roman"/>
          <w:smallCaps/>
        </w:rPr>
        <w:t>igott</w:t>
      </w:r>
      <w:r w:rsidRPr="750671CE">
        <w:rPr>
          <w:rFonts w:ascii="Times New Roman" w:eastAsia="Times New Roman" w:hAnsi="Times New Roman" w:cs="Times New Roman"/>
        </w:rPr>
        <w:t>, B.</w:t>
      </w:r>
    </w:p>
    <w:p w14:paraId="6CC1E2D1" w14:textId="77777777" w:rsidR="00C22B24" w:rsidRPr="00920B12" w:rsidRDefault="00C22B24" w:rsidP="00C22B24">
      <w:pPr>
        <w:rPr>
          <w:rFonts w:ascii="Times New Roman" w:hAnsi="Times New Roman" w:cs="Times New Roman"/>
        </w:rPr>
      </w:pPr>
    </w:p>
    <w:p w14:paraId="65274DEE" w14:textId="1A764E21"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rPr>
          <w:rFonts w:ascii="Times New Roman" w:eastAsia="Times New Roman" w:hAnsi="Times New Roman" w:cs="Times New Roman"/>
        </w:rPr>
        <w:t xml:space="preserve"> </w:t>
      </w:r>
      <w:r w:rsidRPr="750671CE">
        <w:rPr>
          <w:rFonts w:ascii="Times New Roman" w:eastAsia="Times New Roman" w:hAnsi="Times New Roman" w:cs="Times New Roman"/>
        </w:rPr>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920B12" w:rsidRDefault="00C22B24" w:rsidP="00C22B24">
      <w:pPr>
        <w:rPr>
          <w:rFonts w:ascii="Times New Roman" w:hAnsi="Times New Roman" w:cs="Times New Roman"/>
        </w:rPr>
      </w:pPr>
    </w:p>
    <w:p w14:paraId="15631DDA"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Judgment for the defendant.</w:t>
      </w:r>
    </w:p>
    <w:p w14:paraId="167CDE88" w14:textId="77777777" w:rsidR="00C22B24" w:rsidRPr="00920B12" w:rsidRDefault="00C22B24" w:rsidP="00C22B24">
      <w:pPr>
        <w:rPr>
          <w:rFonts w:ascii="Times New Roman" w:hAnsi="Times New Roman" w:cs="Times New Roman"/>
        </w:rPr>
      </w:pPr>
    </w:p>
    <w:p w14:paraId="4F71D2EF" w14:textId="77777777" w:rsidR="00C22B24" w:rsidRPr="00920B12" w:rsidRDefault="00C22B24" w:rsidP="00C22B24">
      <w:pPr>
        <w:rPr>
          <w:rFonts w:ascii="Times New Roman" w:hAnsi="Times New Roman" w:cs="Times New Roman"/>
        </w:rPr>
      </w:pPr>
    </w:p>
    <w:p w14:paraId="5CB5F842" w14:textId="77777777" w:rsidR="00C22B24" w:rsidRDefault="00C22B24" w:rsidP="002502CC">
      <w:pPr>
        <w:pStyle w:val="Heading4"/>
      </w:pPr>
      <w:bookmarkStart w:id="313" w:name="_Toc364636128"/>
      <w:bookmarkStart w:id="314" w:name="_Toc518323333"/>
      <w:r w:rsidRPr="00C40C6D">
        <w:lastRenderedPageBreak/>
        <w:t>The Restatement Approach</w:t>
      </w:r>
      <w:bookmarkEnd w:id="313"/>
      <w:bookmarkEnd w:id="314"/>
    </w:p>
    <w:p w14:paraId="4C01E939" w14:textId="77777777" w:rsidR="00C22B24" w:rsidRDefault="00C22B24" w:rsidP="00C22B24">
      <w:pPr>
        <w:rPr>
          <w:rFonts w:ascii="Times New Roman" w:hAnsi="Times New Roman" w:cs="Times New Roman"/>
        </w:rPr>
      </w:pPr>
    </w:p>
    <w:p w14:paraId="005D031B" w14:textId="355E1E40"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Restatement (Second) of Torts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provisions for statutes and tort liability restate the approach found in </w:t>
      </w:r>
      <w:r w:rsidRPr="750671CE">
        <w:rPr>
          <w:rFonts w:ascii="Times New Roman" w:eastAsia="Times New Roman" w:hAnsi="Times New Roman" w:cs="Times New Roman"/>
          <w:i/>
          <w:iCs/>
        </w:rPr>
        <w:t>Martin</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Tedla</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Gorris</w:t>
      </w:r>
      <w:r w:rsidRPr="750671CE">
        <w:rPr>
          <w:rFonts w:ascii="Times New Roman" w:eastAsia="Times New Roman" w:hAnsi="Times New Roman" w:cs="Times New Roman"/>
        </w:rPr>
        <w:t>.  A statutory or regulatory standard of conduct may be adopted as the standard of reasonableness where that statute</w:t>
      </w:r>
      <w:r w:rsidR="00B05F31">
        <w:rPr>
          <w:rFonts w:ascii="Times New Roman" w:eastAsia="Times New Roman" w:hAnsi="Times New Roman" w:cs="Times New Roman"/>
        </w:rPr>
        <w:t>’</w:t>
      </w:r>
      <w:r w:rsidRPr="750671CE">
        <w:rPr>
          <w:rFonts w:ascii="Times New Roman" w:eastAsia="Times New Roman" w:hAnsi="Times New Roman" w:cs="Times New Roman"/>
        </w:rPr>
        <w:t>s or regulation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purpose is, at least in part, </w:t>
      </w:r>
      <w:r w:rsidR="00B05F31">
        <w:rPr>
          <w:rFonts w:ascii="Times New Roman" w:eastAsia="Times New Roman" w:hAnsi="Times New Roman" w:cs="Times New Roman"/>
        </w:rPr>
        <w:t>“</w:t>
      </w:r>
      <w:r w:rsidRPr="750671CE">
        <w:rPr>
          <w:rFonts w:ascii="Times New Roman" w:eastAsia="Times New Roman" w:hAnsi="Times New Roman" w:cs="Times New Roman"/>
        </w:rPr>
        <w:t>to protect a class of persons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includes the plaintiff, and where the statute</w:t>
      </w:r>
      <w:r w:rsidR="00B05F31">
        <w:rPr>
          <w:rFonts w:ascii="Times New Roman" w:eastAsia="Times New Roman" w:hAnsi="Times New Roman" w:cs="Times New Roman"/>
        </w:rPr>
        <w:t>’</w:t>
      </w:r>
      <w:r w:rsidRPr="750671CE">
        <w:rPr>
          <w:rFonts w:ascii="Times New Roman" w:eastAsia="Times New Roman" w:hAnsi="Times New Roman" w:cs="Times New Roman"/>
        </w:rPr>
        <w:t>s or regulation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purpose is to protect the </w:t>
      </w:r>
      <w:r w:rsidR="00B05F31">
        <w:rPr>
          <w:rFonts w:ascii="Times New Roman" w:eastAsia="Times New Roman" w:hAnsi="Times New Roman" w:cs="Times New Roman"/>
        </w:rPr>
        <w:t>“</w:t>
      </w:r>
      <w:r w:rsidRPr="750671CE">
        <w:rPr>
          <w:rFonts w:ascii="Times New Roman" w:eastAsia="Times New Roman" w:hAnsi="Times New Roman" w:cs="Times New Roman"/>
        </w:rPr>
        <w:t>particular interest invaded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against the particular sort of harm complained of.  Restatement (Second) of Torts §</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286.  Section 288 further provides that an actor</w:t>
      </w:r>
      <w:r w:rsidR="00B05F31">
        <w:rPr>
          <w:rFonts w:ascii="Times New Roman" w:eastAsia="Times New Roman" w:hAnsi="Times New Roman" w:cs="Times New Roman"/>
        </w:rPr>
        <w:t>’</w:t>
      </w:r>
      <w:r w:rsidRPr="750671CE">
        <w:rPr>
          <w:rFonts w:ascii="Times New Roman" w:eastAsia="Times New Roman" w:hAnsi="Times New Roman" w:cs="Times New Roman"/>
        </w:rPr>
        <w:t>s violations of statutory or regulatory standards are excused, and thus are not negligence, when the 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incapacity makes the violation reasonable; where the actor is </w:t>
      </w:r>
      <w:r w:rsidR="00B05F31">
        <w:rPr>
          <w:rFonts w:ascii="Times New Roman" w:eastAsia="Times New Roman" w:hAnsi="Times New Roman" w:cs="Times New Roman"/>
        </w:rPr>
        <w:t>“</w:t>
      </w:r>
      <w:r w:rsidRPr="750671CE">
        <w:rPr>
          <w:rFonts w:ascii="Times New Roman" w:eastAsia="Times New Roman" w:hAnsi="Times New Roman" w:cs="Times New Roman"/>
        </w:rPr>
        <w:t>confronted by an emergency not due to his own misconduct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where </w:t>
      </w:r>
      <w:r w:rsidR="00B05F31">
        <w:rPr>
          <w:rFonts w:ascii="Times New Roman" w:eastAsia="Times New Roman" w:hAnsi="Times New Roman" w:cs="Times New Roman"/>
        </w:rPr>
        <w:t>“</w:t>
      </w:r>
      <w:r w:rsidRPr="750671CE">
        <w:rPr>
          <w:rFonts w:ascii="Times New Roman" w:eastAsia="Times New Roman" w:hAnsi="Times New Roman" w:cs="Times New Roman"/>
        </w:rPr>
        <w:t>compliance would involve a greater risk of harm to the actor or to others.</w:t>
      </w:r>
      <w:r w:rsidR="00B05F31">
        <w:rPr>
          <w:rFonts w:ascii="Times New Roman" w:eastAsia="Times New Roman" w:hAnsi="Times New Roman" w:cs="Times New Roman"/>
        </w:rPr>
        <w:t>”</w:t>
      </w:r>
    </w:p>
    <w:p w14:paraId="0B4CDCA8" w14:textId="77777777" w:rsidR="00C22B24" w:rsidRPr="00920B12" w:rsidRDefault="00C22B24" w:rsidP="00C22B24">
      <w:pPr>
        <w:ind w:left="720" w:right="720"/>
        <w:rPr>
          <w:rFonts w:ascii="Times New Roman" w:hAnsi="Times New Roman" w:cs="Times New Roman"/>
        </w:rPr>
      </w:pPr>
    </w:p>
    <w:p w14:paraId="1EB9D534" w14:textId="0DBC0070"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Do Section 288</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exceptions comport with the basic rule of negligence per se set out in Section 286 and in </w:t>
      </w:r>
      <w:r w:rsidRPr="750671CE">
        <w:rPr>
          <w:rFonts w:ascii="Times New Roman" w:eastAsia="Times New Roman" w:hAnsi="Times New Roman" w:cs="Times New Roman"/>
          <w:i/>
          <w:iCs/>
        </w:rPr>
        <w:t>Martin v. Herzog</w:t>
      </w:r>
      <w:r w:rsidRPr="750671CE">
        <w:rPr>
          <w:rFonts w:ascii="Times New Roman" w:eastAsia="Times New Roman" w:hAnsi="Times New Roman" w:cs="Times New Roman"/>
        </w:rPr>
        <w:t>?  Does the Restatement offer a coherent reformulation of the caselaw?  Or does it merely reproduce the caselaw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tensions, in particular the tension between </w:t>
      </w:r>
      <w:r w:rsidRPr="750671CE">
        <w:rPr>
          <w:rFonts w:ascii="Times New Roman" w:eastAsia="Times New Roman" w:hAnsi="Times New Roman" w:cs="Times New Roman"/>
          <w:i/>
          <w:iCs/>
        </w:rPr>
        <w:t>Martin</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Tedla</w:t>
      </w:r>
      <w:r w:rsidRPr="750671CE">
        <w:rPr>
          <w:rFonts w:ascii="Times New Roman" w:eastAsia="Times New Roman" w:hAnsi="Times New Roman" w:cs="Times New Roman"/>
        </w:rPr>
        <w:t xml:space="preserve">?  The Restatement (Third) of Torts offers a more linguistically economical formulation, but not one that does any better than its predecessor.  </w:t>
      </w:r>
      <w:r w:rsidRPr="00F94B7E">
        <w:rPr>
          <w:rFonts w:ascii="Times New Roman" w:eastAsia="Times New Roman" w:hAnsi="Times New Roman" w:cs="Times New Roman"/>
          <w:i/>
        </w:rPr>
        <w:t>See</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(Third) of Torts</w:t>
      </w:r>
      <w:r w:rsidRPr="750671CE">
        <w:rPr>
          <w:rFonts w:ascii="Times New Roman" w:eastAsia="Times New Roman" w:hAnsi="Times New Roman" w:cs="Times New Roman"/>
        </w:rPr>
        <w:t xml:space="preserve"> §§ 14-15.</w:t>
      </w:r>
    </w:p>
    <w:p w14:paraId="3CB9CAF3" w14:textId="006990D9" w:rsidR="001D2B7E" w:rsidRDefault="001D2B7E">
      <w:pPr>
        <w:rPr>
          <w:rFonts w:ascii="Times New Roman" w:hAnsi="Times New Roman" w:cs="Times New Roman"/>
        </w:rPr>
      </w:pPr>
    </w:p>
    <w:p w14:paraId="5A34E846" w14:textId="6CE6853C" w:rsidR="003A3C74" w:rsidRDefault="003A3C74">
      <w:pPr>
        <w:rPr>
          <w:rFonts w:ascii="Times New Roman" w:hAnsi="Times New Roman" w:cs="Times New Roman"/>
        </w:rPr>
      </w:pPr>
    </w:p>
    <w:p w14:paraId="64551B60" w14:textId="77777777" w:rsidR="00C22B24" w:rsidRPr="003D3FED" w:rsidRDefault="00C22B24" w:rsidP="00322687">
      <w:pPr>
        <w:pStyle w:val="Heading3"/>
      </w:pPr>
      <w:bookmarkStart w:id="315" w:name="_Toc364636129"/>
      <w:bookmarkStart w:id="316" w:name="_Toc518323334"/>
      <w:r>
        <w:t>2</w:t>
      </w:r>
      <w:r w:rsidRPr="003D3FED">
        <w:t xml:space="preserve">.  </w:t>
      </w:r>
      <w:r>
        <w:t>A</w:t>
      </w:r>
      <w:r w:rsidRPr="003D3FED">
        <w:t xml:space="preserve"> Regulatory Compliance </w:t>
      </w:r>
      <w:r>
        <w:t>Defense?</w:t>
      </w:r>
      <w:bookmarkEnd w:id="315"/>
      <w:bookmarkEnd w:id="316"/>
    </w:p>
    <w:p w14:paraId="300823D8" w14:textId="77777777" w:rsidR="00C22B24" w:rsidRDefault="00C22B24" w:rsidP="00C22B24">
      <w:pPr>
        <w:rPr>
          <w:rFonts w:ascii="Times New Roman" w:hAnsi="Times New Roman" w:cs="Times New Roman"/>
        </w:rPr>
      </w:pPr>
    </w:p>
    <w:p w14:paraId="6F40AF25" w14:textId="77777777" w:rsidR="00E337C6" w:rsidRPr="00920B12" w:rsidRDefault="00E337C6" w:rsidP="00C22B24">
      <w:pPr>
        <w:rPr>
          <w:rFonts w:ascii="Times New Roman" w:hAnsi="Times New Roman" w:cs="Times New Roman"/>
        </w:rPr>
      </w:pPr>
    </w:p>
    <w:p w14:paraId="4353D382" w14:textId="59B4D7ED"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3D3FED" w:rsidRDefault="00C22B24" w:rsidP="00C22B24">
      <w:pPr>
        <w:ind w:firstLine="720"/>
        <w:rPr>
          <w:rFonts w:ascii="Times New Roman" w:hAnsi="Times New Roman" w:cs="Times New Roman"/>
        </w:rPr>
      </w:pPr>
    </w:p>
    <w:p w14:paraId="714E4F76" w14:textId="193A8BDF"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Controversially, the traditional answer is no.  In </w:t>
      </w:r>
      <w:r w:rsidRPr="750671CE">
        <w:rPr>
          <w:rFonts w:ascii="Times New Roman" w:eastAsia="Times New Roman" w:hAnsi="Times New Roman" w:cs="Times New Roman"/>
          <w:i/>
          <w:iCs/>
        </w:rPr>
        <w:t>Lugo v. LJN Toys</w:t>
      </w:r>
      <w:r w:rsidRPr="750671CE">
        <w:rPr>
          <w:rFonts w:ascii="Times New Roman" w:eastAsia="Times New Roman" w:hAnsi="Times New Roman" w:cs="Times New Roman"/>
        </w:rPr>
        <w:t>, for example, a New York court rejected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contention that</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its compliance with safety regulations absolved it from liability, citing the long-standing rule that </w:t>
      </w:r>
      <w:r w:rsidR="00B05F31">
        <w:rPr>
          <w:rFonts w:ascii="Times New Roman" w:eastAsia="Times New Roman" w:hAnsi="Times New Roman" w:cs="Times New Roman"/>
        </w:rPr>
        <w:t>“</w:t>
      </w:r>
      <w:r w:rsidRPr="750671CE">
        <w:rPr>
          <w:rFonts w:ascii="Times New Roman" w:eastAsia="Times New Roman" w:hAnsi="Times New Roman" w:cs="Times New Roman"/>
        </w:rPr>
        <w:t>while compliance with a statute may constitute some evidence of due care, it does not preclude a finding of 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539 N.Y.S.2d 922, 924 (1989), </w:t>
      </w:r>
      <w:r w:rsidRPr="00F94B7E">
        <w:rPr>
          <w:rFonts w:ascii="Times New Roman" w:eastAsia="Times New Roman" w:hAnsi="Times New Roman" w:cs="Times New Roman"/>
          <w:i/>
        </w:rPr>
        <w:t>aff</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d</w:t>
      </w:r>
      <w:r w:rsidRPr="750671CE">
        <w:rPr>
          <w:rFonts w:ascii="Times New Roman" w:eastAsia="Times New Roman" w:hAnsi="Times New Roman" w:cs="Times New Roman"/>
          <w:u w:val="single"/>
        </w:rPr>
        <w:t>,</w:t>
      </w:r>
      <w:r w:rsidRPr="750671CE">
        <w:rPr>
          <w:rFonts w:ascii="Times New Roman" w:eastAsia="Times New Roman" w:hAnsi="Times New Roman" w:cs="Times New Roman"/>
        </w:rPr>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rPr>
          <w:rFonts w:ascii="Times New Roman" w:eastAsia="Times New Roman" w:hAnsi="Times New Roman" w:cs="Times New Roman"/>
        </w:rPr>
        <w:t>“</w:t>
      </w:r>
      <w:r w:rsidRPr="750671CE">
        <w:rPr>
          <w:rFonts w:ascii="Times New Roman" w:eastAsia="Times New Roman" w:hAnsi="Times New Roman" w:cs="Times New Roman"/>
        </w:rPr>
        <w:t>regulatory capture,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revolving door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between the regulator and the </w:t>
      </w:r>
      <w:r w:rsidRPr="750671CE">
        <w:rPr>
          <w:rFonts w:ascii="Times New Roman" w:eastAsia="Times New Roman" w:hAnsi="Times New Roman" w:cs="Times New Roman"/>
        </w:rPr>
        <w:lastRenderedPageBreak/>
        <w:t>regulated entities.  If regulators are former employees of the firms they regulate</w:t>
      </w:r>
      <w:r w:rsidR="00E13E97">
        <w:rPr>
          <w:rFonts w:ascii="Times New Roman" w:eastAsia="Times New Roman" w:hAnsi="Times New Roman" w:cs="Times New Roman"/>
        </w:rPr>
        <w:t>—</w:t>
      </w:r>
      <w:r w:rsidRPr="750671CE">
        <w:rPr>
          <w:rFonts w:ascii="Times New Roman" w:eastAsia="Times New Roman" w:hAnsi="Times New Roman" w:cs="Times New Roman"/>
        </w:rPr>
        <w:t>and hope to be employees of such firms once again in the future</w:t>
      </w:r>
      <w:r w:rsidR="00E13E97">
        <w:rPr>
          <w:rFonts w:ascii="Times New Roman" w:eastAsia="Times New Roman" w:hAnsi="Times New Roman" w:cs="Times New Roman"/>
        </w:rPr>
        <w:t>—</w:t>
      </w:r>
      <w:r w:rsidRPr="750671CE">
        <w:rPr>
          <w:rFonts w:ascii="Times New Roman" w:eastAsia="Times New Roman" w:hAnsi="Times New Roman" w:cs="Times New Roman"/>
        </w:rPr>
        <w:t>then critics contend that the regulations will almost certainly favor the regulated entities interests over those of the public in situations where the two diverge.</w:t>
      </w:r>
    </w:p>
    <w:p w14:paraId="644B64EB" w14:textId="77777777" w:rsidR="00C22B24" w:rsidRPr="00920B12" w:rsidRDefault="00C22B24" w:rsidP="00C22B24">
      <w:pPr>
        <w:ind w:firstLine="720"/>
        <w:rPr>
          <w:rFonts w:ascii="Times New Roman" w:hAnsi="Times New Roman" w:cs="Times New Roman"/>
        </w:rPr>
      </w:pPr>
      <w:r w:rsidRPr="00920B12">
        <w:rPr>
          <w:rFonts w:ascii="Times New Roman" w:hAnsi="Times New Roman" w:cs="Times New Roman"/>
        </w:rPr>
        <w:t xml:space="preserve"> </w:t>
      </w:r>
    </w:p>
    <w:p w14:paraId="3B6B704D" w14:textId="05867CE1"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Critics, however, contend that the absence of a regulatory compliance defense means that regulated actors face two separate regulatory systems, one statutory and the other </w:t>
      </w:r>
      <w:r w:rsidR="00571BEA">
        <w:rPr>
          <w:rFonts w:ascii="Times New Roman" w:eastAsia="Times New Roman" w:hAnsi="Times New Roman" w:cs="Times New Roman"/>
        </w:rPr>
        <w:t>common</w:t>
      </w:r>
      <w:r w:rsidR="00571BEA" w:rsidRPr="750671CE">
        <w:rPr>
          <w:rFonts w:ascii="Times New Roman" w:eastAsia="Times New Roman" w:hAnsi="Times New Roman" w:cs="Times New Roman"/>
        </w:rPr>
        <w:t xml:space="preserve"> </w:t>
      </w:r>
      <w:r w:rsidRPr="750671CE">
        <w:rPr>
          <w:rFonts w:ascii="Times New Roman" w:eastAsia="Times New Roman" w:hAnsi="Times New Roman" w:cs="Times New Roman"/>
        </w:rPr>
        <w:t>law</w:t>
      </w:r>
      <w:r w:rsidR="00571BEA">
        <w:rPr>
          <w:rFonts w:ascii="Times New Roman" w:eastAsia="Times New Roman" w:hAnsi="Times New Roman" w:cs="Times New Roman"/>
        </w:rPr>
        <w:t>.  T</w:t>
      </w:r>
      <w:r w:rsidRPr="750671CE">
        <w:rPr>
          <w:rFonts w:ascii="Times New Roman" w:eastAsia="Times New Roman" w:hAnsi="Times New Roman" w:cs="Times New Roman"/>
        </w:rPr>
        <w:t xml:space="preserve">he absence of a such a defense means that they bear the burdens of both but not the benefits.       </w:t>
      </w:r>
    </w:p>
    <w:p w14:paraId="23C00727" w14:textId="77777777" w:rsidR="00C22B24" w:rsidRPr="00920B12" w:rsidRDefault="00C22B24" w:rsidP="00C22B24">
      <w:pPr>
        <w:ind w:firstLine="720"/>
        <w:rPr>
          <w:rFonts w:ascii="Times New Roman" w:hAnsi="Times New Roman" w:cs="Times New Roman"/>
          <w:b/>
        </w:rPr>
      </w:pPr>
    </w:p>
    <w:p w14:paraId="18DF1A18" w14:textId="53F1A6B0" w:rsidR="00C22B24" w:rsidRPr="00920B12" w:rsidRDefault="00C22B24" w:rsidP="750671CE">
      <w:pPr>
        <w:rPr>
          <w:rFonts w:ascii="Times New Roman" w:eastAsia="Times New Roman" w:hAnsi="Times New Roman" w:cs="Times New Roman"/>
        </w:rPr>
      </w:pPr>
      <w:r w:rsidRPr="00920B12">
        <w:rPr>
          <w:rFonts w:ascii="Times New Roman" w:hAnsi="Times New Roman" w:cs="Times New Roman"/>
          <w:b/>
        </w:rPr>
        <w:tab/>
      </w:r>
      <w:r w:rsidRPr="750671CE">
        <w:rPr>
          <w:rFonts w:ascii="Times New Roman" w:eastAsia="Times New Roman" w:hAnsi="Times New Roman" w:cs="Times New Roman"/>
        </w:rPr>
        <w:t>In the early 1990s, the American Law Institute (publisher of the Restatements) issued a Reporter</w:t>
      </w:r>
      <w:r w:rsidR="00B05F31">
        <w:rPr>
          <w:rFonts w:ascii="Times New Roman" w:eastAsia="Times New Roman" w:hAnsi="Times New Roman" w:cs="Times New Roman"/>
        </w:rPr>
        <w:t>’</w:t>
      </w:r>
      <w:r w:rsidRPr="750671CE">
        <w:rPr>
          <w:rFonts w:ascii="Times New Roman" w:eastAsia="Times New Roman" w:hAnsi="Times New Roman" w:cs="Times New Roman"/>
        </w:rPr>
        <w:t>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Pr>
          <w:rFonts w:ascii="Times New Roman" w:eastAsia="Times New Roman" w:hAnsi="Times New Roman" w:cs="Times New Roman"/>
        </w:rPr>
        <w:t>’</w:t>
      </w:r>
      <w:r w:rsidRPr="750671CE">
        <w:rPr>
          <w:rFonts w:ascii="Times New Roman" w:eastAsia="Times New Roman" w:hAnsi="Times New Roman" w:cs="Times New Roman"/>
        </w:rPr>
        <w:t>s proposal would have required that:</w:t>
      </w:r>
    </w:p>
    <w:p w14:paraId="41F8C3AA" w14:textId="77777777" w:rsidR="00C22B24" w:rsidRPr="00920B12" w:rsidRDefault="00C22B24" w:rsidP="00C22B24">
      <w:pPr>
        <w:rPr>
          <w:rFonts w:ascii="Times New Roman" w:hAnsi="Times New Roman" w:cs="Times New Roman"/>
        </w:rPr>
      </w:pPr>
    </w:p>
    <w:p w14:paraId="7F772C64" w14:textId="73B9BF84" w:rsidR="00C22B24" w:rsidRPr="00920B12" w:rsidRDefault="750671CE" w:rsidP="00F94B7E">
      <w:pPr>
        <w:pStyle w:val="blockquote"/>
      </w:pPr>
      <w:r w:rsidRPr="750671CE">
        <w:t>the defendant must have publicly disclosed to the relevant regulatory agency any material information in its possession (or of which it has reason to be aware) concerning the risks posed by the defendant</w:t>
      </w:r>
      <w:r w:rsidR="00B05F31">
        <w:t>’</w:t>
      </w:r>
      <w:r w:rsidRPr="750671CE">
        <w:t>s activities and/or the means of controlling them. This requirement would extend to information indicating that agency standards or tests may be inadequate or inappropriate . . . .</w:t>
      </w:r>
    </w:p>
    <w:p w14:paraId="19EEFE27" w14:textId="24936282" w:rsidR="00C22B24" w:rsidRDefault="00C22B24" w:rsidP="750671CE">
      <w:pPr>
        <w:rPr>
          <w:rFonts w:ascii="Times New Roman" w:eastAsia="Times New Roman" w:hAnsi="Times New Roman" w:cs="Times New Roman"/>
        </w:rPr>
      </w:pPr>
      <w:r>
        <w:br/>
      </w:r>
      <w:r w:rsidR="750671CE" w:rsidRPr="750671CE">
        <w:rPr>
          <w:rFonts w:ascii="Times New Roman" w:eastAsia="Times New Roman" w:hAnsi="Times New Roman" w:cs="Times New Roman"/>
          <w:i/>
          <w:iCs/>
        </w:rPr>
        <w:t>Regulatory Compliance Preclusion of Tort Liability: Limiting the Dual-Track System</w:t>
      </w:r>
      <w:r w:rsidR="750671CE" w:rsidRPr="750671CE">
        <w:rPr>
          <w:rFonts w:ascii="Times New Roman" w:eastAsia="Times New Roman" w:hAnsi="Times New Roman" w:cs="Times New Roman"/>
        </w:rPr>
        <w:t>, 88</w:t>
      </w:r>
      <w:r w:rsidR="750671CE" w:rsidRPr="750671CE">
        <w:rPr>
          <w:rFonts w:ascii="Times New Roman" w:eastAsia="Times New Roman" w:hAnsi="Times New Roman" w:cs="Times New Roman"/>
          <w:i/>
          <w:iCs/>
        </w:rPr>
        <w:t xml:space="preserve"> </w:t>
      </w:r>
      <w:r w:rsidR="750671CE" w:rsidRPr="750671CE">
        <w:rPr>
          <w:rFonts w:ascii="Times New Roman" w:eastAsia="Times New Roman" w:hAnsi="Times New Roman" w:cs="Times New Roman"/>
          <w:smallCaps/>
        </w:rPr>
        <w:t>Geo. L.J.</w:t>
      </w:r>
      <w:r w:rsidR="750671CE" w:rsidRPr="750671CE">
        <w:rPr>
          <w:rFonts w:ascii="Times New Roman" w:eastAsia="Times New Roman" w:hAnsi="Times New Roman" w:cs="Times New Roman"/>
        </w:rPr>
        <w:t xml:space="preserve"> 2167 (2000)</w:t>
      </w:r>
      <w:r w:rsidR="750671CE" w:rsidRPr="750671CE">
        <w:rPr>
          <w:rFonts w:ascii="Times New Roman" w:eastAsia="Times New Roman" w:hAnsi="Times New Roman" w:cs="Times New Roman"/>
          <w:i/>
          <w:iCs/>
        </w:rPr>
        <w:t xml:space="preserve">.  </w:t>
      </w:r>
      <w:r w:rsidR="750671CE" w:rsidRPr="750671CE">
        <w:rPr>
          <w:rFonts w:ascii="Times New Roman" w:eastAsia="Times New Roman" w:hAnsi="Times New Roman" w:cs="Times New Roman"/>
        </w:rPr>
        <w:t>Is Stewart</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s proposal superior to the traditional common law approach to regulatory compliance?  Defenders of the traditional approach often cite the risk of regulatory capture.  Stewart</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920B12" w:rsidRDefault="00C22B24" w:rsidP="00C22B24">
      <w:pPr>
        <w:rPr>
          <w:rFonts w:ascii="Times New Roman" w:hAnsi="Times New Roman" w:cs="Times New Roman"/>
        </w:rPr>
      </w:pPr>
    </w:p>
    <w:p w14:paraId="0410DD33" w14:textId="661CA0C1" w:rsidR="00C22B24" w:rsidRPr="001F7852"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In the end, controversy over Stewart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(Third) of Torts: Liability for Physical and Emotional Harm</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16(b):</w:t>
      </w:r>
    </w:p>
    <w:p w14:paraId="56EF97E7" w14:textId="77777777" w:rsidR="00B95C11" w:rsidRDefault="00B95C11" w:rsidP="00C22B24">
      <w:pPr>
        <w:rPr>
          <w:rFonts w:ascii="Times New Roman" w:hAnsi="Times New Roman" w:cs="Times New Roman"/>
        </w:rPr>
      </w:pPr>
    </w:p>
    <w:p w14:paraId="177C41CC" w14:textId="77777777" w:rsidR="00C22B24" w:rsidRPr="00920B12" w:rsidRDefault="00C22B24" w:rsidP="00C22B24">
      <w:pPr>
        <w:rPr>
          <w:rFonts w:ascii="Times New Roman" w:hAnsi="Times New Roman" w:cs="Times New Roman"/>
        </w:rPr>
      </w:pPr>
    </w:p>
    <w:p w14:paraId="0864665B" w14:textId="77777777" w:rsidR="000B20BA" w:rsidRDefault="000B20BA" w:rsidP="00322687">
      <w:pPr>
        <w:pStyle w:val="Heading3"/>
      </w:pPr>
    </w:p>
    <w:p w14:paraId="0EB75C03" w14:textId="77777777" w:rsidR="000B20BA" w:rsidRDefault="000B20BA" w:rsidP="00322687">
      <w:pPr>
        <w:pStyle w:val="Heading3"/>
      </w:pPr>
    </w:p>
    <w:p w14:paraId="38D71904" w14:textId="77777777" w:rsidR="000B20BA" w:rsidRDefault="000B20BA">
      <w:pPr>
        <w:rPr>
          <w:rFonts w:ascii="Times" w:hAnsi="Times" w:cstheme="minorEastAsia"/>
          <w:b/>
          <w:bCs/>
          <w:i/>
          <w:lang w:eastAsia="en-US"/>
        </w:rPr>
      </w:pPr>
      <w:r>
        <w:br w:type="page"/>
      </w:r>
    </w:p>
    <w:p w14:paraId="14F4E489" w14:textId="76BFD83A" w:rsidR="00C22B24" w:rsidRPr="003424AA" w:rsidRDefault="00C22B24" w:rsidP="00322687">
      <w:pPr>
        <w:pStyle w:val="Heading3"/>
      </w:pPr>
      <w:bookmarkStart w:id="317" w:name="_Toc364636130"/>
      <w:bookmarkStart w:id="318" w:name="_Toc518323335"/>
      <w:r>
        <w:lastRenderedPageBreak/>
        <w:t>3</w:t>
      </w:r>
      <w:r w:rsidRPr="003424AA">
        <w:t>.  Torts in the Modern State: Implied Private Causes of Action</w:t>
      </w:r>
      <w:bookmarkEnd w:id="317"/>
      <w:bookmarkEnd w:id="318"/>
    </w:p>
    <w:p w14:paraId="1F8C1F78" w14:textId="77777777" w:rsidR="00E337C6" w:rsidRPr="003D3FED" w:rsidRDefault="00E337C6" w:rsidP="00C22B24">
      <w:pPr>
        <w:rPr>
          <w:rFonts w:ascii="Times New Roman" w:hAnsi="Times New Roman" w:cs="Times New Roman"/>
          <w:b/>
        </w:rPr>
      </w:pPr>
    </w:p>
    <w:p w14:paraId="4473F3CE" w14:textId="5C5DA5FE" w:rsidR="00C22B24"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further question for statutes and tort suits arises when a statute imposes an obligation that did not exist at common law.  Does failure to comply with that statutory obligation, when such failure causes harm, give rise to a cause of action for damages to enforce the public standard?  When the legislation explicitly authorizes private causes of action, the answer is a relatively straightforward yes.  Subject to the limitations of the Constitution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standing requirements, Congress and the state legislatures are generally free to authorize private parties to act as the enforcers of publicly enacted norms.  </w:t>
      </w:r>
    </w:p>
    <w:p w14:paraId="2F5CFDCE" w14:textId="77777777" w:rsidR="00C22B24" w:rsidRPr="00920B12" w:rsidRDefault="00C22B24" w:rsidP="00C22B24">
      <w:pPr>
        <w:ind w:firstLine="720"/>
        <w:rPr>
          <w:rFonts w:ascii="Times New Roman" w:hAnsi="Times New Roman" w:cs="Times New Roman"/>
        </w:rPr>
      </w:pPr>
    </w:p>
    <w:p w14:paraId="1D8184C1" w14:textId="77777777" w:rsidR="00C22B24" w:rsidRPr="00920B12" w:rsidRDefault="00C22B24" w:rsidP="750671CE">
      <w:pPr>
        <w:rPr>
          <w:rFonts w:ascii="Times New Roman" w:eastAsia="Times New Roman" w:hAnsi="Times New Roman" w:cs="Times New Roman"/>
        </w:rPr>
      </w:pPr>
      <w:r w:rsidRPr="00920B12">
        <w:rPr>
          <w:rFonts w:ascii="Times New Roman" w:hAnsi="Times New Roman" w:cs="Times New Roman"/>
        </w:rPr>
        <w:tab/>
      </w:r>
      <w:r w:rsidRPr="750671CE">
        <w:rPr>
          <w:rFonts w:ascii="Times New Roman" w:eastAsia="Times New Roman" w:hAnsi="Times New Roman" w:cs="Times New Roman"/>
        </w:rPr>
        <w:t xml:space="preserve">But what about legislation that does not specify whether private parties may enforce its provisions?  Here the problem is more difficult. </w:t>
      </w:r>
    </w:p>
    <w:p w14:paraId="0CCEAD71" w14:textId="77777777" w:rsidR="00C22B24" w:rsidRDefault="00C22B24" w:rsidP="00C22B24">
      <w:pPr>
        <w:rPr>
          <w:rFonts w:ascii="Times New Roman" w:hAnsi="Times New Roman" w:cs="Times New Roman"/>
        </w:rPr>
      </w:pPr>
    </w:p>
    <w:p w14:paraId="5DA01057" w14:textId="77777777" w:rsidR="00E337C6" w:rsidRPr="00920B12" w:rsidRDefault="00E337C6" w:rsidP="00C22B24">
      <w:pPr>
        <w:rPr>
          <w:rFonts w:ascii="Times New Roman" w:hAnsi="Times New Roman" w:cs="Times New Roman"/>
        </w:rPr>
      </w:pPr>
    </w:p>
    <w:p w14:paraId="6FE08CE8" w14:textId="77777777" w:rsidR="00C22B24" w:rsidRPr="00F94B7E" w:rsidRDefault="00C22B24" w:rsidP="750671CE">
      <w:pPr>
        <w:rPr>
          <w:rFonts w:ascii="Times" w:eastAsia="Times New Roman" w:hAnsi="Times" w:cs="Times New Roman"/>
          <w:b/>
          <w:bCs/>
        </w:rPr>
      </w:pPr>
      <w:bookmarkStart w:id="319" w:name="_Toc518323336"/>
      <w:r w:rsidRPr="00F94B7E">
        <w:rPr>
          <w:rStyle w:val="Heading4Char"/>
          <w:rFonts w:ascii="Times" w:eastAsiaTheme="minorEastAsia" w:hAnsi="Times" w:cstheme="minorEastAsia"/>
        </w:rPr>
        <w:t>Uhr v. East Greenbush Central School District</w:t>
      </w:r>
      <w:bookmarkEnd w:id="319"/>
      <w:r w:rsidRPr="00F94B7E">
        <w:rPr>
          <w:rFonts w:ascii="Times" w:eastAsia="Times New Roman" w:hAnsi="Times" w:cs="Times New Roman"/>
          <w:b/>
          <w:bCs/>
          <w:bdr w:val="none" w:sz="0" w:space="0" w:color="auto" w:frame="1"/>
        </w:rPr>
        <w:t>, 94 N.Y.2d 32 (1999)</w:t>
      </w:r>
    </w:p>
    <w:p w14:paraId="148A9DB7" w14:textId="77777777" w:rsidR="00C22B24" w:rsidRPr="00920B12" w:rsidRDefault="00C22B24" w:rsidP="00C22B24">
      <w:pPr>
        <w:rPr>
          <w:rFonts w:ascii="Times New Roman" w:hAnsi="Times New Roman" w:cs="Times New Roman"/>
          <w:bdr w:val="none" w:sz="0" w:space="0" w:color="auto" w:frame="1"/>
        </w:rPr>
      </w:pPr>
    </w:p>
    <w:p w14:paraId="24D12BA8" w14:textId="77777777" w:rsidR="00C22B24" w:rsidRPr="003D3FED" w:rsidRDefault="00C22B24" w:rsidP="750671CE">
      <w:pPr>
        <w:rPr>
          <w:rFonts w:ascii="Times New Roman" w:eastAsia="Times New Roman" w:hAnsi="Times New Roman" w:cs="Times New Roman"/>
          <w:smallCaps/>
        </w:rPr>
      </w:pPr>
      <w:r w:rsidRPr="750671CE">
        <w:rPr>
          <w:rFonts w:ascii="Times New Roman" w:eastAsia="Times New Roman" w:hAnsi="Times New Roman" w:cs="Times New Roman"/>
          <w:smallCaps/>
          <w:bdr w:val="none" w:sz="0" w:space="0" w:color="auto" w:frame="1"/>
        </w:rPr>
        <w:t>Rosenblatt, J.</w:t>
      </w:r>
    </w:p>
    <w:p w14:paraId="07848C06" w14:textId="77777777" w:rsidR="00C22B24" w:rsidRPr="00920B12" w:rsidRDefault="00C22B24" w:rsidP="00C22B24">
      <w:pPr>
        <w:rPr>
          <w:rFonts w:ascii="Times New Roman" w:hAnsi="Times New Roman" w:cs="Times New Roman"/>
          <w:bdr w:val="none" w:sz="0" w:space="0" w:color="auto" w:frame="1"/>
        </w:rPr>
      </w:pPr>
    </w:p>
    <w:p w14:paraId="02FC7A4E"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a private right of action.</w:t>
      </w:r>
    </w:p>
    <w:p w14:paraId="2AECB7B0" w14:textId="77777777" w:rsidR="00C22B24" w:rsidRPr="00920B12" w:rsidRDefault="00C22B24" w:rsidP="00C22B24">
      <w:pPr>
        <w:rPr>
          <w:rFonts w:ascii="Times New Roman" w:hAnsi="Times New Roman" w:cs="Times New Roman"/>
          <w:bdr w:val="none" w:sz="0" w:space="0" w:color="auto" w:frame="1"/>
        </w:rPr>
      </w:pPr>
    </w:p>
    <w:p w14:paraId="564F9B01"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During the 1992-1993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(1993-1994) by a school nurse who checked her height, weight and vision but allegedly did not screen her for scoliosis.</w:t>
      </w:r>
    </w:p>
    <w:p w14:paraId="46FA4B75" w14:textId="77777777" w:rsidR="00C22B24" w:rsidRPr="00920B12" w:rsidRDefault="00C22B24" w:rsidP="00C22B24">
      <w:pPr>
        <w:rPr>
          <w:rFonts w:ascii="Times New Roman" w:hAnsi="Times New Roman" w:cs="Times New Roman"/>
          <w:bdr w:val="none" w:sz="0" w:space="0" w:color="auto" w:frame="1"/>
        </w:rPr>
      </w:pPr>
    </w:p>
    <w:p w14:paraId="0B2D9608"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In March 1995, when the infant plaintiff was a ninth grader during the 1994-1995 school year at Columbia High</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School . . . a school nurse screened her for scoliosis and the examination proved positive. . . . [A]n orthopedic doctor . . . concluded that her scoliosis had progressed to the point that surgery was required</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instead of the braces that often can be utilized when the condition is diagnosed earlier. The infant plaintiff underwent surgery in July 1995.</w:t>
      </w:r>
    </w:p>
    <w:p w14:paraId="6EE1722B" w14:textId="77777777" w:rsidR="00C22B24" w:rsidRPr="00920B12" w:rsidRDefault="00C22B24" w:rsidP="00C22B24">
      <w:pPr>
        <w:rPr>
          <w:rFonts w:ascii="Times New Roman" w:hAnsi="Times New Roman" w:cs="Times New Roman"/>
          <w:bdr w:val="none" w:sz="0" w:space="0" w:color="auto" w:frame="1"/>
        </w:rPr>
      </w:pPr>
    </w:p>
    <w:p w14:paraId="59E5BD7A" w14:textId="205061CA"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Plaintiffs . . . allege . . . that the District was negligent in failing to examine the infant plaintiff for scoliosis during the 1993-1994 school year, as a result of which her ailment was allowed to progress undetected, to her detriment. Supreme Court granted the District</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motion for summary judgment, holding that 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does not create a private right of action . . . .</w:t>
      </w:r>
      <w:r w:rsidR="00B95C11">
        <w:rPr>
          <w:rFonts w:ascii="Times New Roman" w:eastAsia="Times New Roman" w:hAnsi="Times New Roman" w:cs="Times New Roman"/>
          <w:bdr w:val="none" w:sz="0" w:space="0" w:color="auto" w:frame="1"/>
        </w:rPr>
        <w:t xml:space="preserve"> </w:t>
      </w:r>
      <w:r w:rsidRPr="750671CE">
        <w:rPr>
          <w:rFonts w:ascii="Times New Roman" w:eastAsia="Times New Roman" w:hAnsi="Times New Roman" w:cs="Times New Roman"/>
          <w:bdr w:val="none" w:sz="0" w:space="0" w:color="auto" w:frame="1"/>
        </w:rPr>
        <w:t>The Appellate Division affirmed. We granted leave to appeal to this Court and now affirm.</w:t>
      </w:r>
    </w:p>
    <w:p w14:paraId="5DA2D3D9" w14:textId="77777777" w:rsidR="00C22B24" w:rsidRPr="00920B12" w:rsidRDefault="00C22B24" w:rsidP="00C22B24">
      <w:pPr>
        <w:rPr>
          <w:rFonts w:ascii="Times New Roman" w:hAnsi="Times New Roman" w:cs="Times New Roman"/>
          <w:bdr w:val="none" w:sz="0" w:space="0" w:color="auto" w:frame="1"/>
        </w:rPr>
      </w:pPr>
    </w:p>
    <w:p w14:paraId="4AA62690" w14:textId="46C436D5" w:rsidR="00C22B24" w:rsidRPr="00920B12" w:rsidRDefault="00C22B24" w:rsidP="750671CE">
      <w:pPr>
        <w:rPr>
          <w:rStyle w:val="ssun"/>
          <w:rFonts w:ascii="Times New Roman" w:eastAsia="Times New Roman" w:hAnsi="Times New Roman" w:cs="Times New Roman"/>
        </w:rPr>
      </w:pPr>
      <w:r w:rsidRPr="750671CE">
        <w:rPr>
          <w:rStyle w:val="ssun"/>
          <w:rFonts w:ascii="Times New Roman" w:eastAsia="Times New Roman" w:hAnsi="Times New Roman" w:cs="Times New Roman"/>
          <w:bdr w:val="none" w:sz="0" w:space="0" w:color="auto" w:frame="1"/>
        </w:rPr>
        <w:t>. . .</w:t>
      </w:r>
    </w:p>
    <w:p w14:paraId="63225061" w14:textId="77777777" w:rsidR="00C22B24" w:rsidRPr="00920B12" w:rsidRDefault="00C22B24" w:rsidP="00C22B24">
      <w:pPr>
        <w:tabs>
          <w:tab w:val="left" w:pos="2454"/>
        </w:tabs>
        <w:rPr>
          <w:rFonts w:ascii="Times New Roman" w:hAnsi="Times New Roman" w:cs="Times New Roman"/>
        </w:rPr>
      </w:pPr>
      <w:r>
        <w:rPr>
          <w:rFonts w:ascii="Times New Roman" w:hAnsi="Times New Roman" w:cs="Times New Roman"/>
        </w:rPr>
        <w:tab/>
      </w:r>
    </w:p>
    <w:p w14:paraId="367292EC" w14:textId="77777777" w:rsidR="00C22B24" w:rsidRPr="00DA2193" w:rsidRDefault="00C22B24" w:rsidP="750671CE">
      <w:pPr>
        <w:rPr>
          <w:rStyle w:val="ssun"/>
          <w:rFonts w:ascii="Times New Roman" w:eastAsia="Times New Roman" w:hAnsi="Times New Roman" w:cs="Times New Roman"/>
          <w:i/>
          <w:iCs/>
        </w:rPr>
      </w:pPr>
      <w:r w:rsidRPr="750671CE">
        <w:rPr>
          <w:rStyle w:val="ssun"/>
          <w:rFonts w:ascii="Times New Roman" w:eastAsia="Times New Roman" w:hAnsi="Times New Roman" w:cs="Times New Roman"/>
          <w:i/>
          <w:iCs/>
          <w:bdr w:val="none" w:sz="0" w:space="0" w:color="auto" w:frame="1"/>
        </w:rPr>
        <w:lastRenderedPageBreak/>
        <w:t>The Test For the Availability of a Private Right of Action</w:t>
      </w:r>
    </w:p>
    <w:p w14:paraId="647B40F9" w14:textId="77777777" w:rsidR="00C22B24" w:rsidRPr="00920B12" w:rsidRDefault="00C22B24" w:rsidP="00C22B24">
      <w:pPr>
        <w:rPr>
          <w:rFonts w:ascii="Times New Roman" w:hAnsi="Times New Roman" w:cs="Times New Roman"/>
        </w:rPr>
      </w:pPr>
    </w:p>
    <w:p w14:paraId="6778771B" w14:textId="707868E9" w:rsidR="00C22B24" w:rsidRPr="00920B12" w:rsidRDefault="00C22B24" w:rsidP="750671CE">
      <w:pPr>
        <w:ind w:firstLine="720"/>
        <w:rPr>
          <w:rStyle w:val="ssrfcpassagedeactivated"/>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 . . A statutory command . . . does not necessarily carry with it a right of private enforcement by means of tort litigation . . . .</w:t>
      </w:r>
    </w:p>
    <w:p w14:paraId="137E412B" w14:textId="77777777" w:rsidR="00C22B24" w:rsidRPr="00920B12" w:rsidRDefault="00C22B24" w:rsidP="00C22B24">
      <w:pPr>
        <w:rPr>
          <w:rFonts w:ascii="Times New Roman" w:hAnsi="Times New Roman" w:cs="Times New Roman"/>
        </w:rPr>
      </w:pPr>
    </w:p>
    <w:p w14:paraId="6D96D9D9" w14:textId="614A3BAE" w:rsidR="00C22B24" w:rsidRPr="00920B12" w:rsidRDefault="00C22B24" w:rsidP="750671CE">
      <w:pPr>
        <w:ind w:firstLine="720"/>
        <w:rPr>
          <w:rStyle w:val="ssrfcpassagedeactivated"/>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When a statute is silent, as it is here, courts have had to determine whether a private right of action may be fairly implied.</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 . . In making the determination, we ask:</w:t>
      </w:r>
    </w:p>
    <w:p w14:paraId="4F3041C2" w14:textId="77777777" w:rsidR="00C22B24" w:rsidRPr="00920B12" w:rsidRDefault="00C22B24" w:rsidP="00C22B24">
      <w:pPr>
        <w:rPr>
          <w:rFonts w:ascii="Times New Roman" w:hAnsi="Times New Roman" w:cs="Times New Roman"/>
        </w:rPr>
      </w:pPr>
    </w:p>
    <w:p w14:paraId="095786EC" w14:textId="5D4797D3" w:rsidR="00C22B24" w:rsidRPr="00920B12" w:rsidRDefault="00B05F31" w:rsidP="750671CE">
      <w:pPr>
        <w:ind w:left="720"/>
        <w:rPr>
          <w:rFonts w:ascii="Times New Roman" w:eastAsia="Times New Roman" w:hAnsi="Times New Roman" w:cs="Times New Roman"/>
        </w:rPr>
      </w:pPr>
      <w:r>
        <w:rPr>
          <w:rFonts w:ascii="Times New Roman" w:eastAsia="Times New Roman" w:hAnsi="Times New Roman" w:cs="Times New Roman"/>
          <w:bdr w:val="none" w:sz="0" w:space="0" w:color="auto" w:frame="1"/>
        </w:rPr>
        <w:t>“</w:t>
      </w:r>
      <w:r w:rsidR="00C22B24" w:rsidRPr="750671CE">
        <w:rPr>
          <w:rFonts w:ascii="Times New Roman" w:eastAsia="Times New Roman" w:hAnsi="Times New Roman" w:cs="Times New Roman"/>
          <w:bdr w:val="none" w:sz="0" w:space="0" w:color="auto" w:frame="1"/>
        </w:rPr>
        <w:t>(1) whether the plaintiff is one of the class for whose particular benefit the statute was enacted;</w:t>
      </w:r>
    </w:p>
    <w:p w14:paraId="7DDFBE3C" w14:textId="55CA8ECE" w:rsidR="00C22B24" w:rsidRPr="00920B12" w:rsidRDefault="00B05F31" w:rsidP="750671CE">
      <w:pPr>
        <w:ind w:left="720"/>
        <w:rPr>
          <w:rFonts w:ascii="Times New Roman" w:eastAsia="Times New Roman" w:hAnsi="Times New Roman" w:cs="Times New Roman"/>
        </w:rPr>
      </w:pPr>
      <w:r>
        <w:rPr>
          <w:rFonts w:ascii="Times New Roman" w:eastAsia="Times New Roman" w:hAnsi="Times New Roman" w:cs="Times New Roman"/>
          <w:bdr w:val="none" w:sz="0" w:space="0" w:color="auto" w:frame="1"/>
        </w:rPr>
        <w:t>“</w:t>
      </w:r>
      <w:r w:rsidR="00C22B24" w:rsidRPr="750671CE">
        <w:rPr>
          <w:rFonts w:ascii="Times New Roman" w:eastAsia="Times New Roman" w:hAnsi="Times New Roman" w:cs="Times New Roman"/>
          <w:bdr w:val="none" w:sz="0" w:space="0" w:color="auto" w:frame="1"/>
        </w:rPr>
        <w:t>(2) whether recognition of a private right of action would promote the legislative purpose; and</w:t>
      </w:r>
    </w:p>
    <w:p w14:paraId="0B91EDF9" w14:textId="0F5A0F44" w:rsidR="00C22B24" w:rsidRPr="00920B12" w:rsidRDefault="00B05F31" w:rsidP="750671CE">
      <w:pPr>
        <w:ind w:left="720"/>
        <w:rPr>
          <w:rStyle w:val="ssrfcpassagedeactivated"/>
          <w:rFonts w:ascii="Times New Roman" w:eastAsia="Times New Roman" w:hAnsi="Times New Roman" w:cs="Times New Roman"/>
        </w:rPr>
      </w:pPr>
      <w:r>
        <w:rPr>
          <w:rStyle w:val="ssrfcpassagedeactivated"/>
          <w:rFonts w:ascii="Times New Roman" w:eastAsia="Times New Roman" w:hAnsi="Times New Roman" w:cs="Times New Roman"/>
          <w:bdr w:val="none" w:sz="0" w:space="0" w:color="auto" w:frame="1"/>
        </w:rPr>
        <w:t>“</w:t>
      </w:r>
      <w:r w:rsidR="00C22B24" w:rsidRPr="750671CE">
        <w:rPr>
          <w:rStyle w:val="ssrfcpassagedeactivated"/>
          <w:rFonts w:ascii="Times New Roman" w:eastAsia="Times New Roman" w:hAnsi="Times New Roman" w:cs="Times New Roman"/>
          <w:bdr w:val="none" w:sz="0" w:space="0" w:color="auto" w:frame="1"/>
        </w:rPr>
        <w:t>(3) whether creation of such a right would be consistent with the legislative scheme</w:t>
      </w:r>
      <w:r>
        <w:rPr>
          <w:rStyle w:val="ssrfcpassagedeactivated"/>
          <w:rFonts w:ascii="Times New Roman" w:eastAsia="Times New Roman" w:hAnsi="Times New Roman" w:cs="Times New Roman"/>
          <w:bdr w:val="none" w:sz="0" w:space="0" w:color="auto" w:frame="1"/>
        </w:rPr>
        <w:t>”</w:t>
      </w:r>
      <w:r w:rsidR="00C22B24" w:rsidRPr="750671CE">
        <w:rPr>
          <w:rStyle w:val="ssrfcpassagedeactivated"/>
          <w:rFonts w:ascii="Times New Roman" w:eastAsia="Times New Roman" w:hAnsi="Times New Roman" w:cs="Times New Roman"/>
          <w:bdr w:val="none" w:sz="0" w:space="0" w:color="auto" w:frame="1"/>
        </w:rPr>
        <w:t xml:space="preserve"> (</w:t>
      </w:r>
      <w:r w:rsidR="00C22B24" w:rsidRPr="750671CE">
        <w:rPr>
          <w:rStyle w:val="ssit"/>
          <w:rFonts w:ascii="Times New Roman" w:eastAsia="Times New Roman" w:hAnsi="Times New Roman" w:cs="Times New Roman"/>
          <w:i/>
          <w:iCs/>
          <w:bdr w:val="none" w:sz="0" w:space="0" w:color="auto" w:frame="1"/>
        </w:rPr>
        <w:t>Sheehy v</w:t>
      </w:r>
      <w:r w:rsidR="00E13E97">
        <w:rPr>
          <w:rStyle w:val="ssit"/>
          <w:rFonts w:ascii="Times New Roman" w:eastAsia="Times New Roman" w:hAnsi="Times New Roman" w:cs="Times New Roman"/>
          <w:i/>
          <w:iCs/>
          <w:bdr w:val="none" w:sz="0" w:space="0" w:color="auto" w:frame="1"/>
        </w:rPr>
        <w:t>.</w:t>
      </w:r>
      <w:r w:rsidR="00C22B24" w:rsidRPr="750671CE">
        <w:rPr>
          <w:rStyle w:val="ssit"/>
          <w:rFonts w:ascii="Times New Roman" w:eastAsia="Times New Roman" w:hAnsi="Times New Roman" w:cs="Times New Roman"/>
          <w:i/>
          <w:iCs/>
          <w:bdr w:val="none" w:sz="0" w:space="0" w:color="auto" w:frame="1"/>
        </w:rPr>
        <w:t xml:space="preserve"> Big Flats Community Day,</w:t>
      </w:r>
      <w:r w:rsidR="00C22B24" w:rsidRPr="750671CE">
        <w:rPr>
          <w:rStyle w:val="apple-converted-space"/>
          <w:rFonts w:ascii="Times New Roman" w:eastAsia="Times New Roman" w:hAnsi="Times New Roman" w:cs="Times New Roman"/>
          <w:bdr w:val="none" w:sz="0" w:space="0" w:color="auto" w:frame="1"/>
        </w:rPr>
        <w:t> </w:t>
      </w:r>
      <w:r w:rsidR="00C22B24" w:rsidRPr="750671CE">
        <w:rPr>
          <w:rStyle w:val="ssrfcpassagedeactivated"/>
          <w:rFonts w:ascii="Times New Roman" w:eastAsia="Times New Roman" w:hAnsi="Times New Roman" w:cs="Times New Roman"/>
          <w:bdr w:val="none" w:sz="0" w:space="0" w:color="auto" w:frame="1"/>
        </w:rPr>
        <w:t>73 NY2d, at 633,</w:t>
      </w:r>
      <w:r w:rsidR="00C22B24" w:rsidRPr="750671CE">
        <w:rPr>
          <w:rStyle w:val="apple-converted-space"/>
          <w:rFonts w:ascii="Times New Roman" w:eastAsia="Times New Roman" w:hAnsi="Times New Roman" w:cs="Times New Roman"/>
          <w:bdr w:val="none" w:sz="0" w:space="0" w:color="auto" w:frame="1"/>
        </w:rPr>
        <w:t> </w:t>
      </w:r>
      <w:r w:rsidR="00C22B24" w:rsidRPr="750671CE">
        <w:rPr>
          <w:rStyle w:val="ssit"/>
          <w:rFonts w:ascii="Times New Roman" w:eastAsia="Times New Roman" w:hAnsi="Times New Roman" w:cs="Times New Roman"/>
          <w:i/>
          <w:iCs/>
          <w:bdr w:val="none" w:sz="0" w:space="0" w:color="auto" w:frame="1"/>
        </w:rPr>
        <w:t>supra</w:t>
      </w:r>
      <w:r w:rsidR="00C22B24" w:rsidRPr="750671CE">
        <w:rPr>
          <w:rStyle w:val="ssrfcpassagedeactivated"/>
          <w:rFonts w:ascii="Times New Roman" w:eastAsia="Times New Roman" w:hAnsi="Times New Roman" w:cs="Times New Roman"/>
          <w:bdr w:val="none" w:sz="0" w:space="0" w:color="auto" w:frame="1"/>
        </w:rPr>
        <w:t>).</w:t>
      </w:r>
    </w:p>
    <w:p w14:paraId="78632BC4" w14:textId="77777777" w:rsidR="00C22B24" w:rsidRPr="00920B12" w:rsidRDefault="00C22B24" w:rsidP="00C22B24">
      <w:pPr>
        <w:rPr>
          <w:rFonts w:ascii="Times New Roman" w:hAnsi="Times New Roman" w:cs="Times New Roman"/>
        </w:rPr>
      </w:pPr>
    </w:p>
    <w:p w14:paraId="0F92F4E5"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There is no doubt that the infant plaintiff is a member of the class for whose particular</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benefit 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was enacted. The first prong is satisfied.</w:t>
      </w:r>
    </w:p>
    <w:p w14:paraId="13C99DE1" w14:textId="77777777" w:rsidR="00C22B24" w:rsidRPr="00920B12" w:rsidRDefault="00C22B24" w:rsidP="00C22B24">
      <w:pPr>
        <w:rPr>
          <w:rFonts w:ascii="Times New Roman" w:hAnsi="Times New Roman" w:cs="Times New Roman"/>
          <w:bdr w:val="none" w:sz="0" w:space="0" w:color="auto" w:frame="1"/>
        </w:rPr>
      </w:pPr>
    </w:p>
    <w:p w14:paraId="38BA8C6B" w14:textId="77777777" w:rsidR="00C22B24" w:rsidRPr="00920B12" w:rsidRDefault="00C22B24" w:rsidP="750671CE">
      <w:pPr>
        <w:ind w:firstLine="720"/>
        <w:rPr>
          <w:rStyle w:val="ssrfcpassagedeactivated"/>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750671CE">
        <w:rPr>
          <w:rStyle w:val="ssit"/>
          <w:rFonts w:ascii="Times New Roman" w:eastAsia="Times New Roman" w:hAnsi="Times New Roman" w:cs="Times New Roman"/>
          <w:i/>
          <w:iCs/>
          <w:bdr w:val="none" w:sz="0" w:space="0" w:color="auto" w:frame="1"/>
        </w:rPr>
        <w:t>see, e.g.,</w:t>
      </w:r>
      <w:r w:rsidRPr="750671CE">
        <w:rPr>
          <w:rStyle w:val="apple-converted-space"/>
          <w:rFonts w:ascii="Times New Roman" w:eastAsia="Times New Roman" w:hAnsi="Times New Roman" w:cs="Times New Roman"/>
          <w:i/>
          <w:iCs/>
          <w:bdr w:val="none" w:sz="0" w:space="0" w:color="auto" w:frame="1"/>
        </w:rPr>
        <w:t> </w:t>
      </w:r>
      <w:r w:rsidRPr="750671CE">
        <w:rPr>
          <w:rStyle w:val="ssit"/>
          <w:rFonts w:ascii="Times New Roman" w:eastAsia="Times New Roman" w:hAnsi="Times New Roman" w:cs="Times New Roman"/>
          <w:i/>
          <w:iCs/>
          <w:bdr w:val="none" w:sz="0" w:space="0" w:color="auto" w:frame="1"/>
        </w:rPr>
        <w:t>Burns Jackson Miller Summit &amp; Spitzer v Lindner,</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59 NY2d, at 330,</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supra</w:t>
      </w:r>
      <w:r w:rsidRPr="750671CE">
        <w:rPr>
          <w:rStyle w:val="ssrfcpassagedeactivated"/>
          <w:rFonts w:ascii="Times New Roman" w:eastAsia="Times New Roman" w:hAnsi="Times New Roman" w:cs="Times New Roman"/>
          <w:bdr w:val="none" w:sz="0" w:space="0" w:color="auto" w:frame="1"/>
        </w:rPr>
        <w:t>).</w:t>
      </w:r>
    </w:p>
    <w:p w14:paraId="67A9A9E1" w14:textId="77777777" w:rsidR="00C22B24" w:rsidRPr="00920B12" w:rsidRDefault="00C22B24" w:rsidP="00C22B24">
      <w:pPr>
        <w:rPr>
          <w:rFonts w:ascii="Times New Roman" w:hAnsi="Times New Roman" w:cs="Times New Roman"/>
        </w:rPr>
      </w:pPr>
    </w:p>
    <w:p w14:paraId="72E701BD"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Here, the purpose of the statute is obvious. Scoliosis is a curvature of the spine which, if left undetected in children, can be crippling . . . . Upon early detection, scoliosis can</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be treated successfully, often without the need for surgery. . . .</w:t>
      </w:r>
    </w:p>
    <w:p w14:paraId="233AAA2C" w14:textId="77777777" w:rsidR="00C22B24" w:rsidRPr="00920B12" w:rsidRDefault="00C22B24" w:rsidP="00C22B24">
      <w:pPr>
        <w:rPr>
          <w:rFonts w:ascii="Times New Roman" w:hAnsi="Times New Roman" w:cs="Times New Roman"/>
          <w:bdr w:val="none" w:sz="0" w:space="0" w:color="auto" w:frame="1"/>
        </w:rPr>
      </w:pPr>
    </w:p>
    <w:p w14:paraId="1C9F0CDD"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Early detection of the condition serves the dual legislative purpose of promoting public health and avoiding costly hospitalization.</w:t>
      </w:r>
    </w:p>
    <w:p w14:paraId="1CBD3A93" w14:textId="77777777" w:rsidR="00C22B24" w:rsidRPr="00920B12" w:rsidRDefault="00C22B24" w:rsidP="00C22B24">
      <w:pPr>
        <w:rPr>
          <w:rFonts w:ascii="Times New Roman" w:hAnsi="Times New Roman" w:cs="Times New Roman"/>
          <w:bdr w:val="none" w:sz="0" w:space="0" w:color="auto" w:frame="1"/>
        </w:rPr>
      </w:pPr>
    </w:p>
    <w:p w14:paraId="227CED66" w14:textId="01292C69"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In arguing that a private right of action would promote these objectives, plaintiffs assert that the risk of liability for failure to screen will encourage compliance with</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(1), and thereby further the statute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purpose of providing broad-based screenings that benefit the public. In response, the District argues that the risk of liability will prompt school districts to seek</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waivers of the requirement to screen and thus defeat the statute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purpose.</w:t>
      </w:r>
    </w:p>
    <w:p w14:paraId="2DAC2D49" w14:textId="77777777" w:rsidR="00C22B24" w:rsidRPr="00920B12" w:rsidRDefault="00C22B24" w:rsidP="00C22B24">
      <w:pPr>
        <w:rPr>
          <w:rFonts w:ascii="Times New Roman" w:hAnsi="Times New Roman" w:cs="Times New Roman"/>
          <w:bdr w:val="none" w:sz="0" w:space="0" w:color="auto" w:frame="1"/>
        </w:rPr>
      </w:pPr>
    </w:p>
    <w:p w14:paraId="41520B15" w14:textId="77E07AD8"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 . . Although the District</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xml:space="preserve">s </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waiver</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xml:space="preserve"> argument is not entirely</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implausible it is an insufficient basis on which to conclude that private enforcement would not promote the statute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purpose. . . . [W]e conclude that a private right of action would promote the legislative purpose and, therefore,</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the second prong is satisfied.</w:t>
      </w:r>
    </w:p>
    <w:p w14:paraId="037FFC00" w14:textId="77777777" w:rsidR="00C22B24" w:rsidRPr="00920B12" w:rsidRDefault="00C22B24" w:rsidP="00C22B24">
      <w:pPr>
        <w:rPr>
          <w:rFonts w:ascii="Times New Roman" w:hAnsi="Times New Roman" w:cs="Times New Roman"/>
          <w:bdr w:val="none" w:sz="0" w:space="0" w:color="auto" w:frame="1"/>
        </w:rPr>
      </w:pPr>
    </w:p>
    <w:p w14:paraId="5FF33788" w14:textId="37B005DA" w:rsidR="00C22B24" w:rsidRPr="00920B12" w:rsidRDefault="00C22B24" w:rsidP="750671CE">
      <w:pPr>
        <w:ind w:firstLine="720"/>
        <w:rPr>
          <w:rStyle w:val="ssrfcpassagedeactivated"/>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We turn next to the third</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Sheehy</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prong</w:t>
      </w:r>
      <w:r w:rsidR="00E13E97" w:rsidRPr="00E13E97">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 xml:space="preserve">whether a private right of action is consistent with the legislative scheme. . . . [P]rivate avenues of enforcement do not always harmonize </w:t>
      </w:r>
      <w:r w:rsidR="00143A6D">
        <w:rPr>
          <w:rStyle w:val="ssrfcpassagedeactivated"/>
          <w:rFonts w:ascii="Times New Roman" w:eastAsia="Times New Roman" w:hAnsi="Times New Roman" w:cs="Times New Roman"/>
          <w:bdr w:val="none" w:sz="0" w:space="0" w:color="auto" w:frame="1"/>
        </w:rPr>
        <w:t xml:space="preserve">[with public enforcement] </w:t>
      </w:r>
      <w:r w:rsidRPr="750671CE">
        <w:rPr>
          <w:rStyle w:val="ssrfcpassagedeactivated"/>
          <w:rFonts w:ascii="Times New Roman" w:eastAsia="Times New Roman" w:hAnsi="Times New Roman" w:cs="Times New Roman"/>
          <w:bdr w:val="none" w:sz="0" w:space="0" w:color="auto" w:frame="1"/>
        </w:rPr>
        <w:t>. . . . </w:t>
      </w:r>
      <w:r w:rsidR="00143A6D">
        <w:rPr>
          <w:rStyle w:val="ssrfcpassagedeactivated"/>
          <w:rFonts w:ascii="Times New Roman" w:eastAsia="Times New Roman" w:hAnsi="Times New Roman" w:cs="Times New Roman"/>
          <w:bdr w:val="none" w:sz="0" w:space="0" w:color="auto" w:frame="1"/>
        </w:rPr>
        <w:t xml:space="preserve"> </w:t>
      </w:r>
      <w:r w:rsidRPr="750671CE">
        <w:rPr>
          <w:rStyle w:val="ssrfcpassagedeactivated"/>
          <w:rFonts w:ascii="Times New Roman" w:eastAsia="Times New Roman" w:hAnsi="Times New Roman" w:cs="Times New Roman"/>
          <w:bdr w:val="none" w:sz="0" w:space="0" w:color="auto" w:frame="1"/>
        </w:rPr>
        <w:t xml:space="preserve">Both may . . . promote statutory </w:t>
      </w:r>
      <w:r w:rsidRPr="750671CE">
        <w:rPr>
          <w:rStyle w:val="ssrfcpassagedeactivated"/>
          <w:rFonts w:ascii="Times New Roman" w:eastAsia="Times New Roman" w:hAnsi="Times New Roman" w:cs="Times New Roman"/>
          <w:bdr w:val="none" w:sz="0" w:space="0" w:color="auto" w:frame="1"/>
        </w:rPr>
        <w:lastRenderedPageBreak/>
        <w:t>compliance . . . but . . . are born of different motivations and may produce a different allocation of benefits owing to differences in approach . . . .</w:t>
      </w:r>
    </w:p>
    <w:p w14:paraId="10A64AB4" w14:textId="77777777" w:rsidR="00C22B24" w:rsidRPr="00920B12" w:rsidRDefault="00C22B24" w:rsidP="00C22B24">
      <w:pPr>
        <w:rPr>
          <w:rFonts w:ascii="Times New Roman" w:hAnsi="Times New Roman" w:cs="Times New Roman"/>
        </w:rPr>
      </w:pPr>
    </w:p>
    <w:p w14:paraId="568C9D40"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Plaintiffs argue that a private right of action is not only consistent with</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and has equipped the Commissioner with authority to adopt rules and regulations for such purpose (</w:t>
      </w:r>
      <w:r w:rsidRPr="750671CE">
        <w:rPr>
          <w:rStyle w:val="ssit"/>
          <w:rFonts w:ascii="Times New Roman" w:eastAsia="Times New Roman" w:hAnsi="Times New Roman" w:cs="Times New Roman"/>
          <w:i/>
          <w:iCs/>
          <w:bdr w:val="none" w:sz="0" w:space="0" w:color="auto" w:frame="1"/>
        </w:rPr>
        <w:t>see,</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[1];</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6B79937D" w14:textId="77777777" w:rsidR="00C22B24" w:rsidRPr="00920B12" w:rsidRDefault="00C22B24" w:rsidP="00C22B24">
      <w:pPr>
        <w:rPr>
          <w:rFonts w:ascii="Times New Roman" w:hAnsi="Times New Roman" w:cs="Times New Roman"/>
          <w:bdr w:val="none" w:sz="0" w:space="0" w:color="auto" w:frame="1"/>
        </w:rPr>
      </w:pPr>
    </w:p>
    <w:p w14:paraId="321C0A30" w14:textId="2B89411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It would not. The evolution of</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(2)</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is compelling evidence of the Legislature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intent to immunize</w:t>
      </w:r>
      <w:r w:rsidRPr="750671CE">
        <w:rPr>
          <w:rStyle w:val="sspagshow"/>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 xml:space="preserve">the school districts from any liability that might arise out of the scoliosis screening program. . . . [T]he Legislature deemed that the school district </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shall not suffer any liability to any person as a result of</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 xml:space="preserve">making </w:t>
      </w:r>
      <w:r w:rsidRPr="750671CE">
        <w:rPr>
          <w:rFonts w:ascii="Times New Roman" w:eastAsia="Times New Roman" w:hAnsi="Times New Roman" w:cs="Times New Roman"/>
          <w:bdr w:val="none" w:sz="0" w:space="0" w:color="auto" w:frame="1"/>
        </w:rPr>
        <w:t>such test or examination</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xml:space="preserve"> (emphasis added). . . . [P]laintiffs would interpret the statute as conferring immunity for misfeasance but not nonfeasance. . . .</w:t>
      </w:r>
    </w:p>
    <w:p w14:paraId="78BF9CF0" w14:textId="77777777" w:rsidR="00C22B24" w:rsidRPr="00920B12" w:rsidRDefault="00C22B24" w:rsidP="00C22B24">
      <w:pPr>
        <w:rPr>
          <w:rFonts w:ascii="Times New Roman" w:hAnsi="Times New Roman" w:cs="Times New Roman"/>
          <w:bdr w:val="none" w:sz="0" w:space="0" w:color="auto" w:frame="1"/>
        </w:rPr>
      </w:pPr>
    </w:p>
    <w:p w14:paraId="69F4AAA8" w14:textId="210A0DAC" w:rsidR="00C22B24" w:rsidRPr="00920B12" w:rsidRDefault="00C22B24" w:rsidP="750671CE">
      <w:pPr>
        <w:ind w:firstLine="720"/>
        <w:rPr>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Plaintiffs</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 xml:space="preserve"> reading of the statute might have some appeal if we did not have persuasive evidence as to the Legislature</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s intent to immunize the school districts for both nonfeasance and misfeasance. The Legislature revealed its stance, in support of the District</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s interpretation, when in 1994 it amended</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Education Law § 905</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(2)</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 xml:space="preserve">in reaction to an Appellate Division ruling in </w:t>
      </w:r>
      <w:r w:rsidRPr="750671CE">
        <w:rPr>
          <w:rStyle w:val="ssit"/>
          <w:rFonts w:ascii="Times New Roman" w:eastAsia="Times New Roman" w:hAnsi="Times New Roman" w:cs="Times New Roman"/>
          <w:i/>
          <w:iCs/>
          <w:bdr w:val="none" w:sz="0" w:space="0" w:color="auto" w:frame="1"/>
        </w:rPr>
        <w:t>Bello v</w:t>
      </w:r>
      <w:r w:rsidR="00E13E97">
        <w:rPr>
          <w:rStyle w:val="ssit"/>
          <w:rFonts w:ascii="Times New Roman" w:eastAsia="Times New Roman" w:hAnsi="Times New Roman" w:cs="Times New Roman"/>
          <w:i/>
          <w:iCs/>
          <w:bdr w:val="none" w:sz="0" w:space="0" w:color="auto" w:frame="1"/>
        </w:rPr>
        <w:t>.</w:t>
      </w:r>
      <w:r w:rsidRPr="750671CE">
        <w:rPr>
          <w:rStyle w:val="ssit"/>
          <w:rFonts w:ascii="Times New Roman" w:eastAsia="Times New Roman" w:hAnsi="Times New Roman" w:cs="Times New Roman"/>
          <w:i/>
          <w:iCs/>
          <w:bdr w:val="none" w:sz="0" w:space="0" w:color="auto" w:frame="1"/>
        </w:rPr>
        <w:t xml:space="preserve"> Board of Educ.</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(139 AD2d 945). The</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Bello</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Court ruled that</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(2)</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did not impose liability for the school district</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s failure to notify a child</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s parents of the positive results of the screening (</w:t>
      </w:r>
      <w:r w:rsidRPr="750671CE">
        <w:rPr>
          <w:rStyle w:val="ssit"/>
          <w:rFonts w:ascii="Times New Roman" w:eastAsia="Times New Roman" w:hAnsi="Times New Roman" w:cs="Times New Roman"/>
          <w:i/>
          <w:iCs/>
          <w:bdr w:val="none" w:sz="0" w:space="0" w:color="auto" w:frame="1"/>
        </w:rPr>
        <w:t>Bello v</w:t>
      </w:r>
      <w:r w:rsidR="00E13E97">
        <w:rPr>
          <w:rStyle w:val="ssit"/>
          <w:rFonts w:ascii="Times New Roman" w:eastAsia="Times New Roman" w:hAnsi="Times New Roman" w:cs="Times New Roman"/>
          <w:i/>
          <w:iCs/>
          <w:bdr w:val="none" w:sz="0" w:space="0" w:color="auto" w:frame="1"/>
        </w:rPr>
        <w:t>.</w:t>
      </w:r>
      <w:r w:rsidRPr="750671CE">
        <w:rPr>
          <w:rStyle w:val="ssit"/>
          <w:rFonts w:ascii="Times New Roman" w:eastAsia="Times New Roman" w:hAnsi="Times New Roman" w:cs="Times New Roman"/>
          <w:i/>
          <w:iCs/>
          <w:bdr w:val="none" w:sz="0" w:space="0" w:color="auto" w:frame="1"/>
        </w:rPr>
        <w:t xml:space="preserve"> Board of Educ.,</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139 AD2d, at 945,</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supra</w:t>
      </w:r>
      <w:r w:rsidRPr="750671CE">
        <w:rPr>
          <w:rStyle w:val="ssrfcpassagedeactivated"/>
          <w:rFonts w:ascii="Times New Roman" w:eastAsia="Times New Roman" w:hAnsi="Times New Roman" w:cs="Times New Roman"/>
          <w:bdr w:val="none" w:sz="0" w:space="0" w:color="auto" w:frame="1"/>
        </w:rPr>
        <w:t xml:space="preserve">). . . . </w:t>
      </w:r>
      <w:r w:rsidRPr="750671CE">
        <w:rPr>
          <w:rFonts w:ascii="Times New Roman" w:eastAsia="Times New Roman" w:hAnsi="Times New Roman" w:cs="Times New Roman"/>
          <w:bdr w:val="none" w:sz="0" w:space="0" w:color="auto" w:frame="1"/>
        </w:rPr>
        <w:t>The Legislature specifically responded to</w:t>
      </w:r>
      <w:r w:rsidRPr="750671CE">
        <w:rPr>
          <w:rStyle w:val="apple-converted-space"/>
          <w:rFonts w:ascii="Times New Roman" w:eastAsia="Times New Roman" w:hAnsi="Times New Roman" w:cs="Times New Roman"/>
          <w:bdr w:val="none" w:sz="0" w:space="0" w:color="auto" w:frame="1"/>
        </w:rPr>
        <w:t> </w:t>
      </w:r>
      <w:r w:rsidRPr="750671CE">
        <w:rPr>
          <w:rStyle w:val="ssit"/>
          <w:rFonts w:ascii="Times New Roman" w:eastAsia="Times New Roman" w:hAnsi="Times New Roman" w:cs="Times New Roman"/>
          <w:i/>
          <w:iCs/>
          <w:bdr w:val="none" w:sz="0" w:space="0" w:color="auto" w:frame="1"/>
        </w:rPr>
        <w:t>Bello</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by amending</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 (2)</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 xml:space="preserve">to require parental notification of positive test results within 90 days after the test (L 1994, ch 197). </w:t>
      </w:r>
      <w:r w:rsidR="00143A6D">
        <w:rPr>
          <w:rFonts w:ascii="Times New Roman" w:eastAsia="Times New Roman" w:hAnsi="Times New Roman" w:cs="Times New Roman"/>
          <w:bdr w:val="none" w:sz="0" w:space="0" w:color="auto" w:frame="1"/>
        </w:rPr>
        <w:t xml:space="preserve"> </w:t>
      </w:r>
      <w:r w:rsidRPr="750671CE">
        <w:rPr>
          <w:rFonts w:ascii="Times New Roman" w:eastAsia="Times New Roman" w:hAnsi="Times New Roman" w:cs="Times New Roman"/>
          <w:bdr w:val="none" w:sz="0" w:space="0" w:color="auto" w:frame="1"/>
        </w:rPr>
        <w:t>Revealingly, the Legislature evidently saw no need to amend</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Education Law § 905</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 xml:space="preserve">in any other way . . . . </w:t>
      </w:r>
      <w:r w:rsidR="00143A6D">
        <w:rPr>
          <w:rFonts w:ascii="Times New Roman" w:eastAsia="Times New Roman" w:hAnsi="Times New Roman" w:cs="Times New Roman"/>
          <w:bdr w:val="none" w:sz="0" w:space="0" w:color="auto" w:frame="1"/>
        </w:rPr>
        <w:t xml:space="preserve"> </w:t>
      </w:r>
      <w:r w:rsidRPr="750671CE">
        <w:rPr>
          <w:rFonts w:ascii="Times New Roman" w:eastAsia="Times New Roman" w:hAnsi="Times New Roman" w:cs="Times New Roman"/>
          <w:bdr w:val="none" w:sz="0" w:space="0" w:color="auto" w:frame="1"/>
        </w:rPr>
        <w:t>Its failure to otherwise amend the statute is strong</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evidence of the Legislature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conclusion that the Appellate Divisions had correctly interpreted the statute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immunity provision.</w:t>
      </w:r>
    </w:p>
    <w:p w14:paraId="6A43D874" w14:textId="77777777" w:rsidR="00C22B24" w:rsidRPr="00920B12" w:rsidRDefault="00C22B24" w:rsidP="00C22B24">
      <w:pPr>
        <w:rPr>
          <w:rFonts w:ascii="Times New Roman" w:hAnsi="Times New Roman" w:cs="Times New Roman"/>
          <w:bdr w:val="none" w:sz="0" w:space="0" w:color="auto" w:frame="1"/>
        </w:rPr>
      </w:pPr>
    </w:p>
    <w:p w14:paraId="47D3C9C9" w14:textId="7E8CB1BD" w:rsidR="00C22B24" w:rsidRPr="00920B12" w:rsidRDefault="00C22B24" w:rsidP="750671CE">
      <w:pPr>
        <w:ind w:firstLine="720"/>
        <w:rPr>
          <w:rStyle w:val="ssrfcpassagedeactivated"/>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There is also the matter of cost to the school districts, as evidenced by the Legislature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expressed sensitivity in that regard.</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 . .</w:t>
      </w:r>
    </w:p>
    <w:p w14:paraId="22F0F039" w14:textId="77777777" w:rsidR="00C22B24" w:rsidRPr="00920B12" w:rsidRDefault="00C22B24" w:rsidP="00C22B24">
      <w:pPr>
        <w:rPr>
          <w:rFonts w:ascii="Times New Roman" w:hAnsi="Times New Roman" w:cs="Times New Roman"/>
        </w:rPr>
      </w:pPr>
    </w:p>
    <w:p w14:paraId="103C8A22" w14:textId="2870CE09"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Given the Legislature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s concern over the possible costs to the school districts—as evidenced by the statutory immunity provision and the other legislative statements reflecting those concerns—we conclude</w:t>
      </w:r>
      <w:r w:rsidRPr="750671CE">
        <w:rPr>
          <w:rStyle w:val="apple-converted-space"/>
          <w:rFonts w:ascii="Times New Roman" w:eastAsia="Times New Roman" w:hAnsi="Times New Roman" w:cs="Times New Roman"/>
          <w:bdr w:val="none" w:sz="0" w:space="0" w:color="auto" w:frame="1"/>
        </w:rPr>
        <w:t> </w:t>
      </w:r>
      <w:r w:rsidRPr="750671CE">
        <w:rPr>
          <w:rFonts w:ascii="Times New Roman" w:eastAsia="Times New Roman" w:hAnsi="Times New Roman" w:cs="Times New Roman"/>
          <w:bdr w:val="none" w:sz="0" w:space="0" w:color="auto" w:frame="1"/>
        </w:rPr>
        <w:t>that the Legislature did not intend that the districts bear the potential liability for a program that benefits a far wider population. If we are to imply such a right, we must have clear evidence of the Legislature</w:t>
      </w:r>
      <w:r w:rsidR="00B05F31">
        <w:rPr>
          <w:rFonts w:ascii="Times New Roman" w:eastAsia="Times New Roman" w:hAnsi="Times New Roman" w:cs="Times New Roman"/>
          <w:bdr w:val="none" w:sz="0" w:space="0" w:color="auto" w:frame="1"/>
        </w:rPr>
        <w:t>’</w:t>
      </w:r>
      <w:r w:rsidRPr="750671CE">
        <w:rPr>
          <w:rFonts w:ascii="Times New Roman" w:eastAsia="Times New Roman" w:hAnsi="Times New Roman" w:cs="Times New Roman"/>
          <w:bdr w:val="none" w:sz="0" w:space="0" w:color="auto" w:frame="1"/>
        </w:rPr>
        <w:t xml:space="preserve">s willingness </w:t>
      </w:r>
      <w:r w:rsidRPr="750671CE">
        <w:rPr>
          <w:rFonts w:ascii="Times New Roman" w:eastAsia="Times New Roman" w:hAnsi="Times New Roman" w:cs="Times New Roman"/>
          <w:bdr w:val="none" w:sz="0" w:space="0" w:color="auto" w:frame="1"/>
        </w:rPr>
        <w:lastRenderedPageBreak/>
        <w:t>to expose the governmental entity to liability that it might not otherwise incur. The case before us reveals no such legislative intent.</w:t>
      </w:r>
    </w:p>
    <w:p w14:paraId="7D8C0281" w14:textId="77777777" w:rsidR="00C22B24" w:rsidRPr="00920B12" w:rsidRDefault="00C22B24" w:rsidP="00C22B24">
      <w:pPr>
        <w:rPr>
          <w:rFonts w:ascii="Times New Roman" w:hAnsi="Times New Roman" w:cs="Times New Roman"/>
          <w:bdr w:val="none" w:sz="0" w:space="0" w:color="auto" w:frame="1"/>
        </w:rPr>
      </w:pPr>
    </w:p>
    <w:p w14:paraId="7F490BFD" w14:textId="00C609F7" w:rsidR="00C22B24" w:rsidRPr="00920B12" w:rsidRDefault="00C22B24" w:rsidP="750671CE">
      <w:pPr>
        <w:ind w:firstLine="720"/>
        <w:rPr>
          <w:rStyle w:val="ssrfcpassagedeactivated"/>
          <w:rFonts w:ascii="Times New Roman" w:eastAsia="Times New Roman" w:hAnsi="Times New Roman" w:cs="Times New Roman"/>
        </w:rPr>
      </w:pPr>
      <w:r w:rsidRPr="750671CE">
        <w:rPr>
          <w:rStyle w:val="ssrfcpassagedeactivated"/>
          <w:rFonts w:ascii="Times New Roman" w:eastAsia="Times New Roman" w:hAnsi="Times New Roman" w:cs="Times New Roman"/>
          <w:bdr w:val="none" w:sz="0" w:space="0" w:color="auto" w:frame="1"/>
        </w:rPr>
        <w:t>In sum, we conclude that a private right of action to enforce</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Education Law § 905 (1)</w:t>
      </w:r>
      <w:r w:rsidRPr="750671CE">
        <w:rPr>
          <w:rStyle w:val="apple-converted-space"/>
          <w:rFonts w:ascii="Times New Roman" w:eastAsia="Times New Roman" w:hAnsi="Times New Roman" w:cs="Times New Roman"/>
          <w:bdr w:val="none" w:sz="0" w:space="0" w:color="auto" w:frame="1"/>
        </w:rPr>
        <w:t> </w:t>
      </w:r>
      <w:r w:rsidRPr="750671CE">
        <w:rPr>
          <w:rStyle w:val="ssrfcpassagedeactivated"/>
          <w:rFonts w:ascii="Times New Roman" w:eastAsia="Times New Roman" w:hAnsi="Times New Roman" w:cs="Times New Roman"/>
          <w:bdr w:val="none" w:sz="0" w:space="0" w:color="auto" w:frame="1"/>
        </w:rPr>
        <w:t>is inconsistent with the statute</w:t>
      </w:r>
      <w:r w:rsidR="00B05F31">
        <w:rPr>
          <w:rStyle w:val="ssrfcpassagedeactivated"/>
          <w:rFonts w:ascii="Times New Roman" w:eastAsia="Times New Roman" w:hAnsi="Times New Roman" w:cs="Times New Roman"/>
          <w:bdr w:val="none" w:sz="0" w:space="0" w:color="auto" w:frame="1"/>
        </w:rPr>
        <w:t>’</w:t>
      </w:r>
      <w:r w:rsidRPr="750671CE">
        <w:rPr>
          <w:rStyle w:val="ssrfcpassagedeactivated"/>
          <w:rFonts w:ascii="Times New Roman" w:eastAsia="Times New Roman" w:hAnsi="Times New Roman" w:cs="Times New Roman"/>
          <w:bdr w:val="none" w:sz="0" w:space="0" w:color="auto" w:frame="1"/>
        </w:rPr>
        <w:t>s legislative scheme and therefore cannot be fairly implied.</w:t>
      </w:r>
    </w:p>
    <w:p w14:paraId="305DF64D" w14:textId="77777777" w:rsidR="00C22B24" w:rsidRPr="00920B12" w:rsidRDefault="00C22B24" w:rsidP="00C22B24">
      <w:pPr>
        <w:rPr>
          <w:rFonts w:ascii="Times New Roman" w:hAnsi="Times New Roman" w:cs="Times New Roman"/>
        </w:rPr>
      </w:pPr>
    </w:p>
    <w:p w14:paraId="1FBEB886" w14:textId="12B16D39" w:rsidR="00C22B24" w:rsidRPr="00920B12" w:rsidRDefault="00C22B24" w:rsidP="750671CE">
      <w:pPr>
        <w:rPr>
          <w:rStyle w:val="ssun"/>
          <w:rFonts w:ascii="Times New Roman" w:eastAsia="Times New Roman" w:hAnsi="Times New Roman" w:cs="Times New Roman"/>
        </w:rPr>
      </w:pPr>
      <w:r w:rsidRPr="750671CE">
        <w:rPr>
          <w:rStyle w:val="ssun"/>
          <w:rFonts w:ascii="Times New Roman" w:eastAsia="Times New Roman" w:hAnsi="Times New Roman" w:cs="Times New Roman"/>
          <w:bdr w:val="none" w:sz="0" w:space="0" w:color="auto" w:frame="1"/>
        </w:rPr>
        <w:t>. . .</w:t>
      </w:r>
    </w:p>
    <w:p w14:paraId="72B9AA45" w14:textId="77777777" w:rsidR="00C22B24" w:rsidRPr="00920B12" w:rsidRDefault="00C22B24" w:rsidP="00C22B24">
      <w:pPr>
        <w:rPr>
          <w:rFonts w:ascii="Times New Roman" w:hAnsi="Times New Roman" w:cs="Times New Roman"/>
        </w:rPr>
      </w:pPr>
    </w:p>
    <w:p w14:paraId="57C5FEBE" w14:textId="77777777" w:rsidR="00C22B24" w:rsidRPr="00920B12" w:rsidRDefault="00C22B24" w:rsidP="750671CE">
      <w:pPr>
        <w:ind w:firstLine="720"/>
        <w:rPr>
          <w:rFonts w:ascii="Times New Roman" w:eastAsia="Times New Roman" w:hAnsi="Times New Roman" w:cs="Times New Roman"/>
        </w:rPr>
      </w:pPr>
      <w:r w:rsidRPr="750671CE">
        <w:rPr>
          <w:rFonts w:ascii="Times New Roman" w:eastAsia="Times New Roman" w:hAnsi="Times New Roman" w:cs="Times New Roman"/>
          <w:bdr w:val="none" w:sz="0" w:space="0" w:color="auto" w:frame="1"/>
        </w:rPr>
        <w:t>Accordingly, the order of the Appellate Division should be affirmed, with costs.</w:t>
      </w:r>
    </w:p>
    <w:p w14:paraId="61CAAB98" w14:textId="77777777" w:rsidR="00C22B24" w:rsidRPr="00920B12" w:rsidRDefault="00C22B24">
      <w:pPr>
        <w:rPr>
          <w:rFonts w:ascii="Times New Roman" w:hAnsi="Times New Roman" w:cs="Times New Roman"/>
        </w:rPr>
      </w:pPr>
    </w:p>
    <w:p w14:paraId="3725C7A0" w14:textId="77777777" w:rsidR="00C22B24" w:rsidRPr="00920B12" w:rsidRDefault="00C22B24">
      <w:pPr>
        <w:rPr>
          <w:rFonts w:ascii="Times New Roman" w:hAnsi="Times New Roman" w:cs="Times New Roman"/>
        </w:rPr>
      </w:pPr>
    </w:p>
    <w:p w14:paraId="3F68240F" w14:textId="77777777" w:rsidR="00C22B24" w:rsidRDefault="00C22B24" w:rsidP="002502CC">
      <w:pPr>
        <w:pStyle w:val="Heading4"/>
      </w:pPr>
      <w:bookmarkStart w:id="320" w:name="_Toc364636131"/>
      <w:bookmarkStart w:id="321" w:name="_Toc518323337"/>
      <w:r w:rsidRPr="00920B12">
        <w:t>Notes</w:t>
      </w:r>
      <w:bookmarkEnd w:id="320"/>
      <w:bookmarkEnd w:id="321"/>
    </w:p>
    <w:p w14:paraId="193C329C" w14:textId="77777777" w:rsidR="00C22B24" w:rsidRDefault="00C22B24" w:rsidP="00DA12B7">
      <w:pPr>
        <w:rPr>
          <w:rFonts w:ascii="Times New Roman" w:hAnsi="Times New Roman" w:cs="Times New Roman"/>
          <w:b/>
          <w:i/>
        </w:rPr>
      </w:pPr>
    </w:p>
    <w:p w14:paraId="5939B3DE" w14:textId="77777777" w:rsidR="00DA12B7" w:rsidRPr="00920B12" w:rsidRDefault="00DA12B7" w:rsidP="00DA12B7">
      <w:pPr>
        <w:rPr>
          <w:rFonts w:ascii="Times New Roman" w:hAnsi="Times New Roman" w:cs="Times New Roman"/>
          <w:b/>
          <w:i/>
        </w:rPr>
      </w:pPr>
    </w:p>
    <w:p w14:paraId="356E5860" w14:textId="17FB6C4B" w:rsidR="00C22B24" w:rsidRPr="00F94B7E" w:rsidRDefault="00C22B24"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Torts in the modern state</w:t>
      </w:r>
      <w:r w:rsidRPr="00F94B7E">
        <w:rPr>
          <w:rFonts w:ascii="Times New Roman" w:eastAsia="Times New Roman" w:hAnsi="Times New Roman" w:cs="Times New Roman"/>
        </w:rPr>
        <w:t xml:space="preserve">.  State courts (and federal courts applying state tort law) have addressed implied cause of action claims in a variety of contexts. In </w:t>
      </w:r>
      <w:r w:rsidRPr="00F94B7E">
        <w:rPr>
          <w:rFonts w:ascii="Times New Roman" w:eastAsia="Times New Roman" w:hAnsi="Times New Roman" w:cs="Times New Roman"/>
          <w:i/>
          <w:iCs/>
        </w:rPr>
        <w:t>Sheehy v. Big Flats Community Day, Inc.</w:t>
      </w:r>
      <w:r w:rsidRPr="00F94B7E">
        <w:rPr>
          <w:rFonts w:ascii="Times New Roman" w:eastAsia="Times New Roman" w:hAnsi="Times New Roman" w:cs="Times New Roman"/>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As in </w:t>
      </w:r>
      <w:r w:rsidRPr="00F94B7E">
        <w:rPr>
          <w:rFonts w:ascii="Times New Roman" w:eastAsia="Times New Roman" w:hAnsi="Times New Roman" w:cs="Times New Roman"/>
          <w:i/>
          <w:iCs/>
        </w:rPr>
        <w:t>Uhr</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Sheehy</w:t>
      </w:r>
      <w:r w:rsidRPr="00F94B7E">
        <w:rPr>
          <w:rFonts w:ascii="Times New Roman" w:eastAsia="Times New Roman" w:hAnsi="Times New Roman" w:cs="Times New Roman"/>
        </w:rPr>
        <w:t xml:space="preserve">, private right of action cases ask whether the statute in question imposes a duty on the defendant owed to and enforceable by the plaintiff, rather than whether the statutory standard sets the measure of negligence.  </w:t>
      </w:r>
      <w:r w:rsidRPr="00F94B7E">
        <w:rPr>
          <w:rFonts w:ascii="Times New Roman" w:eastAsia="Times New Roman" w:hAnsi="Times New Roman" w:cs="Times New Roman"/>
          <w:bdr w:val="none" w:sz="0" w:space="0" w:color="auto" w:frame="1"/>
        </w:rPr>
        <w:t xml:space="preserve">In </w:t>
      </w:r>
      <w:r w:rsidRPr="00F94B7E">
        <w:rPr>
          <w:rFonts w:ascii="Times New Roman" w:eastAsia="Times New Roman" w:hAnsi="Times New Roman" w:cs="Times New Roman"/>
          <w:i/>
          <w:iCs/>
          <w:bdr w:val="none" w:sz="0" w:space="0" w:color="auto" w:frame="1"/>
        </w:rPr>
        <w:t>Lu v. Hawaiian Gardens Casino</w:t>
      </w:r>
      <w:r w:rsidRPr="00F94B7E">
        <w:rPr>
          <w:rFonts w:ascii="Times New Roman" w:eastAsia="Times New Roman" w:hAnsi="Times New Roman" w:cs="Times New Roman"/>
          <w:bdr w:val="none" w:sz="0" w:space="0" w:color="auto" w:frame="1"/>
        </w:rPr>
        <w:t>, 50 Cal. 4th 592 (2010), for example, the Supreme Court of California held that employees could not sue to enforce a provision of the state</w:t>
      </w:r>
      <w:r w:rsidR="00B05F31" w:rsidRPr="00F94B7E">
        <w:rPr>
          <w:rFonts w:ascii="Times New Roman" w:eastAsia="Times New Roman" w:hAnsi="Times New Roman" w:cs="Times New Roman"/>
          <w:bdr w:val="none" w:sz="0" w:space="0" w:color="auto" w:frame="1"/>
        </w:rPr>
        <w:t>’</w:t>
      </w:r>
      <w:r w:rsidRPr="00F94B7E">
        <w:rPr>
          <w:rFonts w:ascii="Times New Roman" w:eastAsia="Times New Roman" w:hAnsi="Times New Roman" w:cs="Times New Roman"/>
          <w:bdr w:val="none" w:sz="0" w:space="0" w:color="auto" w:frame="1"/>
        </w:rPr>
        <w:t xml:space="preserve">s labor code, which prohibited employers from taking gratuities left for employees.   </w:t>
      </w:r>
    </w:p>
    <w:p w14:paraId="65411C36" w14:textId="77777777" w:rsidR="00C22B24" w:rsidRDefault="00C22B24" w:rsidP="00C22B24">
      <w:pPr>
        <w:pStyle w:val="ListParagraph"/>
        <w:rPr>
          <w:rFonts w:ascii="Times New Roman" w:eastAsia="Times New Roman" w:hAnsi="Times New Roman" w:cs="Times New Roman"/>
        </w:rPr>
      </w:pPr>
      <w:r w:rsidRPr="00920B12">
        <w:rPr>
          <w:rFonts w:ascii="Times New Roman" w:eastAsia="Times New Roman" w:hAnsi="Times New Roman" w:cs="Times New Roman"/>
        </w:rPr>
        <w:t xml:space="preserve"> </w:t>
      </w:r>
    </w:p>
    <w:p w14:paraId="0DE42C72" w14:textId="77777777" w:rsidR="00C22B24" w:rsidRPr="00920B12" w:rsidRDefault="00C22B24" w:rsidP="00C22B24">
      <w:pPr>
        <w:pStyle w:val="ListParagraph"/>
        <w:rPr>
          <w:rFonts w:ascii="Times New Roman" w:eastAsia="Times New Roman" w:hAnsi="Times New Roman" w:cs="Times New Roman"/>
        </w:rPr>
      </w:pPr>
    </w:p>
    <w:p w14:paraId="0589C951" w14:textId="19CF0A30"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Implied ca</w:t>
      </w:r>
      <w:r w:rsidR="006779FB">
        <w:rPr>
          <w:rFonts w:ascii="Times New Roman" w:eastAsia="Times New Roman" w:hAnsi="Times New Roman" w:cs="Times New Roman"/>
          <w:i/>
          <w:iCs/>
        </w:rPr>
        <w:t>u</w:t>
      </w:r>
      <w:r w:rsidRPr="00F94B7E">
        <w:rPr>
          <w:rFonts w:ascii="Times New Roman" w:eastAsia="Times New Roman" w:hAnsi="Times New Roman" w:cs="Times New Roman"/>
          <w:i/>
          <w:iCs/>
        </w:rPr>
        <w:t>ses of action.</w:t>
      </w:r>
      <w:r w:rsidRPr="00F94B7E">
        <w:rPr>
          <w:rFonts w:ascii="Times New Roman" w:eastAsia="Times New Roman" w:hAnsi="Times New Roman" w:cs="Times New Roman"/>
        </w:rPr>
        <w:t xml:space="preserve">  Federal implied causes of action have a relatively short history. The Supreme Court first recognized an implied cause of action in </w:t>
      </w:r>
      <w:r w:rsidRPr="00F94B7E">
        <w:rPr>
          <w:rFonts w:ascii="Times New Roman" w:eastAsia="Times New Roman" w:hAnsi="Times New Roman" w:cs="Times New Roman"/>
          <w:i/>
          <w:iCs/>
        </w:rPr>
        <w:t>Texas &amp; Pacific Railway Co. v. Rigsby</w:t>
      </w:r>
      <w:r w:rsidRPr="00F94B7E">
        <w:rPr>
          <w:rFonts w:ascii="Times New Roman" w:eastAsia="Times New Roman" w:hAnsi="Times New Roman" w:cs="Times New Roman"/>
        </w:rPr>
        <w:t xml:space="preserve">, 241 U.S. 33 (1916) (authorizing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John A. Maher, </w:t>
      </w:r>
      <w:r w:rsidRPr="00F94B7E">
        <w:rPr>
          <w:rFonts w:ascii="Times New Roman" w:eastAsia="Times New Roman" w:hAnsi="Times New Roman" w:cs="Times New Roman"/>
          <w:i/>
          <w:iCs/>
        </w:rPr>
        <w:t>Implied Private Rights of Action and the Federal Securities Laws: A Historical Perspective</w:t>
      </w:r>
      <w:r w:rsidRPr="00F94B7E">
        <w:rPr>
          <w:rFonts w:ascii="Times New Roman" w:eastAsia="Times New Roman" w:hAnsi="Times New Roman" w:cs="Times New Roman"/>
        </w:rPr>
        <w:t xml:space="preserve">, 37 </w:t>
      </w:r>
      <w:r w:rsidRPr="00F94B7E">
        <w:rPr>
          <w:rFonts w:ascii="Times New Roman" w:eastAsia="Times New Roman" w:hAnsi="Times New Roman" w:cs="Times New Roman"/>
          <w:smallCaps/>
        </w:rPr>
        <w:t>Wash. &amp; Lee L. Rev.</w:t>
      </w:r>
      <w:r w:rsidRPr="00F94B7E">
        <w:rPr>
          <w:rFonts w:ascii="Times New Roman" w:eastAsia="Times New Roman" w:hAnsi="Times New Roman" w:cs="Times New Roman"/>
        </w:rPr>
        <w:t xml:space="preserve"> 783, 789-804 (1980). The capstone of the New Deal private cause of action cases came in </w:t>
      </w:r>
      <w:r w:rsidRPr="00F94B7E">
        <w:rPr>
          <w:rFonts w:ascii="Times New Roman" w:eastAsia="Times New Roman" w:hAnsi="Times New Roman" w:cs="Times New Roman"/>
          <w:i/>
          <w:iCs/>
        </w:rPr>
        <w:t>Cort v. Ash</w:t>
      </w:r>
      <w:r w:rsidRPr="00F94B7E">
        <w:rPr>
          <w:rFonts w:ascii="Times New Roman" w:eastAsia="Times New Roman" w:hAnsi="Times New Roman" w:cs="Times New Roman"/>
        </w:rPr>
        <w:t xml:space="preserve">, 422 U.S. 66 (1975). Although the </w:t>
      </w:r>
      <w:r w:rsidRPr="00F94B7E">
        <w:rPr>
          <w:rFonts w:ascii="Times New Roman" w:eastAsia="Times New Roman" w:hAnsi="Times New Roman" w:cs="Times New Roman"/>
          <w:i/>
          <w:iCs/>
        </w:rPr>
        <w:t xml:space="preserve">Cort </w:t>
      </w:r>
      <w:r w:rsidRPr="00F94B7E">
        <w:rPr>
          <w:rFonts w:ascii="Times New Roman" w:eastAsia="Times New Roman" w:hAnsi="Times New Roman" w:cs="Times New Roman"/>
        </w:rPr>
        <w:t xml:space="preserve">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 A mere four years later, however, the Court backtracked in </w:t>
      </w:r>
      <w:r w:rsidRPr="00F94B7E">
        <w:rPr>
          <w:rFonts w:ascii="Times New Roman" w:eastAsia="Times New Roman" w:hAnsi="Times New Roman" w:cs="Times New Roman"/>
          <w:i/>
          <w:iCs/>
        </w:rPr>
        <w:t>Touche Ross &amp; Co. v. Redington</w:t>
      </w:r>
      <w:r w:rsidRPr="00F94B7E">
        <w:rPr>
          <w:rFonts w:ascii="Times New Roman" w:eastAsia="Times New Roman" w:hAnsi="Times New Roman" w:cs="Times New Roman"/>
        </w:rPr>
        <w:t xml:space="preserve">, 442 U.S. 560, 576 (1979), reading the </w:t>
      </w:r>
      <w:r w:rsidRPr="00F94B7E">
        <w:rPr>
          <w:rFonts w:ascii="Times New Roman" w:eastAsia="Times New Roman" w:hAnsi="Times New Roman" w:cs="Times New Roman"/>
          <w:i/>
          <w:iCs/>
        </w:rPr>
        <w:t>Cort</w:t>
      </w:r>
      <w:r w:rsidRPr="00F94B7E">
        <w:rPr>
          <w:rFonts w:ascii="Times New Roman" w:eastAsia="Times New Roman" w:hAnsi="Times New Roman" w:cs="Times New Roman"/>
        </w:rPr>
        <w:t xml:space="preserve"> test as an application of traditional principles of legislative intent. Nonetheless, many state courts, including the New York </w:t>
      </w:r>
      <w:r w:rsidRPr="00F94B7E">
        <w:rPr>
          <w:rFonts w:ascii="Times New Roman" w:eastAsia="Times New Roman" w:hAnsi="Times New Roman" w:cs="Times New Roman"/>
        </w:rPr>
        <w:lastRenderedPageBreak/>
        <w:t xml:space="preserve">Court of Appeals in </w:t>
      </w:r>
      <w:r w:rsidRPr="00F94B7E">
        <w:rPr>
          <w:rFonts w:ascii="Times New Roman" w:eastAsia="Times New Roman" w:hAnsi="Times New Roman" w:cs="Times New Roman"/>
          <w:i/>
          <w:iCs/>
        </w:rPr>
        <w:t>Sheehy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Uhr</w:t>
      </w:r>
      <w:r w:rsidRPr="00F94B7E">
        <w:rPr>
          <w:rFonts w:ascii="Times New Roman" w:eastAsia="Times New Roman" w:hAnsi="Times New Roman" w:cs="Times New Roman"/>
        </w:rPr>
        <w:t xml:space="preserve">, apply tests based on </w:t>
      </w:r>
      <w:r w:rsidRPr="00F94B7E">
        <w:rPr>
          <w:rFonts w:ascii="Times New Roman" w:eastAsia="Times New Roman" w:hAnsi="Times New Roman" w:cs="Times New Roman"/>
          <w:i/>
          <w:iCs/>
        </w:rPr>
        <w:t>Cort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w:t>
      </w:r>
      <w:r w:rsidRPr="00F94B7E">
        <w:rPr>
          <w:rFonts w:ascii="Times New Roman" w:eastAsia="Times New Roman" w:hAnsi="Times New Roman" w:cs="Times New Roman"/>
        </w:rPr>
        <w:t xml:space="preserve"> first three factors. In the twenty-first century, the Supreme Court has cut back still further on implied causes of action under federal statutes. In </w:t>
      </w:r>
      <w:r w:rsidRPr="00F94B7E">
        <w:rPr>
          <w:rFonts w:ascii="Times New Roman" w:eastAsia="Times New Roman" w:hAnsi="Times New Roman" w:cs="Times New Roman"/>
          <w:i/>
          <w:iCs/>
        </w:rPr>
        <w:t>Alexander v. Sandoval</w:t>
      </w:r>
      <w:r w:rsidRPr="00F94B7E">
        <w:rPr>
          <w:rFonts w:ascii="Times New Roman" w:eastAsia="Times New Roman" w:hAnsi="Times New Roman" w:cs="Times New Roman"/>
        </w:rPr>
        <w:t>, 532 U.S. 275 (2001), the respondent sued to enforce disparate-impact regulations promulgated under Title VI of the Civil Rights Act of 1964. The respondent alleged that Alabama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English-only driver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license test violated Title VI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prohibition on discrimination in public programs because of race, color, or national origin. The </w:t>
      </w:r>
      <w:r w:rsidRPr="00F94B7E">
        <w:rPr>
          <w:rFonts w:ascii="Times New Roman" w:eastAsia="Times New Roman" w:hAnsi="Times New Roman" w:cs="Times New Roman"/>
          <w:i/>
          <w:iCs/>
        </w:rPr>
        <w:t>Sandoval</w:t>
      </w:r>
      <w:r w:rsidRPr="00F94B7E">
        <w:rPr>
          <w:rFonts w:ascii="Times New Roman" w:eastAsia="Times New Roman" w:hAnsi="Times New Roman" w:cs="Times New Roman"/>
        </w:rPr>
        <w:t xml:space="preserve"> Court held that Title VI did not create a private cause of action for disparate impact claims. For a criticism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decision, see Bradford C. Mank, </w:t>
      </w:r>
      <w:r w:rsidRPr="00F94B7E">
        <w:rPr>
          <w:rFonts w:ascii="Times New Roman" w:eastAsia="Times New Roman" w:hAnsi="Times New Roman" w:cs="Times New Roman"/>
          <w:i/>
          <w:iCs/>
        </w:rPr>
        <w:t>Legal Context: Reading Statutes in Light of Prevailing Legal Precedent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Ariz. St. L.J. 816</w:t>
      </w:r>
      <w:r w:rsidRPr="00F94B7E">
        <w:rPr>
          <w:rFonts w:ascii="Times New Roman" w:eastAsia="Times New Roman" w:hAnsi="Times New Roman" w:cs="Times New Roman"/>
        </w:rPr>
        <w:t xml:space="preserve">, 856-66 (2002). </w:t>
      </w:r>
    </w:p>
    <w:p w14:paraId="11FCC8DF" w14:textId="77777777" w:rsidR="00C22B24" w:rsidRPr="00920B12" w:rsidRDefault="00C22B24" w:rsidP="00C22B24">
      <w:pPr>
        <w:tabs>
          <w:tab w:val="left" w:pos="3807"/>
        </w:tabs>
        <w:rPr>
          <w:rFonts w:ascii="Times New Roman" w:eastAsia="Times New Roman" w:hAnsi="Times New Roman" w:cs="Times New Roman"/>
        </w:rPr>
      </w:pPr>
      <w:r w:rsidRPr="00920B12">
        <w:rPr>
          <w:rFonts w:ascii="Times New Roman" w:eastAsia="Times New Roman" w:hAnsi="Times New Roman" w:cs="Times New Roman"/>
        </w:rPr>
        <w:tab/>
      </w:r>
    </w:p>
    <w:p w14:paraId="29B2DF71" w14:textId="77777777" w:rsidR="00C22B24" w:rsidRDefault="00C22B24" w:rsidP="00C22B24">
      <w:pPr>
        <w:rPr>
          <w:rFonts w:ascii="Times New Roman" w:eastAsia="Times New Roman" w:hAnsi="Times New Roman" w:cs="Times New Roman"/>
        </w:rPr>
      </w:pPr>
    </w:p>
    <w:p w14:paraId="4E32B004" w14:textId="28AA935E"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Federal implied causes of action.</w:t>
      </w:r>
      <w:r w:rsidRPr="00F94B7E">
        <w:rPr>
          <w:rFonts w:ascii="Times New Roman" w:eastAsia="Times New Roman" w:hAnsi="Times New Roman" w:cs="Times New Roman"/>
        </w:rPr>
        <w:t xml:space="preserve">  When should governments authorize private enforcement?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of course be severely limited.  Consider, for example, using private enforcement to police safety regulations in a nuclear power plant.  Similarly, if the regulated actor or actors present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see Steven Shavell, </w:t>
      </w:r>
      <w:r w:rsidRPr="00F94B7E">
        <w:rPr>
          <w:rFonts w:ascii="Times New Roman" w:eastAsia="Times New Roman" w:hAnsi="Times New Roman" w:cs="Times New Roman"/>
          <w:i/>
          <w:iCs/>
        </w:rPr>
        <w:t>Liability for Harm Versus Regulation of Safety</w:t>
      </w:r>
      <w:r w:rsidRPr="00F94B7E">
        <w:rPr>
          <w:rFonts w:ascii="Times New Roman" w:eastAsia="Times New Roman" w:hAnsi="Times New Roman" w:cs="Times New Roman"/>
        </w:rPr>
        <w:t xml:space="preserve">, 13 </w:t>
      </w:r>
      <w:r w:rsidRPr="00F94B7E">
        <w:rPr>
          <w:rFonts w:ascii="Times New Roman" w:eastAsia="Times New Roman" w:hAnsi="Times New Roman" w:cs="Times New Roman"/>
          <w:smallCaps/>
        </w:rPr>
        <w:t>J. Legal Stud.</w:t>
      </w:r>
      <w:r w:rsidRPr="00F94B7E">
        <w:rPr>
          <w:rFonts w:ascii="Times New Roman" w:eastAsia="Times New Roman" w:hAnsi="Times New Roman" w:cs="Times New Roman"/>
        </w:rPr>
        <w:t xml:space="preserve"> 357, 357-64 (1984). </w:t>
      </w:r>
    </w:p>
    <w:p w14:paraId="09976B9D" w14:textId="77777777" w:rsidR="00C22B24" w:rsidRDefault="00C22B24" w:rsidP="00C22B24">
      <w:pPr>
        <w:pStyle w:val="ListParagraph"/>
        <w:ind w:hanging="360"/>
        <w:rPr>
          <w:rFonts w:ascii="Times New Roman" w:hAnsi="Times New Roman" w:cs="Times New Roman"/>
        </w:rPr>
      </w:pPr>
    </w:p>
    <w:p w14:paraId="11081791" w14:textId="77777777" w:rsidR="00C22B24" w:rsidRPr="00920B12" w:rsidRDefault="00C22B24" w:rsidP="00C22B24">
      <w:pPr>
        <w:pStyle w:val="ListParagraph"/>
        <w:ind w:hanging="360"/>
        <w:rPr>
          <w:rFonts w:ascii="Times New Roman" w:hAnsi="Times New Roman" w:cs="Times New Roman"/>
        </w:rPr>
      </w:pPr>
    </w:p>
    <w:p w14:paraId="7E7CCB9F" w14:textId="7A43981A"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Private enforcement and public enforcement.</w:t>
      </w:r>
      <w:r w:rsidRPr="00F94B7E">
        <w:rPr>
          <w:rFonts w:ascii="Times New Roman" w:eastAsia="Times New Roman" w:hAnsi="Times New Roman" w:cs="Times New Roman"/>
        </w:rPr>
        <w:t xml:space="preserve">  Objections to private causes of action often focus on the risk of over deterrence, which can arise when regulated actors face both public and private sanctions, each of which might be effective on its own, but which together require too much care.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smallCaps/>
        </w:rPr>
        <w:t>W. Kip Viscusi, Regulation Through Litigation</w:t>
      </w:r>
      <w:r w:rsidRPr="00F94B7E">
        <w:rPr>
          <w:rFonts w:ascii="Times New Roman" w:eastAsia="Times New Roman" w:hAnsi="Times New Roman" w:cs="Times New Roman"/>
        </w:rPr>
        <w:t xml:space="preserve"> 1-6 (2002).  One especially problematic version of this occurs when plaintiffs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lawyers piggyback on regulatory action that would have been sufficient in and of itself.  (Chapter 9 of this book takes this problem up in more detail.)  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then these suits are themselves the creatures of democratic legislation. Legislatures are entirely free to abolish such private causes of action. </w:t>
      </w:r>
    </w:p>
    <w:p w14:paraId="149C8A93" w14:textId="77777777" w:rsidR="00C22B24" w:rsidRDefault="00C22B24" w:rsidP="00C22B24">
      <w:pPr>
        <w:ind w:left="720" w:hanging="360"/>
        <w:rPr>
          <w:rFonts w:ascii="Times New Roman" w:hAnsi="Times New Roman" w:cs="Times New Roman"/>
        </w:rPr>
      </w:pPr>
    </w:p>
    <w:p w14:paraId="547CEDF6"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Defenders of certain private causes of action observe that courts and juries are less vulnerable than legislatures and regulators to interest group politics.  Moreover, </w:t>
      </w:r>
      <w:r w:rsidRPr="750671CE">
        <w:rPr>
          <w:rFonts w:ascii="Times New Roman" w:eastAsia="Times New Roman" w:hAnsi="Times New Roman" w:cs="Times New Roman"/>
        </w:rPr>
        <w:lastRenderedPageBreak/>
        <w:t xml:space="preserve">where bureaucratic systems often become ossified and rigid, judges and juries continuously update their damages evaluations. </w:t>
      </w:r>
      <w:r w:rsidRPr="750671CE">
        <w:rPr>
          <w:rFonts w:ascii="Times New Roman" w:eastAsia="Times New Roman" w:hAnsi="Times New Roman" w:cs="Times New Roman"/>
          <w:i/>
          <w:iCs/>
        </w:rPr>
        <w:t>See generally</w:t>
      </w:r>
      <w:r w:rsidRPr="750671CE">
        <w:rPr>
          <w:rFonts w:ascii="Times New Roman" w:eastAsia="Times New Roman" w:hAnsi="Times New Roman" w:cs="Times New Roman"/>
        </w:rPr>
        <w:t xml:space="preserve"> John Fabian Witt, </w:t>
      </w:r>
      <w:r w:rsidRPr="750671CE">
        <w:rPr>
          <w:rFonts w:ascii="Times New Roman" w:eastAsia="Times New Roman" w:hAnsi="Times New Roman" w:cs="Times New Roman"/>
          <w:i/>
          <w:iCs/>
        </w:rPr>
        <w:t>Bureaucratic Legalism, American Style: Private Bureaucratic Legalism and the Governance of the Tort System</w:t>
      </w:r>
      <w:r w:rsidRPr="750671CE">
        <w:rPr>
          <w:rFonts w:ascii="Times New Roman" w:eastAsia="Times New Roman" w:hAnsi="Times New Roman" w:cs="Times New Roman"/>
        </w:rPr>
        <w:t xml:space="preserve">, 56 </w:t>
      </w:r>
      <w:r w:rsidRPr="750671CE">
        <w:rPr>
          <w:rFonts w:ascii="Times New Roman" w:eastAsia="Times New Roman" w:hAnsi="Times New Roman" w:cs="Times New Roman"/>
          <w:smallCaps/>
        </w:rPr>
        <w:t>DePaul L. Rev.</w:t>
      </w:r>
      <w:r w:rsidRPr="750671CE">
        <w:rPr>
          <w:rFonts w:ascii="Times New Roman" w:eastAsia="Times New Roman" w:hAnsi="Times New Roman" w:cs="Times New Roman"/>
        </w:rPr>
        <w:t xml:space="preserve"> 261, 272 (2007). </w:t>
      </w:r>
    </w:p>
    <w:p w14:paraId="57C1D7EC" w14:textId="77777777" w:rsidR="00C22B24" w:rsidRDefault="00C22B24" w:rsidP="00C22B24">
      <w:pPr>
        <w:ind w:left="720" w:hanging="360"/>
        <w:rPr>
          <w:rFonts w:ascii="Times New Roman" w:hAnsi="Times New Roman" w:cs="Times New Roman"/>
          <w:highlight w:val="yellow"/>
        </w:rPr>
      </w:pPr>
    </w:p>
    <w:p w14:paraId="4285659B" w14:textId="77777777" w:rsidR="00C22B24" w:rsidRPr="00920B12" w:rsidRDefault="00C22B24" w:rsidP="00C22B24">
      <w:pPr>
        <w:ind w:left="720" w:hanging="360"/>
        <w:rPr>
          <w:rFonts w:ascii="Times New Roman" w:hAnsi="Times New Roman" w:cs="Times New Roman"/>
          <w:highlight w:val="yellow"/>
        </w:rPr>
      </w:pPr>
    </w:p>
    <w:p w14:paraId="1297C23A" w14:textId="3CC5A6C4"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False Claims Act.  </w:t>
      </w:r>
      <w:r w:rsidRPr="00F94B7E">
        <w:rPr>
          <w:rFonts w:ascii="Times New Roman" w:eastAsia="Times New Roman" w:hAnsi="Times New Roman" w:cs="Times New Roman"/>
        </w:rPr>
        <w:t>One interesting model for public and private enforcement is the False Claims Act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(FCA)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provisions, which permit private persons (styled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relators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provisions claim that inefficient, specialized relator-side firms increasingly dominate </w:t>
      </w:r>
      <w:r w:rsidRPr="00F94B7E">
        <w:rPr>
          <w:rFonts w:ascii="Times New Roman" w:eastAsia="Times New Roman" w:hAnsi="Times New Roman" w:cs="Times New Roman"/>
          <w:i/>
          <w:iCs/>
        </w:rPr>
        <w:t>qui tam</w:t>
      </w:r>
      <w:r w:rsidRPr="00F94B7E">
        <w:rPr>
          <w:rFonts w:ascii="Times New Roman" w:eastAsia="Times New Roman" w:hAnsi="Times New Roman" w:cs="Times New Roman"/>
        </w:rPr>
        <w:t xml:space="preserve"> litigation. Others argue that these firms have positive effects on the system because they enjoy higher success rates and expose larger frauds than less experienced firms.  David Freeman Engstrom, </w:t>
      </w:r>
      <w:r w:rsidRPr="00F94B7E">
        <w:rPr>
          <w:rFonts w:ascii="Times New Roman" w:eastAsia="Times New Roman" w:hAnsi="Times New Roman" w:cs="Times New Roman"/>
          <w:i/>
          <w:iCs/>
        </w:rPr>
        <w:t>Harnessing the Private Attorney General: Evidence from Qui Tam Litigation</w:t>
      </w:r>
      <w:r w:rsidRPr="00F94B7E">
        <w:rPr>
          <w:rFonts w:ascii="Times New Roman" w:eastAsia="Times New Roman" w:hAnsi="Times New Roman" w:cs="Times New Roman"/>
        </w:rPr>
        <w:t xml:space="preserve">, 112 </w:t>
      </w:r>
      <w:r w:rsidRPr="00F94B7E">
        <w:rPr>
          <w:rFonts w:ascii="Times New Roman" w:eastAsia="Times New Roman" w:hAnsi="Times New Roman" w:cs="Times New Roman"/>
          <w:smallCaps/>
        </w:rPr>
        <w:t>Colum. L. Rev.</w:t>
      </w:r>
      <w:r w:rsidRPr="00F94B7E">
        <w:rPr>
          <w:rFonts w:ascii="Times New Roman" w:eastAsia="Times New Roman" w:hAnsi="Times New Roman" w:cs="Times New Roman"/>
        </w:rPr>
        <w:t xml:space="preserve"> 1244, 1248-50 (2012).</w:t>
      </w:r>
    </w:p>
    <w:p w14:paraId="6302F985" w14:textId="77777777" w:rsidR="00C22B24" w:rsidRDefault="00C22B24" w:rsidP="00C22B24">
      <w:pPr>
        <w:rPr>
          <w:rFonts w:ascii="Times New Roman" w:hAnsi="Times New Roman" w:cs="Times New Roman"/>
          <w:b/>
          <w:smallCaps/>
        </w:rPr>
      </w:pPr>
    </w:p>
    <w:p w14:paraId="042B43FA" w14:textId="77777777" w:rsidR="00C22B24" w:rsidRPr="00920B12" w:rsidRDefault="00C22B24" w:rsidP="00C22B24">
      <w:pPr>
        <w:rPr>
          <w:rFonts w:ascii="Times New Roman" w:hAnsi="Times New Roman" w:cs="Times New Roman"/>
          <w:b/>
          <w:smallCaps/>
        </w:rPr>
      </w:pPr>
    </w:p>
    <w:p w14:paraId="0ADB8D70" w14:textId="046942B5"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Cs/>
        </w:rPr>
        <w:t>Bivens v.  Six Unknown Named Agents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Constitutional provisions have been held to imply private causes of action for damages as well as statutory provisions.  In </w:t>
      </w:r>
      <w:r w:rsidRPr="00F94B7E">
        <w:rPr>
          <w:rFonts w:ascii="Times New Roman" w:eastAsia="Times New Roman" w:hAnsi="Times New Roman" w:cs="Times New Roman"/>
          <w:i/>
          <w:iCs/>
        </w:rPr>
        <w:t>Bivens v. Six Unknown Named Agents</w:t>
      </w:r>
      <w:r w:rsidRPr="00F94B7E">
        <w:rPr>
          <w:rFonts w:ascii="Times New Roman" w:eastAsia="Times New Roman" w:hAnsi="Times New Roman" w:cs="Times New Roman"/>
        </w:rPr>
        <w:t xml:space="preserve">, 403 U.S. 388 (1971), the Supreme Court ruled that federal officials may be sued in their personal capacity for damages caused by constitutional violations. In the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 case, the Court held that the Fourth Amendment implied a private cause of action against the federal officers who violated the petitioner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right to be free from unreasonable searches and seizures. The Court subsequently expanded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 liability to violations of the Fifth, </w:t>
      </w:r>
      <w:r w:rsidRPr="00F94B7E">
        <w:rPr>
          <w:rFonts w:ascii="Times New Roman" w:eastAsia="Times New Roman" w:hAnsi="Times New Roman" w:cs="Times New Roman"/>
          <w:i/>
          <w:iCs/>
        </w:rPr>
        <w:t>Davis v. Passman</w:t>
      </w:r>
      <w:r w:rsidRPr="00F94B7E">
        <w:rPr>
          <w:rFonts w:ascii="Times New Roman" w:eastAsia="Times New Roman" w:hAnsi="Times New Roman" w:cs="Times New Roman"/>
        </w:rPr>
        <w:t xml:space="preserve">, 442 U.S. 228 (1979), and Eighth Amendments, </w:t>
      </w:r>
      <w:r w:rsidRPr="00F94B7E">
        <w:rPr>
          <w:rFonts w:ascii="Times New Roman" w:eastAsia="Times New Roman" w:hAnsi="Times New Roman" w:cs="Times New Roman"/>
          <w:i/>
          <w:iCs/>
        </w:rPr>
        <w:t>Carlson v. Green</w:t>
      </w:r>
      <w:r w:rsidRPr="00F94B7E">
        <w:rPr>
          <w:rFonts w:ascii="Times New Roman" w:eastAsia="Times New Roman" w:hAnsi="Times New Roman" w:cs="Times New Roman"/>
        </w:rPr>
        <w:t xml:space="preserve">, 446 U.S. 14 (1980). But </w:t>
      </w:r>
      <w:r w:rsidRPr="00F94B7E">
        <w:rPr>
          <w:rFonts w:ascii="Times New Roman" w:eastAsia="Times New Roman" w:hAnsi="Times New Roman" w:cs="Times New Roman"/>
          <w:i/>
          <w:iCs/>
        </w:rPr>
        <w:t>Carlson</w:t>
      </w:r>
      <w:r w:rsidRPr="00F94B7E">
        <w:rPr>
          <w:rFonts w:ascii="Times New Roman" w:eastAsia="Times New Roman" w:hAnsi="Times New Roman" w:cs="Times New Roman"/>
        </w:rPr>
        <w:t xml:space="preserve"> marked the high-water mark for </w:t>
      </w:r>
      <w:r w:rsidRPr="00F94B7E">
        <w:rPr>
          <w:rFonts w:ascii="Times New Roman" w:eastAsia="Times New Roman" w:hAnsi="Times New Roman" w:cs="Times New Roman"/>
          <w:i/>
          <w:iCs/>
        </w:rPr>
        <w:t>Bivens</w:t>
      </w:r>
      <w:r w:rsidRPr="00F94B7E">
        <w:rPr>
          <w:rFonts w:ascii="Times New Roman" w:eastAsia="Times New Roman" w:hAnsi="Times New Roman" w:cs="Times New Roman"/>
        </w:rPr>
        <w:t xml:space="preserve">-style implied constitutional causes of action.  As in the implied statutory causes of action cases, the Court has been much more reluctant in recent decades to find implied private actions; the justices have not extended liability to new defendants or new constitutional claims since 1980. For a discussion of </w:t>
      </w:r>
      <w:r w:rsidRPr="00F94B7E">
        <w:rPr>
          <w:rFonts w:ascii="Times New Roman" w:eastAsia="Times New Roman" w:hAnsi="Times New Roman" w:cs="Times New Roman"/>
          <w:i/>
          <w:iCs/>
        </w:rPr>
        <w:t xml:space="preserve">Bivens </w:t>
      </w:r>
      <w:r w:rsidRPr="00F94B7E">
        <w:rPr>
          <w:rFonts w:ascii="Times New Roman" w:eastAsia="Times New Roman" w:hAnsi="Times New Roman" w:cs="Times New Roman"/>
        </w:rPr>
        <w:t xml:space="preserve">and its consequences for official liability, see Alexander A. Reinert, </w:t>
      </w:r>
      <w:r w:rsidRPr="00F94B7E">
        <w:rPr>
          <w:rFonts w:ascii="Times New Roman" w:eastAsia="Times New Roman" w:hAnsi="Times New Roman" w:cs="Times New Roman"/>
          <w:i/>
          <w:iCs/>
        </w:rPr>
        <w:t xml:space="preserve">Measuring the Success of </w:t>
      </w:r>
      <w:r w:rsidRPr="00F94B7E">
        <w:rPr>
          <w:rFonts w:ascii="Times New Roman" w:eastAsia="Times New Roman" w:hAnsi="Times New Roman" w:cs="Times New Roman"/>
        </w:rPr>
        <w:t>Bivens</w:t>
      </w:r>
      <w:r w:rsidRPr="00F94B7E">
        <w:rPr>
          <w:rFonts w:ascii="Times New Roman" w:eastAsia="Times New Roman" w:hAnsi="Times New Roman" w:cs="Times New Roman"/>
          <w:i/>
          <w:iCs/>
        </w:rPr>
        <w:t xml:space="preserve"> Litigation and Its Consequences for the Individual Liability Model</w:t>
      </w:r>
      <w:r w:rsidRPr="00F94B7E">
        <w:rPr>
          <w:rFonts w:ascii="Times New Roman" w:eastAsia="Times New Roman" w:hAnsi="Times New Roman" w:cs="Times New Roman"/>
        </w:rPr>
        <w:t xml:space="preserve">, 62 </w:t>
      </w:r>
      <w:r w:rsidRPr="00F94B7E">
        <w:rPr>
          <w:rFonts w:ascii="Times New Roman" w:eastAsia="Times New Roman" w:hAnsi="Times New Roman" w:cs="Times New Roman"/>
          <w:smallCaps/>
        </w:rPr>
        <w:t>Stan. L. Rev.</w:t>
      </w:r>
      <w:r w:rsidRPr="00F94B7E">
        <w:rPr>
          <w:rFonts w:ascii="Times New Roman" w:eastAsia="Times New Roman" w:hAnsi="Times New Roman" w:cs="Times New Roman"/>
        </w:rPr>
        <w:t xml:space="preserve"> 809 (2010). Plaintiffs may sue state and local officials for similar constitutional violations under a federal statute that explicitly authorizes private causes of action.</w:t>
      </w:r>
      <w:r w:rsidRPr="00F94B7E">
        <w:rPr>
          <w:rFonts w:ascii="Times New Roman" w:eastAsia="Times New Roman" w:hAnsi="Times New Roman" w:cs="Times New Roman"/>
          <w:i/>
          <w:iCs/>
        </w:rPr>
        <w:t xml:space="preserve"> See</w:t>
      </w:r>
      <w:r w:rsidRPr="00F94B7E">
        <w:rPr>
          <w:rFonts w:ascii="Times New Roman" w:eastAsia="Times New Roman" w:hAnsi="Times New Roman" w:cs="Times New Roman"/>
        </w:rPr>
        <w:t xml:space="preserve"> 42 U.S.C. § 1983. </w:t>
      </w:r>
    </w:p>
    <w:p w14:paraId="23CDBD55" w14:textId="77777777" w:rsidR="00C22B24" w:rsidRPr="009800BB" w:rsidRDefault="00C22B24" w:rsidP="00C22B24">
      <w:pPr>
        <w:rPr>
          <w:rFonts w:ascii="Times New Roman" w:eastAsia="Times New Roman" w:hAnsi="Times New Roman" w:cs="Times New Roman"/>
        </w:rPr>
      </w:pPr>
    </w:p>
    <w:p w14:paraId="26E52FD6" w14:textId="23CEBF15" w:rsidR="00C22B24" w:rsidRPr="00F94B7E" w:rsidRDefault="750671CE" w:rsidP="00F94B7E">
      <w:pPr>
        <w:pStyle w:val="ListParagraph"/>
        <w:numPr>
          <w:ilvl w:val="0"/>
          <w:numId w:val="9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w:t>
      </w:r>
      <w:r w:rsidR="00DF2CC1" w:rsidRPr="00F94B7E">
        <w:rPr>
          <w:rFonts w:ascii="Times New Roman" w:eastAsia="Times New Roman" w:hAnsi="Times New Roman" w:cs="Times New Roman"/>
          <w:i/>
          <w:iCs/>
        </w:rPr>
        <w:t xml:space="preserve"> a</w:t>
      </w:r>
      <w:r w:rsidRPr="00F94B7E">
        <w:rPr>
          <w:rFonts w:ascii="Times New Roman" w:eastAsia="Times New Roman" w:hAnsi="Times New Roman" w:cs="Times New Roman"/>
          <w:i/>
          <w:iCs/>
        </w:rPr>
        <w:t>pproach.</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 xml:space="preserve">Section 874 of the Second Restatement recommends that implied private causes of action be recognized when such a cause of action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is appropriate in furtherance of the purpose of the legislation and needed to assure the effectiveness of the provision.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874A.  </w:t>
      </w:r>
    </w:p>
    <w:p w14:paraId="4168E2EF" w14:textId="77777777" w:rsidR="00C22B24" w:rsidRDefault="00C22B24" w:rsidP="00C22B24">
      <w:pPr>
        <w:rPr>
          <w:rFonts w:ascii="Times New Roman" w:hAnsi="Times New Roman" w:cs="Times New Roman"/>
        </w:rPr>
      </w:pPr>
    </w:p>
    <w:p w14:paraId="6FD6BB85" w14:textId="72DAEC39"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Third Restatement contains no analog to Section 874.  However, the Third Restatement does note that in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 suit brought by the victim of [a statutory violation], the court, relying on ordinary principles of legislative interpretation, may in appropriate cases </w:t>
      </w:r>
      <w:r w:rsidRPr="750671CE">
        <w:rPr>
          <w:rFonts w:ascii="Times New Roman" w:eastAsia="Times New Roman" w:hAnsi="Times New Roman" w:cs="Times New Roman"/>
        </w:rPr>
        <w:lastRenderedPageBreak/>
        <w:t>infer from the statute a cause of action for damages against a violator.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Restatement (Third) of Torts: Liab. for Phys. and Emot. Harm</w:t>
      </w:r>
      <w:r w:rsidRPr="750671CE">
        <w:rPr>
          <w:rFonts w:ascii="Times New Roman" w:eastAsia="Times New Roman" w:hAnsi="Times New Roman" w:cs="Times New Roman"/>
        </w:rPr>
        <w:t xml:space="preserve"> §14, cmt. b. Additionally, the Third Restatement permits a court to rely on a statute to find that the plaintiff owes an affirmative duty to the defendant, which, when breached, creates a common law cause of action.  </w:t>
      </w:r>
      <w:r w:rsidRPr="750671CE">
        <w:rPr>
          <w:rFonts w:ascii="Times New Roman" w:eastAsia="Times New Roman" w:hAnsi="Times New Roman" w:cs="Times New Roman"/>
          <w:i/>
          <w:iCs/>
        </w:rPr>
        <w:t>See id.</w:t>
      </w:r>
      <w:r w:rsidRPr="750671CE">
        <w:rPr>
          <w:rFonts w:ascii="Times New Roman" w:eastAsia="Times New Roman" w:hAnsi="Times New Roman" w:cs="Times New Roman"/>
        </w:rPr>
        <w:t xml:space="preserve"> § 38 (</w:t>
      </w:r>
      <w:r w:rsidR="00B05F31">
        <w:rPr>
          <w:rFonts w:ascii="Times New Roman" w:eastAsia="Times New Roman" w:hAnsi="Times New Roman" w:cs="Times New Roman"/>
        </w:rPr>
        <w:t>“</w:t>
      </w:r>
      <w:r w:rsidRPr="750671CE">
        <w:rPr>
          <w:rFonts w:ascii="Times New Roman" w:eastAsia="Times New Roman" w:hAnsi="Times New Roman" w:cs="Times New Roman"/>
        </w:rPr>
        <w:t>Affirmative Duty Based on Statutory Provisions Imposing Obligations to Protect Another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1BE4CF36" w14:textId="77777777" w:rsidR="00C22B24" w:rsidRPr="00920B12" w:rsidRDefault="00C22B24" w:rsidP="00C22B24">
      <w:pPr>
        <w:rPr>
          <w:rFonts w:ascii="Times New Roman" w:hAnsi="Times New Roman" w:cs="Times New Roman"/>
        </w:rPr>
      </w:pPr>
    </w:p>
    <w:p w14:paraId="33EE01B1" w14:textId="77777777"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For a discussion of the relationship between Section 38 and Section 874A of the Second Restatement,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Restatement (Third) of Torts: Liab. for Phys. and Emot. Harm</w:t>
      </w:r>
      <w:r w:rsidRPr="750671CE">
        <w:rPr>
          <w:rFonts w:ascii="Times New Roman" w:eastAsia="Times New Roman" w:hAnsi="Times New Roman" w:cs="Times New Roman"/>
        </w:rPr>
        <w:t xml:space="preserve"> §38, cmt. A; </w:t>
      </w:r>
      <w:r w:rsidRPr="750671CE">
        <w:rPr>
          <w:rFonts w:ascii="Times New Roman" w:eastAsia="Times New Roman" w:hAnsi="Times New Roman" w:cs="Times New Roman"/>
          <w:i/>
          <w:iCs/>
        </w:rPr>
        <w:t>see also id.</w:t>
      </w:r>
      <w:r w:rsidRPr="750671CE">
        <w:rPr>
          <w:rFonts w:ascii="Times New Roman" w:eastAsia="Times New Roman" w:hAnsi="Times New Roman" w:cs="Times New Roman"/>
        </w:rPr>
        <w:t xml:space="preserve"> at §38, cmt. d. </w:t>
      </w:r>
    </w:p>
    <w:p w14:paraId="4CC3AA2F" w14:textId="77777777" w:rsidR="00C22B24" w:rsidRPr="00920B12" w:rsidRDefault="00C22B24" w:rsidP="00C22B24">
      <w:pPr>
        <w:rPr>
          <w:rFonts w:ascii="Times New Roman" w:hAnsi="Times New Roman" w:cs="Times New Roman"/>
        </w:rPr>
      </w:pPr>
    </w:p>
    <w:p w14:paraId="0964A079" w14:textId="77777777" w:rsidR="00C22B24" w:rsidRPr="00920B12" w:rsidRDefault="00C22B24" w:rsidP="00C22B24">
      <w:pPr>
        <w:rPr>
          <w:rFonts w:ascii="Times New Roman" w:hAnsi="Times New Roman" w:cs="Times New Roman"/>
        </w:rPr>
      </w:pPr>
    </w:p>
    <w:p w14:paraId="746CFBCC" w14:textId="77777777" w:rsidR="00C22B24" w:rsidRPr="003D3FED" w:rsidRDefault="00C22B24" w:rsidP="005B6DA7">
      <w:pPr>
        <w:pStyle w:val="Heading2"/>
      </w:pPr>
      <w:bookmarkStart w:id="322" w:name="_Toc364636132"/>
      <w:bookmarkStart w:id="323" w:name="_Toc518323338"/>
      <w:r w:rsidRPr="003D3FED">
        <w:t>F.  Proof of Negligence</w:t>
      </w:r>
      <w:bookmarkEnd w:id="322"/>
      <w:bookmarkEnd w:id="323"/>
    </w:p>
    <w:p w14:paraId="1404CA02" w14:textId="77777777" w:rsidR="00C22B24" w:rsidRPr="00920B12" w:rsidRDefault="00C22B24" w:rsidP="00C22B24">
      <w:pPr>
        <w:rPr>
          <w:rFonts w:ascii="Times New Roman" w:hAnsi="Times New Roman" w:cs="Times New Roman"/>
          <w:b/>
          <w:u w:val="single"/>
        </w:rPr>
      </w:pPr>
    </w:p>
    <w:p w14:paraId="16C65CCF" w14:textId="7C6D912C"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is one thing to understand the basic elements of the negligence cause of action.  But in practice</w:t>
      </w:r>
      <w:r w:rsidR="00B95C11">
        <w:rPr>
          <w:rFonts w:ascii="Times New Roman" w:eastAsia="Times New Roman" w:hAnsi="Times New Roman" w:cs="Times New Roman"/>
        </w:rPr>
        <w:t>,</w:t>
      </w:r>
      <w:r w:rsidRPr="750671CE">
        <w:rPr>
          <w:rFonts w:ascii="Times New Roman" w:eastAsia="Times New Roman" w:hAnsi="Times New Roman" w:cs="Times New Roman"/>
        </w:rPr>
        <w:t xml:space="preserve"> a plaintiff needs to prove her case, too.  The question of what precisely it means to meet a plaintiff</w:t>
      </w:r>
      <w:r w:rsidR="00B05F31">
        <w:rPr>
          <w:rFonts w:ascii="Times New Roman" w:eastAsia="Times New Roman" w:hAnsi="Times New Roman" w:cs="Times New Roman"/>
        </w:rPr>
        <w:t>’</w:t>
      </w:r>
      <w:r w:rsidRPr="750671CE">
        <w:rPr>
          <w:rFonts w:ascii="Times New Roman" w:eastAsia="Times New Roman" w:hAnsi="Times New Roman" w:cs="Times New Roman"/>
        </w:rPr>
        <w:t>s burden of proof turns out to be a tricky one.  Consider Judge Posner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opinion in </w:t>
      </w:r>
      <w:r w:rsidRPr="750671CE">
        <w:rPr>
          <w:rFonts w:ascii="Times New Roman" w:eastAsia="Times New Roman" w:hAnsi="Times New Roman" w:cs="Times New Roman"/>
          <w:i/>
          <w:iCs/>
        </w:rPr>
        <w:t>Howard v. Wal-Mart</w:t>
      </w:r>
      <w:r w:rsidRPr="750671CE">
        <w:rPr>
          <w:rFonts w:ascii="Times New Roman" w:eastAsia="Times New Roman" w:hAnsi="Times New Roman" w:cs="Times New Roman"/>
        </w:rPr>
        <w:t>:</w:t>
      </w:r>
    </w:p>
    <w:p w14:paraId="52E33FE0" w14:textId="77777777" w:rsidR="00C22B24" w:rsidRDefault="00C22B24" w:rsidP="00C22B24">
      <w:pPr>
        <w:rPr>
          <w:rFonts w:ascii="Times New Roman" w:hAnsi="Times New Roman" w:cs="Times New Roman"/>
          <w:b/>
          <w:u w:val="single"/>
        </w:rPr>
      </w:pPr>
    </w:p>
    <w:p w14:paraId="15B62C62" w14:textId="77777777" w:rsidR="00DA12B7" w:rsidRPr="00920B12" w:rsidRDefault="00DA12B7" w:rsidP="00C22B24">
      <w:pPr>
        <w:rPr>
          <w:rFonts w:ascii="Times New Roman" w:hAnsi="Times New Roman" w:cs="Times New Roman"/>
          <w:b/>
          <w:u w:val="single"/>
        </w:rPr>
      </w:pPr>
    </w:p>
    <w:p w14:paraId="73164392" w14:textId="4DDCCEDB" w:rsidR="00C22B24" w:rsidRDefault="00C22B24" w:rsidP="00322687">
      <w:pPr>
        <w:pStyle w:val="Heading3"/>
        <w:numPr>
          <w:ilvl w:val="0"/>
          <w:numId w:val="7"/>
        </w:numPr>
      </w:pPr>
      <w:bookmarkStart w:id="324" w:name="_Toc385930511"/>
      <w:bookmarkStart w:id="325" w:name="_Toc364636133"/>
      <w:bookmarkStart w:id="326" w:name="_Toc518323339"/>
      <w:bookmarkStart w:id="327" w:name="_GoBack"/>
      <w:bookmarkEnd w:id="327"/>
      <w:r w:rsidRPr="003D3FED">
        <w:t>The Basic Problem</w:t>
      </w:r>
      <w:bookmarkEnd w:id="324"/>
      <w:bookmarkEnd w:id="325"/>
      <w:bookmarkEnd w:id="326"/>
    </w:p>
    <w:p w14:paraId="0E5C4151" w14:textId="77777777" w:rsidR="00E72385" w:rsidRDefault="00E72385" w:rsidP="00E72385">
      <w:pPr>
        <w:rPr>
          <w:lang w:eastAsia="en-US"/>
        </w:rPr>
      </w:pPr>
    </w:p>
    <w:p w14:paraId="09BCFDFF" w14:textId="4D854BD7" w:rsidR="00E72385" w:rsidRPr="00E72385" w:rsidRDefault="00E72385" w:rsidP="750671CE">
      <w:pPr>
        <w:rPr>
          <w:rFonts w:ascii="Times New Roman" w:eastAsia="Times New Roman" w:hAnsi="Times New Roman" w:cs="Times New Roman"/>
          <w:b/>
          <w:bCs/>
          <w:lang w:eastAsia="en-US"/>
        </w:rPr>
      </w:pPr>
      <w:bookmarkStart w:id="328" w:name="_Toc518323340"/>
      <w:r w:rsidRPr="00E72385">
        <w:rPr>
          <w:rStyle w:val="Heading4Char"/>
        </w:rPr>
        <w:t>Howard v. Wal-Mart Stores, Inc</w:t>
      </w:r>
      <w:r w:rsidRPr="00E72385">
        <w:rPr>
          <w:rStyle w:val="Heading4Char"/>
          <w:b w:val="0"/>
          <w:bCs w:val="0"/>
        </w:rPr>
        <w:t>.</w:t>
      </w:r>
      <w:bookmarkEnd w:id="328"/>
      <w:r w:rsidRPr="750671CE">
        <w:rPr>
          <w:rFonts w:ascii="Times New Roman" w:eastAsia="Times New Roman" w:hAnsi="Times New Roman" w:cs="Times New Roman"/>
          <w:b/>
          <w:bCs/>
          <w:lang w:eastAsia="en-US"/>
        </w:rPr>
        <w:t>, 160 F.3d 358 (7</w:t>
      </w:r>
      <w:r w:rsidR="0002652F">
        <w:rPr>
          <w:rFonts w:ascii="Times New Roman" w:eastAsia="Times New Roman" w:hAnsi="Times New Roman" w:cs="Times New Roman"/>
          <w:b/>
          <w:bCs/>
          <w:lang w:eastAsia="en-US"/>
        </w:rPr>
        <w:t>th</w:t>
      </w:r>
      <w:r w:rsidRPr="750671CE">
        <w:rPr>
          <w:rFonts w:ascii="Times New Roman" w:eastAsia="Times New Roman" w:hAnsi="Times New Roman" w:cs="Times New Roman"/>
          <w:b/>
          <w:bCs/>
          <w:lang w:eastAsia="en-US"/>
        </w:rPr>
        <w:t xml:space="preserve"> Cir. 1998)</w:t>
      </w:r>
    </w:p>
    <w:p w14:paraId="382B3804" w14:textId="77777777" w:rsidR="00C22B24" w:rsidRPr="00F94B7E" w:rsidRDefault="00C22B24" w:rsidP="00C22B24">
      <w:pPr>
        <w:rPr>
          <w:rFonts w:ascii="Times New Roman" w:hAnsi="Times New Roman" w:cs="Times New Roman"/>
          <w:u w:val="single"/>
        </w:rPr>
      </w:pPr>
    </w:p>
    <w:p w14:paraId="6C2AD45A" w14:textId="33BB5731" w:rsidR="00C22B24" w:rsidRPr="00920B12" w:rsidRDefault="00C22B24" w:rsidP="750671CE">
      <w:pPr>
        <w:ind w:firstLine="720"/>
        <w:rPr>
          <w:rFonts w:ascii="Times New Roman" w:eastAsia="Times New Roman" w:hAnsi="Times New Roman" w:cs="Times New Roman"/>
        </w:rPr>
      </w:pPr>
      <w:r w:rsidRPr="00F94B7E">
        <w:rPr>
          <w:rFonts w:ascii="Times New Roman" w:eastAsia="Times New Roman,Cambria" w:hAnsi="Times New Roman" w:cs="Times New Roman"/>
          <w:smallCaps/>
        </w:rPr>
        <w:t>Posner, C</w:t>
      </w:r>
      <w:r w:rsidRPr="00F94B7E">
        <w:rPr>
          <w:rFonts w:ascii="Times New Roman" w:eastAsia="Times New Roman,Cambria" w:hAnsi="Times New Roman" w:cs="Times New Roman"/>
          <w:bCs/>
        </w:rPr>
        <w:t>.</w:t>
      </w:r>
      <w:r w:rsidRPr="00F94B7E">
        <w:rPr>
          <w:rFonts w:ascii="Times New Roman" w:eastAsia="Times New Roman,Cambria" w:hAnsi="Times New Roman" w:cs="Times New Roman"/>
          <w:smallCaps/>
        </w:rPr>
        <w:t>J</w:t>
      </w:r>
      <w:r w:rsidRPr="00F94B7E">
        <w:rPr>
          <w:rFonts w:ascii="Times New Roman" w:eastAsia="Times New Roman,Cambria" w:hAnsi="Times New Roman" w:cs="Times New Roman"/>
          <w:bCs/>
          <w:smallCaps/>
        </w:rPr>
        <w:t>.</w:t>
      </w:r>
      <w:r w:rsidRPr="00F94B7E">
        <w:rPr>
          <w:rFonts w:ascii="Times New Roman" w:eastAsia="Times New Roman,Cambria" w:hAnsi="Times New Roman" w:cs="Times New Roman"/>
          <w:b/>
          <w:bCs/>
          <w:smallCaps/>
        </w:rPr>
        <w:t xml:space="preserve"> </w:t>
      </w:r>
      <w:r w:rsidRPr="00EE1884">
        <w:rPr>
          <w:rFonts w:ascii="Times New Roman" w:eastAsiaTheme="minorHAnsi" w:hAnsi="Times New Roman" w:cs="Times New Roman"/>
          <w:b/>
          <w:smallCaps/>
        </w:rPr>
        <w:tab/>
      </w:r>
      <w:r w:rsidRPr="750671CE">
        <w:rPr>
          <w:rFonts w:ascii="Times New Roman" w:eastAsia="Times New Roman" w:hAnsi="Times New Roman" w:cs="Times New Roman"/>
        </w:rPr>
        <w:t>We have before us a charming miniature of a case. In 1993 Dolores Howard, age 65, slipped and fell in a puddle of liquid soap that someone</w:t>
      </w:r>
      <w:r w:rsidR="0002652F">
        <w:rPr>
          <w:rFonts w:ascii="Times New Roman" w:eastAsia="Times New Roman" w:hAnsi="Times New Roman" w:cs="Times New Roman"/>
        </w:rPr>
        <w:t>—</w:t>
      </w:r>
      <w:r w:rsidRPr="750671CE">
        <w:rPr>
          <w:rFonts w:ascii="Times New Roman" w:eastAsia="Times New Roman" w:hAnsi="Times New Roman" w:cs="Times New Roman"/>
        </w:rPr>
        <w:t>no one knows who</w:t>
      </w:r>
      <w:r w:rsidR="0002652F">
        <w:rPr>
          <w:rFonts w:ascii="Times New Roman" w:eastAsia="Times New Roman" w:hAnsi="Times New Roman" w:cs="Times New Roman"/>
        </w:rPr>
        <w:t>—</w:t>
      </w:r>
      <w:r w:rsidRPr="750671CE">
        <w:rPr>
          <w:rFonts w:ascii="Times New Roman" w:eastAsia="Times New Roman" w:hAnsi="Times New Roman" w:cs="Times New Roman"/>
        </w:rPr>
        <w:t>had spilled on the floor of the aisle in a Wal-Mart store in Cahokia, Illinois. . . .   The jury awarded her $18,750. Wal-Mart has appealed out of fear (its lawyer explained to us at argument) of the precedential effect in future slip-and-fall cases of the judge</w:t>
      </w:r>
      <w:r w:rsidR="00B05F31">
        <w:rPr>
          <w:rFonts w:ascii="Times New Roman" w:eastAsia="Times New Roman" w:hAnsi="Times New Roman" w:cs="Times New Roman"/>
        </w:rPr>
        <w:t>’</w:t>
      </w:r>
      <w:r w:rsidRPr="750671CE">
        <w:rPr>
          <w:rFonts w:ascii="Times New Roman" w:eastAsia="Times New Roman" w:hAnsi="Times New Roman" w:cs="Times New Roman"/>
        </w:rPr>
        <w:t>s refusal to grant judgment for Wal-Mart as a matter of law. We don</w:t>
      </w:r>
      <w:r w:rsidR="00B05F31">
        <w:rPr>
          <w:rFonts w:ascii="Times New Roman" w:eastAsia="Times New Roman" w:hAnsi="Times New Roman" w:cs="Times New Roman"/>
        </w:rPr>
        <w:t>’</w:t>
      </w:r>
      <w:r w:rsidRPr="750671CE">
        <w:rPr>
          <w:rFonts w:ascii="Times New Roman" w:eastAsia="Times New Roman" w:hAnsi="Times New Roman" w:cs="Times New Roman"/>
        </w:rPr>
        <w:t>t tell people whether to exercise their rights of appeal, but we feel impelled to remind Wal-Mart and its lawyer that a district court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decision does not have precedential authority </w:t>
      </w:r>
      <w:r w:rsidR="001D5F4F">
        <w:rPr>
          <w:rFonts w:ascii="Times New Roman" w:eastAsia="Times New Roman" w:hAnsi="Times New Roman" w:cs="Times New Roman"/>
        </w:rPr>
        <w:t xml:space="preserve">. . . </w:t>
      </w:r>
      <w:r w:rsidRPr="750671CE">
        <w:rPr>
          <w:rFonts w:ascii="Times New Roman" w:eastAsia="Times New Roman" w:hAnsi="Times New Roman" w:cs="Times New Roman"/>
        </w:rPr>
        <w:t>let alone a jury verdict or an unreported order by a magistrate judge . . . refusing on unstated grounds to throw out a jury</w:t>
      </w:r>
      <w:r w:rsidR="00B05F31">
        <w:rPr>
          <w:rFonts w:ascii="Times New Roman" w:eastAsia="Times New Roman" w:hAnsi="Times New Roman" w:cs="Times New Roman"/>
        </w:rPr>
        <w:t>’</w:t>
      </w:r>
      <w:r w:rsidRPr="750671CE">
        <w:rPr>
          <w:rFonts w:ascii="Times New Roman" w:eastAsia="Times New Roman" w:hAnsi="Times New Roman" w:cs="Times New Roman"/>
        </w:rPr>
        <w:t>s verdict.</w:t>
      </w:r>
    </w:p>
    <w:p w14:paraId="422164F3" w14:textId="77777777" w:rsidR="00C22B24" w:rsidRPr="00920B12" w:rsidRDefault="00C22B24" w:rsidP="00C22B24">
      <w:pPr>
        <w:rPr>
          <w:rFonts w:ascii="Times New Roman" w:hAnsi="Times New Roman" w:cs="Times New Roman"/>
        </w:rPr>
      </w:pPr>
    </w:p>
    <w:p w14:paraId="162A999E" w14:textId="41344911"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issue on appeal is whether there was enough evidence of liability to allow the case to go to a jury, and, specifically, whether there was enough evidence that an employee rather than a customer spilled the soap. </w:t>
      </w:r>
      <w:r w:rsidR="001D5F4F">
        <w:rPr>
          <w:rFonts w:ascii="Times New Roman" w:eastAsia="Times New Roman" w:hAnsi="Times New Roman" w:cs="Times New Roman"/>
        </w:rPr>
        <w:t>. . .</w:t>
      </w:r>
      <w:r w:rsidRPr="750671CE">
        <w:rPr>
          <w:rFonts w:ascii="Times New Roman" w:eastAsia="Times New Roman" w:hAnsi="Times New Roman" w:cs="Times New Roman"/>
        </w:rPr>
        <w:t xml:space="preserve"> Even if a customer spilled it, Wal-Mart could be liable if it failed to notice the spill and clean it up within a reasonable time. </w:t>
      </w:r>
      <w:r w:rsidR="001D5F4F">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rPr>
          <w:rFonts w:ascii="Times New Roman" w:eastAsia="Times New Roman" w:hAnsi="Times New Roman" w:cs="Times New Roman"/>
        </w:rPr>
        <w:t>. . .</w:t>
      </w:r>
      <w:r w:rsidRPr="750671CE">
        <w:rPr>
          <w:rFonts w:ascii="Times New Roman" w:eastAsia="Times New Roman" w:hAnsi="Times New Roman" w:cs="Times New Roman"/>
        </w:rPr>
        <w:t xml:space="preserve"> So Howard could prevail only if there was enough evidence that an employee spilled the soap to satisfy the requirement of proving causation by a preponderance of the evidence.</w:t>
      </w:r>
    </w:p>
    <w:p w14:paraId="7B5405FB" w14:textId="77777777" w:rsidR="00C22B24" w:rsidRPr="00920B12" w:rsidRDefault="00C22B24" w:rsidP="00C22B24">
      <w:pPr>
        <w:rPr>
          <w:rFonts w:ascii="Times New Roman" w:hAnsi="Times New Roman" w:cs="Times New Roman"/>
        </w:rPr>
      </w:pPr>
    </w:p>
    <w:p w14:paraId="1689E852" w14:textId="790CC908"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lastRenderedPageBreak/>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rPr>
          <w:rFonts w:ascii="Times New Roman" w:eastAsia="Times New Roman" w:hAnsi="Times New Roman" w:cs="Times New Roman"/>
        </w:rPr>
        <w:t>“</w:t>
      </w:r>
      <w:r w:rsidRPr="750671CE">
        <w:rPr>
          <w:rFonts w:ascii="Times New Roman" w:eastAsia="Times New Roman" w:hAnsi="Times New Roman" w:cs="Times New Roman"/>
        </w:rPr>
        <w:t>when I got up, I had it all over me, my coat, my pants, my shoes, my socks.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rPr>
          <w:rFonts w:ascii="Times New Roman" w:eastAsia="Times New Roman" w:hAnsi="Times New Roman" w:cs="Times New Roman"/>
        </w:rPr>
        <w:t>’</w:t>
      </w:r>
      <w:r w:rsidRPr="750671CE">
        <w:rPr>
          <w:rFonts w:ascii="Times New Roman" w:eastAsia="Times New Roman" w:hAnsi="Times New Roman" w:cs="Times New Roman"/>
        </w:rPr>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rPr>
          <w:rFonts w:ascii="Times New Roman" w:eastAsia="Times New Roman" w:hAnsi="Times New Roman" w:cs="Times New Roman"/>
        </w:rPr>
        <w:t>—</w:t>
      </w:r>
      <w:r w:rsidRPr="750671CE">
        <w:rPr>
          <w:rFonts w:ascii="Times New Roman" w:eastAsia="Times New Roman" w:hAnsi="Times New Roman" w:cs="Times New Roman"/>
        </w:rPr>
        <w:t>a large part, if Howard</w:t>
      </w:r>
      <w:r w:rsidR="00B05F31">
        <w:rPr>
          <w:rFonts w:ascii="Times New Roman" w:eastAsia="Times New Roman" w:hAnsi="Times New Roman" w:cs="Times New Roman"/>
        </w:rPr>
        <w:t>’</w:t>
      </w:r>
      <w:r w:rsidRPr="750671CE">
        <w:rPr>
          <w:rFonts w:ascii="Times New Roman" w:eastAsia="Times New Roman" w:hAnsi="Times New Roman" w:cs="Times New Roman"/>
        </w:rPr>
        <w:t>s testimony was believed; and the jury was entitled to believe it</w:t>
      </w:r>
      <w:r w:rsidR="00282A48">
        <w:rPr>
          <w:rFonts w:ascii="Times New Roman" w:eastAsia="Times New Roman" w:hAnsi="Times New Roman" w:cs="Times New Roman"/>
        </w:rPr>
        <w:t>—</w:t>
      </w:r>
      <w:r w:rsidRPr="750671CE">
        <w:rPr>
          <w:rFonts w:ascii="Times New Roman" w:eastAsia="Times New Roman" w:hAnsi="Times New Roman" w:cs="Times New Roman"/>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Pr>
          <w:rFonts w:ascii="Times New Roman" w:eastAsia="Times New Roman" w:hAnsi="Times New Roman" w:cs="Times New Roman"/>
        </w:rPr>
        <w:t>’</w:t>
      </w:r>
      <w:r w:rsidRPr="750671CE">
        <w:rPr>
          <w:rFonts w:ascii="Times New Roman" w:eastAsia="Times New Roman" w:hAnsi="Times New Roman" w:cs="Times New Roman"/>
        </w:rPr>
        <w:t>s breadth.</w:t>
      </w:r>
    </w:p>
    <w:p w14:paraId="43A24471" w14:textId="77777777" w:rsidR="00C22B24" w:rsidRPr="00920B12" w:rsidRDefault="00C22B24" w:rsidP="00C22B24">
      <w:pPr>
        <w:rPr>
          <w:rFonts w:ascii="Times New Roman" w:hAnsi="Times New Roman" w:cs="Times New Roman"/>
        </w:rPr>
      </w:pPr>
    </w:p>
    <w:p w14:paraId="432874CC" w14:textId="0B9EC0E4" w:rsidR="00C22B24" w:rsidRPr="00920B1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Is a hair</w:t>
      </w:r>
      <w:r w:rsidR="00B05F31">
        <w:rPr>
          <w:rFonts w:ascii="Times New Roman" w:eastAsia="Times New Roman" w:hAnsi="Times New Roman" w:cs="Times New Roman"/>
        </w:rPr>
        <w:t>’</w:t>
      </w:r>
      <w:r w:rsidRPr="750671CE">
        <w:rPr>
          <w:rFonts w:ascii="Times New Roman" w:eastAsia="Times New Roman" w:hAnsi="Times New Roman" w:cs="Times New Roman"/>
        </w:rPr>
        <w:t>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answer is </w:t>
      </w:r>
      <w:r w:rsidR="00B05F31">
        <w:rPr>
          <w:rFonts w:ascii="Times New Roman" w:eastAsia="Times New Roman" w:hAnsi="Times New Roman" w:cs="Times New Roman"/>
        </w:rPr>
        <w:t>“</w:t>
      </w:r>
      <w:r w:rsidRPr="750671CE">
        <w:rPr>
          <w:rFonts w:ascii="Times New Roman" w:eastAsia="Times New Roman" w:hAnsi="Times New Roman" w:cs="Times New Roman"/>
        </w:rPr>
        <w:t>no.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Richard W. Wright, </w:t>
      </w:r>
      <w:r w:rsidRPr="00F94B7E">
        <w:rPr>
          <w:rFonts w:ascii="Times New Roman" w:eastAsia="Times New Roman" w:hAnsi="Times New Roman" w:cs="Times New Roman"/>
          <w:i/>
        </w:rPr>
        <w:t>Causation, Responsibility, Risk, Probability, Naked Statistics, and Proof: Pruning the Bramble Bush by Clarifying the Concepts</w:t>
      </w:r>
      <w:r w:rsidRPr="750671CE">
        <w:rPr>
          <w:rFonts w:ascii="Times New Roman" w:eastAsia="Times New Roman" w:hAnsi="Times New Roman" w:cs="Times New Roman"/>
        </w:rPr>
        <w:t xml:space="preserve">, 73 </w:t>
      </w:r>
      <w:r w:rsidRPr="00F94B7E">
        <w:rPr>
          <w:rFonts w:ascii="Times New Roman" w:eastAsia="Times New Roman" w:hAnsi="Times New Roman" w:cs="Times New Roman"/>
          <w:iCs/>
          <w:smallCaps/>
        </w:rPr>
        <w:t>I</w:t>
      </w:r>
      <w:r w:rsidR="00282A48" w:rsidRPr="00F94B7E">
        <w:rPr>
          <w:rFonts w:ascii="Times New Roman" w:eastAsia="Times New Roman" w:hAnsi="Times New Roman" w:cs="Times New Roman"/>
          <w:iCs/>
          <w:smallCaps/>
        </w:rPr>
        <w:t>ow</w:t>
      </w:r>
      <w:r w:rsidRPr="00F94B7E">
        <w:rPr>
          <w:rFonts w:ascii="Times New Roman" w:eastAsia="Times New Roman" w:hAnsi="Times New Roman" w:cs="Times New Roman"/>
          <w:iCs/>
          <w:smallCaps/>
        </w:rPr>
        <w:t>a L. Rev</w:t>
      </w:r>
      <w:r w:rsidRPr="750671CE">
        <w:rPr>
          <w:rFonts w:ascii="Times New Roman" w:eastAsia="Times New Roman" w:hAnsi="Times New Roman" w:cs="Times New Roman"/>
          <w:i/>
          <w:iCs/>
        </w:rPr>
        <w:t>.</w:t>
      </w:r>
      <w:r w:rsidRPr="750671CE">
        <w:rPr>
          <w:rFonts w:ascii="Times New Roman" w:eastAsia="Times New Roman" w:hAnsi="Times New Roman" w:cs="Times New Roman"/>
        </w:rPr>
        <w:t xml:space="preserve"> 1001, 1050-51 (1988), and cases cited there. Our hypothetical case is a variant of </w:t>
      </w:r>
      <w:r w:rsidRPr="750671CE">
        <w:rPr>
          <w:rFonts w:ascii="Times New Roman" w:eastAsia="Times New Roman" w:hAnsi="Times New Roman" w:cs="Times New Roman"/>
          <w:i/>
          <w:iCs/>
        </w:rPr>
        <w:t>Smith v. Rapid Transit</w:t>
      </w:r>
      <w:r w:rsidRPr="750671CE">
        <w:rPr>
          <w:rFonts w:ascii="Times New Roman" w:eastAsia="Times New Roman" w:hAnsi="Times New Roman" w:cs="Times New Roman"/>
        </w:rPr>
        <w:t xml:space="preserve">, 317 Mass. 469, 58 N.E.2d 754 (1945), where the court held that it </w:t>
      </w:r>
      <w:r w:rsidR="00B05F31">
        <w:rPr>
          <w:rFonts w:ascii="Times New Roman" w:eastAsia="Times New Roman" w:hAnsi="Times New Roman" w:cs="Times New Roman"/>
        </w:rPr>
        <w:t>“</w:t>
      </w:r>
      <w:r w:rsidRPr="750671CE">
        <w:rPr>
          <w:rFonts w:ascii="Times New Roman" w:eastAsia="Times New Roman" w:hAnsi="Times New Roman" w:cs="Times New Roman"/>
        </w:rPr>
        <w:t>was not enough</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that perhaps the mathematical chances somewhat favor the proposition that a bus of the defendant caused the accident.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755. . . .</w:t>
      </w:r>
    </w:p>
    <w:p w14:paraId="02159679" w14:textId="77777777" w:rsidR="00C22B24" w:rsidRPr="00920B12" w:rsidRDefault="00C22B24" w:rsidP="00C22B24">
      <w:pPr>
        <w:rPr>
          <w:rFonts w:ascii="Times New Roman" w:hAnsi="Times New Roman" w:cs="Times New Roman"/>
        </w:rPr>
      </w:pPr>
    </w:p>
    <w:p w14:paraId="113A43B3" w14:textId="551B2A97" w:rsidR="00C22B24" w:rsidRPr="00920B12" w:rsidRDefault="750671CE" w:rsidP="750671CE">
      <w:pPr>
        <w:ind w:firstLine="720"/>
        <w:rPr>
          <w:rFonts w:ascii="Times New Roman" w:eastAsia="Times New Roman" w:hAnsi="Times New Roman" w:cs="Times New Roman"/>
        </w:rPr>
      </w:pPr>
      <w:r w:rsidRPr="00F94B7E">
        <w:rPr>
          <w:rFonts w:ascii="Times New Roman" w:eastAsia="Times New Roman" w:hAnsi="Times New Roman" w:cs="Times New Roman"/>
          <w:i/>
        </w:rPr>
        <w:t>Smith</w:t>
      </w:r>
      <w:r w:rsidRPr="750671CE">
        <w:rPr>
          <w:rFonts w:ascii="Times New Roman" w:eastAsia="Times New Roman" w:hAnsi="Times New Roman" w:cs="Times New Roman"/>
        </w:rPr>
        <w:t xml:space="preserve"> . . . involve[s] explicitly probabilistic evidence. But as all evidence is probabilistic in the sense of lacking absolute certainty, all evidence can be expressed in probabilistic terms, and so the problem or dilemma presented by those cases is general.   The eyewitness might say that he was </w:t>
      </w:r>
      <w:r w:rsidR="00B05F31">
        <w:rPr>
          <w:rFonts w:ascii="Times New Roman" w:eastAsia="Times New Roman" w:hAnsi="Times New Roman" w:cs="Times New Roman"/>
        </w:rPr>
        <w:t>“</w:t>
      </w:r>
      <w:r w:rsidRPr="750671CE">
        <w:rPr>
          <w:rFonts w:ascii="Times New Roman" w:eastAsia="Times New Roman" w:hAnsi="Times New Roman" w:cs="Times New Roman"/>
        </w:rPr>
        <w:t>99 percent sure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only evidence, and he does not show that it was infeasible for him to obtain any additional evidence, the inference to be drawn is not that there is a 51 percent probability that it was a bus owned by A that hit the plaintiff. </w:t>
      </w:r>
      <w:r w:rsidRPr="750671CE">
        <w:rPr>
          <w:rFonts w:ascii="Times New Roman" w:eastAsia="Times New Roman" w:hAnsi="Times New Roman" w:cs="Times New Roman"/>
        </w:rPr>
        <w:lastRenderedPageBreak/>
        <w:t>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rPr>
          <w:rFonts w:ascii="Times New Roman" w:eastAsia="Times New Roman" w:hAnsi="Times New Roman" w:cs="Times New Roman"/>
        </w:rPr>
        <w:t>—</w:t>
      </w:r>
      <w:r w:rsidRPr="750671CE">
        <w:rPr>
          <w:rFonts w:ascii="Times New Roman" w:eastAsia="Times New Roman" w:hAnsi="Times New Roman" w:cs="Times New Roman"/>
        </w:rPr>
        <w:t>the plaintiff just hasn</w:t>
      </w:r>
      <w:r w:rsidR="00B05F31">
        <w:rPr>
          <w:rFonts w:ascii="Times New Roman" w:eastAsia="Times New Roman" w:hAnsi="Times New Roman" w:cs="Times New Roman"/>
        </w:rPr>
        <w:t>’</w:t>
      </w:r>
      <w:r w:rsidRPr="750671CE">
        <w:rPr>
          <w:rFonts w:ascii="Times New Roman" w:eastAsia="Times New Roman" w:hAnsi="Times New Roman" w:cs="Times New Roman"/>
        </w:rPr>
        <w:t>t conducted an investigation</w:t>
      </w:r>
      <w:r w:rsidR="003D092B">
        <w:rPr>
          <w:rFonts w:ascii="Times New Roman" w:eastAsia="Times New Roman" w:hAnsi="Times New Roman" w:cs="Times New Roman"/>
        </w:rPr>
        <w:t>—</w:t>
      </w:r>
      <w:r w:rsidRPr="750671CE">
        <w:rPr>
          <w:rFonts w:ascii="Times New Roman" w:eastAsia="Times New Roman" w:hAnsi="Times New Roman" w:cs="Times New Roman"/>
        </w:rPr>
        <w:t>he still should lose. A court shouldn</w:t>
      </w:r>
      <w:r w:rsidR="00B05F31">
        <w:rPr>
          <w:rFonts w:ascii="Times New Roman" w:eastAsia="Times New Roman" w:hAnsi="Times New Roman" w:cs="Times New Roman"/>
        </w:rPr>
        <w:t>’</w:t>
      </w:r>
      <w:r w:rsidRPr="750671CE">
        <w:rPr>
          <w:rFonts w:ascii="Times New Roman" w:eastAsia="Times New Roman" w:hAnsi="Times New Roman" w:cs="Times New Roman"/>
        </w:rPr>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rPr>
          <w:rFonts w:ascii="Times New Roman" w:eastAsia="Times New Roman" w:hAnsi="Times New Roman" w:cs="Times New Roman"/>
        </w:rPr>
        <w:t>’</w:t>
      </w:r>
      <w:r w:rsidRPr="750671CE">
        <w:rPr>
          <w:rFonts w:ascii="Times New Roman" w:eastAsia="Times New Roman" w:hAnsi="Times New Roman" w:cs="Times New Roman"/>
        </w:rPr>
        <w:t>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920B12" w:rsidRDefault="00C22B24" w:rsidP="00C22B24">
      <w:pPr>
        <w:rPr>
          <w:rFonts w:ascii="Times New Roman" w:hAnsi="Times New Roman" w:cs="Times New Roman"/>
        </w:rPr>
      </w:pPr>
    </w:p>
    <w:p w14:paraId="61473BFD" w14:textId="37E3464F" w:rsidR="00C22B24" w:rsidRPr="00920B1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Default="0091126C">
      <w:pPr>
        <w:rPr>
          <w:rFonts w:ascii="Times New Roman" w:hAnsi="Times New Roman" w:cs="Times New Roman"/>
          <w:color w:val="000000"/>
        </w:rPr>
      </w:pPr>
    </w:p>
    <w:p w14:paraId="04647D45" w14:textId="77777777" w:rsidR="00C22B24" w:rsidRPr="00920B12"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920B12" w:rsidRDefault="00C22B24" w:rsidP="00C22B24">
      <w:pPr>
        <w:rPr>
          <w:rFonts w:ascii="Times New Roman" w:hAnsi="Times New Roman" w:cs="Times New Roman"/>
        </w:rPr>
      </w:pPr>
    </w:p>
    <w:p w14:paraId="4548005D" w14:textId="71F864C6" w:rsidR="00C22B24" w:rsidRPr="00FB68F4" w:rsidRDefault="750671CE">
      <w:pPr>
        <w:ind w:firstLine="720"/>
        <w:rPr>
          <w:rFonts w:ascii="Times New Roman" w:eastAsia="Times New Roman" w:hAnsi="Times New Roman" w:cs="Times New Roman"/>
        </w:rPr>
      </w:pPr>
      <w:r w:rsidRPr="00B978E6">
        <w:rPr>
          <w:rFonts w:ascii="Times New Roman" w:eastAsia="Times New Roman" w:hAnsi="Times New Roman" w:cs="Times New Roman"/>
        </w:rPr>
        <w:t>A</w:t>
      </w:r>
      <w:r w:rsidR="00B67BED" w:rsidRPr="00787BF5">
        <w:rPr>
          <w:rFonts w:ascii="Times New Roman" w:eastAsia="Times New Roman" w:hAnsi="Times New Roman" w:cs="Times New Roman"/>
        </w:rPr>
        <w:t>ffirmed</w:t>
      </w:r>
      <w:r w:rsidRPr="00F865F5">
        <w:rPr>
          <w:rFonts w:ascii="Times New Roman" w:eastAsia="Times New Roman" w:hAnsi="Times New Roman" w:cs="Times New Roman"/>
        </w:rPr>
        <w:t>.</w:t>
      </w:r>
    </w:p>
    <w:p w14:paraId="7642D72F" w14:textId="77777777" w:rsidR="00C22B24" w:rsidRDefault="00C22B24" w:rsidP="0003736D">
      <w:pPr>
        <w:rPr>
          <w:rFonts w:ascii="Times New Roman" w:hAnsi="Times New Roman" w:cs="Times New Roman"/>
        </w:rPr>
      </w:pPr>
    </w:p>
    <w:p w14:paraId="30814DC5" w14:textId="77777777" w:rsidR="0003736D" w:rsidRPr="00920B12" w:rsidRDefault="0003736D" w:rsidP="0003736D">
      <w:pPr>
        <w:rPr>
          <w:rFonts w:ascii="Times New Roman" w:hAnsi="Times New Roman" w:cs="Times New Roman"/>
        </w:rPr>
      </w:pPr>
    </w:p>
    <w:p w14:paraId="7D461963" w14:textId="77777777" w:rsidR="00C22B24" w:rsidRPr="00920B12" w:rsidRDefault="00C22B24" w:rsidP="002502CC">
      <w:pPr>
        <w:pStyle w:val="Heading4"/>
      </w:pPr>
      <w:bookmarkStart w:id="329" w:name="_Toc385930513"/>
      <w:bookmarkStart w:id="330" w:name="_Toc364636134"/>
      <w:bookmarkStart w:id="331" w:name="_Toc518323341"/>
      <w:r w:rsidRPr="00920B12">
        <w:t>Notes</w:t>
      </w:r>
      <w:bookmarkEnd w:id="329"/>
      <w:bookmarkEnd w:id="330"/>
      <w:bookmarkEnd w:id="331"/>
    </w:p>
    <w:p w14:paraId="0548D9CA" w14:textId="77777777" w:rsidR="00C22B24" w:rsidRDefault="00C22B24" w:rsidP="0003736D">
      <w:pPr>
        <w:rPr>
          <w:rFonts w:ascii="Times New Roman" w:hAnsi="Times New Roman" w:cs="Times New Roman"/>
          <w:b/>
          <w:u w:val="single"/>
        </w:rPr>
      </w:pPr>
    </w:p>
    <w:p w14:paraId="37D63A24" w14:textId="77777777" w:rsidR="0003736D" w:rsidRPr="00920B12" w:rsidRDefault="0003736D" w:rsidP="0003736D">
      <w:pPr>
        <w:rPr>
          <w:rFonts w:ascii="Times New Roman" w:hAnsi="Times New Roman" w:cs="Times New Roman"/>
          <w:b/>
          <w:u w:val="single"/>
        </w:rPr>
      </w:pPr>
    </w:p>
    <w:p w14:paraId="56D7C05F" w14:textId="0AC362AC" w:rsidR="00C22B24" w:rsidRPr="00F94B7E" w:rsidRDefault="00D23F0C" w:rsidP="00F94B7E">
      <w:pPr>
        <w:pStyle w:val="ListParagraph"/>
        <w:numPr>
          <w:ilvl w:val="0"/>
          <w:numId w:val="5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Statistical evidence in the common law</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Why is it not enough for plaintiffs to prove their case using statistical evidence that establishes a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more likely than not</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probability that the defendant was negligent?</w:t>
      </w:r>
    </w:p>
    <w:p w14:paraId="2DFBD9E0" w14:textId="77777777" w:rsidR="00C22B24" w:rsidRPr="00920B12" w:rsidRDefault="00C22B24" w:rsidP="00C22B24">
      <w:pPr>
        <w:pStyle w:val="ListParagraph"/>
        <w:rPr>
          <w:rFonts w:ascii="Times New Roman" w:hAnsi="Times New Roman" w:cs="Times New Roman"/>
        </w:rPr>
      </w:pPr>
    </w:p>
    <w:p w14:paraId="31E2264A" w14:textId="1A81F664" w:rsidR="00C22B24" w:rsidRPr="00920B12" w:rsidRDefault="750671CE" w:rsidP="750671CE">
      <w:pPr>
        <w:pStyle w:val="ListParagraph"/>
        <w:ind w:left="0" w:firstLine="720"/>
        <w:rPr>
          <w:rFonts w:ascii="Times New Roman" w:eastAsia="Times New Roman" w:hAnsi="Times New Roman" w:cs="Times New Roman"/>
        </w:rPr>
      </w:pPr>
      <w:r w:rsidRPr="750671CE">
        <w:rPr>
          <w:rFonts w:ascii="Times New Roman" w:eastAsia="Times New Roman" w:hAnsi="Times New Roman" w:cs="Times New Roman"/>
        </w:rPr>
        <w:t xml:space="preserve">According to Professor Daniel Shaviro, courts refuse to rule for plaintiffs in such cases for three reasons. First, relying on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makes the unjust punishment of innocent persons certain, rather than probable,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effectively allowing such defendants </w:t>
      </w:r>
      <w:r w:rsidR="00B05F31">
        <w:rPr>
          <w:rFonts w:ascii="Times New Roman" w:eastAsia="Times New Roman" w:hAnsi="Times New Roman" w:cs="Times New Roman"/>
        </w:rPr>
        <w:t>“</w:t>
      </w:r>
      <w:r w:rsidRPr="750671CE">
        <w:rPr>
          <w:rFonts w:ascii="Times New Roman" w:eastAsia="Times New Roman" w:hAnsi="Times New Roman" w:cs="Times New Roman"/>
        </w:rPr>
        <w:t>to be sacrificed for general social benefit.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Daniel Shaviro, Commentary, </w:t>
      </w:r>
      <w:r w:rsidRPr="750671CE">
        <w:rPr>
          <w:rFonts w:ascii="Times New Roman" w:eastAsia="Times New Roman" w:hAnsi="Times New Roman" w:cs="Times New Roman"/>
          <w:i/>
          <w:iCs/>
        </w:rPr>
        <w:t>Statistical-</w:t>
      </w:r>
      <w:r w:rsidRPr="750671CE">
        <w:rPr>
          <w:rFonts w:ascii="Times New Roman" w:eastAsia="Times New Roman" w:hAnsi="Times New Roman" w:cs="Times New Roman"/>
          <w:i/>
          <w:iCs/>
        </w:rPr>
        <w:lastRenderedPageBreak/>
        <w:t>Probability Evidence and the Appearance of Justice</w:t>
      </w:r>
      <w:r w:rsidRPr="750671CE">
        <w:rPr>
          <w:rFonts w:ascii="Times New Roman" w:eastAsia="Times New Roman" w:hAnsi="Times New Roman" w:cs="Times New Roman"/>
        </w:rPr>
        <w:t xml:space="preserve">, 103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530, 535 (1989) (emphasis omitted). Second, such evidence </w:t>
      </w:r>
      <w:r w:rsidR="00B05F31">
        <w:rPr>
          <w:rFonts w:ascii="Times New Roman" w:eastAsia="Times New Roman" w:hAnsi="Times New Roman" w:cs="Times New Roman"/>
        </w:rPr>
        <w:t>“</w:t>
      </w:r>
      <w:r w:rsidRPr="750671CE">
        <w:rPr>
          <w:rFonts w:ascii="Times New Roman" w:eastAsia="Times New Roman" w:hAnsi="Times New Roman" w:cs="Times New Roman"/>
        </w:rPr>
        <w:t>violates the principle that defendants should be treated as unique individuals.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 xml:space="preserve">at 537 (emphasis omitted). Third,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defendants should not be held . . . liable absent </w:t>
      </w:r>
      <w:r w:rsidR="00B05F31">
        <w:rPr>
          <w:rFonts w:ascii="Times New Roman" w:eastAsia="Times New Roman" w:hAnsi="Times New Roman" w:cs="Times New Roman"/>
        </w:rPr>
        <w:t>‘</w:t>
      </w:r>
      <w:r w:rsidRPr="750671CE">
        <w:rPr>
          <w:rFonts w:ascii="Times New Roman" w:eastAsia="Times New Roman" w:hAnsi="Times New Roman" w:cs="Times New Roman"/>
        </w:rPr>
        <w:t>actual belief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by the jury, and such belief cannot be derived from statistical-probability evidence.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539. Professor Laurence Tribe similarly argues that courts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reliance on statistical evidence </w:t>
      </w:r>
      <w:r w:rsidR="00B05F31">
        <w:rPr>
          <w:rFonts w:ascii="Times New Roman" w:eastAsia="Times New Roman" w:hAnsi="Times New Roman" w:cs="Times New Roman"/>
        </w:rPr>
        <w:t>“</w:t>
      </w:r>
      <w:r w:rsidRPr="750671CE">
        <w:rPr>
          <w:rFonts w:ascii="Times New Roman" w:eastAsia="Times New Roman" w:hAnsi="Times New Roman" w:cs="Times New Roman"/>
        </w:rPr>
        <w:t>dehumaniz[es] . . . justice,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directing jurors to focus on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rather than innocence, and </w:t>
      </w:r>
      <w:r w:rsidR="00B05F31">
        <w:rPr>
          <w:rFonts w:ascii="Times New Roman" w:eastAsia="Times New Roman" w:hAnsi="Times New Roman" w:cs="Times New Roman"/>
        </w:rPr>
        <w:t>“</w:t>
      </w:r>
      <w:r w:rsidRPr="750671CE">
        <w:rPr>
          <w:rFonts w:ascii="Times New Roman" w:eastAsia="Times New Roman" w:hAnsi="Times New Roman" w:cs="Times New Roman"/>
        </w:rPr>
        <w:t>distort[ing] . . .  important values . . .  that society means to express or to pursue through . . . legal trials.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Laurence H. Tribe, </w:t>
      </w:r>
      <w:r w:rsidRPr="750671CE">
        <w:rPr>
          <w:rFonts w:ascii="Times New Roman" w:eastAsia="Times New Roman" w:hAnsi="Times New Roman" w:cs="Times New Roman"/>
          <w:i/>
          <w:iCs/>
        </w:rPr>
        <w:t>Trial by Mathematics: Precision and Ritual in the Legal Process</w:t>
      </w:r>
      <w:r w:rsidRPr="750671CE">
        <w:rPr>
          <w:rFonts w:ascii="Times New Roman" w:eastAsia="Times New Roman" w:hAnsi="Times New Roman" w:cs="Times New Roman"/>
        </w:rPr>
        <w:t xml:space="preserve">, 84 </w:t>
      </w:r>
      <w:r w:rsidRPr="750671CE">
        <w:rPr>
          <w:rFonts w:ascii="Times New Roman" w:eastAsia="Times New Roman" w:hAnsi="Times New Roman" w:cs="Times New Roman"/>
          <w:smallCaps/>
        </w:rPr>
        <w:t>Harv. L. Rev.</w:t>
      </w:r>
      <w:r w:rsidRPr="750671CE">
        <w:rPr>
          <w:rFonts w:ascii="Times New Roman" w:eastAsia="Times New Roman" w:hAnsi="Times New Roman" w:cs="Times New Roman"/>
        </w:rPr>
        <w:t xml:space="preserve"> 1329, 1375, 1330 (1971). For more information on statistical evidence in trials, see </w:t>
      </w:r>
      <w:r w:rsidRPr="750671CE">
        <w:rPr>
          <w:rFonts w:ascii="Times New Roman" w:eastAsia="Times New Roman" w:hAnsi="Times New Roman" w:cs="Times New Roman"/>
          <w:i/>
          <w:iCs/>
        </w:rPr>
        <w:t>infra</w:t>
      </w:r>
      <w:r w:rsidRPr="750671CE">
        <w:rPr>
          <w:rFonts w:ascii="Times New Roman" w:eastAsia="Times New Roman" w:hAnsi="Times New Roman" w:cs="Times New Roman"/>
        </w:rPr>
        <w:t xml:space="preserve"> Chapter 6, Causation.</w:t>
      </w:r>
    </w:p>
    <w:p w14:paraId="4BE3BC66" w14:textId="77777777" w:rsidR="00C22B24" w:rsidRDefault="00C22B24" w:rsidP="00C22B24">
      <w:pPr>
        <w:pStyle w:val="ListParagraph"/>
        <w:rPr>
          <w:rFonts w:ascii="Times New Roman" w:hAnsi="Times New Roman" w:cs="Times New Roman"/>
        </w:rPr>
      </w:pPr>
    </w:p>
    <w:p w14:paraId="682BB593" w14:textId="3F402E20" w:rsidR="00D21852" w:rsidRDefault="00D21852" w:rsidP="00D21852">
      <w:pPr>
        <w:ind w:firstLine="720"/>
        <w:rPr>
          <w:rFonts w:ascii="Times New Roman" w:hAnsi="Times New Roman" w:cs="Times New Roman"/>
        </w:rPr>
      </w:pPr>
      <w:r w:rsidRPr="00B57934">
        <w:rPr>
          <w:rFonts w:ascii="Times New Roman" w:hAnsi="Times New Roman" w:cs="Times New Roman"/>
        </w:rPr>
        <w:t xml:space="preserve">Recall, however, the case of </w:t>
      </w:r>
      <w:r w:rsidRPr="00B57934">
        <w:rPr>
          <w:rFonts w:ascii="Times New Roman" w:hAnsi="Times New Roman" w:cs="Times New Roman"/>
          <w:i/>
        </w:rPr>
        <w:t>Martin v. Herzog</w:t>
      </w:r>
      <w:r w:rsidRPr="00B57934">
        <w:rPr>
          <w:rFonts w:ascii="Times New Roman" w:hAnsi="Times New Roman" w:cs="Times New Roman"/>
        </w:rPr>
        <w:t xml:space="preserve">, in which Mrs. Martin could not recover damages after her husband was killed by a car that crossed the median simply because their buggy was not equipped with a light. The rule of per se negligence </w:t>
      </w:r>
      <w:r w:rsidR="00EE1DDA">
        <w:rPr>
          <w:rFonts w:ascii="Times New Roman" w:hAnsi="Times New Roman" w:cs="Times New Roman"/>
        </w:rPr>
        <w:t xml:space="preserve">forbids </w:t>
      </w:r>
      <w:r w:rsidRPr="00B57934">
        <w:rPr>
          <w:rFonts w:ascii="Times New Roman" w:hAnsi="Times New Roman" w:cs="Times New Roman"/>
        </w:rPr>
        <w:t>court</w:t>
      </w:r>
      <w:r w:rsidR="00EE1DDA">
        <w:rPr>
          <w:rFonts w:ascii="Times New Roman" w:hAnsi="Times New Roman" w:cs="Times New Roman"/>
        </w:rPr>
        <w:t>s</w:t>
      </w:r>
      <w:r w:rsidRPr="00B57934">
        <w:rPr>
          <w:rFonts w:ascii="Times New Roman" w:hAnsi="Times New Roman" w:cs="Times New Roman"/>
        </w:rPr>
        <w:t xml:space="preserve"> from taking into account</w:t>
      </w:r>
      <w:r>
        <w:rPr>
          <w:rFonts w:ascii="Times New Roman" w:hAnsi="Times New Roman" w:cs="Times New Roman"/>
        </w:rPr>
        <w:t xml:space="preserve"> </w:t>
      </w:r>
      <w:r w:rsidR="00EE1DDA">
        <w:rPr>
          <w:rFonts w:ascii="Times New Roman" w:hAnsi="Times New Roman" w:cs="Times New Roman"/>
        </w:rPr>
        <w:t xml:space="preserve">some of the values that Professor Tribe and others might think important.  A rule characterizing certain conduct as per se negligent is a kind of statistical judgment about </w:t>
      </w:r>
      <w:r w:rsidR="005A51B1">
        <w:rPr>
          <w:rFonts w:ascii="Times New Roman" w:hAnsi="Times New Roman" w:cs="Times New Roman"/>
        </w:rPr>
        <w:t xml:space="preserve">the </w:t>
      </w:r>
      <w:r w:rsidR="00EE1DDA">
        <w:rPr>
          <w:rFonts w:ascii="Times New Roman" w:hAnsi="Times New Roman" w:cs="Times New Roman"/>
        </w:rPr>
        <w:t>class of cases covered by the rule</w:t>
      </w:r>
      <w:r>
        <w:rPr>
          <w:rFonts w:ascii="Times New Roman" w:hAnsi="Times New Roman" w:cs="Times New Roman"/>
        </w:rPr>
        <w:t xml:space="preserve">. </w:t>
      </w:r>
      <w:r w:rsidRPr="00B57934">
        <w:rPr>
          <w:rFonts w:ascii="Times New Roman" w:hAnsi="Times New Roman" w:cs="Times New Roman"/>
        </w:rPr>
        <w:t>Why isn’t the use of rules, as opposed to standards, similarly perceived to be objectionable</w:t>
      </w:r>
      <w:r>
        <w:rPr>
          <w:rFonts w:ascii="Times New Roman" w:hAnsi="Times New Roman" w:cs="Times New Roman"/>
        </w:rPr>
        <w:t xml:space="preserve"> as statistical proof? </w:t>
      </w:r>
    </w:p>
    <w:p w14:paraId="6FE1A6F6" w14:textId="77777777" w:rsidR="00D21852" w:rsidRDefault="00D21852" w:rsidP="00D21852">
      <w:pPr>
        <w:ind w:firstLine="720"/>
        <w:rPr>
          <w:rFonts w:ascii="Times New Roman" w:hAnsi="Times New Roman" w:cs="Times New Roman"/>
        </w:rPr>
      </w:pPr>
    </w:p>
    <w:p w14:paraId="3C0904DA" w14:textId="3F5A7BF1" w:rsidR="00EE1DDA" w:rsidRDefault="00D21852" w:rsidP="00F94B7E">
      <w:pPr>
        <w:rPr>
          <w:rFonts w:ascii="Times New Roman" w:hAnsi="Times New Roman" w:cs="Times New Roman"/>
        </w:rPr>
      </w:pPr>
      <w:r>
        <w:rPr>
          <w:rFonts w:ascii="Times New Roman" w:hAnsi="Times New Roman" w:cs="Times New Roman"/>
        </w:rPr>
        <w:tab/>
      </w:r>
      <w:r w:rsidR="00EE1DDA">
        <w:rPr>
          <w:rFonts w:ascii="Times New Roman" w:hAnsi="Times New Roman" w:cs="Times New Roman"/>
        </w:rPr>
        <w:t xml:space="preserve">Note, too, that of course insurers </w:t>
      </w:r>
      <w:r>
        <w:rPr>
          <w:rFonts w:ascii="Times New Roman" w:hAnsi="Times New Roman" w:cs="Times New Roman"/>
        </w:rPr>
        <w:t>us</w:t>
      </w:r>
      <w:r w:rsidR="00EE1DDA">
        <w:rPr>
          <w:rFonts w:ascii="Times New Roman" w:hAnsi="Times New Roman" w:cs="Times New Roman"/>
        </w:rPr>
        <w:t>e</w:t>
      </w:r>
      <w:r>
        <w:rPr>
          <w:rFonts w:ascii="Times New Roman" w:hAnsi="Times New Roman" w:cs="Times New Roman"/>
        </w:rPr>
        <w:t xml:space="preserve"> statistics </w:t>
      </w:r>
      <w:r w:rsidR="00EE1DDA">
        <w:rPr>
          <w:rFonts w:ascii="Times New Roman" w:hAnsi="Times New Roman" w:cs="Times New Roman"/>
        </w:rPr>
        <w:t xml:space="preserve">all the time to generalize about the </w:t>
      </w:r>
      <w:r>
        <w:rPr>
          <w:rFonts w:ascii="Times New Roman" w:hAnsi="Times New Roman" w:cs="Times New Roman"/>
        </w:rPr>
        <w:t>ris</w:t>
      </w:r>
      <w:r w:rsidR="00EE1DDA">
        <w:rPr>
          <w:rFonts w:ascii="Times New Roman" w:hAnsi="Times New Roman" w:cs="Times New Roman"/>
        </w:rPr>
        <w:t>kiness of certain groups.</w:t>
      </w:r>
      <w:r>
        <w:rPr>
          <w:rFonts w:ascii="Times New Roman" w:hAnsi="Times New Roman" w:cs="Times New Roman"/>
        </w:rPr>
        <w:t xml:space="preserve"> Even if a teenage boy is, himself, incredibly cautious</w:t>
      </w:r>
      <w:r w:rsidR="00EE1DDA">
        <w:rPr>
          <w:rFonts w:ascii="Times New Roman" w:hAnsi="Times New Roman" w:cs="Times New Roman"/>
        </w:rPr>
        <w:t>,</w:t>
      </w:r>
      <w:r>
        <w:rPr>
          <w:rFonts w:ascii="Times New Roman" w:hAnsi="Times New Roman" w:cs="Times New Roman"/>
        </w:rPr>
        <w:t xml:space="preserve"> and</w:t>
      </w:r>
      <w:r w:rsidR="00EE1DDA">
        <w:rPr>
          <w:rFonts w:ascii="Times New Roman" w:hAnsi="Times New Roman" w:cs="Times New Roman"/>
        </w:rPr>
        <w:t xml:space="preserve"> even if detailed inquiry into his behavior would produce a low risk assessment</w:t>
      </w:r>
      <w:r>
        <w:rPr>
          <w:rFonts w:ascii="Times New Roman" w:hAnsi="Times New Roman" w:cs="Times New Roman"/>
        </w:rPr>
        <w:t>, he will</w:t>
      </w:r>
      <w:r w:rsidR="00EE1DDA">
        <w:rPr>
          <w:rFonts w:ascii="Times New Roman" w:hAnsi="Times New Roman" w:cs="Times New Roman"/>
        </w:rPr>
        <w:t xml:space="preserve"> neveretheless almost</w:t>
      </w:r>
      <w:r>
        <w:rPr>
          <w:rFonts w:ascii="Times New Roman" w:hAnsi="Times New Roman" w:cs="Times New Roman"/>
        </w:rPr>
        <w:t xml:space="preserve"> certainly face a higher insurance premium than a middle aged woman. Professor Frederick Schauer argues that </w:t>
      </w:r>
      <w:r w:rsidR="00244365">
        <w:rPr>
          <w:rFonts w:ascii="Times New Roman" w:hAnsi="Times New Roman" w:cs="Times New Roman"/>
        </w:rPr>
        <w:t xml:space="preserve">the stereotype of </w:t>
      </w:r>
      <w:r>
        <w:rPr>
          <w:rFonts w:ascii="Times New Roman" w:hAnsi="Times New Roman" w:cs="Times New Roman"/>
        </w:rPr>
        <w:t xml:space="preserve">teenage boys </w:t>
      </w:r>
      <w:r w:rsidR="00244365">
        <w:rPr>
          <w:rFonts w:ascii="Times New Roman" w:hAnsi="Times New Roman" w:cs="Times New Roman"/>
        </w:rPr>
        <w:t xml:space="preserve">being </w:t>
      </w:r>
      <w:r>
        <w:rPr>
          <w:rFonts w:ascii="Times New Roman" w:hAnsi="Times New Roman" w:cs="Times New Roman"/>
        </w:rPr>
        <w:t>risk</w:t>
      </w:r>
      <w:r w:rsidR="00244365">
        <w:rPr>
          <w:rFonts w:ascii="Times New Roman" w:hAnsi="Times New Roman" w:cs="Times New Roman"/>
        </w:rPr>
        <w:t>ier</w:t>
      </w:r>
      <w:r>
        <w:rPr>
          <w:rFonts w:ascii="Times New Roman" w:hAnsi="Times New Roman" w:cs="Times New Roman"/>
        </w:rPr>
        <w:t xml:space="preserve"> drivers is a “nonspurious” generalization</w:t>
      </w:r>
      <w:r w:rsidR="00B95C11">
        <w:rPr>
          <w:rFonts w:ascii="Times New Roman" w:hAnsi="Times New Roman" w:cs="Times New Roman"/>
        </w:rPr>
        <w:t>—</w:t>
      </w:r>
      <w:r>
        <w:rPr>
          <w:rFonts w:ascii="Times New Roman" w:hAnsi="Times New Roman" w:cs="Times New Roman"/>
        </w:rPr>
        <w:t>i.e. there is sound empirical evidence that a higher percentage of teenage boys drive recklessly than other groups</w:t>
      </w:r>
      <w:r w:rsidR="00B95C11">
        <w:rPr>
          <w:rFonts w:ascii="Times New Roman" w:hAnsi="Times New Roman" w:cs="Times New Roman"/>
        </w:rPr>
        <w:t>—</w:t>
      </w:r>
      <w:r>
        <w:rPr>
          <w:rFonts w:ascii="Times New Roman" w:hAnsi="Times New Roman" w:cs="Times New Roman"/>
        </w:rPr>
        <w:t xml:space="preserve">and therefore should be fair to rely on as insurance companies evaluate premiums and risk. </w:t>
      </w:r>
      <w:r w:rsidRPr="007D565C">
        <w:rPr>
          <w:rFonts w:ascii="Times New Roman" w:hAnsi="Times New Roman" w:cs="Times New Roman"/>
          <w:smallCaps/>
        </w:rPr>
        <w:t>Frederick S</w:t>
      </w:r>
      <w:r>
        <w:rPr>
          <w:rFonts w:ascii="Times New Roman" w:hAnsi="Times New Roman" w:cs="Times New Roman"/>
          <w:smallCaps/>
        </w:rPr>
        <w:t>chauer, Profiles, Probabilities &amp;</w:t>
      </w:r>
      <w:r w:rsidRPr="007D565C">
        <w:rPr>
          <w:rFonts w:ascii="Times New Roman" w:hAnsi="Times New Roman" w:cs="Times New Roman"/>
          <w:smallCaps/>
        </w:rPr>
        <w:t xml:space="preserve"> Stereotypes</w:t>
      </w:r>
      <w:r>
        <w:rPr>
          <w:rFonts w:ascii="Times New Roman" w:hAnsi="Times New Roman" w:cs="Times New Roman"/>
          <w:smallCaps/>
        </w:rPr>
        <w:t>, 15</w:t>
      </w:r>
      <w:r>
        <w:rPr>
          <w:rFonts w:ascii="Times New Roman" w:hAnsi="Times New Roman" w:cs="Times New Roman"/>
        </w:rPr>
        <w:t xml:space="preserve"> (2003)</w:t>
      </w:r>
      <w:r w:rsidR="00B95C11">
        <w:rPr>
          <w:rFonts w:ascii="Times New Roman" w:hAnsi="Times New Roman" w:cs="Times New Roman"/>
        </w:rPr>
        <w:t>.</w:t>
      </w:r>
      <w:r>
        <w:rPr>
          <w:rFonts w:ascii="Times New Roman" w:hAnsi="Times New Roman" w:cs="Times New Roman"/>
        </w:rPr>
        <w:t xml:space="preserve"> Schauer goes on to argue that empirically sound generalizations are </w:t>
      </w:r>
      <w:r w:rsidR="00244365">
        <w:rPr>
          <w:rFonts w:ascii="Times New Roman" w:hAnsi="Times New Roman" w:cs="Times New Roman"/>
        </w:rPr>
        <w:t xml:space="preserve">often </w:t>
      </w:r>
      <w:r>
        <w:rPr>
          <w:rFonts w:ascii="Times New Roman" w:hAnsi="Times New Roman" w:cs="Times New Roman"/>
        </w:rPr>
        <w:t xml:space="preserve">superior ways to organize decision-making than the particularized evaluations </w:t>
      </w:r>
      <w:r w:rsidR="00244365">
        <w:rPr>
          <w:rFonts w:ascii="Times New Roman" w:hAnsi="Times New Roman" w:cs="Times New Roman"/>
        </w:rPr>
        <w:t xml:space="preserve">defended </w:t>
      </w:r>
      <w:r>
        <w:rPr>
          <w:rFonts w:ascii="Times New Roman" w:hAnsi="Times New Roman" w:cs="Times New Roman"/>
        </w:rPr>
        <w:t xml:space="preserve">by Professor </w:t>
      </w:r>
      <w:r w:rsidR="00244365">
        <w:rPr>
          <w:rFonts w:ascii="Times New Roman" w:hAnsi="Times New Roman" w:cs="Times New Roman"/>
        </w:rPr>
        <w:t>Tribe</w:t>
      </w:r>
      <w:r>
        <w:rPr>
          <w:rFonts w:ascii="Times New Roman" w:hAnsi="Times New Roman" w:cs="Times New Roman"/>
        </w:rPr>
        <w:t xml:space="preserve">. Not only might a generalized decision-making regime make fewer errors in the long run, it may also “serve other important goals and embody other important values,” such as efficiency and objectivity. </w:t>
      </w:r>
      <w:r>
        <w:rPr>
          <w:rFonts w:ascii="Times New Roman" w:hAnsi="Times New Roman" w:cs="Times New Roman"/>
          <w:i/>
        </w:rPr>
        <w:t>Id.</w:t>
      </w:r>
      <w:r>
        <w:rPr>
          <w:rFonts w:ascii="Times New Roman" w:hAnsi="Times New Roman" w:cs="Times New Roman"/>
        </w:rPr>
        <w:t xml:space="preserve"> at 24. </w:t>
      </w:r>
    </w:p>
    <w:p w14:paraId="03B3DC11" w14:textId="77777777" w:rsidR="00EE1DDA" w:rsidRDefault="00EE1DDA" w:rsidP="00F94B7E">
      <w:pPr>
        <w:rPr>
          <w:rFonts w:ascii="Times New Roman" w:hAnsi="Times New Roman" w:cs="Times New Roman"/>
        </w:rPr>
      </w:pPr>
    </w:p>
    <w:p w14:paraId="26A3777D" w14:textId="260E22A9" w:rsidR="00D21852" w:rsidRPr="00F94B7E" w:rsidRDefault="00D21852" w:rsidP="00EE1DDA">
      <w:pPr>
        <w:ind w:firstLine="360"/>
        <w:rPr>
          <w:rFonts w:ascii="Times New Roman" w:hAnsi="Times New Roman" w:cs="Times New Roman"/>
        </w:rPr>
      </w:pPr>
      <w:r>
        <w:rPr>
          <w:rFonts w:ascii="Times New Roman" w:hAnsi="Times New Roman" w:cs="Times New Roman"/>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Default="00C22B24" w:rsidP="00C22B24">
      <w:pPr>
        <w:pStyle w:val="ListParagraph"/>
        <w:rPr>
          <w:rFonts w:ascii="Times New Roman" w:hAnsi="Times New Roman" w:cs="Times New Roman"/>
        </w:rPr>
      </w:pPr>
    </w:p>
    <w:p w14:paraId="6B915E79" w14:textId="77777777" w:rsidR="0003736D" w:rsidRPr="00920B12" w:rsidRDefault="0003736D" w:rsidP="00C22B24">
      <w:pPr>
        <w:pStyle w:val="ListParagraph"/>
        <w:rPr>
          <w:rFonts w:ascii="Times New Roman" w:hAnsi="Times New Roman" w:cs="Times New Roman"/>
        </w:rPr>
      </w:pPr>
    </w:p>
    <w:p w14:paraId="1DF40E85" w14:textId="101E5F5E" w:rsidR="00C22B24" w:rsidRPr="00F94B7E" w:rsidRDefault="002662CE" w:rsidP="00F94B7E">
      <w:pPr>
        <w:pStyle w:val="ListParagraph"/>
        <w:numPr>
          <w:ilvl w:val="0"/>
          <w:numId w:val="5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Burdens of production, burdens of persuasion</w:t>
      </w:r>
      <w:r w:rsidR="750671CE"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The burden of proof consists of the burden of production and the burden of persuasion. The burden of production requires a party, initially the plaintiff, to produce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sufficient evidence to support a finding in favor of that [party].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Bruner v. Office of Pers. Mgmt.</w:t>
      </w:r>
      <w:r w:rsidR="750671CE" w:rsidRPr="00F94B7E">
        <w:rPr>
          <w:rFonts w:ascii="Times New Roman" w:eastAsia="Times New Roman" w:hAnsi="Times New Roman" w:cs="Times New Roman"/>
        </w:rPr>
        <w:t xml:space="preserve">, 996 F.2d 290, 293 (Fed. Cir. 1993). Once the plaintiff has met her burden of production, the defendant may be required to </w:t>
      </w:r>
      <w:r w:rsidR="750671CE" w:rsidRPr="00F94B7E">
        <w:rPr>
          <w:rFonts w:ascii="Times New Roman" w:eastAsia="Times New Roman" w:hAnsi="Times New Roman" w:cs="Times New Roman"/>
        </w:rPr>
        <w:lastRenderedPageBreak/>
        <w:t xml:space="preserve">offer evidence showing otherwise or calling into question a material fact lest the defendant be defeated by a motion for summary judgment.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Not all prima facie cases by the plaintiff</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cases presenting sufficient evidence to support a finding in the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s favor</w:t>
      </w:r>
      <w:r w:rsidR="00CE34F3" w:rsidRPr="00F94B7E">
        <w:rPr>
          <w:rFonts w:ascii="Times New Roman" w:eastAsia="Times New Roman" w:hAnsi="Times New Roman" w:cs="Times New Roman"/>
        </w:rPr>
        <w:t>—</w:t>
      </w:r>
      <w:r w:rsidR="750671CE" w:rsidRPr="00F94B7E">
        <w:rPr>
          <w:rFonts w:ascii="Times New Roman" w:eastAsia="Times New Roman" w:hAnsi="Times New Roman" w:cs="Times New Roman"/>
        </w:rPr>
        <w:t>will support a plaintiff</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rests with one party throughout the case.</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Rivera v. Philip Morris, Inc</w:t>
      </w:r>
      <w:r w:rsidR="004A11F0" w:rsidRPr="00F94B7E">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209 P.3d 271, 275 (Nev. 2009). To meet the burden of persuasion, a party must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produce sufficient evidence to convince a judge that a fact has been established.</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i/>
          <w:iCs/>
        </w:rPr>
        <w:t>Id.</w:t>
      </w:r>
      <w:r w:rsidR="750671CE" w:rsidRPr="00F94B7E">
        <w:rPr>
          <w:rFonts w:ascii="Times New Roman" w:eastAsia="Times New Roman" w:hAnsi="Times New Roman" w:cs="Times New Roman"/>
        </w:rPr>
        <w:t xml:space="preserve">  In civil cases, the threshold is a preponderance of the evidence.  The party bearing the burden of persuasion, typically the plaintiff, at least as to the prima facie case, bears the risk that the evidence is in perfect equipoise.  But she can win if the jury decides that her version of the events in question is just that much more likely than her adversary</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s version.  </w:t>
      </w:r>
    </w:p>
    <w:p w14:paraId="36DDC714" w14:textId="77777777" w:rsidR="00C22B24" w:rsidRDefault="00C22B24" w:rsidP="00C22B24">
      <w:pPr>
        <w:pStyle w:val="ListParagraph"/>
        <w:rPr>
          <w:rFonts w:ascii="Times New Roman" w:hAnsi="Times New Roman" w:cs="Times New Roman"/>
        </w:rPr>
      </w:pPr>
    </w:p>
    <w:p w14:paraId="752B1E08" w14:textId="77777777" w:rsidR="00C22B24" w:rsidRPr="00920B12" w:rsidRDefault="00C22B24" w:rsidP="00C22B24">
      <w:pPr>
        <w:pStyle w:val="ListParagraph"/>
        <w:rPr>
          <w:rFonts w:ascii="Times New Roman" w:hAnsi="Times New Roman" w:cs="Times New Roman"/>
        </w:rPr>
      </w:pPr>
    </w:p>
    <w:p w14:paraId="122C1BF5" w14:textId="0C1982E6" w:rsidR="00C22B24" w:rsidRPr="00F94B7E" w:rsidRDefault="002662CE" w:rsidP="00F94B7E">
      <w:pPr>
        <w:pStyle w:val="ListParagraph"/>
        <w:numPr>
          <w:ilvl w:val="0"/>
          <w:numId w:val="56"/>
        </w:numPr>
        <w:ind w:left="0" w:firstLine="360"/>
        <w:rPr>
          <w:rFonts w:ascii="Times New Roman" w:eastAsia="Times New Roman" w:hAnsi="Times New Roman" w:cs="Times New Roman"/>
        </w:rPr>
      </w:pPr>
      <w:r>
        <w:rPr>
          <w:rFonts w:ascii="Times New Roman" w:eastAsia="Times New Roman" w:hAnsi="Times New Roman" w:cs="Times New Roman"/>
          <w:i/>
          <w:iCs/>
        </w:rPr>
        <w:t>Status Quo Bias?</w:t>
      </w:r>
      <w:r w:rsidR="750671CE" w:rsidRPr="00F94B7E">
        <w:rPr>
          <w:rFonts w:ascii="Times New Roman" w:eastAsia="Times New Roman" w:hAnsi="Times New Roman" w:cs="Times New Roman"/>
          <w:i/>
          <w:iCs/>
        </w:rPr>
        <w:t xml:space="preserve"> </w:t>
      </w:r>
      <w:r w:rsidR="750671CE" w:rsidRPr="00F94B7E">
        <w:rPr>
          <w:rFonts w:ascii="Times New Roman" w:eastAsia="Times New Roman" w:hAnsi="Times New Roman" w:cs="Times New Roman"/>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to change the present state of affairs</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and therefore </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naturally should be expected to bear the risk of failure of proof or persuasion.</w:t>
      </w:r>
      <w:r w:rsidR="00B05F31"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w:t>
      </w:r>
      <w:r w:rsidR="750671CE" w:rsidRPr="00F94B7E">
        <w:rPr>
          <w:rFonts w:ascii="Times New Roman" w:eastAsia="Times New Roman" w:hAnsi="Times New Roman" w:cs="Times New Roman"/>
          <w:smallCaps/>
        </w:rPr>
        <w:t>John W. Strong, McCormick on Evidence</w:t>
      </w:r>
      <w:r w:rsidR="750671CE" w:rsidRPr="00F94B7E">
        <w:rPr>
          <w:rFonts w:ascii="Times New Roman" w:eastAsia="Times New Roman" w:hAnsi="Times New Roman" w:cs="Times New Roman"/>
        </w:rPr>
        <w:t xml:space="preserve"> § 337, at 412 (5th ed.</w:t>
      </w:r>
      <w:r w:rsidR="004A11F0" w:rsidRPr="00F94B7E">
        <w:rPr>
          <w:rFonts w:ascii="Times New Roman" w:eastAsia="Times New Roman" w:hAnsi="Times New Roman" w:cs="Times New Roman"/>
        </w:rPr>
        <w:t>,</w:t>
      </w:r>
      <w:r w:rsidR="750671CE" w:rsidRPr="00F94B7E">
        <w:rPr>
          <w:rFonts w:ascii="Times New Roman" w:eastAsia="Times New Roman" w:hAnsi="Times New Roman" w:cs="Times New Roman"/>
        </w:rPr>
        <w:t xml:space="preserve"> 1999).  Is this a good argument for the initial allocation?  What other arguments might be made? </w:t>
      </w:r>
    </w:p>
    <w:p w14:paraId="41395401" w14:textId="77777777" w:rsidR="00C22B24" w:rsidRPr="004D2F7E" w:rsidRDefault="00C22B24" w:rsidP="00C22B24">
      <w:pPr>
        <w:rPr>
          <w:rFonts w:ascii="Times New Roman" w:hAnsi="Times New Roman" w:cs="Times New Roman"/>
        </w:rPr>
      </w:pPr>
    </w:p>
    <w:p w14:paraId="051B5AC9" w14:textId="77777777" w:rsidR="00C22B24" w:rsidRPr="00F94B7E" w:rsidRDefault="00C22B24">
      <w:pPr>
        <w:rPr>
          <w:rFonts w:ascii="Times" w:hAnsi="Times" w:cs="Times New Roman"/>
        </w:rPr>
      </w:pPr>
    </w:p>
    <w:p w14:paraId="057689BF" w14:textId="77777777" w:rsidR="00C22B24" w:rsidRPr="00F349EC" w:rsidRDefault="00C22B24" w:rsidP="00296689">
      <w:pPr>
        <w:pStyle w:val="Heading1"/>
      </w:pPr>
      <w:bookmarkStart w:id="332" w:name="_Toc385930514"/>
    </w:p>
    <w:p w14:paraId="1CB64BF0" w14:textId="1598E5D7" w:rsidR="00C22B24" w:rsidRPr="00476ACE" w:rsidRDefault="00C22B24" w:rsidP="00322687">
      <w:pPr>
        <w:pStyle w:val="Heading3"/>
      </w:pPr>
      <w:bookmarkStart w:id="333" w:name="_Toc364636135"/>
      <w:bookmarkStart w:id="334" w:name="_Toc518323342"/>
      <w:r w:rsidRPr="005F28D6">
        <w:t>2.  Res Ipsa Loquitur</w:t>
      </w:r>
      <w:bookmarkEnd w:id="332"/>
      <w:bookmarkEnd w:id="333"/>
      <w:bookmarkEnd w:id="334"/>
    </w:p>
    <w:p w14:paraId="25B61E75" w14:textId="77777777" w:rsidR="005B6DA7" w:rsidRPr="00F94B7E" w:rsidRDefault="005B6DA7">
      <w:pPr>
        <w:rPr>
          <w:rFonts w:ascii="Times" w:hAnsi="Times"/>
        </w:rPr>
      </w:pPr>
    </w:p>
    <w:p w14:paraId="188BF847" w14:textId="05B1E9EE" w:rsidR="00C22B24" w:rsidRPr="00F94B7E" w:rsidRDefault="750671CE" w:rsidP="750671CE">
      <w:pPr>
        <w:ind w:firstLine="720"/>
        <w:rPr>
          <w:rFonts w:ascii="Times" w:eastAsia="Times New Roman" w:hAnsi="Times" w:cs="Times New Roman"/>
        </w:rPr>
      </w:pPr>
      <w:r w:rsidRPr="00F94B7E">
        <w:rPr>
          <w:rFonts w:ascii="Times" w:eastAsia="Times New Roman" w:hAnsi="Times" w:cs="Times New Roman"/>
        </w:rPr>
        <w:t>The problem of cases in which proof is difficult to establish is a longstanding one, of course. Courts have used the doctrine of res ipsa loquitur (</w:t>
      </w:r>
      <w:r w:rsidR="00B05F31" w:rsidRPr="00F94B7E">
        <w:rPr>
          <w:rFonts w:ascii="Times" w:eastAsia="Times New Roman" w:hAnsi="Times" w:cs="Times New Roman"/>
        </w:rPr>
        <w:t>“</w:t>
      </w:r>
      <w:r w:rsidRPr="00F94B7E">
        <w:rPr>
          <w:rFonts w:ascii="Times" w:eastAsia="Times New Roman" w:hAnsi="Times" w:cs="Times New Roman"/>
        </w:rPr>
        <w:t>the thing speaks for itself</w:t>
      </w:r>
      <w:r w:rsidR="00B05F31" w:rsidRPr="00F94B7E">
        <w:rPr>
          <w:rFonts w:ascii="Times" w:eastAsia="Times New Roman" w:hAnsi="Times" w:cs="Times New Roman"/>
        </w:rPr>
        <w:t>”</w:t>
      </w:r>
      <w:r w:rsidRPr="00F94B7E">
        <w:rPr>
          <w:rFonts w:ascii="Times" w:eastAsia="Times New Roman" w:hAnsi="Times" w:cs="Times New Roman"/>
        </w:rPr>
        <w:t xml:space="preserve">) to assign liability in such cases. Consider the two cases and notes below:  </w:t>
      </w:r>
    </w:p>
    <w:p w14:paraId="4CC07736" w14:textId="369D394D" w:rsidR="00C22B24" w:rsidRDefault="00C22B24" w:rsidP="00C22B24">
      <w:pPr>
        <w:tabs>
          <w:tab w:val="left" w:pos="1515"/>
        </w:tabs>
        <w:rPr>
          <w:rFonts w:ascii="Times" w:hAnsi="Times" w:cs="Times New Roman"/>
        </w:rPr>
      </w:pPr>
    </w:p>
    <w:p w14:paraId="10730350" w14:textId="77777777" w:rsidR="001D2B7E" w:rsidRPr="00F94B7E" w:rsidRDefault="001D2B7E" w:rsidP="00C22B24">
      <w:pPr>
        <w:tabs>
          <w:tab w:val="left" w:pos="1515"/>
        </w:tabs>
        <w:rPr>
          <w:rFonts w:ascii="Times" w:hAnsi="Times" w:cs="Times New Roman"/>
        </w:rPr>
      </w:pPr>
    </w:p>
    <w:p w14:paraId="0EAA2E08" w14:textId="11EE5DD5" w:rsidR="00C22B24" w:rsidRPr="00F94B7E" w:rsidRDefault="00E72385" w:rsidP="750671CE">
      <w:pPr>
        <w:rPr>
          <w:rFonts w:ascii="Times" w:eastAsia="Times New Roman" w:hAnsi="Times" w:cs="Times New Roman"/>
        </w:rPr>
      </w:pPr>
      <w:bookmarkStart w:id="335" w:name="_Toc518323343"/>
      <w:r w:rsidRPr="00F94B7E">
        <w:rPr>
          <w:rStyle w:val="Heading4Char"/>
          <w:rFonts w:ascii="Times" w:hAnsi="Times"/>
        </w:rPr>
        <w:t>Byrne v. Boadle</w:t>
      </w:r>
      <w:bookmarkEnd w:id="335"/>
      <w:r w:rsidRPr="00F94B7E">
        <w:rPr>
          <w:rFonts w:ascii="Times" w:eastAsia="Times New Roman" w:hAnsi="Times" w:cs="Times New Roman"/>
          <w:b/>
        </w:rPr>
        <w:t>, 159 Eng. Rep. 299 (Court of Exchequer and Exchequer Chamber, 1863)</w:t>
      </w:r>
    </w:p>
    <w:p w14:paraId="77ED1624" w14:textId="77777777" w:rsidR="00C22B24" w:rsidRPr="00F94B7E" w:rsidRDefault="00C22B24" w:rsidP="00C22B24">
      <w:pPr>
        <w:pStyle w:val="NormalWeb"/>
        <w:shd w:val="clear" w:color="auto" w:fill="FFFFFF"/>
        <w:spacing w:before="0" w:beforeAutospacing="0" w:after="0" w:afterAutospacing="0"/>
        <w:textAlignment w:val="baseline"/>
        <w:rPr>
          <w:rFonts w:eastAsiaTheme="minorHAnsi"/>
          <w:smallCaps/>
          <w:sz w:val="24"/>
          <w:szCs w:val="24"/>
        </w:rPr>
      </w:pPr>
    </w:p>
    <w:p w14:paraId="5D77580A" w14:textId="15E4DEC6"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eastAsia="Times New Roman,Cambria" w:cs="Times New Roman,Cambria"/>
          <w:sz w:val="24"/>
          <w:szCs w:val="24"/>
        </w:rPr>
      </w:pPr>
      <w:r w:rsidRPr="00F94B7E">
        <w:rPr>
          <w:rFonts w:eastAsia="Times New Roman,Cambria" w:cs="Times New Roman,Cambria"/>
          <w:sz w:val="24"/>
          <w:szCs w:val="24"/>
        </w:rPr>
        <w:t>The plaintiff was walking in a public street past the defendant</w:t>
      </w:r>
      <w:r w:rsidR="00B05F31" w:rsidRPr="00F94B7E">
        <w:rPr>
          <w:rFonts w:eastAsia="Times New Roman,Cambria" w:cs="Times New Roman,Cambria"/>
          <w:sz w:val="24"/>
          <w:szCs w:val="24"/>
        </w:rPr>
        <w:t>’</w:t>
      </w:r>
      <w:r w:rsidRPr="00F94B7E">
        <w:rPr>
          <w:rFonts w:eastAsia="Times New Roman,Cambria" w:cs="Times New Roman,Cambria"/>
          <w:sz w:val="24"/>
          <w:szCs w:val="24"/>
        </w:rPr>
        <w:t xml:space="preserve">s shop when a barrel of flour fell upon him from a window above the shop, and seriously injured him. Held sufficient prima facie evidence of negligence for the jury, to cast on the defendant the onus of proving that the accident was not caused by his negligence. . . . </w:t>
      </w:r>
    </w:p>
    <w:p w14:paraId="4679664D" w14:textId="77777777" w:rsidR="00C22B24" w:rsidRPr="00F94B7E" w:rsidRDefault="00C22B24" w:rsidP="00C22B24">
      <w:pPr>
        <w:pStyle w:val="NormalWeb"/>
        <w:shd w:val="clear" w:color="auto" w:fill="FFFFFF"/>
        <w:spacing w:before="0" w:beforeAutospacing="0" w:after="0" w:afterAutospacing="0"/>
        <w:ind w:firstLine="720"/>
        <w:textAlignment w:val="baseline"/>
        <w:rPr>
          <w:rFonts w:eastAsiaTheme="minorHAnsi"/>
          <w:sz w:val="24"/>
          <w:szCs w:val="24"/>
        </w:rPr>
      </w:pPr>
    </w:p>
    <w:p w14:paraId="3A567CAD" w14:textId="56411925"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At the trial . . . , the evidence adduced on the part of the plaintiff was as follows:—A witness named Critchley said: </w:t>
      </w:r>
      <w:r w:rsidR="00B05F31" w:rsidRPr="00F94B7E">
        <w:rPr>
          <w:rFonts w:ascii="Times" w:eastAsiaTheme="minorEastAsia" w:hAnsi="Times" w:cstheme="minorBidi"/>
        </w:rPr>
        <w:t>“</w:t>
      </w:r>
      <w:r w:rsidRPr="00F94B7E">
        <w:rPr>
          <w:rFonts w:ascii="Times" w:eastAsiaTheme="minorEastAsia" w:hAnsi="Times" w:cstheme="minorBidi"/>
        </w:rPr>
        <w:t>On the 18th July, I was in Scotland Road, on the right side going north, defendant</w:t>
      </w:r>
      <w:r w:rsidR="00B05F31" w:rsidRPr="00F94B7E">
        <w:rPr>
          <w:rFonts w:ascii="Times" w:eastAsiaTheme="minorEastAsia" w:hAnsi="Times" w:cstheme="minorBidi"/>
        </w:rPr>
        <w:t>’</w:t>
      </w:r>
      <w:r w:rsidRPr="00F94B7E">
        <w:rPr>
          <w:rFonts w:ascii="Times" w:eastAsiaTheme="minorEastAsia" w:hAnsi="Times" w:cstheme="minorBidi"/>
        </w:rPr>
        <w:t xml:space="preserve">s shop is on that side. When I was opposite to his </w:t>
      </w:r>
      <w:r w:rsidRPr="00F94B7E">
        <w:rPr>
          <w:rFonts w:ascii="Times" w:eastAsiaTheme="minorEastAsia" w:hAnsi="Times" w:cstheme="minorBidi"/>
        </w:rPr>
        <w:lastRenderedPageBreak/>
        <w:t>shop, a barrel of flour fell from a window above in defendant</w:t>
      </w:r>
      <w:r w:rsidR="00B05F31" w:rsidRPr="00F94B7E">
        <w:rPr>
          <w:rFonts w:ascii="Times" w:eastAsiaTheme="minorEastAsia" w:hAnsi="Times" w:cstheme="minorBidi"/>
        </w:rPr>
        <w:t>’</w:t>
      </w:r>
      <w:r w:rsidRPr="00F94B7E">
        <w:rPr>
          <w:rFonts w:ascii="Times" w:eastAsiaTheme="minorEastAsia" w:hAnsi="Times" w:cstheme="minorBidi"/>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F94B7E">
        <w:rPr>
          <w:rFonts w:ascii="Times" w:eastAsiaTheme="minorEastAsia" w:hAnsi="Times" w:cstheme="minorBidi"/>
        </w:rPr>
        <w:t>”</w:t>
      </w:r>
      <w:r w:rsidRPr="00F94B7E">
        <w:rPr>
          <w:rFonts w:ascii="Times" w:eastAsiaTheme="minorEastAsia" w:hAnsi="Times" w:cstheme="minorBidi"/>
        </w:rPr>
        <w:t xml:space="preserve"> The plaintiff said: </w:t>
      </w:r>
      <w:r w:rsidR="00B05F31" w:rsidRPr="00F94B7E">
        <w:rPr>
          <w:rFonts w:ascii="Times" w:eastAsiaTheme="minorEastAsia" w:hAnsi="Times" w:cstheme="minorBidi"/>
        </w:rPr>
        <w:t>“</w:t>
      </w:r>
      <w:r w:rsidRPr="00F94B7E">
        <w:rPr>
          <w:rFonts w:ascii="Times" w:eastAsiaTheme="minorEastAsia" w:hAnsi="Times" w:cstheme="minorBidi"/>
        </w:rPr>
        <w:t>On approaching Scotland Place and defendant</w:t>
      </w:r>
      <w:r w:rsidR="00B05F31" w:rsidRPr="00F94B7E">
        <w:rPr>
          <w:rFonts w:ascii="Times" w:eastAsiaTheme="minorEastAsia" w:hAnsi="Times" w:cstheme="minorBidi"/>
        </w:rPr>
        <w:t>’</w:t>
      </w:r>
      <w:r w:rsidRPr="00F94B7E">
        <w:rPr>
          <w:rFonts w:ascii="Times" w:eastAsiaTheme="minorEastAsia" w:hAnsi="Times" w:cstheme="minorBidi"/>
        </w:rPr>
        <w:t>s shop, I lost all recollection. I felt no blow. I saw nothing to warn me of danger. I was taken home in a cab. I was helpless for a fortnight.</w:t>
      </w:r>
      <w:r w:rsidR="00B05F31" w:rsidRPr="00F94B7E">
        <w:rPr>
          <w:rFonts w:ascii="Times" w:eastAsiaTheme="minorEastAsia" w:hAnsi="Times" w:cstheme="minorBidi"/>
        </w:rPr>
        <w:t>”</w:t>
      </w:r>
      <w:r w:rsidRPr="00F94B7E">
        <w:rPr>
          <w:rFonts w:ascii="Times" w:eastAsiaTheme="minorEastAsia" w:hAnsi="Times" w:cstheme="minorBidi"/>
        </w:rPr>
        <w:t xml:space="preserve"> (He then described his sufferings.) </w:t>
      </w:r>
      <w:r w:rsidR="00B05F31" w:rsidRPr="00F94B7E">
        <w:rPr>
          <w:rFonts w:ascii="Times" w:eastAsiaTheme="minorEastAsia" w:hAnsi="Times" w:cstheme="minorBidi"/>
        </w:rPr>
        <w:t>“</w:t>
      </w:r>
      <w:r w:rsidRPr="00F94B7E">
        <w:rPr>
          <w:rFonts w:ascii="Times" w:eastAsiaTheme="minorEastAsia" w:hAnsi="Times" w:cstheme="minorBidi"/>
        </w:rPr>
        <w:t>I saw the path clear. I did not see any cart opposite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Another witness said: </w:t>
      </w:r>
      <w:r w:rsidR="00B05F31" w:rsidRPr="00F94B7E">
        <w:rPr>
          <w:rFonts w:ascii="Times" w:eastAsiaTheme="minorEastAsia" w:hAnsi="Times" w:cstheme="minorBidi"/>
        </w:rPr>
        <w:t>“</w:t>
      </w:r>
      <w:r w:rsidRPr="00F94B7E">
        <w:rPr>
          <w:rFonts w:ascii="Times" w:eastAsiaTheme="minorEastAsia" w:hAnsi="Times" w:cstheme="minorBidi"/>
        </w:rPr>
        <w:t>I saw a barrel falling. I don</w:t>
      </w:r>
      <w:r w:rsidR="00B05F31" w:rsidRPr="00F94B7E">
        <w:rPr>
          <w:rFonts w:ascii="Times" w:eastAsiaTheme="minorEastAsia" w:hAnsi="Times" w:cstheme="minorBidi"/>
        </w:rPr>
        <w:t>’</w:t>
      </w:r>
      <w:r w:rsidRPr="00F94B7E">
        <w:rPr>
          <w:rFonts w:ascii="Times" w:eastAsiaTheme="minorEastAsia" w:hAnsi="Times" w:cstheme="minorBidi"/>
        </w:rPr>
        <w:t>t know how, but from defendant</w:t>
      </w:r>
      <w:r w:rsidR="00B05F31" w:rsidRPr="00F94B7E">
        <w:rPr>
          <w:rFonts w:ascii="Times" w:eastAsiaTheme="minorEastAsia" w:hAnsi="Times" w:cstheme="minorBidi"/>
        </w:rPr>
        <w:t>’</w:t>
      </w:r>
      <w:r w:rsidRPr="00F94B7E">
        <w:rPr>
          <w:rFonts w:ascii="Times" w:eastAsiaTheme="minorEastAsia" w:hAnsi="Times" w:cstheme="minorBidi"/>
        </w:rPr>
        <w:t>s [shop].</w:t>
      </w:r>
      <w:r w:rsidR="00B05F31" w:rsidRPr="00F94B7E">
        <w:rPr>
          <w:rFonts w:ascii="Times" w:eastAsiaTheme="minorEastAsia" w:hAnsi="Times" w:cstheme="minorBidi"/>
        </w:rPr>
        <w:t>”</w:t>
      </w:r>
      <w:r w:rsidRPr="00F94B7E">
        <w:rPr>
          <w:rFonts w:ascii="Times" w:eastAsiaTheme="minorEastAsia" w:hAnsi="Times" w:cstheme="minorBidi"/>
        </w:rPr>
        <w:t xml:space="preserve"> . . . It was admitted that the defendant was a dealer in flour.</w:t>
      </w:r>
    </w:p>
    <w:p w14:paraId="22F9D77C" w14:textId="77777777" w:rsidR="00C22B24" w:rsidRPr="00F94B7E" w:rsidRDefault="00C22B24" w:rsidP="00C22B24">
      <w:pPr>
        <w:pStyle w:val="layoutmafindent1"/>
        <w:shd w:val="clear" w:color="auto" w:fill="FFFFFF"/>
        <w:spacing w:before="0" w:beforeAutospacing="0" w:after="0" w:afterAutospacing="0"/>
        <w:ind w:firstLine="720"/>
        <w:rPr>
          <w:rFonts w:ascii="Times" w:eastAsiaTheme="minorHAnsi" w:hAnsi="Times"/>
        </w:rPr>
      </w:pPr>
    </w:p>
    <w:p w14:paraId="65CC7355" w14:textId="77777777"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F94B7E" w:rsidRDefault="00C22B24" w:rsidP="00C22B24">
      <w:pPr>
        <w:pStyle w:val="layoutmafindent1"/>
        <w:shd w:val="clear" w:color="auto" w:fill="FFFFFF"/>
        <w:spacing w:before="0" w:beforeAutospacing="0" w:after="0" w:afterAutospacing="0"/>
        <w:ind w:firstLine="720"/>
        <w:rPr>
          <w:rFonts w:ascii="Times" w:eastAsiaTheme="minorHAnsi" w:hAnsi="Times"/>
        </w:rPr>
      </w:pPr>
    </w:p>
    <w:p w14:paraId="6BCBE603" w14:textId="7160D6B3" w:rsidR="00C22B24" w:rsidRPr="00F94B7E" w:rsidRDefault="00C22B24"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F94B7E">
        <w:rPr>
          <w:rFonts w:ascii="Times" w:eastAsiaTheme="minorEastAsia" w:hAnsi="Times" w:cstheme="minorBidi"/>
        </w:rPr>
        <w:t>’</w:t>
      </w:r>
      <w:r w:rsidRPr="00F94B7E">
        <w:rPr>
          <w:rFonts w:ascii="Times" w:eastAsiaTheme="minorEastAsia" w:hAnsi="Times" w:cstheme="minorBidi"/>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336" w:name="sp__300"/>
      <w:bookmarkStart w:id="337" w:name="SDU_300"/>
      <w:bookmarkStart w:id="338" w:name="citeas((Cite_as:_159_E.R._299,_*300)"/>
      <w:bookmarkEnd w:id="336"/>
      <w:bookmarkEnd w:id="337"/>
      <w:bookmarkEnd w:id="338"/>
      <w:r w:rsidRPr="00F94B7E">
        <w:rPr>
          <w:rFonts w:ascii="Times" w:eastAsiaTheme="minorEastAsia" w:hAnsi="Times" w:cstheme="minorBidi"/>
        </w:rPr>
        <w:t>had been stated by way of inducement that at the time of the grievance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F94B7E">
        <w:rPr>
          <w:rFonts w:ascii="Times" w:eastAsiaTheme="minorEastAsia" w:hAnsi="Times" w:cstheme="minorBidi"/>
        </w:rPr>
        <w:t>’</w:t>
      </w:r>
      <w:r w:rsidRPr="00F94B7E">
        <w:rPr>
          <w:rFonts w:ascii="Times" w:eastAsiaTheme="minorEastAsia" w:hAnsi="Times" w:cstheme="minorBidi"/>
        </w:rPr>
        <w:t>s servants were engaged in removing the defendant</w:t>
      </w:r>
      <w:r w:rsidR="00B05F31" w:rsidRPr="00F94B7E">
        <w:rPr>
          <w:rFonts w:ascii="Times" w:eastAsiaTheme="minorEastAsia" w:hAnsi="Times" w:cstheme="minorBidi"/>
        </w:rPr>
        <w:t>’</w:t>
      </w:r>
      <w:r w:rsidRPr="00F94B7E">
        <w:rPr>
          <w:rFonts w:ascii="Times" w:eastAsiaTheme="minorEastAsia" w:hAnsi="Times" w:cstheme="minorBidi"/>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F94B7E" w:rsidRDefault="00C22B24" w:rsidP="00C22B24">
      <w:pPr>
        <w:pStyle w:val="layoutmafindent1"/>
        <w:shd w:val="clear" w:color="auto" w:fill="FFFFFF"/>
        <w:spacing w:before="0" w:beforeAutospacing="0" w:after="0" w:afterAutospacing="0"/>
        <w:ind w:firstLine="720"/>
        <w:rPr>
          <w:rFonts w:ascii="Times" w:eastAsiaTheme="minorHAnsi" w:hAnsi="Times"/>
        </w:rPr>
      </w:pPr>
    </w:p>
    <w:p w14:paraId="328DFC08" w14:textId="7AEC8179" w:rsidR="00C22B24" w:rsidRPr="00F94B7E" w:rsidRDefault="00C22B24"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 xml:space="preserve">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w:t>
      </w:r>
      <w:r w:rsidRPr="00F94B7E">
        <w:rPr>
          <w:rFonts w:ascii="Times" w:eastAsiaTheme="minorEastAsia" w:hAnsi="Times" w:cstheme="minorBidi"/>
        </w:rPr>
        <w:lastRenderedPageBreak/>
        <w:t>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339" w:name="sp__301"/>
      <w:bookmarkStart w:id="340" w:name="SDU_301"/>
      <w:bookmarkStart w:id="341" w:name="citeas((Cite_as:_159_E.R._299,_*301)"/>
      <w:bookmarkEnd w:id="339"/>
      <w:bookmarkEnd w:id="340"/>
      <w:bookmarkEnd w:id="341"/>
      <w:r w:rsidRPr="00F94B7E">
        <w:rPr>
          <w:rFonts w:ascii="Times" w:eastAsiaTheme="minorEastAsia" w:hAnsi="Times" w:cstheme="minorBidi"/>
        </w:rPr>
        <w:t>facts proved that the defendant</w:t>
      </w:r>
      <w:r w:rsidR="00B05F31" w:rsidRPr="00F94B7E">
        <w:rPr>
          <w:rFonts w:ascii="Times" w:eastAsiaTheme="minorEastAsia" w:hAnsi="Times" w:cstheme="minorBidi"/>
        </w:rPr>
        <w:t>’</w:t>
      </w:r>
      <w:r w:rsidRPr="00F94B7E">
        <w:rPr>
          <w:rFonts w:ascii="Times" w:eastAsiaTheme="minorEastAsia" w:hAnsi="Times" w:cstheme="minorBidi"/>
        </w:rPr>
        <w:t>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F94B7E" w:rsidRDefault="00C22B24" w:rsidP="00C22B24">
      <w:pPr>
        <w:pStyle w:val="layoutmafindent1"/>
        <w:shd w:val="clear" w:color="auto" w:fill="FFFFFF"/>
        <w:spacing w:before="0" w:beforeAutospacing="0" w:after="0" w:afterAutospacing="0"/>
        <w:ind w:firstLine="720"/>
        <w:rPr>
          <w:rFonts w:ascii="Times" w:eastAsiaTheme="minorHAnsi" w:hAnsi="Times"/>
        </w:rPr>
      </w:pPr>
    </w:p>
    <w:p w14:paraId="0AA46AD1" w14:textId="77777777"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hAnsi="Times"/>
          <w:smallCaps/>
        </w:rPr>
        <w:t xml:space="preserve">Pollock, C.B.  </w:t>
      </w:r>
      <w:r w:rsidRPr="00F94B7E">
        <w:rPr>
          <w:rFonts w:ascii="Times" w:eastAsiaTheme="minorEastAsia" w:hAnsi="Times" w:cstheme="minorBidi"/>
        </w:rPr>
        <w:t xml:space="preserve">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t>
      </w:r>
      <w:r w:rsidRPr="00F94B7E">
        <w:rPr>
          <w:rFonts w:ascii="Times" w:eastAsiaTheme="minorEastAsia" w:hAnsi="Times" w:cstheme="minorBidi"/>
        </w:rPr>
        <w:lastRenderedPageBreak/>
        <w:t>was injured by it is not bound to shew that it could not fall without negligence, but if there are any facts inconsistent with negligence it is for the defendant to prove them.</w:t>
      </w:r>
    </w:p>
    <w:p w14:paraId="60A28860" w14:textId="77777777" w:rsidR="00C22B24" w:rsidRPr="00F94B7E" w:rsidRDefault="00C22B24" w:rsidP="00C22B24">
      <w:pPr>
        <w:pStyle w:val="layoutmafindent1"/>
        <w:shd w:val="clear" w:color="auto" w:fill="FFFFFF"/>
        <w:spacing w:before="0" w:beforeAutospacing="0" w:after="0" w:afterAutospacing="0"/>
        <w:rPr>
          <w:rFonts w:ascii="Times" w:eastAsiaTheme="minorHAnsi" w:hAnsi="Times"/>
        </w:rPr>
      </w:pPr>
    </w:p>
    <w:p w14:paraId="5656AA68" w14:textId="77777777"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hAnsi="Times"/>
          <w:smallCaps/>
        </w:rPr>
        <w:t>Bramwell, B.</w:t>
      </w:r>
      <w:r w:rsidRPr="00F94B7E">
        <w:rPr>
          <w:rFonts w:ascii="Times" w:hAnsi="Times"/>
          <w:color w:val="252525"/>
        </w:rPr>
        <w:t xml:space="preserve"> </w:t>
      </w:r>
      <w:r w:rsidRPr="00F94B7E">
        <w:rPr>
          <w:rFonts w:ascii="Times" w:eastAsiaTheme="minorEastAsia" w:hAnsi="Times" w:cstheme="minorBidi"/>
        </w:rPr>
        <w:t>I am of the same opinion.</w:t>
      </w:r>
    </w:p>
    <w:p w14:paraId="55D44853" w14:textId="77777777" w:rsidR="00C22B24" w:rsidRPr="00F94B7E" w:rsidRDefault="00C22B24" w:rsidP="00C22B24">
      <w:pPr>
        <w:pStyle w:val="layoutmafindent1"/>
        <w:shd w:val="clear" w:color="auto" w:fill="FFFFFF"/>
        <w:spacing w:before="0" w:beforeAutospacing="0" w:after="0" w:afterAutospacing="0"/>
        <w:rPr>
          <w:rFonts w:ascii="Times" w:hAnsi="Times"/>
          <w:color w:val="252525"/>
        </w:rPr>
      </w:pPr>
    </w:p>
    <w:p w14:paraId="4BE76B3F" w14:textId="77777777"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hAnsi="Times"/>
          <w:smallCaps/>
        </w:rPr>
        <w:t>Channell, B.</w:t>
      </w:r>
      <w:r w:rsidRPr="00F94B7E">
        <w:rPr>
          <w:rFonts w:ascii="Times" w:hAnsi="Times"/>
          <w:color w:val="252525"/>
        </w:rPr>
        <w:t xml:space="preserve"> </w:t>
      </w:r>
      <w:r w:rsidRPr="00F94B7E">
        <w:rPr>
          <w:rFonts w:ascii="Times" w:eastAsiaTheme="minorEastAsia" w:hAnsi="Times" w:cstheme="minorBidi"/>
        </w:rPr>
        <w:t>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77777777" w:rsidR="00C22B24" w:rsidRPr="00F94B7E" w:rsidRDefault="00C22B24" w:rsidP="00C22B24">
      <w:pPr>
        <w:pStyle w:val="layoutmafindent1"/>
        <w:shd w:val="clear" w:color="auto" w:fill="FFFFFF"/>
        <w:spacing w:before="0" w:beforeAutospacing="0" w:after="0" w:afterAutospacing="0"/>
        <w:ind w:firstLine="720"/>
        <w:rPr>
          <w:rFonts w:ascii="Times" w:eastAsiaTheme="minorHAnsi" w:hAnsi="Times"/>
        </w:rPr>
      </w:pPr>
    </w:p>
    <w:p w14:paraId="0B765926" w14:textId="77777777" w:rsidR="00C22B24" w:rsidRPr="00F94B7E"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hAnsi="Times"/>
          <w:smallCaps/>
        </w:rPr>
        <w:t>Pigott, B</w:t>
      </w:r>
      <w:r w:rsidRPr="00F94B7E">
        <w:rPr>
          <w:rFonts w:ascii="Times" w:hAnsi="Times"/>
          <w:color w:val="252525"/>
        </w:rPr>
        <w:t xml:space="preserve">. </w:t>
      </w:r>
      <w:r w:rsidRPr="00F94B7E">
        <w:rPr>
          <w:rFonts w:ascii="Times" w:eastAsiaTheme="minorEastAsia" w:hAnsi="Times" w:cstheme="minorBidi"/>
        </w:rPr>
        <w:t>I am of the same opinion.</w:t>
      </w:r>
    </w:p>
    <w:p w14:paraId="5646B350" w14:textId="77777777" w:rsidR="00C22B24" w:rsidRPr="00F94B7E" w:rsidRDefault="00C22B24" w:rsidP="00C22B24">
      <w:pPr>
        <w:pStyle w:val="layoutmafindent1"/>
        <w:shd w:val="clear" w:color="auto" w:fill="FFFFFF"/>
        <w:spacing w:before="0" w:beforeAutospacing="0" w:after="0" w:afterAutospacing="0"/>
        <w:ind w:firstLine="720"/>
        <w:rPr>
          <w:rFonts w:ascii="Times" w:hAnsi="Times"/>
          <w:color w:val="252525"/>
        </w:rPr>
      </w:pPr>
    </w:p>
    <w:p w14:paraId="7159D9DA" w14:textId="77777777" w:rsidR="00C22B24" w:rsidRDefault="750671C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r w:rsidRPr="00F94B7E">
        <w:rPr>
          <w:rFonts w:ascii="Times" w:eastAsiaTheme="minorEastAsia" w:hAnsi="Times" w:cstheme="minorBidi"/>
        </w:rPr>
        <w:t>Rule absolute.</w:t>
      </w:r>
    </w:p>
    <w:p w14:paraId="2752DACC" w14:textId="77777777" w:rsidR="001D2B7E" w:rsidRPr="00F94B7E" w:rsidRDefault="001D2B7E" w:rsidP="750671CE">
      <w:pPr>
        <w:pStyle w:val="layoutmafindent1"/>
        <w:shd w:val="clear" w:color="auto" w:fill="FFFFFF" w:themeFill="background1"/>
        <w:spacing w:before="0" w:beforeAutospacing="0" w:after="0" w:afterAutospacing="0"/>
        <w:ind w:firstLine="720"/>
        <w:rPr>
          <w:rFonts w:ascii="Times" w:eastAsiaTheme="minorEastAsia" w:hAnsi="Times" w:cstheme="minorBidi"/>
        </w:rPr>
      </w:pPr>
    </w:p>
    <w:p w14:paraId="0B341368" w14:textId="77777777" w:rsidR="00E72385" w:rsidRPr="00F94B7E" w:rsidRDefault="00E72385" w:rsidP="00E72385">
      <w:pPr>
        <w:pStyle w:val="layoutmafindent1"/>
        <w:shd w:val="clear" w:color="auto" w:fill="FFFFFF"/>
        <w:spacing w:before="0" w:beforeAutospacing="0" w:after="0" w:afterAutospacing="0"/>
        <w:rPr>
          <w:rFonts w:ascii="Times" w:eastAsiaTheme="minorHAnsi" w:hAnsi="Times"/>
        </w:rPr>
      </w:pPr>
    </w:p>
    <w:p w14:paraId="67D93B32" w14:textId="5E2FF771" w:rsidR="00E72385" w:rsidRPr="00F94B7E" w:rsidRDefault="00E72385" w:rsidP="750671CE">
      <w:pPr>
        <w:pStyle w:val="layoutmafindent1"/>
        <w:shd w:val="clear" w:color="auto" w:fill="FFFFFF" w:themeFill="background1"/>
        <w:spacing w:before="0" w:beforeAutospacing="0" w:after="0" w:afterAutospacing="0"/>
        <w:rPr>
          <w:rFonts w:ascii="Times" w:eastAsiaTheme="minorEastAsia" w:hAnsi="Times" w:cstheme="minorBidi"/>
        </w:rPr>
      </w:pPr>
      <w:bookmarkStart w:id="342" w:name="_Toc518323344"/>
      <w:r w:rsidRPr="00F94B7E">
        <w:rPr>
          <w:rStyle w:val="Heading4Char"/>
          <w:rFonts w:ascii="Times" w:hAnsi="Times"/>
        </w:rPr>
        <w:t>Grajales-Romero v. American Airlines, Inc</w:t>
      </w:r>
      <w:bookmarkEnd w:id="342"/>
      <w:r w:rsidRPr="00F94B7E">
        <w:rPr>
          <w:rFonts w:ascii="Times" w:eastAsiaTheme="minorEastAsia" w:hAnsi="Times" w:cstheme="minorBidi"/>
          <w:b/>
          <w:bCs/>
        </w:rPr>
        <w:t>., 194 F.3d 288 (1</w:t>
      </w:r>
      <w:r w:rsidR="0039795B">
        <w:rPr>
          <w:rFonts w:ascii="Times" w:eastAsiaTheme="minorEastAsia" w:hAnsi="Times" w:cstheme="minorBidi"/>
          <w:b/>
          <w:bCs/>
        </w:rPr>
        <w:t>st</w:t>
      </w:r>
      <w:r w:rsidRPr="00F94B7E">
        <w:rPr>
          <w:rFonts w:ascii="Times" w:eastAsiaTheme="minorEastAsia" w:hAnsi="Times" w:cstheme="minorBidi"/>
          <w:b/>
          <w:bCs/>
        </w:rPr>
        <w:t xml:space="preserve"> Cir. 1999)</w:t>
      </w:r>
    </w:p>
    <w:p w14:paraId="49971E2A" w14:textId="77777777" w:rsidR="00C22B24" w:rsidRPr="00F94B7E" w:rsidRDefault="00C22B24" w:rsidP="00C22B24">
      <w:pPr>
        <w:rPr>
          <w:rFonts w:ascii="Times" w:hAnsi="Times" w:cs="Times New Roman"/>
        </w:rPr>
      </w:pPr>
    </w:p>
    <w:p w14:paraId="723D1E09" w14:textId="77777777" w:rsidR="00B978E6" w:rsidRDefault="750671CE" w:rsidP="00B978E6">
      <w:pPr>
        <w:ind w:firstLine="360"/>
        <w:rPr>
          <w:rFonts w:ascii="Times" w:eastAsia="Times New Roman,Cambria" w:hAnsi="Times" w:cs="Times New Roman,Cambria"/>
        </w:rPr>
      </w:pPr>
      <w:r w:rsidRPr="00F94B7E">
        <w:rPr>
          <w:rFonts w:ascii="Times" w:eastAsia="Times New Roman,Cambria" w:hAnsi="Times" w:cs="Times New Roman,Cambria"/>
          <w:smallCaps/>
        </w:rPr>
        <w:t>Lipez</w:t>
      </w:r>
      <w:r w:rsidRPr="00F94B7E">
        <w:rPr>
          <w:rFonts w:ascii="Times" w:eastAsia="Times New Roman,Cambria" w:hAnsi="Times" w:cs="Times New Roman,Cambria"/>
        </w:rPr>
        <w:t>, J.</w:t>
      </w:r>
    </w:p>
    <w:p w14:paraId="424F267B" w14:textId="77777777" w:rsidR="00B978E6" w:rsidRDefault="00B978E6" w:rsidP="00B978E6">
      <w:pPr>
        <w:ind w:firstLine="360"/>
        <w:rPr>
          <w:rFonts w:ascii="Times" w:eastAsia="Times New Roman,Cambria" w:hAnsi="Times" w:cs="Times New Roman,Cambria"/>
        </w:rPr>
      </w:pPr>
    </w:p>
    <w:p w14:paraId="456CFB83" w14:textId="07278E55" w:rsidR="00C22B24" w:rsidRPr="00F94B7E" w:rsidRDefault="750671CE" w:rsidP="00B978E6">
      <w:pPr>
        <w:ind w:firstLine="360"/>
        <w:rPr>
          <w:rFonts w:ascii="Times" w:eastAsia="Times New Roman,Cambria" w:hAnsi="Times" w:cs="Times New Roman,Cambria"/>
        </w:rPr>
      </w:pPr>
      <w:r w:rsidRPr="00F94B7E">
        <w:rPr>
          <w:rFonts w:ascii="Times" w:eastAsia="Times New Roman,Cambria" w:hAnsi="Times" w:cs="Times New Roman,Cambria"/>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F94B7E" w:rsidRDefault="00C22B24" w:rsidP="00C22B24">
      <w:pPr>
        <w:rPr>
          <w:rFonts w:ascii="Times" w:hAnsi="Times" w:cs="Times New Roman"/>
        </w:rPr>
      </w:pPr>
    </w:p>
    <w:p w14:paraId="0514AF40" w14:textId="77777777" w:rsidR="00C22B24" w:rsidRPr="00F94B7E" w:rsidRDefault="750671CE" w:rsidP="00BB34A5">
      <w:pPr>
        <w:pStyle w:val="ListParagraph"/>
        <w:numPr>
          <w:ilvl w:val="0"/>
          <w:numId w:val="3"/>
        </w:numPr>
        <w:rPr>
          <w:rFonts w:ascii="Times New Roman" w:eastAsia="Times New Roman,Cambria" w:hAnsi="Times New Roman" w:cs="Times New Roman"/>
        </w:rPr>
      </w:pPr>
      <w:r w:rsidRPr="00F94B7E">
        <w:rPr>
          <w:rFonts w:ascii="Times New Roman" w:eastAsia="Times New Roman,Cambria" w:hAnsi="Times New Roman" w:cs="Times New Roman"/>
        </w:rPr>
        <w:t xml:space="preserve"> Factual background</w:t>
      </w:r>
    </w:p>
    <w:p w14:paraId="0593D0EB" w14:textId="77777777" w:rsidR="00C22B24" w:rsidRPr="00156BD9" w:rsidRDefault="00C22B24" w:rsidP="00C22B24">
      <w:pPr>
        <w:rPr>
          <w:rFonts w:ascii="Times New Roman" w:eastAsiaTheme="minorHAnsi" w:hAnsi="Times New Roman" w:cs="Times New Roman"/>
        </w:rPr>
      </w:pPr>
    </w:p>
    <w:p w14:paraId="12C27BDB" w14:textId="4DDDAE6B" w:rsidR="00C22B24" w:rsidRPr="00F94B7E" w:rsidRDefault="00C22B24"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We present the facts as a jury might have found them, consistent with the record but in the light most favorable to the verdict. On July 29, 1994, Plaintiff Ananias Grajales-Romero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Grajales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was waiting in line at an American Eagle </w:t>
      </w:r>
      <w:bookmarkStart w:id="343" w:name="fnlink_fn_fnote2"/>
      <w:r w:rsidRPr="00F94B7E">
        <w:rPr>
          <w:rFonts w:ascii="Times New Roman" w:hAnsi="Times New Roman" w:cs="Times New Roman"/>
        </w:rPr>
        <w:fldChar w:fldCharType="begin"/>
      </w:r>
      <w:r w:rsidRPr="00156BD9">
        <w:rPr>
          <w:rFonts w:ascii="Times New Roman" w:eastAsiaTheme="minorHAnsi" w:hAnsi="Times New Roman" w:cs="Times New Roman"/>
        </w:rPr>
        <w:instrText xml:space="preserve"> HYPERLINK "https://advance.lexis.com/fullDocument/fulldoc/link?requestid=9307c1b3-32d1-6e33-f47e-b477a6427f53&amp;ContentId=%2fshared%2fdocument%2fcases%2furn%3acontentItem%3a3XRM-3PX0-0038-X36F-00000-00&amp;contextFeatureId=1000516&amp;isTab=t" </w:instrText>
      </w:r>
      <w:r w:rsidRPr="00F94B7E">
        <w:rPr>
          <w:rFonts w:ascii="Times New Roman" w:eastAsiaTheme="minorHAnsi" w:hAnsi="Times New Roman" w:cs="Times New Roman"/>
        </w:rPr>
        <w:fldChar w:fldCharType="separate"/>
      </w:r>
      <w:r w:rsidRPr="00F94B7E">
        <w:rPr>
          <w:rFonts w:ascii="Times New Roman" w:eastAsia="Times New Roman,Cambria" w:hAnsi="Times New Roman" w:cs="Times New Roman"/>
        </w:rPr>
        <w:t>1</w:t>
      </w:r>
      <w:r w:rsidRPr="00F94B7E">
        <w:rPr>
          <w:rFonts w:ascii="Times New Roman" w:hAnsi="Times New Roman" w:cs="Times New Roman"/>
        </w:rPr>
        <w:fldChar w:fldCharType="end"/>
      </w:r>
      <w:bookmarkEnd w:id="343"/>
      <w:r w:rsidRPr="00F94B7E">
        <w:rPr>
          <w:rFonts w:ascii="Times New Roman" w:eastAsia="Times New Roman,Cambria" w:hAnsi="Times New Roman" w:cs="Times New Roman"/>
        </w:rPr>
        <w:t> check-in counter in the St. Kitts airport for a return flight to San Juan, Puerto Rico. His acquaintance Terry Connor had accompanied him to the check-in counter. Connor attempted to load Grajales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w:t>
      </w:r>
      <w:r w:rsidRPr="00F94B7E">
        <w:rPr>
          <w:rFonts w:ascii="Times New Roman" w:eastAsia="Times New Roman,Cambria" w:hAnsi="Times New Roman" w:cs="Times New Roman"/>
        </w:rPr>
        <w:lastRenderedPageBreak/>
        <w:t>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156BD9" w:rsidRDefault="00C22B24" w:rsidP="00C22B24">
      <w:pPr>
        <w:shd w:val="clear" w:color="auto" w:fill="FFFFFF"/>
        <w:ind w:firstLine="720"/>
        <w:textAlignment w:val="baseline"/>
        <w:rPr>
          <w:rFonts w:ascii="Times New Roman" w:eastAsiaTheme="minorHAnsi" w:hAnsi="Times New Roman" w:cs="Times New Roman"/>
        </w:rPr>
      </w:pPr>
    </w:p>
    <w:p w14:paraId="53F2652A" w14:textId="77777777"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156BD9" w:rsidRDefault="00C22B24" w:rsidP="00C22B24">
      <w:pPr>
        <w:shd w:val="clear" w:color="auto" w:fill="FFFFFF"/>
        <w:textAlignment w:val="baseline"/>
        <w:rPr>
          <w:rFonts w:ascii="Times New Roman" w:eastAsiaTheme="minorHAnsi" w:hAnsi="Times New Roman" w:cs="Times New Roman"/>
        </w:rPr>
      </w:pPr>
    </w:p>
    <w:p w14:paraId="001D9D80" w14:textId="77777777" w:rsidR="00C22B24" w:rsidRPr="00F94B7E" w:rsidRDefault="750671CE" w:rsidP="750671CE">
      <w:pPr>
        <w:shd w:val="clear" w:color="auto" w:fill="FFFFFF" w:themeFill="background1"/>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[Part II is omitted]</w:t>
      </w:r>
    </w:p>
    <w:p w14:paraId="0B2FF3F8" w14:textId="77777777" w:rsidR="00C22B24" w:rsidRPr="00156BD9" w:rsidRDefault="00C22B24" w:rsidP="00C22B24">
      <w:pPr>
        <w:shd w:val="clear" w:color="auto" w:fill="FFFFFF"/>
        <w:textAlignment w:val="baseline"/>
        <w:rPr>
          <w:rFonts w:ascii="Times New Roman" w:eastAsiaTheme="minorHAnsi" w:hAnsi="Times New Roman" w:cs="Times New Roman"/>
        </w:rPr>
      </w:pPr>
    </w:p>
    <w:p w14:paraId="49AF3AF9" w14:textId="77777777" w:rsidR="00C22B24" w:rsidRPr="00F94B7E" w:rsidRDefault="750671CE" w:rsidP="00BB34A5">
      <w:pPr>
        <w:pStyle w:val="ListParagraph"/>
        <w:numPr>
          <w:ilvl w:val="0"/>
          <w:numId w:val="4"/>
        </w:numPr>
        <w:rPr>
          <w:rFonts w:ascii="Times New Roman" w:eastAsia="Times New Roman,Cambria" w:hAnsi="Times New Roman" w:cs="Times New Roman"/>
        </w:rPr>
      </w:pPr>
      <w:r w:rsidRPr="00F94B7E">
        <w:rPr>
          <w:rFonts w:ascii="Times New Roman" w:eastAsia="Times New Roman,Cambria" w:hAnsi="Times New Roman" w:cs="Times New Roman"/>
        </w:rPr>
        <w:t>Sufficiency of the Evidence of Negligence</w:t>
      </w:r>
    </w:p>
    <w:p w14:paraId="62764E6B" w14:textId="77777777" w:rsidR="00C22B24" w:rsidRPr="00156BD9" w:rsidRDefault="00C22B24" w:rsidP="00C22B24">
      <w:pPr>
        <w:pStyle w:val="ListParagraph"/>
        <w:ind w:left="1080"/>
        <w:rPr>
          <w:rFonts w:ascii="Times New Roman" w:eastAsiaTheme="minorHAnsi" w:hAnsi="Times New Roman" w:cs="Times New Roman"/>
          <w:b/>
        </w:rPr>
      </w:pPr>
    </w:p>
    <w:p w14:paraId="6FAB45F8" w14:textId="77777777" w:rsidR="00C22B24" w:rsidRPr="004F001E" w:rsidRDefault="00C22B24" w:rsidP="00C22B24">
      <w:pPr>
        <w:rPr>
          <w:rFonts w:ascii="Times New Roman" w:eastAsiaTheme="minorHAnsi" w:hAnsi="Times New Roman" w:cs="Times New Roman"/>
          <w:b/>
        </w:rPr>
      </w:pPr>
    </w:p>
    <w:p w14:paraId="18A838E7" w14:textId="77777777" w:rsidR="00C22B24" w:rsidRPr="00F94B7E" w:rsidRDefault="750671CE" w:rsidP="750671CE">
      <w:pPr>
        <w:pStyle w:val="NormalWeb"/>
        <w:shd w:val="clear" w:color="auto" w:fill="FFFFFF" w:themeFill="background1"/>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 Res Ipsa Loquitur</w:t>
      </w:r>
    </w:p>
    <w:p w14:paraId="089BA880"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69BDAEA" w14:textId="6466C037"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American states that plaintiff produced no evidence</w:t>
      </w:r>
      <w:r w:rsidR="009629F8" w:rsidRPr="00156BD9">
        <w:rPr>
          <w:rFonts w:ascii="Times New Roman" w:eastAsia="Times New Roman" w:hAnsi="Times New Roman"/>
        </w:rPr>
        <w:t>—</w:t>
      </w:r>
      <w:r w:rsidRPr="00F94B7E">
        <w:rPr>
          <w:rFonts w:ascii="Times New Roman" w:eastAsia="Times New Roman,Cambria" w:hAnsi="Times New Roman"/>
          <w:sz w:val="24"/>
          <w:szCs w:val="24"/>
        </w:rPr>
        <w:t>either through customary airline practices, past practices, or expert testimony</w:t>
      </w:r>
      <w:r w:rsidR="009629F8" w:rsidRPr="00156BD9">
        <w:rPr>
          <w:rFonts w:ascii="Times New Roman" w:eastAsia="Times New Roman" w:hAnsi="Times New Roman"/>
        </w:rPr>
        <w:t>—</w:t>
      </w:r>
      <w:r w:rsidRPr="00F94B7E">
        <w:rPr>
          <w:rFonts w:ascii="Times New Roman" w:eastAsia="Times New Roman,Cambria" w:hAnsi="Times New Roman"/>
          <w:sz w:val="24"/>
          <w:szCs w:val="24"/>
        </w:rPr>
        <w:t>to establish a standard of care by which American should have operated. 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156BD9"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039B024" w14:textId="1163C379"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From these assertions, and the fact that the court refused to give the jurors Grajales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proposed res ipsa loquitur instruction, American argues that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no jury could reasonably conclude that American exercised less than reasonable care from the unexplained fact that an accident occurred.</w:t>
      </w:r>
      <w:r w:rsidR="00B05F31" w:rsidRPr="00F94B7E">
        <w:rPr>
          <w:rFonts w:ascii="Times New Roman" w:eastAsia="Times New Roman,Cambria" w:hAnsi="Times New Roman"/>
          <w:sz w:val="24"/>
          <w:szCs w:val="24"/>
        </w:rPr>
        <w:t>”</w:t>
      </w:r>
    </w:p>
    <w:p w14:paraId="502724BA" w14:textId="48AC0DDF" w:rsidR="00C22B24" w:rsidRPr="00156BD9" w:rsidRDefault="00C22B24" w:rsidP="0091126C">
      <w:pPr>
        <w:pStyle w:val="NormalWeb"/>
        <w:shd w:val="clear" w:color="auto" w:fill="FFFFFF"/>
        <w:tabs>
          <w:tab w:val="left" w:pos="1999"/>
        </w:tabs>
        <w:spacing w:before="0" w:beforeAutospacing="0" w:after="0" w:afterAutospacing="0"/>
        <w:textAlignment w:val="baseline"/>
        <w:rPr>
          <w:rFonts w:ascii="Times New Roman" w:eastAsiaTheme="minorHAnsi" w:hAnsi="Times New Roman"/>
          <w:sz w:val="24"/>
          <w:szCs w:val="24"/>
        </w:rPr>
      </w:pPr>
    </w:p>
    <w:p w14:paraId="08B8D0A3" w14:textId="64B87BDE"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(1) the accident must be of a kind which 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(2) it must be caused by an agency or instrumentality within the exclusive control of defendant; [and] (3) it must not be due to any voluntary action on the part of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Given the lack of direct or other circumstantial evidence on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w:t>
      </w:r>
      <w:r w:rsidRPr="00F94B7E">
        <w:rPr>
          <w:rFonts w:ascii="Times New Roman" w:eastAsia="Times New Roman,Cambria" w:hAnsi="Times New Roman"/>
          <w:sz w:val="24"/>
          <w:szCs w:val="24"/>
        </w:rPr>
        <w:lastRenderedPageBreak/>
        <w:t>violation of its duty of care, we must consider whether the conditions of res ipsa loquitur were satisfied here.</w:t>
      </w:r>
    </w:p>
    <w:p w14:paraId="3528A142" w14:textId="77777777" w:rsidR="00C22B24" w:rsidRPr="00156BD9"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72BF229C" w14:textId="6F93BE20"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We conclude that they were. Indeed, the first two elements of res ipsa loquitur were easily established. A reasonable jury could have concluded that the accident was of a kind which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and that the accident was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caused by an . . . instrumentality within the exclusive control of [the] defendant.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w:t>
      </w:r>
    </w:p>
    <w:p w14:paraId="299FBF5F" w14:textId="77777777" w:rsidR="00C22B24" w:rsidRPr="00156BD9" w:rsidRDefault="00C22B24" w:rsidP="0091126C">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707D6D5C" w14:textId="2F0FE57E"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The res ipsa loquitur requirement that the accident not be caused by any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voluntary action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on the part of the plaintiff posed a more difficult challenge for Grajales. American argues that a res ipsa loquitur inference was unreasonable because the evidence indicates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acquaintance Connor took the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voluntary action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of pulling on the counter-top. Even if Connor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actions could be attributed to Grajales,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attempt to [use the instrumentality] in the ordinary manner[.]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So long as the jurors could have concluded from the evidence that Connor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use of the counter for leverage constituted a normal usage of the counter by a customer, the jury could have inferred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w:t>
      </w:r>
    </w:p>
    <w:p w14:paraId="16D95810"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B14182F" w14:textId="54E8E588"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While there was sufficient evidence on each of the conditions of res ipsa loquitur, the district court did not provide the jury with a res ipsa loquitur instruction, as Grajales had requested. We must therefore consider an argument implicit in American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challenge to the sufficiency of the evidence of negligence</w:t>
      </w:r>
      <w:r w:rsidR="008966DE" w:rsidRPr="00156BD9">
        <w:rPr>
          <w:rFonts w:ascii="Times New Roman" w:eastAsia="Times New Roman" w:hAnsi="Times New Roman"/>
        </w:rPr>
        <w:t>—</w:t>
      </w:r>
      <w:r w:rsidRPr="00F94B7E">
        <w:rPr>
          <w:rFonts w:ascii="Times New Roman" w:eastAsia="Times New Roman,Cambria" w:hAnsi="Times New Roman"/>
          <w:sz w:val="24"/>
          <w:szCs w:val="24"/>
        </w:rPr>
        <w:t>that a jury verdict cannot be justified on the basis of res ipsa loquitur when the jurors were never instructed on the doctrine.</w:t>
      </w:r>
    </w:p>
    <w:p w14:paraId="3CF089A8"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72DDCFEA" w14:textId="5F5DE80D"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Puerto Rico</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statement of the three elements of res ipsa loquitur is derived from the first edition of a well-known treatise on evidence. </w:t>
      </w:r>
      <w:r w:rsidRPr="00F94B7E">
        <w:rPr>
          <w:rFonts w:ascii="Times New Roman" w:eastAsia="Times New Roman,Cambria" w:hAnsi="Times New Roman"/>
          <w:i/>
          <w:iCs/>
          <w:sz w:val="24"/>
          <w:szCs w:val="24"/>
        </w:rPr>
        <w:t>See</w:t>
      </w:r>
      <w:r w:rsidRPr="00F94B7E">
        <w:rPr>
          <w:rFonts w:ascii="Times New Roman" w:eastAsia="Times New Roman,Cambria" w:hAnsi="Times New Roman"/>
          <w:sz w:val="24"/>
          <w:szCs w:val="24"/>
        </w:rPr>
        <w:t xml:space="preserve"> W. Page Keeton et al., </w:t>
      </w:r>
      <w:r w:rsidRPr="00F94B7E">
        <w:rPr>
          <w:rFonts w:ascii="Times New Roman" w:eastAsia="Times New Roman,Cambria" w:hAnsi="Times New Roman"/>
          <w:i/>
          <w:iCs/>
          <w:sz w:val="24"/>
          <w:szCs w:val="24"/>
        </w:rPr>
        <w:t>Prosser and Keeton on Torts</w:t>
      </w:r>
      <w:r w:rsidRPr="00F94B7E">
        <w:rPr>
          <w:rFonts w:ascii="Times New Roman" w:eastAsia="Times New Roman,Cambria" w:hAnsi="Times New Roman"/>
          <w:sz w:val="24"/>
          <w:szCs w:val="24"/>
        </w:rPr>
        <w:t> 244 (Lawyer</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5th ed. 1984). That origin confirms that a res ipsa loquitur 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156BD9" w:rsidRDefault="00C22B24" w:rsidP="00C22B24">
      <w:pPr>
        <w:rPr>
          <w:rFonts w:ascii="Times New Roman" w:eastAsiaTheme="minorHAnsi" w:hAnsi="Times New Roman" w:cs="Times New Roman"/>
        </w:rPr>
      </w:pPr>
    </w:p>
    <w:p w14:paraId="7EB8980E" w14:textId="77777777" w:rsidR="00C22B24" w:rsidRPr="00F94B7E" w:rsidRDefault="750671CE" w:rsidP="750671CE">
      <w:pPr>
        <w:ind w:firstLine="720"/>
        <w:rPr>
          <w:rFonts w:ascii="Times New Roman" w:eastAsia="Times New Roman,Cambria" w:hAnsi="Times New Roman" w:cs="Times New Roman"/>
        </w:rPr>
      </w:pPr>
      <w:r w:rsidRPr="00F94B7E">
        <w:rPr>
          <w:rFonts w:ascii="Times New Roman" w:eastAsia="Times New Roman,Cambria" w:hAnsi="Times New Roman" w:cs="Times New Roman"/>
        </w:rPr>
        <w:t xml:space="preserve">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 . </w:t>
      </w:r>
    </w:p>
    <w:p w14:paraId="0AAE59E9"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DBBE6D5" w14:textId="77777777" w:rsidR="00C22B24" w:rsidRPr="004F001E" w:rsidRDefault="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C935325" w14:textId="77777777" w:rsidR="00C22B24" w:rsidRPr="00F94B7E" w:rsidRDefault="00C22B24">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b/>
          <w:bCs/>
          <w:sz w:val="24"/>
          <w:szCs w:val="24"/>
        </w:rPr>
      </w:pPr>
      <w:r w:rsidRPr="00F94B7E">
        <w:rPr>
          <w:rStyle w:val="ssit"/>
          <w:rFonts w:ascii="Times New Roman" w:eastAsia="Times New Roman,Cambria" w:hAnsi="Times New Roman"/>
          <w:iCs/>
          <w:color w:val="333333"/>
          <w:sz w:val="24"/>
          <w:szCs w:val="24"/>
          <w:bdr w:val="none" w:sz="0" w:space="0" w:color="auto" w:frame="1"/>
        </w:rPr>
        <w:t>Affirmed</w:t>
      </w:r>
      <w:r w:rsidRPr="00156BD9">
        <w:rPr>
          <w:rFonts w:ascii="Times New Roman" w:eastAsia="Times New Roman" w:hAnsi="Times New Roman"/>
          <w:b/>
          <w:bCs/>
          <w:color w:val="333333"/>
          <w:sz w:val="24"/>
          <w:szCs w:val="24"/>
          <w:shd w:val="clear" w:color="auto" w:fill="FFFFFF"/>
        </w:rPr>
        <w:t>.</w:t>
      </w:r>
    </w:p>
    <w:p w14:paraId="0AE97D26" w14:textId="77777777" w:rsidR="00C22B24" w:rsidRPr="00156BD9" w:rsidRDefault="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A72D1F4" w14:textId="77777777" w:rsidR="00C22B24" w:rsidRPr="004F001E" w:rsidRDefault="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61ED4B7D" w14:textId="77777777" w:rsidR="00C22B24" w:rsidRPr="004F001E" w:rsidRDefault="00C22B24" w:rsidP="002502CC">
      <w:pPr>
        <w:pStyle w:val="Heading4"/>
      </w:pPr>
      <w:bookmarkStart w:id="344" w:name="_Toc385930517"/>
      <w:bookmarkStart w:id="345" w:name="_Toc364636136"/>
      <w:bookmarkStart w:id="346" w:name="_Toc518323345"/>
      <w:r w:rsidRPr="004F001E">
        <w:lastRenderedPageBreak/>
        <w:t>Notes</w:t>
      </w:r>
      <w:bookmarkEnd w:id="344"/>
      <w:bookmarkEnd w:id="345"/>
      <w:bookmarkEnd w:id="346"/>
    </w:p>
    <w:p w14:paraId="6775F00C" w14:textId="77777777" w:rsidR="00C22B24" w:rsidRPr="008D515E" w:rsidRDefault="00C22B24" w:rsidP="0003736D">
      <w:pPr>
        <w:shd w:val="clear" w:color="auto" w:fill="FFFFFF"/>
        <w:textAlignment w:val="baseline"/>
        <w:rPr>
          <w:rFonts w:ascii="Times New Roman" w:eastAsiaTheme="minorHAnsi" w:hAnsi="Times New Roman" w:cs="Times New Roman"/>
          <w:b/>
          <w:u w:val="single"/>
        </w:rPr>
      </w:pPr>
    </w:p>
    <w:p w14:paraId="42FEE31B" w14:textId="77777777" w:rsidR="0003736D" w:rsidRPr="005266B4" w:rsidRDefault="0003736D" w:rsidP="0003736D">
      <w:pPr>
        <w:shd w:val="clear" w:color="auto" w:fill="FFFFFF"/>
        <w:textAlignment w:val="baseline"/>
        <w:rPr>
          <w:rFonts w:ascii="Times New Roman" w:eastAsiaTheme="minorHAnsi" w:hAnsi="Times New Roman" w:cs="Times New Roman"/>
          <w:b/>
          <w:u w:val="single"/>
        </w:rPr>
      </w:pPr>
    </w:p>
    <w:p w14:paraId="3286DCF1" w14:textId="05BA6D4C" w:rsidR="00C22B24" w:rsidRPr="00F94B7E" w:rsidRDefault="750671CE" w:rsidP="00F94B7E">
      <w:pPr>
        <w:pStyle w:val="ListParagraph"/>
        <w:numPr>
          <w:ilvl w:val="0"/>
          <w:numId w:val="57"/>
        </w:numPr>
        <w:shd w:val="clear" w:color="auto" w:fill="FFFFFF" w:themeFill="background1"/>
        <w:ind w:left="0" w:firstLine="36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The elements of res ipsa.</w:t>
      </w:r>
      <w:r w:rsidRPr="00F94B7E">
        <w:rPr>
          <w:rFonts w:ascii="Times New Roman" w:eastAsia="Times New Roman,Cambria" w:hAnsi="Times New Roman" w:cs="Times New Roman"/>
        </w:rPr>
        <w:t xml:space="preserve">  Under what conditions can plaintiffs establish res ipsa loquitur?  According to many courts, the doctrine of res ipsa loquitur requires proof of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casualty of a kind (1) that does not ordinarily occur absent negligence; (2) that was caused by an instrumentality exclusively in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control; and (3) that was not caused by an act or omission of the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See, e.g.</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Holzhauer v. Saks &amp; Co.</w:t>
      </w:r>
      <w:r w:rsidRPr="00F94B7E">
        <w:rPr>
          <w:rFonts w:ascii="Times New Roman" w:eastAsia="Times New Roman,Cambria" w:hAnsi="Times New Roman" w:cs="Times New Roman"/>
        </w:rPr>
        <w:t xml:space="preserve">, 697 A.2d 89, 92-93 (Md. 1997). Courts have used the second element to preclude res ipsa loquitur claims when parties other than the defendant can control the instrumentality causing injury to the plaintiff. For example, in </w:t>
      </w:r>
      <w:r w:rsidRPr="00F94B7E">
        <w:rPr>
          <w:rFonts w:ascii="Times New Roman" w:eastAsia="Times New Roman,Cambria" w:hAnsi="Times New Roman" w:cs="Times New Roman"/>
          <w:i/>
          <w:iCs/>
        </w:rPr>
        <w:t>Holzhauer</w:t>
      </w:r>
      <w:r w:rsidRPr="00F94B7E">
        <w:rPr>
          <w:rFonts w:ascii="Times New Roman" w:eastAsia="Times New Roman,Cambria" w:hAnsi="Times New Roman" w:cs="Times New Roman"/>
        </w:rPr>
        <w:t xml:space="preserve">, the Maryland Court of Appeals precluded a res ipsa loquitur claim from a plaintiff who was injured when a mall escalator stopped abruptly. Because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hundreds of [the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customers ha[d] unlimited access to the [escalator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emergency stop buttons,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the court held that it was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impossible to establish that the escalator was in [Defendant</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 exclusive control.</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at 94.  </w:t>
      </w:r>
    </w:p>
    <w:p w14:paraId="7AD6E88E" w14:textId="77777777" w:rsidR="00C22B24" w:rsidRDefault="00C22B24" w:rsidP="00C22B24">
      <w:pPr>
        <w:shd w:val="clear" w:color="auto" w:fill="FFFFFF"/>
        <w:textAlignment w:val="baseline"/>
        <w:rPr>
          <w:rFonts w:ascii="Times New Roman" w:eastAsiaTheme="minorHAnsi" w:hAnsi="Times New Roman" w:cs="Times New Roman"/>
          <w:b/>
          <w:u w:val="single"/>
        </w:rPr>
      </w:pPr>
    </w:p>
    <w:p w14:paraId="5E1E4154" w14:textId="4157A315" w:rsidR="00C22B24" w:rsidRPr="00920B12" w:rsidRDefault="00C22B24" w:rsidP="006D4CFB">
      <w:pPr>
        <w:tabs>
          <w:tab w:val="left" w:pos="456"/>
        </w:tabs>
        <w:rPr>
          <w:rFonts w:ascii="Times New Roman" w:eastAsia="Times New Roman" w:hAnsi="Times New Roman" w:cs="Times New Roman"/>
        </w:rPr>
      </w:pPr>
      <w:r w:rsidRPr="007268B4">
        <w:rPr>
          <w:rFonts w:ascii="Times New Roman" w:eastAsiaTheme="minorHAnsi" w:hAnsi="Times New Roman" w:cs="Times New Roman"/>
          <w:b/>
        </w:rPr>
        <w:tab/>
      </w:r>
      <w:r w:rsidRPr="750671CE">
        <w:rPr>
          <w:rFonts w:ascii="Times New Roman" w:eastAsia="Times New Roman" w:hAnsi="Times New Roman" w:cs="Times New Roman"/>
        </w:rPr>
        <w:t>Courts in other jurisdictions have diverged from the Maryland Court of Appeals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holding in </w:t>
      </w:r>
      <w:r w:rsidRPr="750671CE">
        <w:rPr>
          <w:rFonts w:ascii="Times New Roman" w:eastAsia="Times New Roman" w:hAnsi="Times New Roman" w:cs="Times New Roman"/>
          <w:i/>
          <w:iCs/>
        </w:rPr>
        <w:t>Holzhauer</w:t>
      </w:r>
      <w:r w:rsidRPr="750671CE">
        <w:rPr>
          <w:rFonts w:ascii="Times New Roman" w:eastAsia="Times New Roman" w:hAnsi="Times New Roman" w:cs="Times New Roman"/>
        </w:rPr>
        <w:t xml:space="preserve">. For example, in </w:t>
      </w:r>
      <w:r w:rsidRPr="750671CE">
        <w:rPr>
          <w:rFonts w:ascii="Times New Roman" w:eastAsia="Times New Roman" w:hAnsi="Times New Roman" w:cs="Times New Roman"/>
          <w:i/>
          <w:iCs/>
        </w:rPr>
        <w:t>Rose v. Port of New York Authority</w:t>
      </w:r>
      <w:r w:rsidRPr="750671CE">
        <w:rPr>
          <w:rFonts w:ascii="Times New Roman" w:eastAsia="Times New Roman" w:hAnsi="Times New Roman" w:cs="Times New Roman"/>
        </w:rPr>
        <w:t xml:space="preserve">, the New Jersey Supreme Court held that the plaintiff, who was struck by an automatic glass door at an airport, could recover under the doctrine of res ipsa loquitur. Because </w:t>
      </w:r>
      <w:r w:rsidR="00B05F31">
        <w:rPr>
          <w:rFonts w:ascii="Times New Roman" w:eastAsia="Times New Roman" w:hAnsi="Times New Roman" w:cs="Times New Roman"/>
        </w:rPr>
        <w:t>“</w:t>
      </w:r>
      <w:r w:rsidRPr="750671CE">
        <w:rPr>
          <w:rFonts w:ascii="Times New Roman" w:eastAsia="Times New Roman" w:hAnsi="Times New Roman" w:cs="Times New Roman"/>
        </w:rPr>
        <w:t>members of the public pass</w:t>
      </w:r>
      <w:r w:rsidR="001D5F4F">
        <w:rPr>
          <w:rFonts w:ascii="Times New Roman" w:eastAsia="Times New Roman" w:hAnsi="Times New Roman" w:cs="Times New Roman"/>
        </w:rPr>
        <w:t xml:space="preserve"> . . . </w:t>
      </w:r>
      <w:r w:rsidRPr="750671CE">
        <w:rPr>
          <w:rFonts w:ascii="Times New Roman" w:eastAsia="Times New Roman" w:hAnsi="Times New Roman" w:cs="Times New Roman"/>
        </w:rPr>
        <w:t>through automatic doors . . . without sustaining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court held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injury was </w:t>
      </w:r>
      <w:r w:rsidR="00B05F31">
        <w:rPr>
          <w:rFonts w:ascii="Times New Roman" w:eastAsia="Times New Roman" w:hAnsi="Times New Roman" w:cs="Times New Roman"/>
        </w:rPr>
        <w:t>“</w:t>
      </w:r>
      <w:r w:rsidRPr="750671CE">
        <w:rPr>
          <w:rFonts w:ascii="Times New Roman" w:eastAsia="Times New Roman" w:hAnsi="Times New Roman" w:cs="Times New Roman"/>
        </w:rPr>
        <w:t>unusual and not commonplace, . . . strongly suggest[ing] a malfunction, which in turn suggests neglect.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Rose v. Port of N.Y. Auth.</w:t>
      </w:r>
      <w:r w:rsidRPr="750671CE">
        <w:rPr>
          <w:rFonts w:ascii="Times New Roman" w:eastAsia="Times New Roman" w:hAnsi="Times New Roman" w:cs="Times New Roman"/>
        </w:rPr>
        <w:t>, 293 A.2d 371, 375 (N.J. 1972)</w:t>
      </w:r>
      <w:r w:rsidR="005F61FF">
        <w:rPr>
          <w:rFonts w:ascii="Times New Roman" w:eastAsia="Times New Roman" w:hAnsi="Times New Roman" w:cs="Times New Roman"/>
        </w:rPr>
        <w:t xml:space="preserve">.  </w:t>
      </w:r>
      <w:r w:rsidR="005F61FF" w:rsidRPr="0080795D">
        <w:rPr>
          <w:rFonts w:ascii="Times New Roman" w:eastAsia="Times New Roman" w:hAnsi="Times New Roman" w:cs="Times New Roman"/>
          <w:i/>
        </w:rPr>
        <w:t>But see</w:t>
      </w:r>
      <w:r w:rsidR="005F61FF">
        <w:rPr>
          <w:rFonts w:ascii="Times New Roman" w:eastAsia="Times New Roman" w:hAnsi="Times New Roman" w:cs="Times New Roman"/>
        </w:rPr>
        <w:t xml:space="preserve"> </w:t>
      </w:r>
      <w:r w:rsidRPr="750671CE">
        <w:rPr>
          <w:rFonts w:ascii="Times New Roman" w:eastAsia="Times New Roman" w:hAnsi="Times New Roman" w:cs="Times New Roman"/>
          <w:i/>
          <w:iCs/>
        </w:rPr>
        <w:t>Kmart Corp. v. Bassett</w:t>
      </w:r>
      <w:r w:rsidRPr="750671CE">
        <w:rPr>
          <w:rFonts w:ascii="Times New Roman" w:eastAsia="Times New Roman" w:hAnsi="Times New Roman" w:cs="Times New Roman"/>
        </w:rPr>
        <w:t>, 769 So. 2d 282, 283 (Ala. 2000)</w:t>
      </w:r>
      <w:r w:rsidR="005F61FF">
        <w:rPr>
          <w:rFonts w:ascii="Times New Roman" w:eastAsia="Times New Roman" w:hAnsi="Times New Roman" w:cs="Times New Roman"/>
        </w:rPr>
        <w:t xml:space="preserve"> (rejecting res ipsa doctrine </w:t>
      </w:r>
      <w:r w:rsidR="006D4CFB">
        <w:rPr>
          <w:rFonts w:ascii="Times New Roman" w:eastAsia="Times New Roman" w:hAnsi="Times New Roman" w:cs="Times New Roman"/>
        </w:rPr>
        <w:t>in automatic doors case)</w:t>
      </w:r>
      <w:r w:rsidRPr="750671CE">
        <w:rPr>
          <w:rFonts w:ascii="Times New Roman" w:eastAsia="Times New Roman" w:hAnsi="Times New Roman" w:cs="Times New Roman"/>
        </w:rPr>
        <w:t xml:space="preserve">. </w:t>
      </w:r>
    </w:p>
    <w:p w14:paraId="49BD1F0A" w14:textId="77777777" w:rsidR="00C22B24" w:rsidRDefault="00C22B24" w:rsidP="00C22B24">
      <w:pPr>
        <w:tabs>
          <w:tab w:val="left" w:pos="456"/>
        </w:tabs>
        <w:rPr>
          <w:rFonts w:ascii="Times New Roman" w:hAnsi="Times New Roman" w:cs="Times New Roman"/>
        </w:rPr>
      </w:pPr>
    </w:p>
    <w:p w14:paraId="475B602B" w14:textId="77777777" w:rsidR="0003736D" w:rsidRDefault="0003736D" w:rsidP="00C22B24">
      <w:pPr>
        <w:tabs>
          <w:tab w:val="left" w:pos="456"/>
        </w:tabs>
        <w:rPr>
          <w:rFonts w:ascii="Times New Roman" w:hAnsi="Times New Roman" w:cs="Times New Roman"/>
        </w:rPr>
      </w:pPr>
    </w:p>
    <w:p w14:paraId="132EBFBD" w14:textId="6F7559AD" w:rsidR="00D21852" w:rsidRDefault="00D21852" w:rsidP="00D21852">
      <w:pPr>
        <w:pStyle w:val="ListParagraph"/>
        <w:numPr>
          <w:ilvl w:val="0"/>
          <w:numId w:val="57"/>
        </w:numPr>
        <w:ind w:left="0" w:firstLine="360"/>
        <w:rPr>
          <w:rFonts w:ascii="Times New Roman" w:hAnsi="Times New Roman" w:cs="Times New Roman"/>
        </w:rPr>
      </w:pPr>
      <w:r w:rsidRPr="00D21852">
        <w:rPr>
          <w:rFonts w:ascii="Times New Roman" w:hAnsi="Times New Roman" w:cs="Times New Roman"/>
          <w:i/>
        </w:rPr>
        <w:t xml:space="preserve">Res </w:t>
      </w:r>
      <w:r w:rsidR="00DF2CC1">
        <w:rPr>
          <w:rFonts w:ascii="Times New Roman" w:hAnsi="Times New Roman" w:cs="Times New Roman"/>
          <w:i/>
        </w:rPr>
        <w:t>i</w:t>
      </w:r>
      <w:r w:rsidRPr="00D21852">
        <w:rPr>
          <w:rFonts w:ascii="Times New Roman" w:hAnsi="Times New Roman" w:cs="Times New Roman"/>
          <w:i/>
        </w:rPr>
        <w:t xml:space="preserve">psa </w:t>
      </w:r>
      <w:r w:rsidR="00DF2CC1">
        <w:rPr>
          <w:rFonts w:ascii="Times New Roman" w:hAnsi="Times New Roman" w:cs="Times New Roman"/>
          <w:i/>
        </w:rPr>
        <w:t>d</w:t>
      </w:r>
      <w:r w:rsidRPr="00D21852">
        <w:rPr>
          <w:rFonts w:ascii="Times New Roman" w:hAnsi="Times New Roman" w:cs="Times New Roman"/>
          <w:i/>
        </w:rPr>
        <w:t>iscriminator?</w:t>
      </w:r>
      <w:r w:rsidRPr="00D21852">
        <w:rPr>
          <w:rFonts w:ascii="Times New Roman" w:hAnsi="Times New Roman" w:cs="Times New Roman"/>
        </w:rPr>
        <w:t xml:space="preserve"> 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 In </w:t>
      </w:r>
      <w:r w:rsidRPr="00D21852">
        <w:rPr>
          <w:rFonts w:ascii="Times New Roman" w:hAnsi="Times New Roman" w:cs="Times New Roman"/>
          <w:i/>
        </w:rPr>
        <w:t>McDonnell Douglas</w:t>
      </w:r>
      <w:r w:rsidRPr="00D21852">
        <w:rPr>
          <w:rFonts w:ascii="Times New Roman" w:hAnsi="Times New Roman" w:cs="Times New Roman"/>
        </w:rPr>
        <w:t xml:space="preserve"> </w:t>
      </w:r>
      <w:r w:rsidRPr="00D21852">
        <w:rPr>
          <w:rFonts w:ascii="Times New Roman" w:hAnsi="Times New Roman" w:cs="Times New Roman"/>
          <w:i/>
        </w:rPr>
        <w:t>v. Green</w:t>
      </w:r>
      <w:r w:rsidRPr="00D21852">
        <w:rPr>
          <w:rFonts w:ascii="Times New Roman" w:hAnsi="Times New Roman" w:cs="Times New Roman"/>
        </w:rPr>
        <w:t xml:space="preserve">, 411 U.S. 792 (1973), the Supreme Court created a burden shifting scheme to fix this problem.  When an employee can make out a prima facie case of discrimination under Title VII of the Civil Rights Act, the burden of production shifts to the employer to provide a non-discriminatory reason for the decision. </w:t>
      </w:r>
      <w:r w:rsidRPr="00D21852">
        <w:rPr>
          <w:rFonts w:ascii="Times New Roman" w:hAnsi="Times New Roman" w:cs="Times New Roman"/>
          <w:i/>
        </w:rPr>
        <w:t>Id.</w:t>
      </w:r>
      <w:r w:rsidR="00B95C11">
        <w:rPr>
          <w:rFonts w:ascii="Times New Roman" w:hAnsi="Times New Roman" w:cs="Times New Roman"/>
        </w:rPr>
        <w:t xml:space="preserve"> </w:t>
      </w:r>
      <w:r w:rsidRPr="00D21852">
        <w:rPr>
          <w:rFonts w:ascii="Times New Roman" w:hAnsi="Times New Roman" w:cs="Times New Roman"/>
        </w:rPr>
        <w:t>at 802</w:t>
      </w:r>
      <w:r w:rsidRPr="00D21852">
        <w:rPr>
          <w:rFonts w:ascii="Times New Roman" w:hAnsi="Times New Roman" w:cs="Times New Roman"/>
          <w:i/>
        </w:rPr>
        <w:t xml:space="preserve">. </w:t>
      </w:r>
      <w:r w:rsidRPr="00D21852">
        <w:rPr>
          <w:rFonts w:ascii="Times New Roman" w:hAnsi="Times New Roman" w:cs="Times New Roman"/>
        </w:rPr>
        <w:t xml:space="preserve">Once the defendant provides a reason, the burden shifts back to the plaintiff to show that this reason is mere pretext. </w:t>
      </w:r>
      <w:r w:rsidRPr="00D21852">
        <w:rPr>
          <w:rFonts w:ascii="Times New Roman" w:hAnsi="Times New Roman" w:cs="Times New Roman"/>
          <w:i/>
        </w:rPr>
        <w:t xml:space="preserve">Id. </w:t>
      </w:r>
      <w:r w:rsidRPr="00D21852">
        <w:rPr>
          <w:rFonts w:ascii="Times New Roman" w:hAnsi="Times New Roman" w:cs="Times New Roman"/>
        </w:rPr>
        <w:t xml:space="preserve">at 798. Even if the plaintiff can prove the employer’s proffered decision is pretextual, the plaintiff is not automatically entitled to summary judgement. </w:t>
      </w:r>
      <w:r w:rsidRPr="00D21852">
        <w:rPr>
          <w:rFonts w:ascii="Times New Roman" w:hAnsi="Times New Roman" w:cs="Times New Roman"/>
          <w:i/>
        </w:rPr>
        <w:t>St. Mary’s Honor Center v. Hicks</w:t>
      </w:r>
      <w:r w:rsidRPr="00D21852">
        <w:rPr>
          <w:rFonts w:ascii="Times New Roman" w:hAnsi="Times New Roman" w:cs="Times New Roman"/>
        </w:rPr>
        <w:t xml:space="preserve">, 509 U.S. 502 (1993). Rather, a jury must decide whether the pretextual rationale is a front for invidious discrimination or some other justification the employer would rather keep quiet, like a particularly petty personal dispute. </w:t>
      </w:r>
      <w:r w:rsidRPr="00D21852">
        <w:rPr>
          <w:rFonts w:ascii="Times New Roman" w:hAnsi="Times New Roman" w:cs="Times New Roman"/>
          <w:i/>
        </w:rPr>
        <w:t>Fisher v. Vassar College</w:t>
      </w:r>
      <w:r w:rsidRPr="00D21852">
        <w:rPr>
          <w:rFonts w:ascii="Times New Roman" w:hAnsi="Times New Roman" w:cs="Times New Roman"/>
        </w:rPr>
        <w:t xml:space="preserve">, 114 F. 3d 1332 (2d Cir. 1997). In </w:t>
      </w:r>
      <w:r w:rsidRPr="00D21852">
        <w:rPr>
          <w:rFonts w:ascii="Times New Roman" w:hAnsi="Times New Roman" w:cs="Times New Roman"/>
          <w:i/>
        </w:rPr>
        <w:t>Reeves v. Sanderson Plumbing Prods.</w:t>
      </w:r>
      <w:r w:rsidRPr="00D21852">
        <w:rPr>
          <w:rFonts w:ascii="Times New Roman" w:hAnsi="Times New Roman" w:cs="Times New Roman"/>
        </w:rPr>
        <w:t>, 530 U.S. 133 (2000)</w:t>
      </w:r>
      <w:r w:rsidRPr="00D21852">
        <w:rPr>
          <w:rFonts w:ascii="Times New Roman" w:hAnsi="Times New Roman" w:cs="Times New Roman"/>
          <w:i/>
        </w:rPr>
        <w:t xml:space="preserve">, </w:t>
      </w:r>
      <w:r w:rsidRPr="00D21852">
        <w:rPr>
          <w:rFonts w:ascii="Times New Roman" w:hAnsi="Times New Roman" w:cs="Times New Roman"/>
        </w:rPr>
        <w:t>the Supreme Court clarified that while a plaintiff does not automatically gain summary</w:t>
      </w:r>
      <w:r w:rsidR="009F0EFB">
        <w:rPr>
          <w:rFonts w:ascii="Times New Roman" w:hAnsi="Times New Roman" w:cs="Times New Roman"/>
        </w:rPr>
        <w:t xml:space="preserve"> judgment where he or she proves</w:t>
      </w:r>
      <w:r w:rsidRPr="00D21852">
        <w:rPr>
          <w:rFonts w:ascii="Times New Roman" w:hAnsi="Times New Roman" w:cs="Times New Roman"/>
        </w:rPr>
        <w:t xml:space="preserve"> a prima facie case of discrimination and </w:t>
      </w:r>
      <w:r w:rsidR="009F0EFB">
        <w:rPr>
          <w:rFonts w:ascii="Times New Roman" w:hAnsi="Times New Roman" w:cs="Times New Roman"/>
        </w:rPr>
        <w:t xml:space="preserve">also proves </w:t>
      </w:r>
      <w:r w:rsidRPr="00D21852">
        <w:rPr>
          <w:rFonts w:ascii="Times New Roman" w:hAnsi="Times New Roman" w:cs="Times New Roman"/>
        </w:rPr>
        <w:lastRenderedPageBreak/>
        <w:t xml:space="preserve">that the employer’s proffered reason is pretextual, such a plaintiff may sometimes </w:t>
      </w:r>
      <w:r w:rsidR="006D4CFB">
        <w:rPr>
          <w:rFonts w:ascii="Times New Roman" w:hAnsi="Times New Roman" w:cs="Times New Roman"/>
        </w:rPr>
        <w:t>be entitled to summary judgment</w:t>
      </w:r>
      <w:r w:rsidRPr="00D21852">
        <w:rPr>
          <w:rFonts w:ascii="Times New Roman" w:hAnsi="Times New Roman" w:cs="Times New Roman"/>
        </w:rPr>
        <w:t xml:space="preserve">, depending on the facts </w:t>
      </w:r>
      <w:r w:rsidR="006D4CFB">
        <w:rPr>
          <w:rFonts w:ascii="Times New Roman" w:hAnsi="Times New Roman" w:cs="Times New Roman"/>
        </w:rPr>
        <w:t>in the record</w:t>
      </w:r>
      <w:r w:rsidRPr="00D21852">
        <w:rPr>
          <w:rFonts w:ascii="Times New Roman" w:hAnsi="Times New Roman" w:cs="Times New Roman"/>
        </w:rPr>
        <w:t xml:space="preserve">. </w:t>
      </w:r>
    </w:p>
    <w:p w14:paraId="2E3A364F" w14:textId="77777777" w:rsidR="00D21852" w:rsidRPr="00F94B7E" w:rsidRDefault="00D21852" w:rsidP="00F94B7E">
      <w:pPr>
        <w:rPr>
          <w:rFonts w:ascii="Times New Roman" w:hAnsi="Times New Roman" w:cs="Times New Roman"/>
        </w:rPr>
      </w:pPr>
    </w:p>
    <w:p w14:paraId="037E65D8" w14:textId="6786ADDF" w:rsidR="00D21852" w:rsidRPr="00F94B7E" w:rsidRDefault="009F0EFB" w:rsidP="00F94B7E">
      <w:pPr>
        <w:ind w:firstLine="720"/>
        <w:rPr>
          <w:rFonts w:ascii="Times New Roman" w:hAnsi="Times New Roman" w:cs="Times New Roman"/>
        </w:rPr>
      </w:pPr>
      <w:r>
        <w:rPr>
          <w:rFonts w:ascii="Times New Roman" w:hAnsi="Times New Roman" w:cs="Times New Roman"/>
        </w:rPr>
        <w:t xml:space="preserve">Why not </w:t>
      </w:r>
      <w:r w:rsidR="00435E79">
        <w:rPr>
          <w:rFonts w:ascii="Times New Roman" w:hAnsi="Times New Roman" w:cs="Times New Roman"/>
        </w:rPr>
        <w:t xml:space="preserve">make adjudication in employment discrimination cases turn on the fate of the employer’s proffered reason?  In this approach, </w:t>
      </w:r>
      <w:r>
        <w:rPr>
          <w:rFonts w:ascii="Times New Roman" w:hAnsi="Times New Roman" w:cs="Times New Roman"/>
        </w:rPr>
        <w:t>the plaintiff w</w:t>
      </w:r>
      <w:r w:rsidR="00435E79">
        <w:rPr>
          <w:rFonts w:ascii="Times New Roman" w:hAnsi="Times New Roman" w:cs="Times New Roman"/>
        </w:rPr>
        <w:t>ould w</w:t>
      </w:r>
      <w:r>
        <w:rPr>
          <w:rFonts w:ascii="Times New Roman" w:hAnsi="Times New Roman" w:cs="Times New Roman"/>
        </w:rPr>
        <w:t>i</w:t>
      </w:r>
      <w:r w:rsidR="00435E79">
        <w:rPr>
          <w:rFonts w:ascii="Times New Roman" w:hAnsi="Times New Roman" w:cs="Times New Roman"/>
        </w:rPr>
        <w:t xml:space="preserve">n </w:t>
      </w:r>
      <w:r>
        <w:rPr>
          <w:rFonts w:ascii="Times New Roman" w:hAnsi="Times New Roman" w:cs="Times New Roman"/>
        </w:rPr>
        <w:t xml:space="preserve">if the jury </w:t>
      </w:r>
      <w:r w:rsidR="00435E79">
        <w:rPr>
          <w:rFonts w:ascii="Times New Roman" w:hAnsi="Times New Roman" w:cs="Times New Roman"/>
        </w:rPr>
        <w:t xml:space="preserve">were </w:t>
      </w:r>
      <w:r>
        <w:rPr>
          <w:rFonts w:ascii="Times New Roman" w:hAnsi="Times New Roman" w:cs="Times New Roman"/>
        </w:rPr>
        <w:t xml:space="preserve">persuaded by a preponderance of the evidence that the defendant’s proferred reason </w:t>
      </w:r>
      <w:r w:rsidR="00435E79">
        <w:rPr>
          <w:rFonts w:ascii="Times New Roman" w:hAnsi="Times New Roman" w:cs="Times New Roman"/>
        </w:rPr>
        <w:t xml:space="preserve">was </w:t>
      </w:r>
      <w:r>
        <w:rPr>
          <w:rFonts w:ascii="Times New Roman" w:hAnsi="Times New Roman" w:cs="Times New Roman"/>
        </w:rPr>
        <w:t>a pretext, regardless whether or not the plaintiff has also proven by a preponderance that the real reason was unlawful discrimination</w:t>
      </w:r>
      <w:r w:rsidR="00435E79">
        <w:rPr>
          <w:rFonts w:ascii="Times New Roman" w:hAnsi="Times New Roman" w:cs="Times New Roman"/>
        </w:rPr>
        <w:t xml:space="preserve">. </w:t>
      </w:r>
      <w:r>
        <w:rPr>
          <w:rFonts w:ascii="Times New Roman" w:hAnsi="Times New Roman" w:cs="Times New Roman"/>
        </w:rPr>
        <w:t xml:space="preserve"> </w:t>
      </w:r>
      <w:r w:rsidR="00435E79">
        <w:rPr>
          <w:rFonts w:ascii="Times New Roman" w:hAnsi="Times New Roman" w:cs="Times New Roman"/>
        </w:rPr>
        <w:t xml:space="preserve">Such a plaintiff would be automatically entitled to summary judgment if after discovery no reasonable jury could find from the evidence in the record that the employer’s proferred reason was the actual reason for the employment decision at issue.  </w:t>
      </w:r>
      <w:r w:rsidR="00D21852" w:rsidRPr="00F94B7E">
        <w:rPr>
          <w:rFonts w:ascii="Times New Roman" w:hAnsi="Times New Roman" w:cs="Times New Roman"/>
        </w:rPr>
        <w:t xml:space="preserve"> </w:t>
      </w:r>
    </w:p>
    <w:p w14:paraId="302A0108" w14:textId="15C10D36" w:rsidR="00D21852" w:rsidRPr="00F94B7E" w:rsidRDefault="00D21852" w:rsidP="00D21852">
      <w:pPr>
        <w:tabs>
          <w:tab w:val="left" w:pos="456"/>
        </w:tabs>
        <w:rPr>
          <w:rFonts w:ascii="Times New Roman" w:hAnsi="Times New Roman" w:cs="Times New Roman"/>
        </w:rPr>
      </w:pPr>
    </w:p>
    <w:p w14:paraId="775C8F35" w14:textId="77777777" w:rsidR="00C22B24" w:rsidRPr="00920B12" w:rsidRDefault="00C22B24" w:rsidP="00C22B24">
      <w:pPr>
        <w:tabs>
          <w:tab w:val="left" w:pos="456"/>
        </w:tabs>
        <w:rPr>
          <w:rFonts w:ascii="Times New Roman" w:hAnsi="Times New Roman" w:cs="Times New Roman"/>
        </w:rPr>
      </w:pPr>
    </w:p>
    <w:p w14:paraId="34EED685" w14:textId="3B3FCE73" w:rsidR="00C22B24" w:rsidRPr="00F94B7E" w:rsidRDefault="750671CE" w:rsidP="00F94B7E">
      <w:pPr>
        <w:pStyle w:val="ListParagraph"/>
        <w:numPr>
          <w:ilvl w:val="0"/>
          <w:numId w:val="5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What does res ipsa do?  </w:t>
      </w:r>
      <w:r w:rsidRPr="00F94B7E">
        <w:rPr>
          <w:rFonts w:ascii="Times New Roman" w:eastAsia="Times New Roman" w:hAnsi="Times New Roman" w:cs="Times New Roman"/>
        </w:rPr>
        <w:t xml:space="preserve">What is the effect of successfully invoking the res ipsa doctrine?  Does a successful invocation of res ipsa entitle a plaintiff to a directed verdict, at least absent rebuttal evidence from the defendant?  Does a successful invocation shift the burden of proof (production or persuasion) to the defendant?  Or is the doctrine of res ipsa better thought of as a doctrine of circumstantial evidence?  </w:t>
      </w:r>
    </w:p>
    <w:p w14:paraId="49A8864E" w14:textId="77777777" w:rsidR="00C22B24" w:rsidRPr="00920B12" w:rsidRDefault="00C22B24" w:rsidP="00C22B24">
      <w:pPr>
        <w:tabs>
          <w:tab w:val="left" w:pos="456"/>
        </w:tabs>
        <w:rPr>
          <w:rFonts w:ascii="Times New Roman" w:hAnsi="Times New Roman" w:cs="Times New Roman"/>
        </w:rPr>
      </w:pPr>
    </w:p>
    <w:p w14:paraId="397703F6" w14:textId="77777777" w:rsidR="00D21852" w:rsidRDefault="00D21852" w:rsidP="750671CE">
      <w:pPr>
        <w:rPr>
          <w:rFonts w:ascii="Times New Roman" w:hAnsi="Times New Roman" w:cs="Times New Roman"/>
        </w:rPr>
      </w:pPr>
    </w:p>
    <w:p w14:paraId="52963E10" w14:textId="77777777" w:rsidR="00C22B24" w:rsidRPr="008D515E" w:rsidRDefault="00C22B24" w:rsidP="750671CE">
      <w:pPr>
        <w:rPr>
          <w:rFonts w:ascii="Times New Roman" w:eastAsia="Times New Roman" w:hAnsi="Times New Roman" w:cs="Times New Roman"/>
          <w:b/>
          <w:bCs/>
        </w:rPr>
      </w:pPr>
      <w:bookmarkStart w:id="347" w:name="_Toc385930518"/>
      <w:bookmarkStart w:id="348" w:name="_Toc518323346"/>
      <w:r w:rsidRPr="004F001E">
        <w:rPr>
          <w:rStyle w:val="Heading4Char"/>
        </w:rPr>
        <w:t>Ybarra v. Spangard</w:t>
      </w:r>
      <w:bookmarkEnd w:id="347"/>
      <w:bookmarkEnd w:id="348"/>
      <w:r w:rsidRPr="004F001E">
        <w:rPr>
          <w:rFonts w:ascii="Times New Roman" w:eastAsia="Times New Roman" w:hAnsi="Times New Roman" w:cs="Times New Roman"/>
          <w:b/>
          <w:bCs/>
        </w:rPr>
        <w:t>, 154</w:t>
      </w:r>
      <w:r w:rsidRPr="008D515E">
        <w:rPr>
          <w:rFonts w:ascii="Times New Roman" w:eastAsia="Times New Roman" w:hAnsi="Times New Roman" w:cs="Times New Roman"/>
          <w:b/>
          <w:bCs/>
        </w:rPr>
        <w:t xml:space="preserve"> P.2d 687 (Cal. 1944)</w:t>
      </w:r>
    </w:p>
    <w:p w14:paraId="68D7BAC9" w14:textId="77777777" w:rsidR="00C22B24" w:rsidRPr="005266B4" w:rsidRDefault="00C22B24" w:rsidP="00C22B24">
      <w:pPr>
        <w:rPr>
          <w:rFonts w:ascii="Times New Roman" w:hAnsi="Times New Roman" w:cs="Times New Roman"/>
        </w:rPr>
      </w:pPr>
    </w:p>
    <w:p w14:paraId="71842116" w14:textId="77777777" w:rsidR="00B978E6"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mallCaps/>
          <w:sz w:val="24"/>
          <w:szCs w:val="24"/>
        </w:rPr>
        <w:t>Gibson</w:t>
      </w:r>
      <w:r w:rsidRPr="00F94B7E">
        <w:rPr>
          <w:rFonts w:ascii="Times New Roman" w:eastAsia="Times New Roman,Cambria" w:hAnsi="Times New Roman"/>
          <w:sz w:val="24"/>
          <w:szCs w:val="24"/>
        </w:rPr>
        <w:t>, C.J.</w:t>
      </w:r>
    </w:p>
    <w:p w14:paraId="23ED7CBF" w14:textId="77777777" w:rsidR="00B978E6" w:rsidRPr="00F94B7E" w:rsidRDefault="00B978E6"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p>
    <w:p w14:paraId="37259C18" w14:textId="74F6321D"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 . . .</w:t>
      </w:r>
      <w:r w:rsidRPr="00156BD9">
        <w:rPr>
          <w:rFonts w:ascii="Times New Roman" w:eastAsia="Times New Roman" w:hAnsi="Times New Roman"/>
          <w:color w:val="333333"/>
          <w:sz w:val="24"/>
          <w:szCs w:val="24"/>
        </w:rPr>
        <w:t xml:space="preserve"> </w:t>
      </w:r>
      <w:r w:rsidRPr="00F94B7E">
        <w:rPr>
          <w:rFonts w:ascii="Times New Roman" w:eastAsia="Times New Roman,Cambria" w:hAnsi="Times New Roman"/>
          <w:sz w:val="24"/>
          <w:szCs w:val="24"/>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156BD9"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533A2276" w14:textId="1309920C"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testimony, laying him back against two hard objects at the top of his shoulders, about an inch below his neck. Dr. Reser then administered the anesthetic and plaintiff lost consciousness. When he awoke early the following morning he was in his hospital room attended by defendant Thompson, the special nurse, and another nurse who was not made a defendant.</w:t>
      </w:r>
    </w:p>
    <w:p w14:paraId="7848E088"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EDAAF2E" w14:textId="4257FABC"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843DB21" w14:textId="0708EEE2"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 . . consulted Dr. Wilfred Sterling Clark, who . . . [concluded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condition was due to trauma or injury by pressure or strain, applied between his right shoulder and neck.</w:t>
      </w:r>
    </w:p>
    <w:p w14:paraId="7E3A3BA7"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B0F7E7D" w14:textId="165D72A5"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 was also examined by Dr. Fernando Garduno, who expressed the opinion that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injury was a paralysis of traumatic origin, not arising from pathological causes . . . .</w:t>
      </w:r>
    </w:p>
    <w:p w14:paraId="3C744EF6"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5060D21" w14:textId="613D1F98"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action as an attempt to fix liability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en masse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499A29A" w14:textId="7CD345D2"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The doctrine of res ipsa loquitur has three conditions: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(1) the accident must be of a kind which ordinarily does not occur in the absence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(2) it must be caused by an agency or instrumentality within the exclusive control of the defendant; (3) it must not have been due to any voluntary action or contribution on the part of the plaintiff.</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(Prosser, Torts, p. 295.) . . .</w:t>
      </w:r>
    </w:p>
    <w:p w14:paraId="14FF956F"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C14929A" w14:textId="297E8931"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 . . </w:t>
      </w:r>
    </w:p>
    <w:p w14:paraId="2C48D82B"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199A245" w14:textId="07553944"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doctrine a patient who received permanent injuries of a serious character, obviously the result of someone</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960005C" w14:textId="0E0D3F85"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156BD9" w:rsidRDefault="00C22B24" w:rsidP="00C22B24">
      <w:pPr>
        <w:pStyle w:val="NormalWeb"/>
        <w:shd w:val="clear" w:color="auto" w:fill="FFFFFF"/>
        <w:spacing w:before="0" w:beforeAutospacing="0" w:after="0" w:afterAutospacing="0"/>
        <w:textAlignment w:val="baseline"/>
        <w:rPr>
          <w:rFonts w:ascii="Times New Roman" w:eastAsiaTheme="minorHAnsi" w:hAnsi="Times New Roman"/>
          <w:sz w:val="24"/>
          <w:szCs w:val="24"/>
        </w:rPr>
      </w:pPr>
    </w:p>
    <w:p w14:paraId="4A80287B" w14:textId="5762561D"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001C316" w14:textId="728E83C8"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156BD9"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B07AC6E" w14:textId="3CF1423A"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156BD9" w:rsidRDefault="000F7B79"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606ED013" w14:textId="77777777" w:rsidR="00C22B24" w:rsidRPr="00F94B7E" w:rsidRDefault="750671CE" w:rsidP="750671C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judgment is reversed.</w:t>
      </w:r>
    </w:p>
    <w:p w14:paraId="16315A1F" w14:textId="77777777" w:rsidR="00C22B24"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7E5B1C58" w14:textId="77777777" w:rsidR="00C22B24" w:rsidRPr="00920B12" w:rsidRDefault="00C22B24" w:rsidP="00C22B24">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085B47F2" w14:textId="77777777" w:rsidR="00C22B24" w:rsidRPr="00E3500C" w:rsidRDefault="00C22B24" w:rsidP="00322687">
      <w:pPr>
        <w:pStyle w:val="Heading3"/>
      </w:pPr>
      <w:bookmarkStart w:id="349" w:name="_Toc385930519"/>
      <w:bookmarkStart w:id="350" w:name="_Toc364636137"/>
      <w:bookmarkStart w:id="351" w:name="_Toc518323347"/>
      <w:r w:rsidRPr="00511C4B">
        <w:t>3. Federal Constitutional Constraints on the Burden of Proof</w:t>
      </w:r>
      <w:bookmarkEnd w:id="349"/>
      <w:bookmarkEnd w:id="350"/>
      <w:bookmarkEnd w:id="351"/>
    </w:p>
    <w:p w14:paraId="30E3B8A6" w14:textId="77777777" w:rsidR="00C22B24" w:rsidRPr="00156BD9" w:rsidRDefault="00C22B24" w:rsidP="00C22B24">
      <w:pPr>
        <w:rPr>
          <w:rFonts w:ascii="Times New Roman" w:eastAsiaTheme="minorHAnsi" w:hAnsi="Times New Roman" w:cs="Times New Roman"/>
        </w:rPr>
      </w:pPr>
    </w:p>
    <w:p w14:paraId="2B2F98D0" w14:textId="08D5B086" w:rsidR="00C22B24" w:rsidRPr="00F94B7E" w:rsidRDefault="0016748D" w:rsidP="750671CE">
      <w:pPr>
        <w:ind w:firstLine="720"/>
        <w:rPr>
          <w:rFonts w:ascii="Times New Roman" w:eastAsia="Times New Roman,Cambria" w:hAnsi="Times New Roman" w:cs="Times New Roman"/>
        </w:rPr>
      </w:pPr>
      <w:r w:rsidRPr="00F94B7E">
        <w:rPr>
          <w:rFonts w:ascii="Times New Roman" w:eastAsia="Times New Roman,Cambria" w:hAnsi="Times New Roman" w:cs="Times New Roman"/>
        </w:rPr>
        <w:t xml:space="preserve">Legislatures have sometimes sought to alter burdens of proof and persuasion. In response, some courts have suggested constitutional limits on legislative alterations of the proof process. </w:t>
      </w:r>
      <w:r w:rsidR="750671CE" w:rsidRPr="00F94B7E">
        <w:rPr>
          <w:rFonts w:ascii="Times New Roman" w:eastAsia="Times New Roman,Cambria" w:hAnsi="Times New Roman" w:cs="Times New Roman"/>
        </w:rPr>
        <w:t xml:space="preserve">For example, in </w:t>
      </w:r>
      <w:r w:rsidR="750671CE" w:rsidRPr="00F94B7E">
        <w:rPr>
          <w:rFonts w:ascii="Times New Roman" w:eastAsia="Times New Roman,Cambria" w:hAnsi="Times New Roman" w:cs="Times New Roman"/>
          <w:i/>
          <w:iCs/>
        </w:rPr>
        <w:t>Mobile, Jackson &amp; Kansas City R.R. v. Turnipseed</w:t>
      </w:r>
      <w:r w:rsidR="750671CE" w:rsidRPr="00F94B7E">
        <w:rPr>
          <w:rFonts w:ascii="Times New Roman" w:eastAsia="Times New Roman,Cambria" w:hAnsi="Times New Roman" w:cs="Times New Roman"/>
        </w:rPr>
        <w:t xml:space="preserve">, 219 U.S. 35 (1910), the petitioner, a railroad company, challenged a Mississippi statute that provided:  </w:t>
      </w:r>
    </w:p>
    <w:p w14:paraId="5C063B9A" w14:textId="77777777" w:rsidR="00C22B24" w:rsidRPr="00156BD9" w:rsidRDefault="00C22B24" w:rsidP="00C22B24">
      <w:pPr>
        <w:rPr>
          <w:rFonts w:ascii="Times New Roman" w:eastAsiaTheme="minorHAnsi" w:hAnsi="Times New Roman" w:cs="Times New Roman"/>
        </w:rPr>
      </w:pPr>
    </w:p>
    <w:p w14:paraId="76296D31" w14:textId="77777777" w:rsidR="00C22B24" w:rsidRPr="008D515E" w:rsidRDefault="750671CE" w:rsidP="00F94B7E">
      <w:pPr>
        <w:pStyle w:val="blockquote"/>
        <w:rPr>
          <w:rFonts w:eastAsia="Times New Roman,Cambria"/>
        </w:rPr>
      </w:pPr>
      <w:r w:rsidRPr="004F001E">
        <w:rPr>
          <w:rFonts w:eastAsia="Times New Roman,Cambria"/>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5266B4" w:rsidRDefault="00C22B24" w:rsidP="00C22B24">
      <w:pPr>
        <w:rPr>
          <w:rFonts w:ascii="Times New Roman" w:eastAsiaTheme="minorHAnsi" w:hAnsi="Times New Roman" w:cs="Times New Roman"/>
        </w:rPr>
      </w:pPr>
    </w:p>
    <w:p w14:paraId="230261D3" w14:textId="63A741C7" w:rsidR="00C22B24" w:rsidRPr="00F94B7E" w:rsidRDefault="750671CE" w:rsidP="750671CE">
      <w:pPr>
        <w:rPr>
          <w:rFonts w:ascii="Times New Roman" w:eastAsia="Times New Roman,Cambria" w:hAnsi="Times New Roman" w:cs="Times New Roman"/>
        </w:rPr>
      </w:pPr>
      <w:r w:rsidRPr="00F94B7E">
        <w:rPr>
          <w:rFonts w:ascii="Times New Roman" w:eastAsia="Times New Roman,Cambria" w:hAnsi="Times New Roman" w:cs="Times New Roman"/>
          <w:smallCaps/>
        </w:rPr>
        <w:t>Mississippi Code of 1906,</w:t>
      </w:r>
      <w:r w:rsidRPr="00F94B7E">
        <w:rPr>
          <w:rFonts w:ascii="Times New Roman" w:eastAsia="Times New Roman,Cambria" w:hAnsi="Times New Roman" w:cs="Times New Roman"/>
        </w:rPr>
        <w:t xml:space="preserve"> § 1985 (1906). The petitioner claimed that the statute violated the Equal Protection Clause, depriving railroad companies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of the general rule of law which places upon one who sues in tort the burden of not only proving an injury, but also that the injury was the consequence of some negligence in respect of a duty owed to the plaintiff.</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w:t>
      </w:r>
      <w:r w:rsidRPr="00F94B7E">
        <w:rPr>
          <w:rFonts w:ascii="Times New Roman" w:eastAsia="Times New Roman,Cambria" w:hAnsi="Times New Roman" w:cs="Times New Roman"/>
          <w:i/>
          <w:iCs/>
        </w:rPr>
        <w:t>Id.</w:t>
      </w:r>
      <w:r w:rsidRPr="00F94B7E">
        <w:rPr>
          <w:rFonts w:ascii="Times New Roman" w:eastAsia="Times New Roman,Cambria" w:hAnsi="Times New Roman" w:cs="Times New Roman"/>
        </w:rPr>
        <w:t xml:space="preserve"> at 42. The Court, however, ruled against the petitioner, holding:</w:t>
      </w:r>
    </w:p>
    <w:p w14:paraId="2D6F8FCE" w14:textId="77777777" w:rsidR="00C22B24" w:rsidRPr="00156BD9" w:rsidRDefault="00C22B24" w:rsidP="00C22B24">
      <w:pPr>
        <w:rPr>
          <w:rFonts w:ascii="Times New Roman" w:eastAsiaTheme="minorHAnsi" w:hAnsi="Times New Roman" w:cs="Times New Roman"/>
        </w:rPr>
      </w:pPr>
    </w:p>
    <w:p w14:paraId="2BEC957F" w14:textId="77777777" w:rsidR="00C22B24" w:rsidRPr="004F001E" w:rsidRDefault="750671CE" w:rsidP="00F94B7E">
      <w:pPr>
        <w:pStyle w:val="blockquote"/>
        <w:rPr>
          <w:rFonts w:eastAsia="Times New Roman,Cambria"/>
        </w:rPr>
      </w:pPr>
      <w:r w:rsidRPr="004F001E">
        <w:rPr>
          <w:rFonts w:eastAsia="Times New Roman,Cambria"/>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8D515E"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030EA113" w14:textId="77777777" w:rsidR="00C22B24" w:rsidRPr="00121DBE" w:rsidRDefault="750671CE" w:rsidP="00F94B7E">
      <w:pPr>
        <w:pStyle w:val="blockquote"/>
        <w:rPr>
          <w:rFonts w:eastAsia="Times New Roman,Cambria"/>
        </w:rPr>
      </w:pPr>
      <w:r w:rsidRPr="005266B4">
        <w:rPr>
          <w:rFonts w:eastAsia="Times New Roman,Cambria"/>
        </w:rPr>
        <w:t xml:space="preserve">The statute does not, therefore, deny </w:t>
      </w:r>
      <w:r w:rsidRPr="005B147F">
        <w:rPr>
          <w:rFonts w:eastAsia="Times New Roman,Cambria"/>
        </w:rPr>
        <w:t>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DB5930" w:rsidRDefault="00C22B24" w:rsidP="00F94B7E">
      <w:pPr>
        <w:pStyle w:val="blockquote"/>
        <w:rPr>
          <w:rFonts w:eastAsiaTheme="minorHAnsi"/>
        </w:rPr>
      </w:pPr>
    </w:p>
    <w:p w14:paraId="0FC60CB8" w14:textId="77777777" w:rsidR="00C22B24" w:rsidRPr="00735627" w:rsidRDefault="750671CE" w:rsidP="00F94B7E">
      <w:pPr>
        <w:pStyle w:val="blockquote"/>
        <w:rPr>
          <w:rFonts w:eastAsia="Times New Roman,Cambria"/>
        </w:rPr>
      </w:pPr>
      <w:r w:rsidRPr="00AA3FC5">
        <w:rPr>
          <w:rFonts w:eastAsia="Times New Roman,Cambria"/>
        </w:rPr>
        <w:t>That a legislative presumption of one fact from evidence of another may not constitute a denial of due process of law or a denial of the equal protection of the law it is only essential that there sha</w:t>
      </w:r>
      <w:r w:rsidRPr="00EE1884">
        <w:rPr>
          <w:rFonts w:eastAsia="Times New Roman,Cambria"/>
        </w:rPr>
        <w:t>ll be some rational connection between the fact p</w:t>
      </w:r>
      <w:r w:rsidRPr="00EA7EAE">
        <w:rPr>
          <w:rFonts w:eastAsia="Times New Roman,Cambria"/>
        </w:rPr>
        <w:t xml:space="preserve">roved and the </w:t>
      </w:r>
      <w:r w:rsidRPr="00C65DA8">
        <w:rPr>
          <w:rFonts w:eastAsia="Times New Roman,Cambria"/>
        </w:rPr>
        <w:t xml:space="preserve">ultimate fact presumed, and that the inference of one fact from proof of another shall not be so unreasonable as to be a purely arbitrary mandate. So, also, it must not, under guise of regulating the presentation of evidence, operate to preclude the party </w:t>
      </w:r>
      <w:r w:rsidRPr="009E54E4">
        <w:rPr>
          <w:rFonts w:eastAsia="Times New Roman,Cambria"/>
        </w:rPr>
        <w:t>from the right to present his defense to the main fact thus presumed.</w:t>
      </w:r>
    </w:p>
    <w:p w14:paraId="3BE2AADD" w14:textId="77777777" w:rsidR="00C22B24" w:rsidRPr="00B95C11" w:rsidRDefault="00C22B24" w:rsidP="00F94B7E">
      <w:pPr>
        <w:pStyle w:val="blockquote"/>
        <w:rPr>
          <w:rFonts w:eastAsiaTheme="minorHAnsi"/>
        </w:rPr>
      </w:pPr>
    </w:p>
    <w:p w14:paraId="01C1A6B9" w14:textId="77777777" w:rsidR="00C22B24" w:rsidRPr="00510227" w:rsidRDefault="750671CE" w:rsidP="00F94B7E">
      <w:pPr>
        <w:pStyle w:val="blockquote"/>
        <w:rPr>
          <w:rFonts w:eastAsia="Times New Roman,Cambria"/>
        </w:rPr>
      </w:pPr>
      <w:r w:rsidRPr="00B95C11">
        <w:rPr>
          <w:rFonts w:eastAsia="Times New Roman,Cambria"/>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156BD9"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29FC2E52" w14:textId="77777777" w:rsidR="00C22B24" w:rsidRPr="00F94B7E" w:rsidRDefault="750671CE" w:rsidP="750671CE">
      <w:pPr>
        <w:pStyle w:val="NormalWeb"/>
        <w:shd w:val="clear" w:color="auto" w:fill="FFFFFF" w:themeFill="background1"/>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Id.</w:t>
      </w:r>
      <w:r w:rsidRPr="00F94B7E">
        <w:rPr>
          <w:rFonts w:ascii="Times New Roman" w:eastAsia="Times New Roman,Cambria" w:hAnsi="Times New Roman"/>
          <w:sz w:val="24"/>
          <w:szCs w:val="24"/>
        </w:rPr>
        <w:t xml:space="preserve"> at 42-43. Two decades after </w:t>
      </w:r>
      <w:r w:rsidRPr="00F94B7E">
        <w:rPr>
          <w:rFonts w:ascii="Times New Roman" w:eastAsia="Times New Roman,Cambria" w:hAnsi="Times New Roman"/>
          <w:i/>
          <w:iCs/>
          <w:sz w:val="24"/>
          <w:szCs w:val="24"/>
        </w:rPr>
        <w:t>Turnipseed</w:t>
      </w:r>
      <w:r w:rsidRPr="00F94B7E">
        <w:rPr>
          <w:rFonts w:ascii="Times New Roman" w:eastAsia="Times New Roman,Cambria" w:hAnsi="Times New Roman"/>
          <w:sz w:val="24"/>
          <w:szCs w:val="24"/>
        </w:rPr>
        <w:t xml:space="preserve">, however, the Court invalidated a similar state statute passed by the Georgia Legislature. </w:t>
      </w:r>
      <w:r w:rsidRPr="00F94B7E">
        <w:rPr>
          <w:rFonts w:ascii="Times New Roman" w:eastAsia="Times New Roman,Cambria" w:hAnsi="Times New Roman"/>
          <w:i/>
          <w:iCs/>
          <w:sz w:val="24"/>
          <w:szCs w:val="24"/>
        </w:rPr>
        <w:t>See W. &amp; Atl. R.R. v. Henderson</w:t>
      </w:r>
      <w:r w:rsidRPr="00F94B7E">
        <w:rPr>
          <w:rFonts w:ascii="Times New Roman" w:eastAsia="Times New Roman,Cambria" w:hAnsi="Times New Roman"/>
          <w:sz w:val="24"/>
          <w:szCs w:val="24"/>
        </w:rPr>
        <w:t xml:space="preserve">, 279 U.S. 639 (1929). The statute in question in </w:t>
      </w:r>
      <w:r w:rsidRPr="00F94B7E">
        <w:rPr>
          <w:rFonts w:ascii="Times New Roman" w:eastAsia="Times New Roman,Cambria" w:hAnsi="Times New Roman"/>
          <w:i/>
          <w:iCs/>
          <w:sz w:val="24"/>
          <w:szCs w:val="24"/>
        </w:rPr>
        <w:t>Henderson</w:t>
      </w:r>
      <w:r w:rsidRPr="00F94B7E">
        <w:rPr>
          <w:rFonts w:ascii="Times New Roman" w:eastAsia="Times New Roman,Cambria" w:hAnsi="Times New Roman"/>
          <w:sz w:val="24"/>
          <w:szCs w:val="24"/>
        </w:rPr>
        <w:t xml:space="preserve"> provided, in relevant part:</w:t>
      </w:r>
    </w:p>
    <w:p w14:paraId="4A89D0C9" w14:textId="77777777" w:rsidR="00C22B24" w:rsidRPr="00156BD9"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241B966C" w14:textId="57AD3954" w:rsidR="00C22B24" w:rsidRPr="005B147F" w:rsidRDefault="750671CE" w:rsidP="00F94B7E">
      <w:pPr>
        <w:pStyle w:val="blockquote"/>
        <w:rPr>
          <w:rFonts w:eastAsia="Times New Roman,Cambria"/>
        </w:rPr>
      </w:pPr>
      <w:r w:rsidRPr="004F001E">
        <w:rPr>
          <w:rFonts w:eastAsia="Times New Roman,Cambria"/>
        </w:rPr>
        <w:t>A railroad company shall be liable for any damages done to persons . . . by the running</w:t>
      </w:r>
      <w:r w:rsidRPr="008D515E">
        <w:rPr>
          <w:rFonts w:eastAsia="Times New Roman,Cambria"/>
        </w:rPr>
        <w:t xml:space="preserve">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121DBE" w:rsidRDefault="00C22B24" w:rsidP="00C22B24">
      <w:pPr>
        <w:pStyle w:val="NormalWeb"/>
        <w:shd w:val="clear" w:color="auto" w:fill="FFFFFF"/>
        <w:spacing w:before="0" w:beforeAutospacing="0" w:after="0" w:afterAutospacing="0"/>
        <w:ind w:left="720" w:right="720"/>
        <w:textAlignment w:val="baseline"/>
        <w:rPr>
          <w:rFonts w:ascii="Times New Roman" w:eastAsiaTheme="minorHAnsi" w:hAnsi="Times New Roman"/>
          <w:sz w:val="24"/>
          <w:szCs w:val="24"/>
        </w:rPr>
      </w:pPr>
    </w:p>
    <w:p w14:paraId="636A4BD1" w14:textId="77777777" w:rsidR="00C22B24" w:rsidRPr="00F94B7E" w:rsidRDefault="750671CE" w:rsidP="750671CE">
      <w:pPr>
        <w:pStyle w:val="NormalWeb"/>
        <w:shd w:val="clear" w:color="auto" w:fill="FFFFFF" w:themeFill="background1"/>
        <w:spacing w:before="0" w:beforeAutospacing="0" w:after="0" w:afterAutospacing="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 xml:space="preserve">Id. </w:t>
      </w:r>
      <w:r w:rsidRPr="00F94B7E">
        <w:rPr>
          <w:rFonts w:ascii="Times New Roman" w:eastAsia="Times New Roman,Cambria" w:hAnsi="Times New Roman"/>
          <w:sz w:val="24"/>
          <w:szCs w:val="24"/>
        </w:rPr>
        <w:t>at 640 (quoting § 2780 of the Georgia Civil Code). The Court held that the foregoing statute violated the Due Process Clause:</w:t>
      </w:r>
    </w:p>
    <w:p w14:paraId="7FEB7C98" w14:textId="77777777" w:rsidR="00C22B24" w:rsidRPr="00156BD9" w:rsidRDefault="00C22B24" w:rsidP="00C22B24">
      <w:pPr>
        <w:pStyle w:val="NormalWeb"/>
        <w:shd w:val="clear" w:color="auto" w:fill="FFFFFF"/>
        <w:spacing w:before="0" w:beforeAutospacing="0" w:after="0" w:afterAutospacing="0"/>
        <w:ind w:right="720"/>
        <w:textAlignment w:val="baseline"/>
        <w:rPr>
          <w:rFonts w:ascii="Times New Roman" w:eastAsiaTheme="minorHAnsi" w:hAnsi="Times New Roman"/>
          <w:sz w:val="24"/>
          <w:szCs w:val="24"/>
        </w:rPr>
      </w:pPr>
    </w:p>
    <w:p w14:paraId="0817D419" w14:textId="77777777" w:rsidR="00C22B24" w:rsidRPr="005266B4" w:rsidRDefault="750671CE" w:rsidP="00F94B7E">
      <w:pPr>
        <w:pStyle w:val="blockquote"/>
        <w:rPr>
          <w:rFonts w:eastAsia="Times New Roman,Cambria"/>
        </w:rPr>
      </w:pPr>
      <w:r w:rsidRPr="004F001E">
        <w:rPr>
          <w:rFonts w:eastAsia="Times New Roman,Cambria"/>
        </w:rPr>
        <w:t>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w:t>
      </w:r>
      <w:r w:rsidRPr="008D515E">
        <w:rPr>
          <w:rFonts w:eastAsia="Times New Roman,Cambria"/>
        </w:rPr>
        <w:t xml:space="preserve">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5B147F" w:rsidRDefault="00C22B24" w:rsidP="00C22B24">
      <w:pPr>
        <w:shd w:val="clear" w:color="auto" w:fill="FFFFFF"/>
        <w:ind w:left="720" w:right="720" w:firstLine="720"/>
        <w:textAlignment w:val="baseline"/>
        <w:rPr>
          <w:rFonts w:ascii="Times New Roman" w:eastAsiaTheme="minorHAnsi" w:hAnsi="Times New Roman" w:cs="Times New Roman"/>
        </w:rPr>
      </w:pPr>
    </w:p>
    <w:p w14:paraId="01AE01B1" w14:textId="77777777" w:rsidR="00C22B24" w:rsidRPr="00F94B7E" w:rsidRDefault="750671CE" w:rsidP="00F94B7E">
      <w:pPr>
        <w:pStyle w:val="blockquote"/>
        <w:rPr>
          <w:rFonts w:eastAsia="Times New Roman,Cambria"/>
        </w:rPr>
      </w:pPr>
      <w:r w:rsidRPr="00F94B7E">
        <w:rPr>
          <w:rFonts w:eastAsia="Times New Roman,Cambria"/>
        </w:rPr>
        <w:t>Appellee relies principally upon </w:t>
      </w:r>
      <w:r w:rsidRPr="00F94B7E">
        <w:rPr>
          <w:rFonts w:eastAsia="Times New Roman,Cambria"/>
          <w:i/>
          <w:iCs/>
        </w:rPr>
        <w:t>Mobile, J. &amp; K. C. R. R. v. </w:t>
      </w:r>
      <w:hyperlink r:id="rId50">
        <w:r w:rsidRPr="00F94B7E">
          <w:rPr>
            <w:rFonts w:eastAsia="Times New Roman,Cambria"/>
            <w:i/>
            <w:iCs/>
          </w:rPr>
          <w:t>Turnipseed</w:t>
        </w:r>
        <w:r w:rsidRPr="00F94B7E">
          <w:rPr>
            <w:rFonts w:eastAsia="Times New Roman,Cambria"/>
          </w:rPr>
          <w:t>, 219 U.S. 35</w:t>
        </w:r>
      </w:hyperlink>
      <w:r w:rsidRPr="00F94B7E">
        <w:rPr>
          <w:rFonts w:eastAsia="Times New Roman,Cambria"/>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156BD9" w:rsidRDefault="00C22B24" w:rsidP="00F94B7E">
      <w:pPr>
        <w:pStyle w:val="blockquote"/>
        <w:rPr>
          <w:rFonts w:eastAsiaTheme="minorHAnsi"/>
        </w:rPr>
      </w:pPr>
    </w:p>
    <w:p w14:paraId="50FFF031" w14:textId="77777777" w:rsidR="00C22B24" w:rsidRPr="00F94B7E" w:rsidRDefault="750671CE" w:rsidP="00F94B7E">
      <w:pPr>
        <w:pStyle w:val="blockquote"/>
        <w:rPr>
          <w:rFonts w:eastAsia="Times New Roman,Cambria"/>
        </w:rPr>
      </w:pPr>
      <w:r w:rsidRPr="00F94B7E">
        <w:rPr>
          <w:rFonts w:eastAsia="Times New Roman,Cambria"/>
        </w:rPr>
        <w:t>The presumption raised by § 2780 is unreasonable and arbitrary and violates the due process clause of the Fourteenth Amendment. . . .</w:t>
      </w:r>
    </w:p>
    <w:p w14:paraId="05AE7125" w14:textId="77777777" w:rsidR="00C22B24" w:rsidRPr="00156BD9" w:rsidRDefault="00C22B24" w:rsidP="00C22B24">
      <w:pPr>
        <w:shd w:val="clear" w:color="auto" w:fill="FFFFFF"/>
        <w:ind w:right="720"/>
        <w:textAlignment w:val="baseline"/>
        <w:rPr>
          <w:rFonts w:ascii="Times New Roman" w:eastAsiaTheme="minorHAnsi" w:hAnsi="Times New Roman" w:cs="Times New Roman"/>
        </w:rPr>
      </w:pPr>
    </w:p>
    <w:p w14:paraId="10374B79" w14:textId="58DFB31A" w:rsidR="00C22B24" w:rsidRPr="00F94B7E" w:rsidRDefault="750671CE" w:rsidP="750671CE">
      <w:pPr>
        <w:shd w:val="clear" w:color="auto" w:fill="FFFFFF" w:themeFill="background1"/>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Nearly fifty years after these two decisions, the Court held that Congress could reduce plaintiffs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burden of proof without violating any constitutional provisions. For example, in</w:t>
      </w:r>
      <w:r w:rsidRPr="00F94B7E">
        <w:rPr>
          <w:rFonts w:ascii="Times New Roman" w:eastAsia="Times New Roman,Cambria" w:hAnsi="Times New Roman" w:cs="Times New Roman"/>
          <w:i/>
          <w:iCs/>
        </w:rPr>
        <w:t xml:space="preserve"> Usery v. Turner Elkhorn Mining Co.</w:t>
      </w:r>
      <w:r w:rsidRPr="00F94B7E">
        <w:rPr>
          <w:rFonts w:ascii="Times New Roman" w:eastAsia="Times New Roman,Cambria" w:hAnsi="Times New Roman" w:cs="Times New Roman"/>
        </w:rPr>
        <w:t>, 428 U.S. 1 (1976), the Court upheld the constitutionality of the Black Lung Benefits Act, which provided benefits to coal miners suffering from black lung disease (pneumoconiosis). In particular, the Act reduced certain miners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burden of proof that they contracted pneumoconiosis from a particular operator</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s mine. The respondents challenged two particular provisions of the Act: </w:t>
      </w:r>
    </w:p>
    <w:p w14:paraId="345708D2" w14:textId="77777777" w:rsidR="00C22B24" w:rsidRPr="00156BD9" w:rsidRDefault="00C22B24" w:rsidP="00C22B24">
      <w:pPr>
        <w:shd w:val="clear" w:color="auto" w:fill="FFFFFF"/>
        <w:ind w:right="720"/>
        <w:textAlignment w:val="baseline"/>
        <w:rPr>
          <w:rFonts w:ascii="Times New Roman" w:eastAsiaTheme="minorHAnsi" w:hAnsi="Times New Roman" w:cs="Times New Roman"/>
        </w:rPr>
      </w:pPr>
    </w:p>
    <w:p w14:paraId="09FA2C0C" w14:textId="4996C030" w:rsidR="00C22B24" w:rsidRPr="00DB5930" w:rsidRDefault="750671CE" w:rsidP="00F94B7E">
      <w:pPr>
        <w:pStyle w:val="blockquote"/>
        <w:rPr>
          <w:rFonts w:eastAsia="Times New Roman,Cambria"/>
        </w:rPr>
      </w:pPr>
      <w:r w:rsidRPr="004F001E">
        <w:rPr>
          <w:rFonts w:eastAsia="Times New Roman,Cambria"/>
        </w:rPr>
        <w:t>[T]he Operators challenge . . . . the presumptions contained in §§ 411 (c)(1) and (2). Section 411 (c)(1) provides that a coal miner with 10 years</w:t>
      </w:r>
      <w:r w:rsidR="00B05F31" w:rsidRPr="004F001E">
        <w:rPr>
          <w:rFonts w:eastAsia="Times New Roman,Cambria"/>
        </w:rPr>
        <w:t>’</w:t>
      </w:r>
      <w:r w:rsidRPr="004F001E">
        <w:rPr>
          <w:rFonts w:eastAsia="Times New Roman,Cambria"/>
        </w:rPr>
        <w:t xml:space="preserve"> employment in the mines who suffers from pneumoconios</w:t>
      </w:r>
      <w:r w:rsidRPr="008D515E">
        <w:rPr>
          <w:rFonts w:eastAsia="Times New Roman,Cambria"/>
        </w:rPr>
        <w:t>is will be presumed to have contracted the disease from his employment.  Section 411 (c)(2) provides that if a coal miner with 10 years</w:t>
      </w:r>
      <w:r w:rsidR="00B05F31" w:rsidRPr="005266B4">
        <w:rPr>
          <w:rFonts w:eastAsia="Times New Roman,Cambria"/>
        </w:rPr>
        <w:t>’</w:t>
      </w:r>
      <w:r w:rsidRPr="005B147F">
        <w:rPr>
          <w:rFonts w:eastAsia="Times New Roman,Cambria"/>
        </w:rPr>
        <w:t xml:space="preserve"> employment in the mines dies from a respiratory disease, his death will be presumed to have been due to pneumoconiosis. Each presump</w:t>
      </w:r>
      <w:r w:rsidRPr="00121DBE">
        <w:rPr>
          <w:rFonts w:eastAsia="Times New Roman,Cambria"/>
        </w:rPr>
        <w:t xml:space="preserve">tion is explicitly rebuttable, and the effect of each is simply to shift the burden of going forward with evidence from the claimant to the operator. </w:t>
      </w:r>
    </w:p>
    <w:p w14:paraId="5D786DF9" w14:textId="77777777" w:rsidR="00C22B24" w:rsidRPr="00156BD9" w:rsidRDefault="00C22B24" w:rsidP="00C22B24">
      <w:pPr>
        <w:shd w:val="clear" w:color="auto" w:fill="FFFFFF"/>
        <w:ind w:right="720"/>
        <w:textAlignment w:val="baseline"/>
        <w:rPr>
          <w:rFonts w:ascii="Times New Roman" w:eastAsiaTheme="minorHAnsi" w:hAnsi="Times New Roman" w:cs="Times New Roman"/>
        </w:rPr>
      </w:pPr>
    </w:p>
    <w:p w14:paraId="701FCA56" w14:textId="77777777" w:rsidR="00C22B24" w:rsidRPr="00F94B7E" w:rsidRDefault="750671CE" w:rsidP="750671CE">
      <w:pPr>
        <w:shd w:val="clear" w:color="auto" w:fill="FFFFFF" w:themeFill="background1"/>
        <w:ind w:right="720"/>
        <w:textAlignment w:val="baseline"/>
        <w:rPr>
          <w:rFonts w:ascii="Times New Roman" w:eastAsia="Times New Roman,Cambria" w:hAnsi="Times New Roman" w:cs="Times New Roman"/>
        </w:rPr>
      </w:pPr>
      <w:r w:rsidRPr="00F94B7E">
        <w:rPr>
          <w:rFonts w:ascii="Times New Roman" w:eastAsia="Times New Roman,Cambria" w:hAnsi="Times New Roman" w:cs="Times New Roman"/>
          <w:i/>
          <w:iCs/>
        </w:rPr>
        <w:t xml:space="preserve">Id. </w:t>
      </w:r>
      <w:r w:rsidRPr="00F94B7E">
        <w:rPr>
          <w:rFonts w:ascii="Times New Roman" w:eastAsia="Times New Roman,Cambria" w:hAnsi="Times New Roman" w:cs="Times New Roman"/>
        </w:rPr>
        <w:t xml:space="preserve">at 27. In response, the Court held: </w:t>
      </w:r>
    </w:p>
    <w:p w14:paraId="0EA24021" w14:textId="77777777" w:rsidR="00C22B24" w:rsidRPr="00156BD9" w:rsidRDefault="00C22B24" w:rsidP="00C22B24">
      <w:pPr>
        <w:shd w:val="clear" w:color="auto" w:fill="FFFFFF"/>
        <w:ind w:right="720"/>
        <w:textAlignment w:val="baseline"/>
        <w:rPr>
          <w:rFonts w:ascii="Times New Roman" w:eastAsiaTheme="minorHAnsi" w:hAnsi="Times New Roman" w:cs="Times New Roman"/>
        </w:rPr>
      </w:pPr>
    </w:p>
    <w:p w14:paraId="0182E146" w14:textId="6B06B7B7" w:rsidR="00C22B24" w:rsidRPr="00EA551D" w:rsidRDefault="750671CE" w:rsidP="00F94B7E">
      <w:pPr>
        <w:pStyle w:val="blockquote"/>
        <w:rPr>
          <w:rFonts w:eastAsia="Times New Roman,Cambria"/>
        </w:rPr>
      </w:pPr>
      <w:r w:rsidRPr="004F001E">
        <w:rPr>
          <w:rFonts w:eastAsia="Times New Roman,Cambria"/>
        </w:rPr>
        <w:t>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w:t>
      </w:r>
      <w:r w:rsidRPr="008D515E">
        <w:rPr>
          <w:rFonts w:eastAsia="Times New Roman,Cambria"/>
        </w:rPr>
        <w:t xml:space="preserve">o more constrained to require a preliminary showing of the degree of dust concentration to which a miner was exposed, a historical fact difficult for the miner to prove, than it was to require a preliminary showing with respect to all other factors that </w:t>
      </w:r>
      <w:r w:rsidRPr="005266B4">
        <w:rPr>
          <w:rFonts w:eastAsia="Times New Roman,Cambria"/>
        </w:rPr>
        <w:t>might bear on t</w:t>
      </w:r>
      <w:r w:rsidRPr="005B147F">
        <w:rPr>
          <w:rFonts w:eastAsia="Times New Roman,Cambria"/>
        </w:rPr>
        <w:t>he danger of infection. It is worth repeating that mine employment for 10 years does not serve by itself to activate any presumption of pneumoconiosis; it simply serves along with proof of pneumoconiosis under § 411(c)(1) to presumptively establish the cau</w:t>
      </w:r>
      <w:r w:rsidRPr="00121DBE">
        <w:rPr>
          <w:rFonts w:eastAsia="Times New Roman,Cambria"/>
        </w:rPr>
        <w:t xml:space="preserve">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DB5930">
        <w:rPr>
          <w:rFonts w:eastAsia="Times New Roman,Cambria"/>
        </w:rPr>
        <w:t>“</w:t>
      </w:r>
      <w:r w:rsidRPr="00AA3FC5">
        <w:rPr>
          <w:rFonts w:eastAsia="Times New Roman,Cambria"/>
        </w:rPr>
        <w:t>purely arbitrary</w:t>
      </w:r>
      <w:r w:rsidR="00B05F31" w:rsidRPr="00EE1884">
        <w:rPr>
          <w:rFonts w:eastAsia="Times New Roman,Cambria"/>
        </w:rPr>
        <w:t>”</w:t>
      </w:r>
      <w:r w:rsidRPr="00EE1884">
        <w:rPr>
          <w:rFonts w:eastAsia="Times New Roman,Cambria"/>
        </w:rPr>
        <w:t xml:space="preserve"> manner. . . . </w:t>
      </w:r>
      <w:r w:rsidRPr="00EE1884">
        <w:rPr>
          <w:rFonts w:eastAsia="Times New Roman,Cambria"/>
          <w:i/>
          <w:iCs/>
        </w:rPr>
        <w:t>Mobile, J &amp; KC R. v. </w:t>
      </w:r>
      <w:hyperlink r:id="rId51">
        <w:r w:rsidRPr="00EA551D">
          <w:rPr>
            <w:rFonts w:eastAsia="Times New Roman,Cambria"/>
            <w:i/>
            <w:iCs/>
          </w:rPr>
          <w:t>Turnipseed</w:t>
        </w:r>
        <w:r w:rsidRPr="00EA551D">
          <w:rPr>
            <w:rFonts w:eastAsia="Times New Roman,Cambria"/>
          </w:rPr>
          <w:t xml:space="preserve">, </w:t>
        </w:r>
      </w:hyperlink>
      <w:hyperlink r:id="rId52">
        <w:r w:rsidRPr="00EA551D">
          <w:rPr>
            <w:rFonts w:eastAsia="Times New Roman,Cambria"/>
            <w:i/>
            <w:iCs/>
          </w:rPr>
          <w:t>supra</w:t>
        </w:r>
        <w:r w:rsidRPr="00EA551D">
          <w:rPr>
            <w:rFonts w:eastAsia="Times New Roman,Cambria"/>
          </w:rPr>
          <w:t>, at 43</w:t>
        </w:r>
      </w:hyperlink>
      <w:r w:rsidRPr="00EA551D">
        <w:rPr>
          <w:rFonts w:eastAsia="Times New Roman,Cambria"/>
        </w:rPr>
        <w:t>.</w:t>
      </w:r>
    </w:p>
    <w:p w14:paraId="1508DF26" w14:textId="77777777" w:rsidR="00C22B24" w:rsidRPr="00156BD9" w:rsidRDefault="00C22B24" w:rsidP="00C22B24">
      <w:pPr>
        <w:pStyle w:val="NormalWeb"/>
        <w:shd w:val="clear" w:color="auto" w:fill="FFFFFF"/>
        <w:spacing w:before="0" w:beforeAutospacing="0" w:after="0" w:afterAutospacing="0"/>
        <w:ind w:right="720"/>
        <w:textAlignment w:val="baseline"/>
        <w:rPr>
          <w:rFonts w:ascii="Times New Roman" w:eastAsiaTheme="minorHAnsi" w:hAnsi="Times New Roman"/>
          <w:sz w:val="24"/>
          <w:szCs w:val="24"/>
        </w:rPr>
      </w:pPr>
    </w:p>
    <w:p w14:paraId="1065686F" w14:textId="77777777" w:rsidR="00C22B24" w:rsidRPr="00F94B7E" w:rsidRDefault="750671CE" w:rsidP="750671CE">
      <w:pPr>
        <w:pStyle w:val="NormalWeb"/>
        <w:shd w:val="clear" w:color="auto" w:fill="FFFFFF" w:themeFill="background1"/>
        <w:spacing w:before="0" w:beforeAutospacing="0" w:after="0" w:afterAutospacing="0"/>
        <w:ind w:right="720"/>
        <w:textAlignment w:val="baseline"/>
        <w:rPr>
          <w:rFonts w:ascii="Times New Roman" w:eastAsia="Times New Roman,Cambria" w:hAnsi="Times New Roman"/>
          <w:sz w:val="24"/>
          <w:szCs w:val="24"/>
        </w:rPr>
      </w:pPr>
      <w:r w:rsidRPr="00F94B7E">
        <w:rPr>
          <w:rFonts w:ascii="Times New Roman" w:eastAsia="Times New Roman,Cambria" w:hAnsi="Times New Roman"/>
          <w:i/>
          <w:iCs/>
          <w:sz w:val="24"/>
          <w:szCs w:val="24"/>
        </w:rPr>
        <w:t xml:space="preserve">Id. </w:t>
      </w:r>
      <w:r w:rsidRPr="00F94B7E">
        <w:rPr>
          <w:rFonts w:ascii="Times New Roman" w:eastAsia="Times New Roman,Cambria" w:hAnsi="Times New Roman"/>
          <w:sz w:val="24"/>
          <w:szCs w:val="24"/>
        </w:rPr>
        <w:t>at 29-30.</w:t>
      </w:r>
    </w:p>
    <w:p w14:paraId="1D642F13" w14:textId="77777777" w:rsidR="00C22B24" w:rsidRPr="00156BD9" w:rsidRDefault="00C22B24" w:rsidP="00C22B24">
      <w:pPr>
        <w:shd w:val="clear" w:color="auto" w:fill="FFFFFF"/>
        <w:ind w:right="720"/>
        <w:textAlignment w:val="baseline"/>
        <w:rPr>
          <w:rFonts w:ascii="Times New Roman" w:eastAsiaTheme="minorHAnsi" w:hAnsi="Times New Roman" w:cs="Times New Roman"/>
        </w:rPr>
      </w:pPr>
    </w:p>
    <w:p w14:paraId="276EA556" w14:textId="77777777" w:rsidR="00C22B24" w:rsidRPr="004F001E" w:rsidRDefault="00C22B24" w:rsidP="00C22B24">
      <w:pPr>
        <w:pStyle w:val="NormalWeb"/>
        <w:shd w:val="clear" w:color="auto" w:fill="FFFFFF"/>
        <w:spacing w:before="0" w:beforeAutospacing="0" w:after="0" w:afterAutospacing="0"/>
        <w:textAlignment w:val="baseline"/>
        <w:rPr>
          <w:rFonts w:ascii="Times New Roman" w:hAnsi="Times New Roman"/>
          <w:color w:val="333333"/>
          <w:sz w:val="24"/>
          <w:szCs w:val="24"/>
        </w:rPr>
      </w:pPr>
    </w:p>
    <w:p w14:paraId="5AC9A3A1" w14:textId="77777777" w:rsidR="00C22B24" w:rsidRPr="00E3500C" w:rsidRDefault="00C22B24" w:rsidP="00322687">
      <w:pPr>
        <w:pStyle w:val="Heading3"/>
      </w:pPr>
      <w:bookmarkStart w:id="352" w:name="_Toc385930520"/>
      <w:bookmarkStart w:id="353" w:name="_Toc364636138"/>
      <w:bookmarkStart w:id="354" w:name="_Toc518323348"/>
      <w:r w:rsidRPr="00511C4B">
        <w:t>4. A Note on Settlement Mills</w:t>
      </w:r>
      <w:bookmarkEnd w:id="352"/>
      <w:bookmarkEnd w:id="353"/>
      <w:bookmarkEnd w:id="354"/>
    </w:p>
    <w:p w14:paraId="04972F58" w14:textId="77777777" w:rsidR="00C22B24" w:rsidRPr="00156BD9" w:rsidRDefault="00C22B24" w:rsidP="00C22B24">
      <w:pPr>
        <w:shd w:val="clear" w:color="auto" w:fill="FFFFFF"/>
        <w:textAlignment w:val="baseline"/>
        <w:rPr>
          <w:rFonts w:ascii="Times New Roman" w:eastAsiaTheme="minorHAnsi" w:hAnsi="Times New Roman" w:cs="Times New Roman"/>
        </w:rPr>
      </w:pPr>
    </w:p>
    <w:p w14:paraId="370008A7" w14:textId="63BC0158"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One of the most striking features of contemporary tort practice is the rise of whole areas of practice in which proof almost never happens.  These are the so-called </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settlement mills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 personal injury law firms that achieve speedy recoveries for their clients in the </w:t>
      </w:r>
      <w:r w:rsidRPr="00F94B7E">
        <w:rPr>
          <w:rFonts w:ascii="Times New Roman" w:eastAsia="Times New Roman,Cambria" w:hAnsi="Times New Roman" w:cs="Times New Roman"/>
          <w:i/>
          <w:iCs/>
        </w:rPr>
        <w:t>absence of proof</w:t>
      </w:r>
      <w:r w:rsidRPr="00F94B7E">
        <w:rPr>
          <w:rFonts w:ascii="Times New Roman" w:eastAsia="Times New Roman,Cambria" w:hAnsi="Times New Roman" w:cs="Times New Roman"/>
        </w:rPr>
        <w:t>, without ever going to trial.  According to Professor Nora Engstrom, some plaintiffs</w:t>
      </w:r>
      <w:r w:rsidR="00B05F31" w:rsidRPr="00F94B7E">
        <w:rPr>
          <w:rFonts w:ascii="Times New Roman" w:eastAsia="Times New Roman,Cambria" w:hAnsi="Times New Roman" w:cs="Times New Roman"/>
        </w:rPr>
        <w:t>’</w:t>
      </w:r>
      <w:r w:rsidRPr="00F94B7E">
        <w:rPr>
          <w:rFonts w:ascii="Times New Roman" w:eastAsia="Times New Roman,Cambria" w:hAnsi="Times New Roman" w:cs="Times New Roman"/>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156BD9" w:rsidRDefault="00C22B24" w:rsidP="00C22B24">
      <w:pPr>
        <w:shd w:val="clear" w:color="auto" w:fill="FFFFFF"/>
        <w:textAlignment w:val="baseline"/>
        <w:rPr>
          <w:rFonts w:ascii="Times New Roman" w:eastAsiaTheme="minorHAnsi" w:hAnsi="Times New Roman" w:cs="Times New Roman"/>
        </w:rPr>
      </w:pPr>
    </w:p>
    <w:p w14:paraId="43A3B9D0" w14:textId="77777777" w:rsidR="00C22B24" w:rsidRPr="00F94B7E" w:rsidRDefault="750671CE" w:rsidP="750671CE">
      <w:pPr>
        <w:shd w:val="clear" w:color="auto" w:fill="FFFFFF" w:themeFill="background1"/>
        <w:ind w:firstLine="720"/>
        <w:textAlignment w:val="baseline"/>
        <w:rPr>
          <w:rFonts w:ascii="Times New Roman" w:eastAsia="Times New Roman,Cambria" w:hAnsi="Times New Roman" w:cs="Times New Roman"/>
        </w:rPr>
      </w:pPr>
      <w:r w:rsidRPr="00F94B7E">
        <w:rPr>
          <w:rFonts w:ascii="Times New Roman" w:eastAsia="Times New Roman,Cambria" w:hAnsi="Times New Roman" w:cs="Times New Roman"/>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F94B7E">
        <w:rPr>
          <w:rFonts w:ascii="Times New Roman" w:eastAsia="Times New Roman,Cambria" w:hAnsi="Times New Roman" w:cs="Times New Roman"/>
          <w:i/>
          <w:iCs/>
        </w:rPr>
        <w:t>See generally</w:t>
      </w:r>
      <w:r w:rsidRPr="00F94B7E">
        <w:rPr>
          <w:rFonts w:ascii="Times New Roman" w:eastAsia="Times New Roman,Cambria" w:hAnsi="Times New Roman" w:cs="Times New Roman"/>
        </w:rPr>
        <w:t xml:space="preserve"> Nora Freeman Engstrom, </w:t>
      </w:r>
      <w:r w:rsidRPr="00F94B7E">
        <w:rPr>
          <w:rFonts w:ascii="Times New Roman" w:eastAsia="Times New Roman,Cambria" w:hAnsi="Times New Roman" w:cs="Times New Roman"/>
          <w:i/>
          <w:iCs/>
        </w:rPr>
        <w:t>Sunlight and Settlement Mills</w:t>
      </w:r>
      <w:r w:rsidRPr="00F94B7E">
        <w:rPr>
          <w:rFonts w:ascii="Times New Roman" w:eastAsia="Times New Roman,Cambria" w:hAnsi="Times New Roman" w:cs="Times New Roman"/>
        </w:rPr>
        <w:t xml:space="preserve">, 86 </w:t>
      </w:r>
      <w:r w:rsidRPr="00F94B7E">
        <w:rPr>
          <w:rFonts w:ascii="Times New Roman" w:eastAsia="Times New Roman,Cambria" w:hAnsi="Times New Roman" w:cs="Times New Roman"/>
          <w:smallCaps/>
        </w:rPr>
        <w:t>N.Y.U. L. Rev.</w:t>
      </w:r>
      <w:r w:rsidRPr="00F94B7E">
        <w:rPr>
          <w:rFonts w:ascii="Times New Roman" w:eastAsia="Times New Roman,Cambria" w:hAnsi="Times New Roman" w:cs="Times New Roman"/>
        </w:rPr>
        <w:t xml:space="preserve"> 805, 805 (2011).</w:t>
      </w:r>
    </w:p>
    <w:p w14:paraId="7B1C3D18"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p>
    <w:p w14:paraId="0560CE70" w14:textId="77777777" w:rsidR="00C22B24" w:rsidRPr="00920B12" w:rsidRDefault="00C22B24" w:rsidP="00C22B24">
      <w:pPr>
        <w:shd w:val="clear" w:color="auto" w:fill="FFFFFF"/>
        <w:textAlignment w:val="baseline"/>
        <w:rPr>
          <w:rFonts w:ascii="Times New Roman" w:eastAsiaTheme="minorHAnsi" w:hAnsi="Times New Roman" w:cs="Times New Roman"/>
          <w:b/>
          <w:u w:val="single"/>
        </w:rPr>
      </w:pPr>
      <w:r w:rsidRPr="00920B12">
        <w:rPr>
          <w:rFonts w:ascii="Times New Roman" w:eastAsiaTheme="minorHAnsi" w:hAnsi="Times New Roman" w:cs="Times New Roman"/>
          <w:b/>
          <w:u w:val="single"/>
        </w:rPr>
        <w:t xml:space="preserve"> </w:t>
      </w:r>
    </w:p>
    <w:p w14:paraId="6DDC56F5" w14:textId="77777777" w:rsidR="00C22B24" w:rsidRPr="00D545D7" w:rsidRDefault="00C22B24" w:rsidP="00322687">
      <w:pPr>
        <w:pStyle w:val="Heading3"/>
      </w:pPr>
      <w:bookmarkStart w:id="355" w:name="_Toc385930521"/>
      <w:bookmarkStart w:id="356" w:name="_Toc364636139"/>
      <w:bookmarkStart w:id="357" w:name="_Toc518323349"/>
      <w:r w:rsidRPr="00D545D7">
        <w:t>5. Aggregation and Sampling by Bellwether Trials</w:t>
      </w:r>
      <w:bookmarkEnd w:id="355"/>
      <w:bookmarkEnd w:id="356"/>
      <w:bookmarkEnd w:id="357"/>
    </w:p>
    <w:p w14:paraId="716A8B00" w14:textId="77777777" w:rsidR="00C22B24" w:rsidRPr="00920B12" w:rsidRDefault="00C22B24" w:rsidP="00C22B24">
      <w:pPr>
        <w:rPr>
          <w:rFonts w:ascii="Times New Roman" w:hAnsi="Times New Roman" w:cs="Times New Roman"/>
        </w:rPr>
      </w:pPr>
    </w:p>
    <w:p w14:paraId="1F637324" w14:textId="22F27B6A" w:rsidR="00C22B24" w:rsidRPr="00E72385" w:rsidRDefault="00C22B24" w:rsidP="750671CE">
      <w:pPr>
        <w:rPr>
          <w:rFonts w:ascii="Times New Roman" w:eastAsia="Times New Roman" w:hAnsi="Times New Roman" w:cs="Times New Roman"/>
        </w:rPr>
      </w:pPr>
      <w:bookmarkStart w:id="358" w:name="_Toc518323350"/>
      <w:bookmarkStart w:id="359" w:name="_Toc385930522"/>
      <w:r w:rsidRPr="001B3720">
        <w:rPr>
          <w:rStyle w:val="Heading4Char"/>
          <w:i w:val="0"/>
        </w:rPr>
        <w:t>Samuel Issacharoff, Commentary,</w:t>
      </w:r>
      <w:r w:rsidRPr="00E72385">
        <w:rPr>
          <w:rStyle w:val="Heading4Char"/>
        </w:rPr>
        <w:t xml:space="preserve"> </w:t>
      </w:r>
      <w:r w:rsidR="00B05F31">
        <w:rPr>
          <w:rStyle w:val="Heading4Char"/>
        </w:rPr>
        <w:t>“</w:t>
      </w:r>
      <w:r w:rsidRPr="00E72385">
        <w:rPr>
          <w:rStyle w:val="Heading4Char"/>
        </w:rPr>
        <w:t>Shocked</w:t>
      </w:r>
      <w:r w:rsidR="00B05F31">
        <w:rPr>
          <w:rStyle w:val="Heading4Char"/>
        </w:rPr>
        <w:t>”</w:t>
      </w:r>
      <w:r w:rsidRPr="00E72385">
        <w:rPr>
          <w:rStyle w:val="Heading4Char"/>
        </w:rPr>
        <w:t>:</w:t>
      </w:r>
      <w:bookmarkEnd w:id="358"/>
      <w:r w:rsidRPr="00F94B7E">
        <w:rPr>
          <w:rFonts w:ascii="Times New Roman" w:eastAsia="Times New Roman" w:hAnsi="Times New Roman" w:cs="Times New Roman"/>
          <w:i/>
        </w:rPr>
        <w:t xml:space="preserve"> </w:t>
      </w:r>
      <w:r w:rsidRPr="00F94B7E">
        <w:rPr>
          <w:rFonts w:ascii="Times New Roman" w:eastAsia="Times New Roman" w:hAnsi="Times New Roman" w:cs="Times New Roman"/>
          <w:b/>
          <w:bCs/>
          <w:i/>
        </w:rPr>
        <w:t xml:space="preserve">Mass Torts and Aggregate Asbestos Litigation after </w:t>
      </w:r>
      <w:r w:rsidRPr="001B3720">
        <w:rPr>
          <w:rFonts w:ascii="Times New Roman" w:eastAsia="Times New Roman" w:hAnsi="Times New Roman" w:cs="Times New Roman"/>
          <w:b/>
          <w:bCs/>
        </w:rPr>
        <w:t>Amchem</w:t>
      </w:r>
      <w:r w:rsidRPr="00F94B7E">
        <w:rPr>
          <w:rFonts w:ascii="Times New Roman" w:eastAsia="Times New Roman" w:hAnsi="Times New Roman" w:cs="Times New Roman"/>
          <w:b/>
          <w:bCs/>
          <w:i/>
        </w:rPr>
        <w:t xml:space="preserve"> and </w:t>
      </w:r>
      <w:r w:rsidRPr="750671CE">
        <w:rPr>
          <w:rFonts w:ascii="Times New Roman" w:eastAsia="Times New Roman" w:hAnsi="Times New Roman" w:cs="Times New Roman"/>
          <w:b/>
          <w:bCs/>
        </w:rPr>
        <w:t xml:space="preserve">Ortiz, 80 </w:t>
      </w:r>
      <w:r w:rsidRPr="750671CE">
        <w:rPr>
          <w:rFonts w:ascii="Times New Roman" w:eastAsia="Times New Roman" w:hAnsi="Times New Roman" w:cs="Times New Roman"/>
          <w:b/>
          <w:bCs/>
          <w:smallCaps/>
        </w:rPr>
        <w:t>Tex. L. Rev.</w:t>
      </w:r>
      <w:r w:rsidRPr="750671CE">
        <w:rPr>
          <w:rFonts w:ascii="Times New Roman" w:eastAsia="Times New Roman" w:hAnsi="Times New Roman" w:cs="Times New Roman"/>
          <w:b/>
          <w:bCs/>
        </w:rPr>
        <w:t xml:space="preserve"> 1925, 1927-29, 1935-36 (2001)</w:t>
      </w:r>
      <w:bookmarkEnd w:id="359"/>
    </w:p>
    <w:p w14:paraId="4544F489" w14:textId="77777777" w:rsidR="00C22B24" w:rsidRPr="00920B12" w:rsidRDefault="00C22B24" w:rsidP="00C22B24">
      <w:pPr>
        <w:widowControl w:val="0"/>
        <w:overflowPunct w:val="0"/>
        <w:autoSpaceDE w:val="0"/>
        <w:autoSpaceDN w:val="0"/>
        <w:adjustRightInd w:val="0"/>
        <w:rPr>
          <w:rFonts w:ascii="Times New Roman" w:hAnsi="Times New Roman" w:cs="Times New Roman"/>
        </w:rPr>
      </w:pPr>
    </w:p>
    <w:p w14:paraId="0165F80D" w14:textId="570F5E45"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rPr>
          <w:rFonts w:ascii="Times New Roman" w:eastAsia="Times New Roman" w:hAnsi="Times New Roman" w:cs="Times New Roman"/>
        </w:rPr>
        <w:t>“</w:t>
      </w:r>
      <w:r w:rsidRPr="750671CE">
        <w:rPr>
          <w:rFonts w:ascii="Times New Roman" w:eastAsia="Times New Roman" w:hAnsi="Times New Roman" w:cs="Times New Roman"/>
        </w:rPr>
        <w:t>[I]ndividual treatment of asbestos cases—with individual plaintiffs controlling the course of their litigation and the decision to settle—was largely a myth.</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04AE4227" w14:textId="77777777"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44602D7B" w14:textId="7C07ED6E"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6054678B" w14:textId="77777777"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469B6ED0" w14:textId="77777777"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920B12" w:rsidRDefault="00C22B24" w:rsidP="00C22B24">
      <w:pPr>
        <w:widowControl w:val="0"/>
        <w:overflowPunct w:val="0"/>
        <w:autoSpaceDE w:val="0"/>
        <w:autoSpaceDN w:val="0"/>
        <w:adjustRightInd w:val="0"/>
        <w:ind w:firstLine="440"/>
        <w:rPr>
          <w:rFonts w:ascii="Times New Roman" w:hAnsi="Times New Roman" w:cs="Times New Roman"/>
        </w:rPr>
      </w:pPr>
    </w:p>
    <w:p w14:paraId="447F16F2" w14:textId="61F09A32"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rPr>
        <w:t xml:space="preserve">The starting point for the formal aggregate treatment of asbestos cases in litigation is </w:t>
      </w:r>
      <w:r w:rsidRPr="750671CE">
        <w:rPr>
          <w:rFonts w:ascii="Times New Roman" w:eastAsia="Times New Roman" w:hAnsi="Times New Roman" w:cs="Times New Roman"/>
          <w:i/>
          <w:iCs/>
        </w:rPr>
        <w:t>Cimino v. Raymark Industries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Cimino</w:t>
      </w:r>
      <w:r w:rsidRPr="750671CE">
        <w:rPr>
          <w:rFonts w:ascii="Times New Roman" w:eastAsia="Times New Roman" w:hAnsi="Times New Roman" w:cs="Times New Roman"/>
        </w:rPr>
        <w:t xml:space="preserve"> formalized the </w:t>
      </w:r>
      <w:r w:rsidR="00510227" w:rsidRPr="00510227">
        <w:rPr>
          <w:rFonts w:ascii="Times New Roman" w:eastAsia="Times New Roman" w:hAnsi="Times New Roman" w:cs="Times New Roman"/>
        </w:rPr>
        <w:t>intuition</w:t>
      </w:r>
      <w:r w:rsidR="00510227"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750671CE">
        <w:rPr>
          <w:rFonts w:ascii="Times New Roman" w:eastAsia="Times New Roman" w:hAnsi="Times New Roman" w:cs="Times New Roman"/>
          <w:i/>
          <w:iCs/>
        </w:rPr>
        <w:t>Cimino</w:t>
      </w:r>
      <w:r w:rsidRPr="750671CE">
        <w:rPr>
          <w:rFonts w:ascii="Times New Roman" w:eastAsia="Times New Roman" w:hAnsi="Times New Roman" w:cs="Times New Roman"/>
        </w:rPr>
        <w:t xml:space="preserve"> attempted to create a trial mechanism to replicate the settlement grids that had emerged with the concentration of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750671CE">
        <w:rPr>
          <w:rFonts w:ascii="Times New Roman" w:eastAsia="Times New Roman" w:hAnsi="Times New Roman" w:cs="Times New Roman"/>
          <w:i/>
          <w:iCs/>
        </w:rPr>
        <w:t xml:space="preserve">Cimino </w:t>
      </w:r>
      <w:r w:rsidRPr="750671CE">
        <w:rPr>
          <w:rFonts w:ascii="Times New Roman" w:eastAsia="Times New Roman" w:hAnsi="Times New Roman" w:cs="Times New Roman"/>
        </w:rPr>
        <w:t xml:space="preserve">grids were soon to be integrated into every subsequent aggregate settlement approach. . . </w:t>
      </w:r>
      <w:r w:rsidR="00101376">
        <w:rPr>
          <w:rFonts w:ascii="Times New Roman" w:eastAsia="Times New Roman" w:hAnsi="Times New Roman" w:cs="Times New Roman"/>
        </w:rPr>
        <w:t>.</w:t>
      </w:r>
    </w:p>
    <w:p w14:paraId="5AA00F8A" w14:textId="77777777" w:rsidR="00C22B24" w:rsidRPr="00920B12" w:rsidRDefault="00C22B24" w:rsidP="00C22B24">
      <w:pPr>
        <w:rPr>
          <w:rFonts w:ascii="Times New Roman" w:hAnsi="Times New Roman" w:cs="Times New Roman"/>
        </w:rPr>
      </w:pPr>
    </w:p>
    <w:p w14:paraId="498101DD" w14:textId="77777777" w:rsidR="00C22B24" w:rsidRPr="00101376" w:rsidRDefault="00C22B24" w:rsidP="00C22B24">
      <w:pPr>
        <w:rPr>
          <w:rFonts w:ascii="Times New Roman" w:hAnsi="Times New Roman" w:cs="Times New Roman"/>
        </w:rPr>
      </w:pPr>
    </w:p>
    <w:p w14:paraId="7531683A" w14:textId="6658608E" w:rsidR="00C22B24" w:rsidRPr="00E72385" w:rsidRDefault="00C22B24" w:rsidP="750671CE">
      <w:pPr>
        <w:rPr>
          <w:rFonts w:ascii="Times New Roman" w:eastAsia="Times New Roman" w:hAnsi="Times New Roman" w:cs="Times New Roman"/>
          <w:b/>
          <w:bCs/>
        </w:rPr>
      </w:pPr>
      <w:bookmarkStart w:id="360" w:name="_Toc518323351"/>
      <w:bookmarkStart w:id="361" w:name="_Toc385930523"/>
      <w:r w:rsidRPr="00101376">
        <w:rPr>
          <w:rStyle w:val="Heading4Char"/>
          <w:i w:val="0"/>
        </w:rPr>
        <w:t>Alexandra D. Lahav,</w:t>
      </w:r>
      <w:r w:rsidRPr="00E72385">
        <w:rPr>
          <w:rStyle w:val="Heading4Char"/>
        </w:rPr>
        <w:t xml:space="preserve"> Bellwether Trials</w:t>
      </w:r>
      <w:bookmarkEnd w:id="360"/>
      <w:r w:rsidRPr="750671CE">
        <w:rPr>
          <w:rFonts w:ascii="Times New Roman" w:eastAsia="Times New Roman" w:hAnsi="Times New Roman" w:cs="Times New Roman"/>
          <w:b/>
          <w:bCs/>
        </w:rPr>
        <w:t xml:space="preserve">, 76 </w:t>
      </w:r>
      <w:r w:rsidRPr="750671CE">
        <w:rPr>
          <w:rFonts w:ascii="Times New Roman" w:eastAsia="Times New Roman" w:hAnsi="Times New Roman" w:cs="Times New Roman"/>
          <w:b/>
          <w:bCs/>
          <w:smallCaps/>
        </w:rPr>
        <w:t>Geo. Wash. L. Rev</w:t>
      </w:r>
      <w:r w:rsidRPr="750671CE">
        <w:rPr>
          <w:rFonts w:ascii="Times New Roman" w:eastAsia="Times New Roman" w:hAnsi="Times New Roman" w:cs="Times New Roman"/>
          <w:b/>
          <w:bCs/>
        </w:rPr>
        <w:t>. 576, 580-89 (2008)</w:t>
      </w:r>
      <w:bookmarkEnd w:id="361"/>
    </w:p>
    <w:p w14:paraId="03787D53" w14:textId="77777777" w:rsidR="00C22B24" w:rsidRPr="00920B12" w:rsidRDefault="00C22B24" w:rsidP="00C22B24">
      <w:pPr>
        <w:widowControl w:val="0"/>
        <w:autoSpaceDE w:val="0"/>
        <w:autoSpaceDN w:val="0"/>
        <w:adjustRightInd w:val="0"/>
        <w:rPr>
          <w:rFonts w:ascii="Times New Roman" w:hAnsi="Times New Roman" w:cs="Times New Roman"/>
        </w:rPr>
      </w:pPr>
    </w:p>
    <w:p w14:paraId="406C7D31" w14:textId="77777777"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920B12" w:rsidRDefault="00C22B24" w:rsidP="00C22B24">
      <w:pPr>
        <w:rPr>
          <w:rFonts w:ascii="Times New Roman" w:hAnsi="Times New Roman" w:cs="Times New Roman"/>
        </w:rPr>
      </w:pPr>
    </w:p>
    <w:p w14:paraId="63579ECE" w14:textId="77777777"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920B12" w:rsidRDefault="00C22B24" w:rsidP="00C22B24">
      <w:pPr>
        <w:widowControl w:val="0"/>
        <w:autoSpaceDE w:val="0"/>
        <w:autoSpaceDN w:val="0"/>
        <w:adjustRightInd w:val="0"/>
        <w:rPr>
          <w:rFonts w:ascii="Times New Roman" w:hAnsi="Times New Roman" w:cs="Times New Roman"/>
        </w:rPr>
      </w:pPr>
    </w:p>
    <w:p w14:paraId="0CBA9721" w14:textId="6E22025E"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color w:val="000000" w:themeColor="text1"/>
        </w:rPr>
        <w:t xml:space="preserve">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If all that is accomplished by this is the closing of 169 cases then it was not worth the effort and will not be repeated.</w:t>
      </w:r>
      <w:r w:rsidR="00B05F31">
        <w:rPr>
          <w:rFonts w:ascii="Times New Roman" w:eastAsia="Times New Roman" w:hAnsi="Times New Roman" w:cs="Times New Roman"/>
          <w:color w:val="000000" w:themeColor="text1"/>
        </w:rPr>
        <w:t>”</w:t>
      </w:r>
    </w:p>
    <w:p w14:paraId="6D448B54" w14:textId="77777777" w:rsidR="00C22B24" w:rsidRPr="00920B12" w:rsidRDefault="00C22B24" w:rsidP="00C22B24">
      <w:pPr>
        <w:rPr>
          <w:rFonts w:ascii="Times New Roman" w:hAnsi="Times New Roman" w:cs="Times New Roman"/>
        </w:rPr>
      </w:pPr>
    </w:p>
    <w:p w14:paraId="79A1F426" w14:textId="303AC332"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750671CE">
        <w:rPr>
          <w:rFonts w:ascii="Times New Roman,Cambria" w:eastAsia="Times New Roman,Cambria" w:hAnsi="Times New Roman,Cambria" w:cs="Times New Roman,Cambria"/>
        </w:rPr>
        <w:t xml:space="preserve"> </w:t>
      </w:r>
      <w:r w:rsidRPr="750671CE">
        <w:rPr>
          <w:rFonts w:ascii="Times New Roman" w:eastAsia="Times New Roman" w:hAnsi="Times New Roman" w:cs="Times New Roman"/>
          <w:color w:val="000000" w:themeColor="text1"/>
        </w:rPr>
        <w:t xml:space="preserve">Of the 160 bellwether verdicts, the court remitted 35 and 12 were awarded no damages. The court allocated the cases into five disease categories and averaged the awards, including the zero awards, within those categories. The average verdict in each disease category was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mesothelioma, $1,224,333; lung cancer, $545,200; other cancer, $917,785; asbestosis, $543,783; pleural disease, $558,900.</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920B12" w:rsidRDefault="00C22B24" w:rsidP="00C22B24">
      <w:pPr>
        <w:widowControl w:val="0"/>
        <w:autoSpaceDE w:val="0"/>
        <w:autoSpaceDN w:val="0"/>
        <w:adjustRightInd w:val="0"/>
        <w:rPr>
          <w:rFonts w:ascii="Times New Roman" w:hAnsi="Times New Roman" w:cs="Times New Roman"/>
        </w:rPr>
      </w:pPr>
    </w:p>
    <w:p w14:paraId="51320345" w14:textId="2DCC6476" w:rsidR="00C22B24" w:rsidRPr="00920B12" w:rsidRDefault="750671CE" w:rsidP="750671CE">
      <w:pPr>
        <w:widowControl w:val="0"/>
        <w:overflowPunct w:val="0"/>
        <w:autoSpaceDE w:val="0"/>
        <w:autoSpaceDN w:val="0"/>
        <w:adjustRightInd w:val="0"/>
        <w:ind w:firstLine="440"/>
        <w:rPr>
          <w:rFonts w:ascii="Times New Roman" w:eastAsia="Times New Roman" w:hAnsi="Times New Roman" w:cs="Times New Roman"/>
        </w:rPr>
      </w:pPr>
      <w:r w:rsidRPr="750671CE">
        <w:rPr>
          <w:rFonts w:ascii="Times New Roman" w:eastAsia="Times New Roman" w:hAnsi="Times New Roman" w:cs="Times New Roman"/>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Default="00C22B24" w:rsidP="000F0DBE">
      <w:pPr>
        <w:rPr>
          <w:rFonts w:ascii="Times New Roman" w:hAnsi="Times New Roman" w:cs="Times New Roman"/>
        </w:rPr>
      </w:pPr>
    </w:p>
    <w:p w14:paraId="443B106E" w14:textId="77777777" w:rsidR="000F0DBE" w:rsidRPr="00920B12" w:rsidRDefault="000F0DBE" w:rsidP="000F0DBE">
      <w:pPr>
        <w:rPr>
          <w:rFonts w:ascii="Times New Roman" w:hAnsi="Times New Roman" w:cs="Times New Roman"/>
        </w:rPr>
      </w:pPr>
    </w:p>
    <w:p w14:paraId="4F7EE6B3" w14:textId="77777777" w:rsidR="00C22B24" w:rsidRPr="00D545D7" w:rsidRDefault="00C22B24" w:rsidP="002502CC">
      <w:pPr>
        <w:pStyle w:val="Heading4"/>
      </w:pPr>
      <w:bookmarkStart w:id="362" w:name="_Toc385930524"/>
      <w:bookmarkStart w:id="363" w:name="_Toc364636140"/>
      <w:bookmarkStart w:id="364" w:name="_Toc518323352"/>
      <w:r w:rsidRPr="00D545D7">
        <w:t>Notes</w:t>
      </w:r>
      <w:bookmarkEnd w:id="362"/>
      <w:bookmarkEnd w:id="363"/>
      <w:bookmarkEnd w:id="364"/>
    </w:p>
    <w:p w14:paraId="526541D5" w14:textId="77777777" w:rsidR="00C22B24" w:rsidRDefault="00C22B24" w:rsidP="000F0DBE">
      <w:pPr>
        <w:widowControl w:val="0"/>
        <w:overflowPunct w:val="0"/>
        <w:autoSpaceDE w:val="0"/>
        <w:autoSpaceDN w:val="0"/>
        <w:adjustRightInd w:val="0"/>
        <w:ind w:firstLine="440"/>
        <w:jc w:val="both"/>
        <w:rPr>
          <w:rFonts w:ascii="Times New Roman" w:hAnsi="Times New Roman" w:cs="Times New Roman"/>
        </w:rPr>
      </w:pPr>
    </w:p>
    <w:p w14:paraId="28F2305E" w14:textId="77777777" w:rsidR="000F0DBE" w:rsidRPr="00920B12" w:rsidRDefault="000F0DBE" w:rsidP="000F0DBE">
      <w:pPr>
        <w:widowControl w:val="0"/>
        <w:overflowPunct w:val="0"/>
        <w:autoSpaceDE w:val="0"/>
        <w:autoSpaceDN w:val="0"/>
        <w:adjustRightInd w:val="0"/>
        <w:ind w:firstLine="440"/>
        <w:jc w:val="both"/>
        <w:rPr>
          <w:rFonts w:ascii="Times New Roman" w:hAnsi="Times New Roman" w:cs="Times New Roman"/>
        </w:rPr>
      </w:pPr>
    </w:p>
    <w:p w14:paraId="119B7C4C" w14:textId="1C7089E7" w:rsidR="00C22B24" w:rsidRPr="00F94B7E" w:rsidRDefault="750671CE" w:rsidP="00F94B7E">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color w:val="000000" w:themeColor="text1"/>
        </w:rPr>
        <w:t>The persistence of bellwether trials</w:t>
      </w:r>
      <w:r w:rsidRPr="00F94B7E">
        <w:rPr>
          <w:rFonts w:ascii="Times New Roman" w:eastAsia="Times New Roman" w:hAnsi="Times New Roman" w:cs="Times New Roman"/>
          <w:color w:val="000000" w:themeColor="text1"/>
        </w:rPr>
        <w:t xml:space="preserve">.  Although the Fifth Circuit rejected bellwether trials in </w:t>
      </w:r>
      <w:r w:rsidRPr="00F94B7E">
        <w:rPr>
          <w:rFonts w:ascii="Times New Roman" w:eastAsia="Times New Roman" w:hAnsi="Times New Roman" w:cs="Times New Roman"/>
          <w:i/>
          <w:iCs/>
          <w:color w:val="000000" w:themeColor="text1"/>
        </w:rPr>
        <w:t>Cimino</w:t>
      </w:r>
      <w:r w:rsidRPr="00F94B7E">
        <w:rPr>
          <w:rFonts w:ascii="Times New Roman" w:eastAsia="Times New Roman" w:hAnsi="Times New Roman" w:cs="Times New Roman"/>
          <w:color w:val="000000" w:themeColor="text1"/>
        </w:rPr>
        <w:t xml:space="preserve">, courts in other jurisdictions continue to hold such trials in recent mass tort cases:  </w:t>
      </w:r>
    </w:p>
    <w:p w14:paraId="14FC2303"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p>
    <w:p w14:paraId="27D7F4CC" w14:textId="77777777" w:rsidR="00C22B24" w:rsidRPr="00920B12" w:rsidRDefault="750671CE" w:rsidP="00F94B7E">
      <w:pPr>
        <w:pStyle w:val="blockquote"/>
      </w:pPr>
      <w:r w:rsidRPr="750671CE">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920B12" w:rsidRDefault="00C22B24" w:rsidP="00F94B7E">
      <w:pPr>
        <w:pStyle w:val="blockquote"/>
      </w:pPr>
    </w:p>
    <w:p w14:paraId="2A58CAD4" w14:textId="77777777" w:rsidR="00C22B24" w:rsidRPr="00920B12" w:rsidRDefault="750671CE" w:rsidP="00F94B7E">
      <w:pPr>
        <w:pStyle w:val="blockquote"/>
        <w:rPr>
          <w:vertAlign w:val="superscript"/>
        </w:rPr>
      </w:pPr>
      <w:r w:rsidRPr="750671CE">
        <w:t>Six years after the attacks, these lawsuits were still pending. As Judge Hellerstein observed, the slow pace of the litigation frustrated the plaintiffs. 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920B12" w:rsidRDefault="00C22B24" w:rsidP="00F94B7E">
      <w:pPr>
        <w:pStyle w:val="blockquote"/>
      </w:pPr>
    </w:p>
    <w:p w14:paraId="1B1A5578" w14:textId="77777777" w:rsidR="00C22B24" w:rsidRPr="00920B12" w:rsidRDefault="750671CE" w:rsidP="00F94B7E">
      <w:pPr>
        <w:pStyle w:val="blockquote"/>
        <w:rPr>
          <w:vertAlign w:val="superscript"/>
        </w:rPr>
      </w:pPr>
      <w:r w:rsidRPr="750671CE">
        <w:t>This is how the bellwether trial is used today. Cases are chosen, not quite randomly, for trial on a particular issue. The results of the trials are not binding on the other litigants in the group.</w:t>
      </w:r>
      <w:r w:rsidRPr="750671CE">
        <w:rPr>
          <w:vertAlign w:val="superscript"/>
        </w:rPr>
        <w:t xml:space="preserve"> </w:t>
      </w:r>
      <w:r w:rsidRPr="750671CE">
        <w:t xml:space="preserve">The outcomes can be used by the parties to assist in settlement, but the parties can also ignore these results and insist on an individual trial. . . . </w:t>
      </w:r>
    </w:p>
    <w:p w14:paraId="5C4D953D" w14:textId="77777777" w:rsidR="00C22B24" w:rsidRPr="00920B12" w:rsidRDefault="00C22B24" w:rsidP="00C22B24">
      <w:pPr>
        <w:widowControl w:val="0"/>
        <w:autoSpaceDE w:val="0"/>
        <w:autoSpaceDN w:val="0"/>
        <w:adjustRightInd w:val="0"/>
        <w:rPr>
          <w:rFonts w:ascii="Times New Roman" w:hAnsi="Times New Roman" w:cs="Times New Roman"/>
        </w:rPr>
      </w:pPr>
    </w:p>
    <w:p w14:paraId="27632B4A" w14:textId="24671EB6"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Alexandra D. Lahav, </w:t>
      </w:r>
      <w:r w:rsidRPr="750671CE">
        <w:rPr>
          <w:rFonts w:ascii="Times New Roman" w:eastAsia="Times New Roman" w:hAnsi="Times New Roman" w:cs="Times New Roman"/>
          <w:i/>
          <w:iCs/>
        </w:rPr>
        <w:t>Bellwether Trials</w:t>
      </w:r>
      <w:r w:rsidRPr="750671CE">
        <w:rPr>
          <w:rFonts w:ascii="Times New Roman" w:eastAsia="Times New Roman" w:hAnsi="Times New Roman" w:cs="Times New Roman"/>
        </w:rPr>
        <w:t xml:space="preserve">, 76 </w:t>
      </w:r>
      <w:r w:rsidRPr="750671CE">
        <w:rPr>
          <w:rFonts w:ascii="Times New Roman" w:eastAsia="Times New Roman" w:hAnsi="Times New Roman" w:cs="Times New Roman"/>
          <w:smallCaps/>
        </w:rPr>
        <w:t>Geo. Wash. L. Rev</w:t>
      </w:r>
      <w:r w:rsidRPr="750671CE">
        <w:rPr>
          <w:rFonts w:ascii="Times New Roman" w:eastAsia="Times New Roman" w:hAnsi="Times New Roman" w:cs="Times New Roman"/>
        </w:rPr>
        <w:t>. 576, 580-89 (2008)</w:t>
      </w:r>
    </w:p>
    <w:p w14:paraId="22807F77" w14:textId="77777777" w:rsidR="00C22B24" w:rsidRDefault="00C22B24" w:rsidP="00C22B24">
      <w:pPr>
        <w:rPr>
          <w:rFonts w:ascii="Times New Roman" w:hAnsi="Times New Roman" w:cs="Times New Roman"/>
        </w:rPr>
      </w:pPr>
    </w:p>
    <w:p w14:paraId="36A6B9F2" w14:textId="77777777" w:rsidR="00C22B24" w:rsidRPr="00920B12" w:rsidRDefault="00C22B24" w:rsidP="00C22B24">
      <w:pPr>
        <w:rPr>
          <w:rFonts w:ascii="Times New Roman" w:hAnsi="Times New Roman" w:cs="Times New Roman"/>
        </w:rPr>
      </w:pPr>
    </w:p>
    <w:p w14:paraId="353837DB" w14:textId="05309D0B" w:rsidR="00C22B24" w:rsidRPr="00F94B7E" w:rsidRDefault="750671CE" w:rsidP="00F94B7E">
      <w:pPr>
        <w:pStyle w:val="ListParagraph"/>
        <w:widowControl w:val="0"/>
        <w:numPr>
          <w:ilvl w:val="0"/>
          <w:numId w:val="9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Binding bellwethers?</w:t>
      </w:r>
      <w:r w:rsidRPr="00F94B7E">
        <w:rPr>
          <w:rFonts w:ascii="Times New Roman" w:eastAsia="Times New Roman" w:hAnsi="Times New Roman" w:cs="Times New Roman"/>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920B12" w:rsidRDefault="00C22B24" w:rsidP="00C22B24">
      <w:pPr>
        <w:widowControl w:val="0"/>
        <w:overflowPunct w:val="0"/>
        <w:autoSpaceDE w:val="0"/>
        <w:autoSpaceDN w:val="0"/>
        <w:adjustRightInd w:val="0"/>
        <w:rPr>
          <w:rFonts w:ascii="Times New Roman" w:hAnsi="Times New Roman" w:cs="Times New Roman"/>
        </w:rPr>
      </w:pPr>
    </w:p>
    <w:p w14:paraId="126684AA" w14:textId="77777777" w:rsidR="00C22B24" w:rsidRPr="00920B12" w:rsidRDefault="750671CE" w:rsidP="00F94B7E">
      <w:pPr>
        <w:pStyle w:val="blockquote"/>
      </w:pPr>
      <w:r w:rsidRPr="750671CE">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750671CE">
        <w:rPr>
          <w:i/>
          <w:iCs/>
        </w:rPr>
        <w:t>typical</w:t>
      </w:r>
      <w:r w:rsidRPr="750671CE">
        <w:t xml:space="preserve"> of the rest of the plaintiff group such that the results of the bellwether trials represent the </w:t>
      </w:r>
      <w:r w:rsidRPr="750671CE">
        <w:rPr>
          <w:i/>
          <w:iCs/>
        </w:rPr>
        <w:t>likely outcome</w:t>
      </w:r>
      <w:r w:rsidRPr="750671CE">
        <w:t xml:space="preserve"> of their cases as well. What these extrapolation plaintiffs get in a bellwether trial procedure is not individuated justice but rather group typical justice.</w:t>
      </w:r>
    </w:p>
    <w:p w14:paraId="01FC2895" w14:textId="77777777" w:rsidR="00C22B24" w:rsidRPr="00920B12" w:rsidRDefault="00C22B24" w:rsidP="00F94B7E">
      <w:pPr>
        <w:pStyle w:val="blockquote"/>
      </w:pPr>
    </w:p>
    <w:p w14:paraId="41AD7FCC" w14:textId="77777777" w:rsidR="00C22B24" w:rsidRPr="00920B12" w:rsidRDefault="750671CE" w:rsidP="00F94B7E">
      <w:pPr>
        <w:pStyle w:val="blockquote"/>
      </w:pPr>
      <w:r w:rsidRPr="750671CE">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920B12" w:rsidRDefault="00C22B24" w:rsidP="00C22B24">
      <w:pPr>
        <w:widowControl w:val="0"/>
        <w:overflowPunct w:val="0"/>
        <w:autoSpaceDE w:val="0"/>
        <w:autoSpaceDN w:val="0"/>
        <w:adjustRightInd w:val="0"/>
        <w:rPr>
          <w:rFonts w:ascii="Times New Roman" w:hAnsi="Times New Roman" w:cs="Times New Roman"/>
          <w:color w:val="000000"/>
        </w:rPr>
      </w:pPr>
    </w:p>
    <w:p w14:paraId="51BB8CA5" w14:textId="35055A15" w:rsidR="00C22B24" w:rsidRPr="00920B12" w:rsidRDefault="750671CE" w:rsidP="750671CE">
      <w:pPr>
        <w:widowControl w:val="0"/>
        <w:overflowPunct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rPr>
        <w:t xml:space="preserve">Alexandra D. Lahav, </w:t>
      </w:r>
      <w:r w:rsidRPr="750671CE">
        <w:rPr>
          <w:rFonts w:ascii="Times New Roman" w:eastAsia="Times New Roman" w:hAnsi="Times New Roman" w:cs="Times New Roman"/>
          <w:i/>
          <w:iCs/>
        </w:rPr>
        <w:t>Bellwether Trials</w:t>
      </w:r>
      <w:r w:rsidRPr="750671CE">
        <w:rPr>
          <w:rFonts w:ascii="Times New Roman" w:eastAsia="Times New Roman" w:hAnsi="Times New Roman" w:cs="Times New Roman"/>
        </w:rPr>
        <w:t xml:space="preserve">, 76 </w:t>
      </w:r>
      <w:r w:rsidRPr="750671CE">
        <w:rPr>
          <w:rFonts w:ascii="Times New Roman" w:eastAsia="Times New Roman" w:hAnsi="Times New Roman" w:cs="Times New Roman"/>
          <w:smallCaps/>
        </w:rPr>
        <w:t>Geo. Wash. L. Rev</w:t>
      </w:r>
      <w:r w:rsidRPr="750671CE">
        <w:rPr>
          <w:rFonts w:ascii="Times New Roman" w:eastAsia="Times New Roman" w:hAnsi="Times New Roman" w:cs="Times New Roman"/>
        </w:rPr>
        <w:t>. 576, 580-89 (2008)</w:t>
      </w:r>
    </w:p>
    <w:p w14:paraId="230F7F25" w14:textId="77777777" w:rsidR="00C22B24" w:rsidRDefault="00C22B24" w:rsidP="00C22B24">
      <w:pPr>
        <w:rPr>
          <w:rFonts w:ascii="Times New Roman" w:hAnsi="Times New Roman" w:cs="Times New Roman"/>
        </w:rPr>
      </w:pPr>
    </w:p>
    <w:p w14:paraId="248D62D1" w14:textId="77777777" w:rsidR="00C22B24" w:rsidRPr="00920B12" w:rsidRDefault="00C22B24" w:rsidP="00C22B24">
      <w:pPr>
        <w:rPr>
          <w:rFonts w:ascii="Times New Roman" w:hAnsi="Times New Roman" w:cs="Times New Roman"/>
        </w:rPr>
      </w:pPr>
    </w:p>
    <w:p w14:paraId="5F14C47D" w14:textId="295D9C1D" w:rsidR="00C22B24" w:rsidRPr="00F94B7E" w:rsidRDefault="750671CE" w:rsidP="00F94B7E">
      <w:pPr>
        <w:pStyle w:val="ListParagraph"/>
        <w:numPr>
          <w:ilvl w:val="0"/>
          <w:numId w:val="9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Mass torts?</w:t>
      </w:r>
      <w:r w:rsidRPr="00F94B7E">
        <w:rPr>
          <w:rFonts w:ascii="Times New Roman" w:eastAsia="Times New Roman" w:hAnsi="Times New Roman" w:cs="Times New Roman"/>
        </w:rPr>
        <w:t xml:space="preserve">  If the bellwether strategy violates the parties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due process rights, what is to be done in mass torts cases?  As U.S. District Judge Jack Weinstein observed in </w:t>
      </w:r>
      <w:r w:rsidRPr="00F94B7E">
        <w:rPr>
          <w:rFonts w:ascii="Times New Roman" w:eastAsia="Times New Roman" w:hAnsi="Times New Roman" w:cs="Times New Roman"/>
          <w:i/>
          <w:iCs/>
        </w:rPr>
        <w:t>Schwab v. Philip Morris U.S.A., Inc.</w:t>
      </w:r>
      <w:r w:rsidRPr="00F94B7E">
        <w:rPr>
          <w:rFonts w:ascii="Times New Roman" w:eastAsia="Times New Roman" w:hAnsi="Times New Roman" w:cs="Times New Roman"/>
        </w:rPr>
        <w:t>, 449 F. Supp. 2d 992 (E.D.N.Y. 2006):</w:t>
      </w:r>
    </w:p>
    <w:p w14:paraId="3AC2E413" w14:textId="77777777" w:rsidR="00C22B24" w:rsidRPr="00920B12" w:rsidRDefault="00C22B24" w:rsidP="00C22B24">
      <w:pPr>
        <w:widowControl w:val="0"/>
        <w:overflowPunct w:val="0"/>
        <w:autoSpaceDE w:val="0"/>
        <w:autoSpaceDN w:val="0"/>
        <w:adjustRightInd w:val="0"/>
        <w:ind w:firstLine="440"/>
        <w:jc w:val="both"/>
        <w:rPr>
          <w:rFonts w:ascii="Times New Roman" w:hAnsi="Times New Roman" w:cs="Times New Roman"/>
        </w:rPr>
      </w:pPr>
    </w:p>
    <w:p w14:paraId="61B47F9F" w14:textId="7BD90392" w:rsidR="00C22B24" w:rsidRPr="00920B12" w:rsidRDefault="750671CE" w:rsidP="00F94B7E">
      <w:pPr>
        <w:pStyle w:val="blockquote"/>
      </w:pPr>
      <w:r w:rsidRPr="750671CE">
        <w:t>In mass fraud cases with hundreds of thousands or millions of injured the cost of one-on-one procedures is insuperable and unsuitable for either a jury or a bench trial. The consequence of requiring individual proof from each smoker would be to allow a def</w:t>
      </w:r>
      <w:r w:rsidR="00404483">
        <w:t>0</w:t>
      </w:r>
      <w:r w:rsidRPr="750671CE">
        <w:t>endant which has injured millions of people and caused billions of dollars in damages to escape almost all liability.</w:t>
      </w:r>
    </w:p>
    <w:p w14:paraId="6490E4FB" w14:textId="77777777" w:rsidR="00C22B24" w:rsidRPr="00920B12" w:rsidRDefault="00C22B24" w:rsidP="00C22B24">
      <w:pPr>
        <w:widowControl w:val="0"/>
        <w:overflowPunct w:val="0"/>
        <w:autoSpaceDE w:val="0"/>
        <w:autoSpaceDN w:val="0"/>
        <w:adjustRightInd w:val="0"/>
        <w:ind w:left="720" w:right="720" w:firstLine="446"/>
        <w:rPr>
          <w:rFonts w:ascii="Times New Roman" w:hAnsi="Times New Roman" w:cs="Times New Roman"/>
        </w:rPr>
      </w:pPr>
    </w:p>
    <w:p w14:paraId="25AD5271" w14:textId="073ADF21" w:rsidR="00C22B24" w:rsidRPr="00920B12" w:rsidRDefault="750671CE" w:rsidP="750671CE">
      <w:pPr>
        <w:rPr>
          <w:rFonts w:ascii="Times New Roman" w:eastAsia="Times New Roman" w:hAnsi="Times New Roman" w:cs="Times New Roman"/>
        </w:rPr>
      </w:pPr>
      <w:r w:rsidRPr="750671CE">
        <w:rPr>
          <w:rFonts w:ascii="Times New Roman" w:eastAsia="Times New Roman" w:hAnsi="Times New Roman" w:cs="Times New Roman"/>
          <w:color w:val="000000" w:themeColor="text1"/>
        </w:rPr>
        <w:t>Does excluding bellwether trials mean that the resolution of these cases will inevitably happen in settlements outside of the courtroom</w:t>
      </w:r>
      <w:r w:rsidR="005562E8" w:rsidRPr="005562E8">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settlements in which the party not holding the cash will be at a decided disadvantage?   </w:t>
      </w:r>
    </w:p>
    <w:p w14:paraId="05408A0D" w14:textId="77777777" w:rsidR="00C22B24" w:rsidRPr="00920B12" w:rsidRDefault="00C22B24" w:rsidP="00C22B24">
      <w:pPr>
        <w:rPr>
          <w:rFonts w:ascii="Times New Roman" w:hAnsi="Times New Roman" w:cs="Times New Roman"/>
        </w:rPr>
      </w:pPr>
    </w:p>
    <w:p w14:paraId="17FCD5C3" w14:textId="77777777" w:rsidR="00C22B24" w:rsidRPr="00920B12" w:rsidRDefault="00C22B24" w:rsidP="00C22B24">
      <w:pPr>
        <w:tabs>
          <w:tab w:val="left" w:pos="1658"/>
        </w:tabs>
        <w:rPr>
          <w:rFonts w:ascii="Times New Roman" w:hAnsi="Times New Roman" w:cs="Times New Roman"/>
        </w:rPr>
      </w:pPr>
    </w:p>
    <w:p w14:paraId="59A166CA" w14:textId="77777777" w:rsidR="00C22B24" w:rsidRPr="001831D8" w:rsidRDefault="00C22B24" w:rsidP="007268B4">
      <w:pPr>
        <w:pStyle w:val="Heading2"/>
      </w:pPr>
      <w:bookmarkStart w:id="365" w:name="_Toc364636141"/>
      <w:bookmarkStart w:id="366" w:name="_Toc518323353"/>
      <w:r>
        <w:t>G</w:t>
      </w:r>
      <w:r w:rsidRPr="001831D8">
        <w:t>.  Negligence Puzzles</w:t>
      </w:r>
      <w:bookmarkEnd w:id="365"/>
      <w:bookmarkEnd w:id="366"/>
    </w:p>
    <w:p w14:paraId="1FF14221" w14:textId="77777777" w:rsidR="00C22B24" w:rsidRDefault="00C22B24" w:rsidP="00C22B24">
      <w:pPr>
        <w:tabs>
          <w:tab w:val="left" w:pos="1658"/>
        </w:tabs>
        <w:rPr>
          <w:rFonts w:ascii="Times New Roman" w:hAnsi="Times New Roman" w:cs="Times New Roman"/>
        </w:rPr>
      </w:pPr>
    </w:p>
    <w:p w14:paraId="0582B14D" w14:textId="77777777" w:rsidR="00C22B24" w:rsidRPr="00584E02" w:rsidRDefault="00C22B24" w:rsidP="750671CE">
      <w:pPr>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We end our initial treatment of the negligence standard with three puzzles in the law of negligence:</w:t>
      </w:r>
    </w:p>
    <w:p w14:paraId="01D88B20" w14:textId="77777777" w:rsidR="00C22B24" w:rsidRDefault="00C22B24" w:rsidP="00C22B24">
      <w:pPr>
        <w:pStyle w:val="Nothing"/>
        <w:rPr>
          <w:b/>
        </w:rPr>
      </w:pPr>
    </w:p>
    <w:p w14:paraId="6B5E0E48" w14:textId="77777777" w:rsidR="00C22B24" w:rsidRDefault="00C22B24" w:rsidP="00C22B24">
      <w:pPr>
        <w:pStyle w:val="Nothing"/>
        <w:rPr>
          <w:b/>
        </w:rPr>
      </w:pPr>
    </w:p>
    <w:p w14:paraId="1256E130" w14:textId="79740C9A" w:rsidR="00C22B24" w:rsidRPr="001831D8" w:rsidRDefault="00C22B24" w:rsidP="00322687">
      <w:pPr>
        <w:pStyle w:val="Heading3"/>
      </w:pPr>
      <w:bookmarkStart w:id="367" w:name="_Toc364636142"/>
      <w:bookmarkStart w:id="368" w:name="_Toc518323354"/>
      <w:r w:rsidRPr="001831D8">
        <w:t xml:space="preserve">1. Should </w:t>
      </w:r>
      <w:r w:rsidR="00AA76F7">
        <w:t>W</w:t>
      </w:r>
      <w:r w:rsidRPr="001831D8">
        <w:t xml:space="preserve">ealth </w:t>
      </w:r>
      <w:r w:rsidR="00AA76F7">
        <w:t>M</w:t>
      </w:r>
      <w:r w:rsidRPr="001831D8">
        <w:t>atter?</w:t>
      </w:r>
      <w:bookmarkEnd w:id="367"/>
      <w:bookmarkEnd w:id="368"/>
    </w:p>
    <w:p w14:paraId="2A09B0C0" w14:textId="77777777" w:rsidR="00C22B24" w:rsidRDefault="00C22B24" w:rsidP="00C22B24">
      <w:pPr>
        <w:pStyle w:val="Nothing"/>
      </w:pPr>
    </w:p>
    <w:p w14:paraId="50CE8613" w14:textId="60D147C4" w:rsidR="00C22B24" w:rsidRDefault="750671CE" w:rsidP="00C22B24">
      <w:pPr>
        <w:pStyle w:val="Nothing"/>
        <w:ind w:firstLine="720"/>
      </w:pPr>
      <w:r>
        <w:t>Should the defendant</w:t>
      </w:r>
      <w:r w:rsidR="00B05F31">
        <w:t>’</w:t>
      </w:r>
      <w:r>
        <w:t>s wealth matter in setting the reasonable care standard in a negligence case? Won</w:t>
      </w:r>
      <w:r w:rsidR="00B05F31">
        <w:t>’</w:t>
      </w:r>
      <w:r>
        <w:t>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1DFA55F4" w14:textId="77777777" w:rsidR="00C22B24" w:rsidRDefault="00C22B24" w:rsidP="00C22B24">
      <w:pPr>
        <w:pStyle w:val="Nothing"/>
      </w:pPr>
    </w:p>
    <w:p w14:paraId="27C03D52" w14:textId="3A5E71C2" w:rsidR="00C22B24" w:rsidRDefault="750671CE" w:rsidP="00F94B7E">
      <w:pPr>
        <w:pStyle w:val="blockquote"/>
      </w:pPr>
      <w:r>
        <w:t>[T]he defendant</w:t>
      </w:r>
      <w:r w:rsidR="00B05F31">
        <w:t>’</w:t>
      </w:r>
      <w:r>
        <w:t xml:space="preserve">s wealth is irrelevant to deterrence. . . </w:t>
      </w:r>
      <w:r w:rsidR="00D91307">
        <w:t xml:space="preserve">. </w:t>
      </w:r>
      <w:r>
        <w:t>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w:t>
      </w:r>
      <w:r w:rsidR="00B05F31">
        <w:t>’</w:t>
      </w:r>
      <w:r>
        <w:t>s existing assets do not increase the expected value of a given future action. Therefore they do not require any adjustment in the level of sanction needed to offset that expected value. The defendant</w:t>
      </w:r>
      <w:r w:rsidR="00B05F31">
        <w:t>’</w:t>
      </w:r>
      <w:r>
        <w:t>s wealth or lack of it is thus irrelevant to the deterrence of socially undesirable conduct, and evidence on the subject is inadmissible in the typical tort action claiming compensatory damages.</w:t>
      </w:r>
    </w:p>
    <w:p w14:paraId="14FD37CD" w14:textId="77777777" w:rsidR="00C22B24" w:rsidRDefault="00C22B24" w:rsidP="00C22B24">
      <w:pPr>
        <w:pStyle w:val="Nothing"/>
        <w:ind w:left="720" w:right="720"/>
      </w:pPr>
    </w:p>
    <w:p w14:paraId="5152721D" w14:textId="788E9940" w:rsidR="00C22B24" w:rsidRDefault="750671CE" w:rsidP="00C22B24">
      <w:pPr>
        <w:pStyle w:val="Nothing"/>
      </w:pPr>
      <w:r>
        <w:t xml:space="preserve">Kenneth Abraham </w:t>
      </w:r>
      <w:r w:rsidR="00D91307">
        <w:t xml:space="preserve">&amp; </w:t>
      </w:r>
      <w:r>
        <w:t xml:space="preserve">John Jeffries, Jr., </w:t>
      </w:r>
      <w:r w:rsidRPr="750671CE">
        <w:rPr>
          <w:i/>
          <w:iCs/>
        </w:rPr>
        <w:t>Punitive Damages and the Rule of Law: The Role of Defendant</w:t>
      </w:r>
      <w:r w:rsidR="00B05F31">
        <w:rPr>
          <w:i/>
          <w:iCs/>
        </w:rPr>
        <w:t>’</w:t>
      </w:r>
      <w:r w:rsidRPr="750671CE">
        <w:rPr>
          <w:i/>
          <w:iCs/>
        </w:rPr>
        <w:t>s Wealth</w:t>
      </w:r>
      <w:r>
        <w:t xml:space="preserve">, 18 </w:t>
      </w:r>
      <w:r w:rsidRPr="750671CE">
        <w:rPr>
          <w:smallCaps/>
        </w:rPr>
        <w:t>J. Legal Stud.</w:t>
      </w:r>
      <w:r>
        <w:t xml:space="preserve"> 415, 417 (1989).</w:t>
      </w:r>
    </w:p>
    <w:p w14:paraId="62F096AE" w14:textId="77777777" w:rsidR="00C22B24" w:rsidRDefault="00C22B24" w:rsidP="00C22B24">
      <w:pPr>
        <w:pStyle w:val="Nothing"/>
      </w:pPr>
    </w:p>
    <w:p w14:paraId="42D16A60" w14:textId="13C03769" w:rsidR="00C22B24" w:rsidRDefault="750671CE" w:rsidP="00C22B24">
      <w:pPr>
        <w:pStyle w:val="Nothing"/>
        <w:ind w:firstLine="720"/>
      </w:pPr>
      <w:r>
        <w:t xml:space="preserve">In response, Professor Jennifer Arlen argues that wealth </w:t>
      </w:r>
      <w:r w:rsidRPr="750671CE">
        <w:rPr>
          <w:i/>
          <w:iCs/>
        </w:rPr>
        <w:t>must</w:t>
      </w:r>
      <w:r>
        <w:t xml:space="preserve"> matter if we care about achieving optimal deterrence. Using an economic analysis assuming that individuals are risk-averse instead of risk-neutral, she finds that a defendant</w:t>
      </w:r>
      <w:r w:rsidR="00B05F31">
        <w:t>’</w:t>
      </w:r>
      <w:r>
        <w:t xml:space="preserve">s wealth should be taken into account in a negligence case, effectively calling for wealthy people to adhere to a higher standard of care than poor people: </w:t>
      </w:r>
    </w:p>
    <w:p w14:paraId="76EAC48E" w14:textId="77777777" w:rsidR="00C22B24" w:rsidRDefault="00C22B24" w:rsidP="00C22B24">
      <w:pPr>
        <w:pStyle w:val="Nothing"/>
      </w:pPr>
    </w:p>
    <w:p w14:paraId="27837A11" w14:textId="68C440A6" w:rsidR="00C22B24" w:rsidRDefault="750671CE" w:rsidP="00F94B7E">
      <w:pPr>
        <w:pStyle w:val="blockquote"/>
      </w:pPr>
      <w:r>
        <w:t>Consider a very wealthy potential defendant contemplating an additional $100 expenditure on care. The $100 expenditure on care will not affect the wealthy individual</w:t>
      </w:r>
      <w:r w:rsidR="00B05F31">
        <w:t>’</w:t>
      </w:r>
      <w:r>
        <w:t>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w:t>
      </w:r>
      <w:r w:rsidR="00B05F31">
        <w:t>’</w:t>
      </w:r>
      <w:r>
        <w:t>s utility. 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Default="00C22B24" w:rsidP="00C22B24">
      <w:pPr>
        <w:pStyle w:val="Nothing"/>
        <w:ind w:left="720"/>
      </w:pPr>
    </w:p>
    <w:p w14:paraId="53D75CFD" w14:textId="5C3D96C4" w:rsidR="00C22B24" w:rsidRDefault="750671CE" w:rsidP="00C22B24">
      <w:pPr>
        <w:pStyle w:val="Nothing"/>
      </w:pPr>
      <w:r>
        <w:t xml:space="preserve">Jennifer H. Arlen, </w:t>
      </w:r>
      <w:r w:rsidRPr="750671CE">
        <w:rPr>
          <w:i/>
          <w:iCs/>
        </w:rPr>
        <w:t>Should Defendants</w:t>
      </w:r>
      <w:r w:rsidR="00B05F31">
        <w:rPr>
          <w:i/>
          <w:iCs/>
        </w:rPr>
        <w:t>’</w:t>
      </w:r>
      <w:r w:rsidRPr="750671CE">
        <w:rPr>
          <w:i/>
          <w:iCs/>
        </w:rPr>
        <w:t xml:space="preserve"> Wealth Matter?</w:t>
      </w:r>
      <w:r>
        <w:t xml:space="preserve">, 21 </w:t>
      </w:r>
      <w:r w:rsidRPr="750671CE">
        <w:rPr>
          <w:smallCaps/>
        </w:rPr>
        <w:t>J. Legal Stud.</w:t>
      </w:r>
      <w:r>
        <w:t xml:space="preserve"> 413, 422-</w:t>
      </w:r>
      <w:r w:rsidR="00D91307">
        <w:t>2</w:t>
      </w:r>
      <w:r>
        <w:t>3 (1992). 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08174209" w14:textId="77777777" w:rsidR="00C22B24" w:rsidRDefault="00C22B24" w:rsidP="00C22B24">
      <w:pPr>
        <w:pStyle w:val="Nothing"/>
      </w:pPr>
    </w:p>
    <w:p w14:paraId="7F4D0ADD" w14:textId="77777777" w:rsidR="00C22B24" w:rsidRDefault="750671CE" w:rsidP="00C22B24">
      <w:pPr>
        <w:pStyle w:val="Nothing"/>
        <w:ind w:firstLine="720"/>
      </w:pPr>
      <w:r>
        <w:t xml:space="preserve">Would a negligence standard that takes wealth into account function mainly to redistribute wealth? Or are there non-redistributive reasons to take wealth into account? </w:t>
      </w:r>
    </w:p>
    <w:p w14:paraId="49A6B7F2" w14:textId="77777777" w:rsidR="00C22B24" w:rsidRDefault="00C22B24" w:rsidP="00C22B24">
      <w:pPr>
        <w:pStyle w:val="Nothing"/>
      </w:pPr>
    </w:p>
    <w:p w14:paraId="7FCCA04C" w14:textId="699F486B" w:rsidR="000B20BA" w:rsidRDefault="750671CE" w:rsidP="00F94B7E">
      <w:pPr>
        <w:pStyle w:val="Nothing"/>
        <w:ind w:firstLine="720"/>
      </w:pPr>
      <w:r>
        <w:t>Does Arlen</w:t>
      </w:r>
      <w:r w:rsidR="00B05F31">
        <w:t>’</w:t>
      </w:r>
      <w:r>
        <w:t>s argument resonate with a corrective justice understanding of the tort system or only a deterrence framework? How would her theory work in a case with a poor plaintiff and a poor defendant—or a rich plaintiff and a rich defendant? Whose argument—Arlen</w:t>
      </w:r>
      <w:r w:rsidR="00B05F31">
        <w:t>’</w:t>
      </w:r>
      <w:r>
        <w:t>s or Abraham and Jeffries</w:t>
      </w:r>
      <w:r w:rsidR="00B05F31">
        <w:t>’</w:t>
      </w:r>
      <w:r>
        <w:t>s —do you find more persuasive?</w:t>
      </w:r>
    </w:p>
    <w:p w14:paraId="1EAA2C21" w14:textId="77777777" w:rsidR="005F6519" w:rsidRDefault="005F6519" w:rsidP="00F94B7E">
      <w:pPr>
        <w:pStyle w:val="Nothing"/>
        <w:ind w:firstLine="720"/>
      </w:pPr>
    </w:p>
    <w:p w14:paraId="016BC01D" w14:textId="77777777" w:rsidR="005F6519" w:rsidRDefault="005F6519" w:rsidP="00F94B7E">
      <w:pPr>
        <w:pStyle w:val="Nothing"/>
        <w:ind w:firstLine="720"/>
        <w:rPr>
          <w:rFonts w:ascii="Times" w:hAnsi="Times" w:cstheme="minorEastAsia"/>
        </w:rPr>
      </w:pPr>
    </w:p>
    <w:p w14:paraId="6EB627E2" w14:textId="6066449C" w:rsidR="00C22B24" w:rsidRPr="001831D8" w:rsidRDefault="00C22B24" w:rsidP="00322687">
      <w:pPr>
        <w:pStyle w:val="Heading3"/>
      </w:pPr>
      <w:bookmarkStart w:id="369" w:name="_Toc364636143"/>
      <w:bookmarkStart w:id="370" w:name="_Toc518323355"/>
      <w:r w:rsidRPr="001831D8">
        <w:t>2. Seavey</w:t>
      </w:r>
      <w:r w:rsidR="00B05F31">
        <w:t>’</w:t>
      </w:r>
      <w:r w:rsidRPr="001831D8">
        <w:t>s Paradox</w:t>
      </w:r>
      <w:bookmarkEnd w:id="369"/>
      <w:bookmarkEnd w:id="370"/>
    </w:p>
    <w:p w14:paraId="5D2500C3" w14:textId="77777777" w:rsidR="00C22B24" w:rsidRDefault="00C22B24" w:rsidP="00C22B24">
      <w:pPr>
        <w:pStyle w:val="Nothing"/>
      </w:pPr>
    </w:p>
    <w:p w14:paraId="6F9B15D3" w14:textId="77777777" w:rsidR="00C22B24" w:rsidRDefault="750671CE" w:rsidP="00C22B24">
      <w:pPr>
        <w:pStyle w:val="Nothing"/>
        <w:ind w:firstLine="720"/>
      </w:pPr>
      <w:r>
        <w:t>Almost a century ago, torts jurist Warren Seavey observed a paradox in the way tort law handles intentional torts in comparison to negligent torts:</w:t>
      </w:r>
    </w:p>
    <w:p w14:paraId="2BA12974" w14:textId="77777777" w:rsidR="00C22B24" w:rsidRDefault="00C22B24" w:rsidP="00C22B24">
      <w:pPr>
        <w:pStyle w:val="Nothing"/>
      </w:pPr>
    </w:p>
    <w:p w14:paraId="60C00CE6" w14:textId="4F7D1F3A" w:rsidR="00C22B24" w:rsidRDefault="750671CE" w:rsidP="00F94B7E">
      <w:pPr>
        <w:pStyle w:val="blockquote"/>
      </w:pPr>
      <w:r>
        <w:t xml:space="preserve">[I]f, to save his life, </w:t>
      </w:r>
      <w:r w:rsidRPr="750671CE">
        <w:rPr>
          <w:i/>
          <w:iCs/>
        </w:rPr>
        <w:t xml:space="preserve">A </w:t>
      </w:r>
      <w:r>
        <w:t xml:space="preserve">intentionally destroys ten cents worth of </w:t>
      </w:r>
      <w:r w:rsidRPr="750671CE">
        <w:rPr>
          <w:i/>
          <w:iCs/>
        </w:rPr>
        <w:t>B</w:t>
      </w:r>
      <w:r w:rsidR="00B05F31">
        <w:rPr>
          <w:i/>
          <w:iCs/>
        </w:rPr>
        <w:t>’</w:t>
      </w:r>
      <w:r w:rsidRPr="750671CE">
        <w:rPr>
          <w:i/>
          <w:iCs/>
        </w:rPr>
        <w:t xml:space="preserve">s </w:t>
      </w:r>
      <w:r>
        <w:t xml:space="preserve">property, </w:t>
      </w:r>
      <w:r w:rsidRPr="750671CE">
        <w:rPr>
          <w:i/>
          <w:iCs/>
        </w:rPr>
        <w:t xml:space="preserve">A </w:t>
      </w:r>
      <w:r>
        <w:t xml:space="preserve">must pay; if, however, he takes a ten per cent chance of killing </w:t>
      </w:r>
      <w:r w:rsidRPr="750671CE">
        <w:rPr>
          <w:i/>
          <w:iCs/>
        </w:rPr>
        <w:t xml:space="preserve">B </w:t>
      </w:r>
      <w:r>
        <w:t xml:space="preserve">in an effort to save his own life, his conduct might not be found to be wrongful, although obviously </w:t>
      </w:r>
      <w:r w:rsidRPr="750671CE">
        <w:rPr>
          <w:i/>
          <w:iCs/>
        </w:rPr>
        <w:t xml:space="preserve">B </w:t>
      </w:r>
      <w:r>
        <w:t>would much prefer, antecedently, to lose ten cents worth of property than to submit to a ten per cent chance of being killed.</w:t>
      </w:r>
    </w:p>
    <w:p w14:paraId="42BBB184" w14:textId="77777777" w:rsidR="00C22B24" w:rsidRDefault="00C22B24" w:rsidP="00C22B24">
      <w:pPr>
        <w:pStyle w:val="Nothing"/>
        <w:tabs>
          <w:tab w:val="left" w:pos="-180"/>
        </w:tabs>
        <w:ind w:left="720"/>
      </w:pPr>
    </w:p>
    <w:p w14:paraId="3595E640" w14:textId="00278283" w:rsidR="00C22B24" w:rsidRDefault="750671CE" w:rsidP="00C22B24">
      <w:pPr>
        <w:pStyle w:val="Nothing"/>
        <w:tabs>
          <w:tab w:val="left" w:pos="-180"/>
        </w:tabs>
      </w:pPr>
      <w:r>
        <w:t xml:space="preserve">Warren A. Seavey, </w:t>
      </w:r>
      <w:r w:rsidRPr="750671CE">
        <w:rPr>
          <w:i/>
          <w:iCs/>
        </w:rPr>
        <w:t>Negligence—Subjective or Objective?</w:t>
      </w:r>
      <w:r>
        <w:t xml:space="preserve">, 41 </w:t>
      </w:r>
      <w:r w:rsidRPr="750671CE">
        <w:rPr>
          <w:smallCaps/>
        </w:rPr>
        <w:t>Harv. L. Rev.</w:t>
      </w:r>
      <w:r>
        <w:t xml:space="preserve"> 1, 8, n.7 (1927). Is Seavey</w:t>
      </w:r>
      <w:r w:rsidR="00B05F31">
        <w:t>’</w:t>
      </w:r>
      <w:r>
        <w:t>s paradox evidence of some logical defect in the law of torts?  Note that it is a cop-out to try to resolve the paradox by reference to the idea that in the probabilistic scenario B has not been killed.  Seavey</w:t>
      </w:r>
      <w:r w:rsidR="00B05F31">
        <w:t>’</w:t>
      </w:r>
      <w:r>
        <w:t>s point is that even if B is killed, B</w:t>
      </w:r>
      <w:r w:rsidR="00B05F31">
        <w:t>’</w:t>
      </w:r>
      <w:r>
        <w:t xml:space="preserve">s estate may have no tort action against A, whereas B would have had a tort action for the intentional destruction of the ten cents.  </w:t>
      </w:r>
    </w:p>
    <w:p w14:paraId="52AF0229" w14:textId="77777777" w:rsidR="00C22B24" w:rsidRDefault="00C22B24" w:rsidP="00C22B24">
      <w:pPr>
        <w:pStyle w:val="Nothing"/>
        <w:tabs>
          <w:tab w:val="left" w:pos="-180"/>
        </w:tabs>
      </w:pPr>
    </w:p>
    <w:p w14:paraId="1EF2C1BA" w14:textId="77777777" w:rsidR="00C22B24" w:rsidRPr="004C6082" w:rsidRDefault="00C22B24" w:rsidP="00C22B24">
      <w:pPr>
        <w:pStyle w:val="Nothing"/>
        <w:tabs>
          <w:tab w:val="left" w:pos="-180"/>
        </w:tabs>
      </w:pPr>
      <w: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61FEC673" w14:textId="77777777" w:rsidR="00C22B24" w:rsidRDefault="00C22B24" w:rsidP="00C22B24">
      <w:pPr>
        <w:pStyle w:val="Nothing"/>
        <w:ind w:left="720"/>
      </w:pPr>
    </w:p>
    <w:p w14:paraId="0610075E" w14:textId="77777777" w:rsidR="00C22B24" w:rsidRDefault="00C22B24" w:rsidP="00C22B24">
      <w:pPr>
        <w:pStyle w:val="Nothing"/>
        <w:ind w:left="720"/>
      </w:pPr>
    </w:p>
    <w:p w14:paraId="2FF74F9B" w14:textId="77777777" w:rsidR="00C22B24" w:rsidRPr="001831D8" w:rsidRDefault="00C22B24" w:rsidP="00322687">
      <w:pPr>
        <w:pStyle w:val="Heading3"/>
      </w:pPr>
      <w:bookmarkStart w:id="371" w:name="_Toc364636144"/>
      <w:bookmarkStart w:id="372" w:name="_Toc518323356"/>
      <w:r w:rsidRPr="001831D8">
        <w:t>3. The Utility Monster</w:t>
      </w:r>
      <w:bookmarkEnd w:id="371"/>
      <w:bookmarkEnd w:id="372"/>
    </w:p>
    <w:p w14:paraId="3DB5B876" w14:textId="77777777" w:rsidR="00C22B24" w:rsidRDefault="00C22B24" w:rsidP="00C22B24">
      <w:pPr>
        <w:pStyle w:val="Nothing"/>
        <w:rPr>
          <w:b/>
        </w:rPr>
      </w:pPr>
    </w:p>
    <w:p w14:paraId="7F7267D2" w14:textId="178DF079" w:rsidR="00C22B24" w:rsidRDefault="750671CE" w:rsidP="00C22B24">
      <w:pPr>
        <w:pStyle w:val="Nothing"/>
        <w:ind w:firstLine="720"/>
      </w:pPr>
      <w:r>
        <w:t>What if B</w:t>
      </w:r>
      <w:r w:rsidRPr="750671CE">
        <w:rPr>
          <w:i/>
          <w:iCs/>
        </w:rPr>
        <w:t xml:space="preserve"> </w:t>
      </w:r>
      <w:r>
        <w:t>in Seavey</w:t>
      </w:r>
      <w:r w:rsidR="00B05F31">
        <w:t>’</w:t>
      </w:r>
      <w:r>
        <w:t xml:space="preserve">s paradox values her or his life more highly than A?  What if B </w:t>
      </w:r>
      <w:r w:rsidRPr="750671CE">
        <w:rPr>
          <w:i/>
          <w:iCs/>
        </w:rPr>
        <w:t xml:space="preserve">really </w:t>
      </w:r>
      <w:r>
        <w:t>preferred to not be killed—so much so that the expected utility loss of B</w:t>
      </w:r>
      <w:r w:rsidR="00B05F31">
        <w:t>’</w:t>
      </w:r>
      <w:r>
        <w:t>s being subject to a ten percent chance of death would be greater than the utility loss of A</w:t>
      </w:r>
      <w:r w:rsidR="00B05F31">
        <w:t>’</w:t>
      </w:r>
      <w:r>
        <w:t xml:space="preserve">s actually dying?  Should these differentials matter?  It is an important question, because we might need to incorporate different values for different lives in our Hand Formula calculations. </w:t>
      </w:r>
    </w:p>
    <w:p w14:paraId="6305E523" w14:textId="77777777" w:rsidR="00C22B24" w:rsidRDefault="00C22B24" w:rsidP="00C22B24">
      <w:pPr>
        <w:pStyle w:val="Nothing"/>
        <w:ind w:firstLine="720"/>
      </w:pPr>
    </w:p>
    <w:p w14:paraId="743467AC" w14:textId="78149E86" w:rsidR="00C22B24" w:rsidRDefault="750671CE" w:rsidP="00C22B24">
      <w:pPr>
        <w:pStyle w:val="Nothing"/>
        <w:ind w:firstLine="720"/>
      </w:pPr>
      <w:r>
        <w:t xml:space="preserve">Libertarian philosopher Robert Nozick famously puzzled over the conundrum in utilitarianism of </w:t>
      </w:r>
      <w:r w:rsidR="00B05F31">
        <w:t>“</w:t>
      </w:r>
      <w:r>
        <w:t>utility monsters</w:t>
      </w:r>
      <w:r w:rsidR="00B05F31">
        <w:t>”</w:t>
      </w:r>
      <w:r>
        <w:t xml:space="preserve">: people </w:t>
      </w:r>
      <w:r w:rsidR="00B05F31">
        <w:t>“</w:t>
      </w:r>
      <w:r>
        <w:t>who get enormously greater gains in utility from any sacrifice of others than these others lose.</w:t>
      </w:r>
      <w:r w:rsidR="00B05F31">
        <w:t>”</w:t>
      </w:r>
      <w:r>
        <w:t xml:space="preserve">  Nozick objects that the theory of utilitarianism, taken seriously, </w:t>
      </w:r>
      <w:r w:rsidR="00B05F31">
        <w:t>“</w:t>
      </w:r>
      <w:r>
        <w:t>seems to require that we all be sacrificed in the monster</w:t>
      </w:r>
      <w:r w:rsidR="00B05F31">
        <w:t>’</w:t>
      </w:r>
      <w:r>
        <w:t>s maw, in order to increase total utility.</w:t>
      </w:r>
      <w:r w:rsidR="00B05F31">
        <w:t>”</w:t>
      </w:r>
      <w:r>
        <w:t xml:space="preserve"> </w:t>
      </w:r>
      <w:r w:rsidRPr="750671CE">
        <w:rPr>
          <w:smallCaps/>
        </w:rPr>
        <w:t xml:space="preserve">Robert Nozick, Anarchy, State, and Utopia </w:t>
      </w:r>
      <w:r>
        <w:t>41 (1974). Does the tort system leave out utility monsters by using an objective negligence standard instead of a subjective one? Or is the subjective utility of Novick</w:t>
      </w:r>
      <w:r w:rsidR="00B05F31">
        <w:t>’</w:t>
      </w:r>
      <w:r>
        <w:t>s monster simply an item to be factored into the Learned Hand negligence formula? Should it be?</w:t>
      </w:r>
    </w:p>
    <w:p w14:paraId="197A2A45" w14:textId="77777777" w:rsidR="00C22B24" w:rsidRDefault="00C22B24" w:rsidP="00C22B24">
      <w:pPr>
        <w:pStyle w:val="Nothing"/>
      </w:pPr>
    </w:p>
    <w:p w14:paraId="7EB46B69" w14:textId="614036AA" w:rsidR="00C22B24" w:rsidRPr="004E4061" w:rsidRDefault="750671CE" w:rsidP="00C22B24">
      <w:pPr>
        <w:pStyle w:val="Nothing"/>
        <w:ind w:firstLine="720"/>
      </w:pPr>
      <w:r>
        <w:t>Is the answer different if the value of B</w:t>
      </w:r>
      <w:r w:rsidR="00B05F31">
        <w:t>’</w:t>
      </w:r>
      <w:r>
        <w:t>s life is high relative to that of A not because of B</w:t>
      </w:r>
      <w:r w:rsidR="00B05F31">
        <w:t>’</w:t>
      </w:r>
      <w:r>
        <w:t xml:space="preserve">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   </w:t>
      </w:r>
    </w:p>
    <w:p w14:paraId="6A898CE2" w14:textId="77777777" w:rsidR="00C22B24" w:rsidRPr="00584E02" w:rsidRDefault="00C22B24" w:rsidP="00C22B24">
      <w:pPr>
        <w:tabs>
          <w:tab w:val="left" w:pos="1658"/>
        </w:tabs>
        <w:rPr>
          <w:rFonts w:ascii="Times New Roman" w:hAnsi="Times New Roman" w:cs="Times New Roman"/>
        </w:rPr>
      </w:pPr>
    </w:p>
    <w:p w14:paraId="3B28204F" w14:textId="0D975629" w:rsidR="004709CA" w:rsidRDefault="004709CA">
      <w:pPr>
        <w:rPr>
          <w:rFonts w:ascii="Times New Roman" w:hAnsi="Times New Roman" w:cs="Times New Roman"/>
        </w:rPr>
      </w:pPr>
      <w:r>
        <w:rPr>
          <w:rFonts w:ascii="Times New Roman" w:hAnsi="Times New Roman" w:cs="Times New Roman"/>
        </w:rPr>
        <w:br w:type="page"/>
      </w:r>
    </w:p>
    <w:p w14:paraId="48A781C3" w14:textId="77777777" w:rsidR="00FF20BE" w:rsidRDefault="00FF20BE" w:rsidP="00296689">
      <w:pPr>
        <w:pStyle w:val="Heading1"/>
        <w:sectPr w:rsidR="00FF20BE" w:rsidSect="00080A6E">
          <w:headerReference w:type="default" r:id="rId53"/>
          <w:pgSz w:w="12240" w:h="15840"/>
          <w:pgMar w:top="1440" w:right="1800" w:bottom="1440" w:left="1800" w:header="720" w:footer="720" w:gutter="0"/>
          <w:cols w:space="720"/>
          <w:noEndnote/>
          <w:titlePg/>
        </w:sectPr>
      </w:pPr>
    </w:p>
    <w:p w14:paraId="5EF67650" w14:textId="3A339802" w:rsidR="004709CA" w:rsidRPr="00CB0A26" w:rsidRDefault="750671CE" w:rsidP="00296689">
      <w:pPr>
        <w:pStyle w:val="Heading1"/>
      </w:pPr>
      <w:bookmarkStart w:id="373" w:name="_Toc364636145"/>
      <w:bookmarkStart w:id="374" w:name="_Toc518323357"/>
      <w:r>
        <w:t>CHAPTER 5. PLAINTIFFS</w:t>
      </w:r>
      <w:r w:rsidR="00B05F31">
        <w:t>’</w:t>
      </w:r>
      <w:r>
        <w:t xml:space="preserve"> CONDUCT</w:t>
      </w:r>
      <w:bookmarkEnd w:id="373"/>
      <w:bookmarkEnd w:id="374"/>
    </w:p>
    <w:p w14:paraId="3025CF0E" w14:textId="77777777" w:rsidR="004709CA" w:rsidRPr="004709CA" w:rsidRDefault="004709CA" w:rsidP="004709CA">
      <w:pPr>
        <w:rPr>
          <w:rFonts w:ascii="Times New Roman" w:hAnsi="Times New Roman" w:cs="Times New Roman"/>
        </w:rPr>
      </w:pPr>
    </w:p>
    <w:p w14:paraId="35850675" w14:textId="77777777" w:rsidR="004709CA" w:rsidRPr="004709CA" w:rsidRDefault="004709CA" w:rsidP="004709CA">
      <w:pPr>
        <w:rPr>
          <w:rFonts w:ascii="Times New Roman" w:hAnsi="Times New Roman" w:cs="Times New Roman"/>
        </w:rPr>
      </w:pPr>
    </w:p>
    <w:p w14:paraId="4B557D16" w14:textId="4496B126" w:rsidR="004709CA" w:rsidRPr="004709CA" w:rsidRDefault="00072F09" w:rsidP="007268B4">
      <w:pPr>
        <w:pStyle w:val="Heading2"/>
      </w:pPr>
      <w:bookmarkStart w:id="375" w:name="_Toc364636146"/>
      <w:bookmarkStart w:id="376" w:name="_Toc518323358"/>
      <w:r>
        <w:t>A.</w:t>
      </w:r>
      <w:r w:rsidR="004709CA" w:rsidRPr="004709CA">
        <w:tab/>
        <w:t>Contributory and Comparative Negligence</w:t>
      </w:r>
      <w:bookmarkEnd w:id="375"/>
      <w:bookmarkEnd w:id="376"/>
    </w:p>
    <w:p w14:paraId="29AC92E1" w14:textId="77777777" w:rsidR="004709CA" w:rsidRDefault="004709CA" w:rsidP="004709CA">
      <w:pPr>
        <w:rPr>
          <w:rFonts w:ascii="Times New Roman" w:hAnsi="Times New Roman" w:cs="Times New Roman"/>
        </w:rPr>
      </w:pPr>
    </w:p>
    <w:p w14:paraId="214F3958" w14:textId="77777777" w:rsidR="005D42D9" w:rsidRPr="004709CA" w:rsidRDefault="005D42D9" w:rsidP="004709CA">
      <w:pPr>
        <w:rPr>
          <w:rFonts w:ascii="Times New Roman" w:hAnsi="Times New Roman" w:cs="Times New Roman"/>
        </w:rPr>
      </w:pPr>
    </w:p>
    <w:p w14:paraId="5C8B8C11" w14:textId="77777777" w:rsidR="004709CA" w:rsidRPr="004709CA" w:rsidRDefault="004709CA" w:rsidP="00322687">
      <w:pPr>
        <w:pStyle w:val="Heading3"/>
      </w:pPr>
      <w:bookmarkStart w:id="377" w:name="_Toc364636147"/>
      <w:bookmarkStart w:id="378" w:name="_Toc518323359"/>
      <w:r w:rsidRPr="004709CA">
        <w:t>1.  Contributory Negligence</w:t>
      </w:r>
      <w:bookmarkEnd w:id="377"/>
      <w:bookmarkEnd w:id="378"/>
    </w:p>
    <w:p w14:paraId="70894935" w14:textId="77777777" w:rsidR="004709CA" w:rsidRPr="004709CA" w:rsidRDefault="004709CA" w:rsidP="004709CA">
      <w:pPr>
        <w:rPr>
          <w:rFonts w:ascii="Times New Roman" w:hAnsi="Times New Roman" w:cs="Times New Roman"/>
        </w:rPr>
      </w:pPr>
    </w:p>
    <w:p w14:paraId="5DCA58B5" w14:textId="77777777" w:rsidR="004709CA" w:rsidRPr="004709CA" w:rsidRDefault="004709CA" w:rsidP="750671CE">
      <w:pPr>
        <w:rPr>
          <w:rFonts w:ascii="Times New Roman" w:eastAsia="Times New Roman" w:hAnsi="Times New Roman" w:cs="Times New Roman"/>
        </w:rPr>
      </w:pPr>
      <w:bookmarkStart w:id="379" w:name="_Toc518323360"/>
      <w:r w:rsidRPr="00F94B7E">
        <w:rPr>
          <w:rStyle w:val="Heading4Char"/>
          <w:rFonts w:eastAsiaTheme="minorEastAsia"/>
        </w:rPr>
        <w:t>Butterfield v. Forrester</w:t>
      </w:r>
      <w:bookmarkEnd w:id="379"/>
      <w:r w:rsidRPr="009C1FC7">
        <w:rPr>
          <w:rFonts w:ascii="Times New Roman" w:eastAsia="Times New Roman" w:hAnsi="Times New Roman" w:cs="Times New Roman"/>
          <w:b/>
          <w:bCs/>
        </w:rPr>
        <w:t>,</w:t>
      </w:r>
      <w:r w:rsidRPr="750671CE">
        <w:rPr>
          <w:rFonts w:ascii="Times New Roman" w:eastAsia="Times New Roman" w:hAnsi="Times New Roman" w:cs="Times New Roman"/>
          <w:b/>
          <w:bCs/>
        </w:rPr>
        <w:t xml:space="preserve"> 103 Eng. Rep. 926 (K.B. 1809)</w:t>
      </w:r>
    </w:p>
    <w:p w14:paraId="36BA0BAB" w14:textId="77777777" w:rsidR="004709CA" w:rsidRPr="004709CA" w:rsidRDefault="004709CA" w:rsidP="004709CA">
      <w:pPr>
        <w:rPr>
          <w:rFonts w:ascii="Times New Roman" w:hAnsi="Times New Roman" w:cs="Times New Roman"/>
        </w:rPr>
      </w:pPr>
    </w:p>
    <w:p w14:paraId="1A5E78E3" w14:textId="18306523"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rPr>
          <w:rFonts w:ascii="Times New Roman" w:eastAsia="Times New Roman" w:hAnsi="Times New Roman" w:cs="Times New Roman"/>
        </w:rPr>
        <w:t>’</w:t>
      </w:r>
      <w:r w:rsidRPr="750671CE">
        <w:rPr>
          <w:rFonts w:ascii="Times New Roman" w:eastAsia="Times New Roman" w:hAnsi="Times New Roman" w:cs="Times New Roman"/>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Pr>
          <w:rFonts w:ascii="Times New Roman" w:eastAsia="Times New Roman" w:hAnsi="Times New Roman" w:cs="Times New Roman"/>
        </w:rPr>
        <w:t xml:space="preserve"> </w:t>
      </w:r>
      <w:r w:rsidRPr="750671CE">
        <w:rPr>
          <w:rFonts w:ascii="Times New Roman" w:eastAsia="Times New Roman" w:hAnsi="Times New Roman" w:cs="Times New Roman"/>
        </w:rPr>
        <w:t>.</w:t>
      </w:r>
      <w:r w:rsidR="009C1FC7">
        <w:rPr>
          <w:rFonts w:ascii="Times New Roman" w:eastAsia="Times New Roman" w:hAnsi="Times New Roman" w:cs="Times New Roman"/>
        </w:rPr>
        <w:t xml:space="preserve"> </w:t>
      </w:r>
      <w:r w:rsidRPr="750671CE">
        <w:rPr>
          <w:rFonts w:ascii="Times New Roman" w:eastAsia="Times New Roman" w:hAnsi="Times New Roman" w:cs="Times New Roman"/>
        </w:rPr>
        <w:t>.</w:t>
      </w:r>
      <w:r w:rsidR="009C1FC7">
        <w:rPr>
          <w:rFonts w:ascii="Times New Roman" w:eastAsia="Times New Roman" w:hAnsi="Times New Roman" w:cs="Times New Roman"/>
        </w:rPr>
        <w:t xml:space="preserve"> </w:t>
      </w:r>
      <w:r w:rsidRPr="750671CE">
        <w:rPr>
          <w:rFonts w:ascii="Times New Roman" w:eastAsia="Times New Roman" w:hAnsi="Times New Roman" w:cs="Times New Roman"/>
        </w:rPr>
        <w:t>.</w:t>
      </w:r>
      <w:r w:rsidR="009C1FC7">
        <w:rPr>
          <w:rFonts w:ascii="Times New Roman" w:eastAsia="Times New Roman" w:hAnsi="Times New Roman" w:cs="Times New Roman"/>
        </w:rPr>
        <w:t xml:space="preserve"> </w:t>
      </w:r>
      <w:r w:rsidRPr="750671CE">
        <w:rPr>
          <w:rFonts w:ascii="Times New Roman" w:eastAsia="Times New Roman" w:hAnsi="Times New Roman" w:cs="Times New Roman"/>
        </w:rPr>
        <w:t>.</w:t>
      </w:r>
    </w:p>
    <w:p w14:paraId="3550672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892BA21" w14:textId="15062549" w:rsidR="004709CA" w:rsidRPr="004709CA" w:rsidRDefault="009C1FC7" w:rsidP="00F94B7E">
      <w:pPr>
        <w:rPr>
          <w:rFonts w:ascii="Times New Roman" w:eastAsia="Times New Roman" w:hAnsi="Times New Roman" w:cs="Times New Roman"/>
        </w:rPr>
      </w:pPr>
      <w:r w:rsidRPr="750671CE">
        <w:rPr>
          <w:rFonts w:ascii="Times New Roman" w:eastAsia="Times New Roman" w:hAnsi="Times New Roman" w:cs="Times New Roman"/>
          <w:smallCaps/>
        </w:rPr>
        <w:t>B</w:t>
      </w:r>
      <w:r>
        <w:rPr>
          <w:rFonts w:ascii="Times New Roman" w:eastAsia="Times New Roman" w:hAnsi="Times New Roman" w:cs="Times New Roman"/>
          <w:smallCaps/>
        </w:rPr>
        <w:t>ayley,</w:t>
      </w:r>
      <w:r w:rsidR="750671CE" w:rsidRPr="750671CE">
        <w:rPr>
          <w:rFonts w:ascii="Times New Roman" w:eastAsia="Times New Roman" w:hAnsi="Times New Roman" w:cs="Times New Roman"/>
          <w:smallCaps/>
        </w:rPr>
        <w:t xml:space="preserve"> J</w:t>
      </w:r>
      <w:r w:rsidR="750671CE" w:rsidRPr="750671CE">
        <w:rPr>
          <w:rFonts w:ascii="Times New Roman" w:eastAsia="Times New Roman" w:hAnsi="Times New Roman" w:cs="Times New Roman"/>
        </w:rPr>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D3F322A" w14:textId="1EA023F6" w:rsidR="004709CA" w:rsidRPr="004709CA" w:rsidRDefault="750671CE" w:rsidP="00F94B7E">
      <w:pPr>
        <w:rPr>
          <w:rFonts w:ascii="Times New Roman" w:eastAsia="Times New Roman" w:hAnsi="Times New Roman" w:cs="Times New Roman"/>
        </w:rPr>
      </w:pPr>
      <w:r w:rsidRPr="750671CE">
        <w:rPr>
          <w:rFonts w:ascii="Times New Roman" w:eastAsia="Times New Roman" w:hAnsi="Times New Roman" w:cs="Times New Roman"/>
          <w:smallCaps/>
        </w:rPr>
        <w:t>L</w:t>
      </w:r>
      <w:r w:rsidR="009C1FC7">
        <w:rPr>
          <w:rFonts w:ascii="Times New Roman" w:eastAsia="Times New Roman" w:hAnsi="Times New Roman" w:cs="Times New Roman"/>
          <w:smallCaps/>
        </w:rPr>
        <w:t>ord Ellenborough,</w:t>
      </w:r>
      <w:r w:rsidRPr="750671CE">
        <w:rPr>
          <w:rFonts w:ascii="Times New Roman" w:eastAsia="Times New Roman" w:hAnsi="Times New Roman" w:cs="Times New Roman"/>
          <w:smallCaps/>
        </w:rPr>
        <w:t xml:space="preserve"> C.J</w:t>
      </w:r>
      <w:r w:rsidRPr="750671CE">
        <w:rPr>
          <w:rFonts w:ascii="Times New Roman" w:eastAsia="Times New Roman" w:hAnsi="Times New Roman" w:cs="Times New Roman"/>
        </w:rPr>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4709CA" w:rsidRDefault="004709CA" w:rsidP="004709CA">
      <w:pPr>
        <w:rPr>
          <w:rFonts w:ascii="Times New Roman" w:hAnsi="Times New Roman" w:cs="Times New Roman"/>
        </w:rPr>
      </w:pPr>
    </w:p>
    <w:p w14:paraId="660DF81D" w14:textId="2D96E62A" w:rsidR="004709CA" w:rsidRPr="004709CA"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rPr>
        <w:t>One person being in fault will not dispense with another</w:t>
      </w:r>
      <w:r w:rsidR="00B05F31">
        <w:rPr>
          <w:rFonts w:ascii="Times New Roman" w:eastAsia="Times New Roman" w:hAnsi="Times New Roman" w:cs="Times New Roman"/>
        </w:rPr>
        <w:t>’</w:t>
      </w:r>
      <w:r w:rsidRPr="750671CE">
        <w:rPr>
          <w:rFonts w:ascii="Times New Roman" w:eastAsia="Times New Roman" w:hAnsi="Times New Roman" w:cs="Times New Roman"/>
        </w:rPr>
        <w:t>s using ordinary care for himself. Two things must concur to support this action, an obstruction in the road by the fault of the defendant, and no want of ordinary care to avoid it on the part of the plaintiff.</w:t>
      </w:r>
    </w:p>
    <w:p w14:paraId="40F456AA" w14:textId="77777777" w:rsidR="004709CA" w:rsidRDefault="004709CA">
      <w:pPr>
        <w:rPr>
          <w:rFonts w:ascii="Times New Roman" w:hAnsi="Times New Roman" w:cs="Times New Roman"/>
        </w:rPr>
      </w:pPr>
      <w:r w:rsidRPr="004709CA">
        <w:rPr>
          <w:rFonts w:ascii="Times New Roman" w:hAnsi="Times New Roman" w:cs="Times New Roman"/>
        </w:rPr>
        <w:t xml:space="preserve">  </w:t>
      </w:r>
    </w:p>
    <w:p w14:paraId="249A2D4E" w14:textId="77777777" w:rsidR="000F0DBE" w:rsidRPr="004709CA" w:rsidRDefault="000F0DBE" w:rsidP="000F0DBE">
      <w:pPr>
        <w:rPr>
          <w:rFonts w:ascii="Times New Roman" w:hAnsi="Times New Roman" w:cs="Times New Roman"/>
        </w:rPr>
      </w:pPr>
    </w:p>
    <w:p w14:paraId="69376952" w14:textId="77777777" w:rsidR="00C8394C" w:rsidRDefault="00C8394C">
      <w:pPr>
        <w:rPr>
          <w:rFonts w:ascii="Times New Roman" w:eastAsiaTheme="minorHAnsi" w:hAnsi="Times New Roman" w:cs="Times New Roman"/>
          <w:b/>
          <w:bCs/>
          <w:i/>
          <w:szCs w:val="28"/>
          <w:lang w:eastAsia="en-US"/>
        </w:rPr>
      </w:pPr>
      <w:r>
        <w:br w:type="page"/>
      </w:r>
    </w:p>
    <w:p w14:paraId="78AD8156" w14:textId="625EC84F" w:rsidR="004709CA" w:rsidRPr="004709CA" w:rsidRDefault="004709CA" w:rsidP="002502CC">
      <w:pPr>
        <w:pStyle w:val="Heading4"/>
      </w:pPr>
      <w:bookmarkStart w:id="380" w:name="_Toc364636148"/>
      <w:bookmarkStart w:id="381" w:name="_Toc518323361"/>
      <w:r w:rsidRPr="004709CA">
        <w:t>Notes</w:t>
      </w:r>
      <w:bookmarkEnd w:id="380"/>
      <w:bookmarkEnd w:id="381"/>
    </w:p>
    <w:p w14:paraId="3347A852" w14:textId="77777777" w:rsidR="004709CA" w:rsidRDefault="004709CA" w:rsidP="000F0DBE">
      <w:pPr>
        <w:rPr>
          <w:rFonts w:ascii="Times New Roman" w:hAnsi="Times New Roman" w:cs="Times New Roman"/>
        </w:rPr>
      </w:pPr>
    </w:p>
    <w:p w14:paraId="569EC937" w14:textId="77777777" w:rsidR="000F0DBE" w:rsidRPr="004709CA" w:rsidRDefault="000F0DBE" w:rsidP="000F0DBE">
      <w:pPr>
        <w:rPr>
          <w:rFonts w:ascii="Times New Roman" w:hAnsi="Times New Roman" w:cs="Times New Roman"/>
        </w:rPr>
      </w:pPr>
    </w:p>
    <w:p w14:paraId="5F1110CD" w14:textId="0978A844" w:rsidR="004709CA" w:rsidRPr="00F94B7E" w:rsidRDefault="750671CE" w:rsidP="00F94B7E">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public policy rationale?</w:t>
      </w:r>
      <w:r w:rsidRPr="00F94B7E">
        <w:rPr>
          <w:rFonts w:ascii="Times New Roman" w:eastAsia="Times New Roman" w:hAnsi="Times New Roman" w:cs="Times New Roman"/>
        </w:rPr>
        <w:t xml:space="preserve"> In just a few short paragraphs, </w:t>
      </w:r>
      <w:r w:rsidRPr="00F94B7E">
        <w:rPr>
          <w:rFonts w:ascii="Times New Roman" w:eastAsia="Times New Roman" w:hAnsi="Times New Roman" w:cs="Times New Roman"/>
          <w:i/>
          <w:iCs/>
        </w:rPr>
        <w:t>Butterfield</w:t>
      </w:r>
      <w:r w:rsidRPr="00F94B7E">
        <w:rPr>
          <w:rFonts w:ascii="Times New Roman" w:eastAsia="Times New Roman" w:hAnsi="Times New Roman" w:cs="Times New Roman"/>
        </w:rPr>
        <w:t xml:space="preserve"> laid out the contributory negligence regime that would govern British and American tort law for over a century. Under the contributory negligence rule, a plaintiff</w:t>
      </w:r>
      <w:r w:rsidR="00B05F31">
        <w:rPr>
          <w:rFonts w:ascii="Times New Roman" w:eastAsia="Times New Roman" w:hAnsi="Times New Roman" w:cs="Times New Roman"/>
        </w:rPr>
        <w:t>’</w:t>
      </w:r>
      <w:r w:rsidRPr="00F94B7E">
        <w:rPr>
          <w:rFonts w:ascii="Times New Roman" w:eastAsia="Times New Roman" w:hAnsi="Times New Roman" w:cs="Times New Roman"/>
        </w:rPr>
        <w:t>s negligence acts as a complete bar to her recovery, even as against a negligent defendant. Why should that be so? The American jurist Charles Fisk Beach sought to explain the rule:</w:t>
      </w:r>
    </w:p>
    <w:p w14:paraId="2CBE7F76" w14:textId="77777777" w:rsidR="004709CA" w:rsidRPr="004709CA" w:rsidRDefault="004709CA" w:rsidP="004709CA">
      <w:pPr>
        <w:rPr>
          <w:rFonts w:ascii="Times New Roman" w:hAnsi="Times New Roman" w:cs="Times New Roman"/>
        </w:rPr>
      </w:pPr>
    </w:p>
    <w:p w14:paraId="232C966E"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4709CA" w:rsidRDefault="004709CA" w:rsidP="00F94B7E">
      <w:pPr>
        <w:ind w:left="720" w:right="720"/>
        <w:jc w:val="both"/>
        <w:rPr>
          <w:rFonts w:ascii="Times New Roman" w:hAnsi="Times New Roman" w:cs="Times New Roman"/>
        </w:rPr>
      </w:pPr>
    </w:p>
    <w:p w14:paraId="3D99860A" w14:textId="7C464BE1"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The true ground,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says Dr. Wharton, </w:t>
      </w:r>
      <w:r w:rsidR="00B05F31">
        <w:rPr>
          <w:rFonts w:ascii="Times New Roman" w:eastAsia="Times New Roman" w:hAnsi="Times New Roman" w:cs="Times New Roman"/>
        </w:rPr>
        <w:t>“</w:t>
      </w:r>
      <w:r w:rsidRPr="750671CE">
        <w:rPr>
          <w:rFonts w:ascii="Times New Roman" w:eastAsia="Times New Roman" w:hAnsi="Times New Roman" w:cs="Times New Roman"/>
        </w:rPr>
        <w:t>for the doctrine is that, by the interposition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independent will, the causal connection between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and the injury is broken.</w:t>
      </w:r>
      <w:r w:rsidR="00B05F31">
        <w:rPr>
          <w:rFonts w:ascii="Times New Roman" w:eastAsia="Times New Roman" w:hAnsi="Times New Roman" w:cs="Times New Roman"/>
        </w:rPr>
        <w:t>”</w:t>
      </w:r>
      <w:r w:rsidRPr="750671CE">
        <w:rPr>
          <w:rFonts w:ascii="Times New Roman" w:eastAsia="Times New Roman" w:hAnsi="Times New Roman" w:cs="Times New Roman"/>
        </w:rPr>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4709CA" w:rsidRDefault="004709CA" w:rsidP="004709CA">
      <w:pPr>
        <w:rPr>
          <w:rFonts w:ascii="Times New Roman" w:hAnsi="Times New Roman" w:cs="Times New Roman"/>
        </w:rPr>
      </w:pPr>
    </w:p>
    <w:p w14:paraId="3F936F23" w14:textId="32BBA0FF" w:rsidR="004709CA" w:rsidRPr="004709CA"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C</w:t>
      </w:r>
      <w:r w:rsidR="009C1FC7" w:rsidRPr="00F94B7E">
        <w:rPr>
          <w:rFonts w:ascii="Times New Roman" w:eastAsia="Times New Roman" w:hAnsi="Times New Roman" w:cs="Times New Roman"/>
          <w:smallCaps/>
        </w:rPr>
        <w:t>ha</w:t>
      </w:r>
      <w:r w:rsidR="009C1FC7" w:rsidRPr="009C1FC7">
        <w:rPr>
          <w:rFonts w:ascii="Times New Roman" w:eastAsia="Times New Roman" w:hAnsi="Times New Roman" w:cs="Times New Roman"/>
          <w:smallCaps/>
        </w:rPr>
        <w:t>rles Fisk</w:t>
      </w:r>
      <w:r w:rsidR="009C1FC7" w:rsidRPr="00F94B7E">
        <w:rPr>
          <w:rFonts w:ascii="Times New Roman" w:eastAsia="Times New Roman" w:hAnsi="Times New Roman" w:cs="Times New Roman"/>
          <w:smallCaps/>
        </w:rPr>
        <w:t xml:space="preserve"> Beach, Jr., The Law of Contributory Negligence</w:t>
      </w:r>
      <w:r w:rsidRPr="750671CE">
        <w:rPr>
          <w:rFonts w:ascii="Times New Roman" w:eastAsia="Times New Roman" w:hAnsi="Times New Roman" w:cs="Times New Roman"/>
        </w:rPr>
        <w:t xml:space="preserve"> 11-13 (1885).</w:t>
      </w:r>
    </w:p>
    <w:p w14:paraId="161B6A5C" w14:textId="77777777" w:rsidR="004709CA" w:rsidRPr="004709CA" w:rsidRDefault="004709CA" w:rsidP="004709CA">
      <w:pPr>
        <w:rPr>
          <w:rFonts w:ascii="Times New Roman" w:hAnsi="Times New Roman" w:cs="Times New Roman"/>
        </w:rPr>
      </w:pPr>
    </w:p>
    <w:p w14:paraId="34CBFA54" w14:textId="77777777" w:rsidR="004709CA" w:rsidRPr="004709CA" w:rsidRDefault="004709CA" w:rsidP="004709CA">
      <w:pPr>
        <w:rPr>
          <w:rFonts w:ascii="Times New Roman" w:hAnsi="Times New Roman" w:cs="Times New Roman"/>
        </w:rPr>
      </w:pPr>
    </w:p>
    <w:p w14:paraId="104F371E" w14:textId="631C356B" w:rsidR="004709CA" w:rsidRPr="00F94B7E" w:rsidRDefault="750671CE" w:rsidP="00F94B7E">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public policy critique</w:t>
      </w:r>
      <w:r w:rsidRPr="00F94B7E">
        <w:rPr>
          <w:rFonts w:ascii="Times New Roman" w:eastAsia="Times New Roman" w:hAnsi="Times New Roman" w:cs="Times New Roman"/>
        </w:rPr>
        <w:t>. Are Professor Beach</w:t>
      </w:r>
      <w:r w:rsidR="00B05F31">
        <w:rPr>
          <w:rFonts w:ascii="Times New Roman" w:eastAsia="Times New Roman" w:hAnsi="Times New Roman" w:cs="Times New Roman"/>
        </w:rPr>
        <w:t>’</w:t>
      </w:r>
      <w:r w:rsidRPr="00F94B7E">
        <w:rPr>
          <w:rFonts w:ascii="Times New Roman" w:eastAsia="Times New Roman" w:hAnsi="Times New Roman" w:cs="Times New Roman"/>
        </w:rPr>
        <w:t>s policy considerations—when combined with contributory negligence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real-world application—convincing? By 1953, their luster had dimmed to at least some juries and state legislatures. William Prosser, a dean of the torts bar, wrote: </w:t>
      </w:r>
    </w:p>
    <w:p w14:paraId="4A024221" w14:textId="77777777" w:rsidR="004709CA" w:rsidRPr="004709CA" w:rsidRDefault="004709CA" w:rsidP="004709CA">
      <w:pPr>
        <w:rPr>
          <w:rFonts w:ascii="Times New Roman" w:hAnsi="Times New Roman" w:cs="Times New Roman"/>
        </w:rPr>
      </w:pPr>
    </w:p>
    <w:p w14:paraId="53AFC9B9" w14:textId="71EDFB72"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rPr>
          <w:rFonts w:ascii="Times New Roman" w:eastAsia="Times New Roman" w:hAnsi="Times New Roman" w:cs="Times New Roman"/>
        </w:rPr>
        <w:t>“</w:t>
      </w:r>
      <w:r w:rsidRPr="750671CE">
        <w:rPr>
          <w:rFonts w:ascii="Times New Roman" w:eastAsia="Times New Roman" w:hAnsi="Times New Roman" w:cs="Times New Roman"/>
        </w:rPr>
        <w:t>proximate cause,</w:t>
      </w:r>
      <w:r w:rsidR="00510227">
        <w:rPr>
          <w:rFonts w:ascii="Times New Roman" w:eastAsia="Times New Roman" w:hAnsi="Times New Roman" w:cs="Times New Roman"/>
        </w:rPr>
        <w:t>”</w:t>
      </w:r>
      <w:r w:rsidRPr="750671CE">
        <w:rPr>
          <w:rFonts w:ascii="Times New Roman" w:eastAsia="Times New Roman" w:hAnsi="Times New Roman" w:cs="Times New Roman"/>
        </w:rPr>
        <w:t xml:space="preserve"> saying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is an intervening, insulating cause between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and the injury. But this cannot be supported unless a meaning is assigned to proximate cause which is found nowhere else. If two automobiles collide and 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4709CA" w:rsidRDefault="004709CA" w:rsidP="00F94B7E">
      <w:pPr>
        <w:ind w:left="720" w:right="720"/>
        <w:jc w:val="both"/>
        <w:rPr>
          <w:rFonts w:ascii="Times New Roman" w:hAnsi="Times New Roman" w:cs="Times New Roman"/>
        </w:rPr>
      </w:pPr>
    </w:p>
    <w:p w14:paraId="735DE6A3"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No one ever has succeeded in justifying that as a policy, and no one ever will. </w:t>
      </w:r>
    </w:p>
    <w:p w14:paraId="74660348" w14:textId="77777777" w:rsidR="004709CA" w:rsidRPr="004709CA" w:rsidRDefault="004709CA" w:rsidP="004709CA">
      <w:pPr>
        <w:rPr>
          <w:rFonts w:ascii="Times New Roman" w:hAnsi="Times New Roman" w:cs="Times New Roman"/>
        </w:rPr>
      </w:pPr>
    </w:p>
    <w:p w14:paraId="0898DBF8" w14:textId="51D42B5D"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William L. Prosser, </w:t>
      </w:r>
      <w:r w:rsidRPr="00F94B7E">
        <w:rPr>
          <w:rFonts w:ascii="Times New Roman" w:eastAsia="Times New Roman" w:hAnsi="Times New Roman" w:cs="Times New Roman"/>
          <w:i/>
        </w:rPr>
        <w:t>Comparative Negligence</w:t>
      </w:r>
      <w:r w:rsidRPr="750671CE">
        <w:rPr>
          <w:rFonts w:ascii="Times New Roman" w:eastAsia="Times New Roman" w:hAnsi="Times New Roman" w:cs="Times New Roman"/>
        </w:rPr>
        <w:t xml:space="preserve">, 51 </w:t>
      </w:r>
      <w:r w:rsidRPr="00F94B7E">
        <w:rPr>
          <w:rFonts w:ascii="Times New Roman" w:eastAsia="Times New Roman" w:hAnsi="Times New Roman" w:cs="Times New Roman"/>
          <w:smallCaps/>
        </w:rPr>
        <w:t>M</w:t>
      </w:r>
      <w:r w:rsidR="009C1FC7" w:rsidRPr="00F94B7E">
        <w:rPr>
          <w:rFonts w:ascii="Times New Roman" w:eastAsia="Times New Roman" w:hAnsi="Times New Roman" w:cs="Times New Roman"/>
          <w:smallCaps/>
        </w:rPr>
        <w:t>ich. L. Rev.</w:t>
      </w:r>
      <w:r w:rsidRPr="750671CE">
        <w:rPr>
          <w:rFonts w:ascii="Times New Roman" w:eastAsia="Times New Roman" w:hAnsi="Times New Roman" w:cs="Times New Roman"/>
        </w:rPr>
        <w:t xml:space="preserve"> 465, 468-9 (1953).  Prosser</w:t>
      </w:r>
      <w:r w:rsidR="00B05F31">
        <w:rPr>
          <w:rFonts w:ascii="Times New Roman" w:eastAsia="Times New Roman" w:hAnsi="Times New Roman" w:cs="Times New Roman"/>
        </w:rPr>
        <w:t>’</w:t>
      </w:r>
      <w:r w:rsidRPr="750671CE">
        <w:rPr>
          <w:rFonts w:ascii="Times New Roman" w:eastAsia="Times New Roman" w:hAnsi="Times New Roman" w:cs="Times New Roman"/>
        </w:rPr>
        <w:t>s critique enjoyed wide acclaim in the following decades as state legislatures and state supreme courts began softening and repealing their contributory negligence regimes, swapping them out for various rules that allowed negligent plaintiffs to still recover some portion of their damages.</w:t>
      </w:r>
    </w:p>
    <w:p w14:paraId="6B3B617A" w14:textId="77777777" w:rsidR="004709CA" w:rsidRPr="004709CA" w:rsidRDefault="004709CA" w:rsidP="004709CA">
      <w:pPr>
        <w:rPr>
          <w:rFonts w:ascii="Times New Roman" w:hAnsi="Times New Roman" w:cs="Times New Roman"/>
        </w:rPr>
      </w:pPr>
    </w:p>
    <w:p w14:paraId="601781D9" w14:textId="77777777" w:rsidR="004709CA" w:rsidRPr="004709CA" w:rsidRDefault="004709CA" w:rsidP="004709CA">
      <w:pPr>
        <w:rPr>
          <w:rFonts w:ascii="Times New Roman" w:hAnsi="Times New Roman" w:cs="Times New Roman"/>
        </w:rPr>
      </w:pPr>
    </w:p>
    <w:p w14:paraId="00DD5DD8" w14:textId="403F4223" w:rsidR="004709CA" w:rsidRPr="00F94B7E" w:rsidRDefault="750671CE" w:rsidP="00F94B7E">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Last clear chance</w:t>
      </w:r>
      <w:r w:rsidRPr="00F94B7E">
        <w:rPr>
          <w:rFonts w:ascii="Times New Roman" w:eastAsia="Times New Roman" w:hAnsi="Times New Roman" w:cs="Times New Roman"/>
        </w:rPr>
        <w:t xml:space="preserve">. The most notorious of these doctrines was the so-called rule of </w:t>
      </w:r>
      <w:r w:rsidR="00B05F31">
        <w:rPr>
          <w:rFonts w:ascii="Times New Roman" w:eastAsia="Times New Roman" w:hAnsi="Times New Roman" w:cs="Times New Roman"/>
        </w:rPr>
        <w:t>“</w:t>
      </w:r>
      <w:r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The rule achieved a wide variety of forms but is perhaps best summarized as follows: </w:t>
      </w:r>
      <w:r w:rsidR="00B05F31">
        <w:rPr>
          <w:rFonts w:ascii="Times New Roman" w:eastAsia="Times New Roman" w:hAnsi="Times New Roman" w:cs="Times New Roman"/>
        </w:rPr>
        <w:t>“</w:t>
      </w:r>
      <w:r w:rsidRPr="00F94B7E">
        <w:rPr>
          <w:rFonts w:ascii="Times New Roman" w:eastAsia="Times New Roman" w:hAnsi="Times New Roman" w:cs="Times New Roman"/>
        </w:rPr>
        <w:t>When an accident happens through the combined negligence of two persons, he alone is liable to the other who had the last opportunity of avoiding the accident by reasonable care.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009C1FC7" w:rsidRPr="00F94B7E">
        <w:rPr>
          <w:rFonts w:ascii="Times New Roman" w:eastAsia="Times New Roman" w:hAnsi="Times New Roman" w:cs="Times New Roman"/>
          <w:smallCaps/>
        </w:rPr>
        <w:t>John Salmond, Law of Torts</w:t>
      </w:r>
      <w:r w:rsidR="009C1FC7">
        <w:rPr>
          <w:rFonts w:ascii="Times New Roman" w:eastAsia="Times New Roman" w:hAnsi="Times New Roman" w:cs="Times New Roman"/>
        </w:rPr>
        <w:t xml:space="preserve"> 480 </w:t>
      </w:r>
      <w:r w:rsidRPr="00F94B7E">
        <w:rPr>
          <w:rFonts w:ascii="Times New Roman" w:eastAsia="Times New Roman" w:hAnsi="Times New Roman" w:cs="Times New Roman"/>
        </w:rPr>
        <w:t xml:space="preserve">(8th ed. 1934). Last clear chance was thus an opposite to the </w:t>
      </w:r>
      <w:r w:rsidR="00B05F31">
        <w:rPr>
          <w:rFonts w:ascii="Times New Roman" w:eastAsia="Times New Roman" w:hAnsi="Times New Roman" w:cs="Times New Roman"/>
        </w:rPr>
        <w:t>“</w:t>
      </w:r>
      <w:r w:rsidRPr="00F94B7E">
        <w:rPr>
          <w:rFonts w:ascii="Times New Roman" w:eastAsia="Times New Roman" w:hAnsi="Times New Roman" w:cs="Times New Roman"/>
        </w:rPr>
        <w:t>she started it!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defense in childhood squabbles; it was a </w:t>
      </w:r>
      <w:r w:rsidR="00B05F31">
        <w:rPr>
          <w:rFonts w:ascii="Times New Roman" w:eastAsia="Times New Roman" w:hAnsi="Times New Roman" w:cs="Times New Roman"/>
        </w:rPr>
        <w:t>“</w:t>
      </w:r>
      <w:r w:rsidRPr="00F94B7E">
        <w:rPr>
          <w:rFonts w:ascii="Times New Roman" w:eastAsia="Times New Roman" w:hAnsi="Times New Roman" w:cs="Times New Roman"/>
        </w:rPr>
        <w:t>she finished it!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loophole to the harshness of contributory negligence regimes. As long as a negligent defendant had the </w:t>
      </w:r>
      <w:r w:rsidR="00B05F31">
        <w:rPr>
          <w:rFonts w:ascii="Times New Roman" w:eastAsia="Times New Roman" w:hAnsi="Times New Roman" w:cs="Times New Roman"/>
        </w:rPr>
        <w:t>“</w:t>
      </w:r>
      <w:r w:rsidRPr="00F94B7E">
        <w:rPr>
          <w:rFonts w:ascii="Times New Roman" w:eastAsia="Times New Roman" w:hAnsi="Times New Roman" w:cs="Times New Roman"/>
        </w:rPr>
        <w:t>last clear chance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to stop an accident, a negligent plaintiff could still recover her damages from the defendant. </w:t>
      </w:r>
    </w:p>
    <w:p w14:paraId="4765CC2F" w14:textId="77777777" w:rsidR="004709CA" w:rsidRPr="004709CA" w:rsidRDefault="004709CA" w:rsidP="004709CA">
      <w:pPr>
        <w:rPr>
          <w:rFonts w:ascii="Times New Roman" w:hAnsi="Times New Roman" w:cs="Times New Roman"/>
        </w:rPr>
      </w:pPr>
    </w:p>
    <w:p w14:paraId="27570111" w14:textId="014B1E8D"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One difficulty was that, on a practical level, determining exactly who had possessed the last chance was often a tricky question.  Professor Fleming James</w:t>
      </w:r>
      <w:r w:rsidR="008D515E">
        <w:rPr>
          <w:rFonts w:ascii="Times New Roman" w:eastAsia="Times New Roman" w:hAnsi="Times New Roman" w:cs="Times New Roman"/>
        </w:rPr>
        <w:t>—</w:t>
      </w:r>
      <w:r w:rsidRPr="750671CE">
        <w:rPr>
          <w:rFonts w:ascii="Times New Roman" w:eastAsia="Times New Roman" w:hAnsi="Times New Roman" w:cs="Times New Roman"/>
        </w:rPr>
        <w:t>Yale</w:t>
      </w:r>
      <w:r w:rsidR="00B05F31">
        <w:rPr>
          <w:rFonts w:ascii="Times New Roman" w:eastAsia="Times New Roman" w:hAnsi="Times New Roman" w:cs="Times New Roman"/>
        </w:rPr>
        <w:t>’</w:t>
      </w:r>
      <w:r w:rsidRPr="750671CE">
        <w:rPr>
          <w:rFonts w:ascii="Times New Roman" w:eastAsia="Times New Roman" w:hAnsi="Times New Roman" w:cs="Times New Roman"/>
        </w:rPr>
        <w:t>s great torts scholar of the first half of the twentieth century</w:t>
      </w:r>
      <w:r w:rsidR="008D515E">
        <w:rPr>
          <w:rFonts w:ascii="Times New Roman" w:eastAsia="Times New Roman" w:hAnsi="Times New Roman" w:cs="Times New Roman"/>
        </w:rPr>
        <w:t>—</w:t>
      </w:r>
      <w:r w:rsidRPr="750671CE">
        <w:rPr>
          <w:rFonts w:ascii="Times New Roman" w:eastAsia="Times New Roman" w:hAnsi="Times New Roman" w:cs="Times New Roman"/>
        </w:rPr>
        <w:t>identified this problem nearly one hundred years ago:</w:t>
      </w:r>
    </w:p>
    <w:p w14:paraId="4FD0ADE2" w14:textId="77777777" w:rsidR="004709CA" w:rsidRPr="004709CA" w:rsidRDefault="004709CA" w:rsidP="004709CA">
      <w:pPr>
        <w:rPr>
          <w:rFonts w:ascii="Times New Roman" w:hAnsi="Times New Roman" w:cs="Times New Roman"/>
        </w:rPr>
      </w:pPr>
    </w:p>
    <w:p w14:paraId="13ABA699" w14:textId="67A87459"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Before either wakes to the situation there is a collision. . . .  [T]he pedestrian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4709CA" w:rsidRDefault="004709CA" w:rsidP="004709CA">
      <w:pPr>
        <w:rPr>
          <w:rFonts w:ascii="Times New Roman" w:hAnsi="Times New Roman" w:cs="Times New Roman"/>
        </w:rPr>
      </w:pPr>
    </w:p>
    <w:p w14:paraId="47D7D17F" w14:textId="77777777" w:rsidR="004709CA" w:rsidRPr="004709CA" w:rsidRDefault="750671CE" w:rsidP="00F94B7E">
      <w:pPr>
        <w:rPr>
          <w:rFonts w:ascii="Times New Roman" w:eastAsia="Times New Roman" w:hAnsi="Times New Roman" w:cs="Times New Roman"/>
        </w:rPr>
      </w:pPr>
      <w:r w:rsidRPr="750671CE">
        <w:rPr>
          <w:rFonts w:ascii="Times New Roman" w:eastAsia="Times New Roman" w:hAnsi="Times New Roman" w:cs="Times New Roman"/>
        </w:rPr>
        <w:t>On top of such measurement difficulties came absurd implications:</w:t>
      </w:r>
    </w:p>
    <w:p w14:paraId="3D8CE2E8" w14:textId="77777777" w:rsidR="004709CA" w:rsidRPr="004709CA" w:rsidRDefault="004709CA" w:rsidP="004709CA">
      <w:pPr>
        <w:rPr>
          <w:rFonts w:ascii="Times New Roman" w:hAnsi="Times New Roman" w:cs="Times New Roman"/>
        </w:rPr>
      </w:pPr>
    </w:p>
    <w:p w14:paraId="60E9BC17" w14:textId="39DFAD70"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If the car had no brakes or warning device, the defendant will not be held. Nor will he be if the car was going so fast that the equipment was inadequate to prevent the accident after plaintiff has come into the zone of peril. . . . Under the formula, it will be seen, it is sometimes true that the greater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the less its liability. The trolley company may be held for its motorman</w:t>
      </w:r>
      <w:r w:rsidR="00B05F31">
        <w:rPr>
          <w:rFonts w:ascii="Times New Roman" w:eastAsia="Times New Roman" w:hAnsi="Times New Roman" w:cs="Times New Roman"/>
        </w:rPr>
        <w:t>’</w:t>
      </w:r>
      <w:r w:rsidRPr="750671CE">
        <w:rPr>
          <w:rFonts w:ascii="Times New Roman" w:eastAsia="Times New Roman" w:hAnsi="Times New Roman" w:cs="Times New Roman"/>
        </w:rPr>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4709CA" w:rsidRDefault="004709CA" w:rsidP="004709CA">
      <w:pPr>
        <w:rPr>
          <w:rFonts w:ascii="Times New Roman" w:hAnsi="Times New Roman" w:cs="Times New Roman"/>
        </w:rPr>
      </w:pPr>
    </w:p>
    <w:p w14:paraId="48F9EC6B" w14:textId="550D6D97" w:rsidR="004709CA" w:rsidRPr="004709CA" w:rsidRDefault="750671CE" w:rsidP="00F94B7E">
      <w:pPr>
        <w:rPr>
          <w:rFonts w:ascii="Times New Roman" w:eastAsia="Times New Roman" w:hAnsi="Times New Roman" w:cs="Times New Roman"/>
        </w:rPr>
      </w:pPr>
      <w:r w:rsidRPr="750671CE">
        <w:rPr>
          <w:rFonts w:ascii="Times New Roman" w:eastAsia="Times New Roman" w:hAnsi="Times New Roman" w:cs="Times New Roman"/>
        </w:rPr>
        <w:t xml:space="preserve">The last clear chance doctrine faced problems of principle as well. </w:t>
      </w:r>
      <w:r w:rsidR="00B05F31">
        <w:rPr>
          <w:rFonts w:ascii="Times New Roman" w:eastAsia="Times New Roman" w:hAnsi="Times New Roman" w:cs="Times New Roman"/>
        </w:rPr>
        <w:t>“</w:t>
      </w:r>
      <w:r w:rsidRPr="750671CE">
        <w:rPr>
          <w:rFonts w:ascii="Times New Roman" w:eastAsia="Times New Roman" w:hAnsi="Times New Roman" w:cs="Times New Roman"/>
        </w:rPr>
        <w:t>The worst wrongdoer,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James wrote simply but powerfully, </w:t>
      </w:r>
      <w:r w:rsidR="00B05F31">
        <w:rPr>
          <w:rFonts w:ascii="Times New Roman" w:eastAsia="Times New Roman" w:hAnsi="Times New Roman" w:cs="Times New Roman"/>
        </w:rPr>
        <w:t>“</w:t>
      </w:r>
      <w:r w:rsidRPr="750671CE">
        <w:rPr>
          <w:rFonts w:ascii="Times New Roman" w:eastAsia="Times New Roman" w:hAnsi="Times New Roman" w:cs="Times New Roman"/>
        </w:rPr>
        <w:t>is by no means always a last wrongdoer, and there is the difficulty.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Fleming James, Jr., </w:t>
      </w:r>
      <w:r w:rsidRPr="00F94B7E">
        <w:rPr>
          <w:rFonts w:ascii="Times New Roman" w:eastAsia="Times New Roman" w:hAnsi="Times New Roman" w:cs="Times New Roman"/>
          <w:i/>
        </w:rPr>
        <w:t>Last Clear Chance: A Transitional Doctrine</w:t>
      </w:r>
      <w:r w:rsidRPr="750671CE">
        <w:rPr>
          <w:rFonts w:ascii="Times New Roman" w:eastAsia="Times New Roman" w:hAnsi="Times New Roman" w:cs="Times New Roman"/>
        </w:rPr>
        <w:t xml:space="preserve">, 47 </w:t>
      </w:r>
      <w:r w:rsidRPr="00F94B7E">
        <w:rPr>
          <w:rFonts w:ascii="Times New Roman" w:eastAsia="Times New Roman" w:hAnsi="Times New Roman" w:cs="Times New Roman"/>
          <w:smallCaps/>
        </w:rPr>
        <w:t>Y</w:t>
      </w:r>
      <w:r w:rsidR="009C1FC7" w:rsidRPr="00F94B7E">
        <w:rPr>
          <w:rFonts w:ascii="Times New Roman" w:eastAsia="Times New Roman" w:hAnsi="Times New Roman" w:cs="Times New Roman"/>
          <w:smallCaps/>
        </w:rPr>
        <w:t xml:space="preserve">ale </w:t>
      </w:r>
      <w:r w:rsidRPr="00F94B7E">
        <w:rPr>
          <w:rFonts w:ascii="Times New Roman" w:eastAsia="Times New Roman" w:hAnsi="Times New Roman" w:cs="Times New Roman"/>
          <w:smallCaps/>
        </w:rPr>
        <w:t>L.J.</w:t>
      </w:r>
      <w:r w:rsidRPr="750671CE">
        <w:rPr>
          <w:rFonts w:ascii="Times New Roman" w:eastAsia="Times New Roman" w:hAnsi="Times New Roman" w:cs="Times New Roman"/>
        </w:rPr>
        <w:t xml:space="preserve"> 704, 716-</w:t>
      </w:r>
      <w:r w:rsidR="009C1FC7">
        <w:rPr>
          <w:rFonts w:ascii="Times New Roman" w:eastAsia="Times New Roman" w:hAnsi="Times New Roman" w:cs="Times New Roman"/>
        </w:rPr>
        <w:t>1</w:t>
      </w:r>
      <w:r w:rsidRPr="750671CE">
        <w:rPr>
          <w:rFonts w:ascii="Times New Roman" w:eastAsia="Times New Roman" w:hAnsi="Times New Roman" w:cs="Times New Roman"/>
        </w:rPr>
        <w:t>9 (1938) (internal quotations omitted).</w:t>
      </w:r>
    </w:p>
    <w:p w14:paraId="36EFA6F5" w14:textId="77777777" w:rsidR="004709CA" w:rsidRPr="004709CA" w:rsidRDefault="004709CA" w:rsidP="004709CA">
      <w:pPr>
        <w:rPr>
          <w:rFonts w:ascii="Times New Roman" w:hAnsi="Times New Roman" w:cs="Times New Roman"/>
        </w:rPr>
      </w:pPr>
    </w:p>
    <w:p w14:paraId="22E4C691" w14:textId="77777777" w:rsidR="004709CA" w:rsidRPr="004709CA" w:rsidRDefault="004709CA" w:rsidP="004709CA">
      <w:pPr>
        <w:rPr>
          <w:rFonts w:ascii="Times New Roman" w:hAnsi="Times New Roman" w:cs="Times New Roman"/>
        </w:rPr>
      </w:pPr>
    </w:p>
    <w:p w14:paraId="3DA2800B" w14:textId="7F321F3B" w:rsidR="004709CA" w:rsidRPr="00F94B7E" w:rsidRDefault="750671CE" w:rsidP="00F94B7E">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Contributory negligence in the real world</w:t>
      </w:r>
      <w:r w:rsidRPr="00F94B7E">
        <w:rPr>
          <w:rFonts w:ascii="Times New Roman" w:eastAsia="Times New Roman" w:hAnsi="Times New Roman" w:cs="Times New Roman"/>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 states, there was more to the story:</w:t>
      </w:r>
    </w:p>
    <w:p w14:paraId="1E16F7E5" w14:textId="77777777" w:rsidR="004709CA" w:rsidRPr="004709CA" w:rsidRDefault="004709CA" w:rsidP="004709CA">
      <w:pPr>
        <w:rPr>
          <w:rFonts w:ascii="Times New Roman" w:hAnsi="Times New Roman" w:cs="Times New Roman"/>
        </w:rPr>
      </w:pPr>
    </w:p>
    <w:p w14:paraId="7230D41F"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4709CA" w:rsidRDefault="004709CA" w:rsidP="004709CA">
      <w:pPr>
        <w:rPr>
          <w:rFonts w:ascii="Times New Roman" w:hAnsi="Times New Roman" w:cs="Times New Roman"/>
        </w:rPr>
      </w:pPr>
    </w:p>
    <w:p w14:paraId="6C48355C" w14:textId="2EDA20CC"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Charles L. B. Lowndes, </w:t>
      </w:r>
      <w:r w:rsidRPr="00F94B7E">
        <w:rPr>
          <w:rFonts w:ascii="Times New Roman" w:eastAsia="Times New Roman" w:hAnsi="Times New Roman" w:cs="Times New Roman"/>
          <w:i/>
        </w:rPr>
        <w:t>Contributory Negligence</w:t>
      </w:r>
      <w:r w:rsidRPr="750671CE">
        <w:rPr>
          <w:rFonts w:ascii="Times New Roman" w:eastAsia="Times New Roman" w:hAnsi="Times New Roman" w:cs="Times New Roman"/>
        </w:rPr>
        <w:t xml:space="preserve">, 22. </w:t>
      </w:r>
      <w:r w:rsidR="009C1FC7" w:rsidRPr="00F94B7E">
        <w:rPr>
          <w:rFonts w:ascii="Times New Roman" w:eastAsia="Times New Roman" w:hAnsi="Times New Roman" w:cs="Times New Roman"/>
          <w:smallCaps/>
        </w:rPr>
        <w:t>Geo</w:t>
      </w:r>
      <w:r w:rsidRPr="00F94B7E">
        <w:rPr>
          <w:rFonts w:ascii="Times New Roman" w:eastAsia="Times New Roman" w:hAnsi="Times New Roman" w:cs="Times New Roman"/>
          <w:smallCaps/>
        </w:rPr>
        <w:t>. L.J.</w:t>
      </w:r>
      <w:r w:rsidRPr="750671CE">
        <w:rPr>
          <w:rFonts w:ascii="Times New Roman" w:eastAsia="Times New Roman" w:hAnsi="Times New Roman" w:cs="Times New Roman"/>
        </w:rPr>
        <w:t xml:space="preserve"> 674 (1933).  Two decades later, Prosser wrote similarly that the remedy for the defects of the contributory negligence rule </w:t>
      </w:r>
      <w:r w:rsidR="00B05F31">
        <w:rPr>
          <w:rFonts w:ascii="Times New Roman" w:eastAsia="Times New Roman" w:hAnsi="Times New Roman" w:cs="Times New Roman"/>
        </w:rPr>
        <w:t>“</w:t>
      </w:r>
      <w:r w:rsidRPr="750671CE">
        <w:rPr>
          <w:rFonts w:ascii="Times New Roman" w:eastAsia="Times New Roman" w:hAnsi="Times New Roman" w:cs="Times New Roman"/>
        </w:rPr>
        <w:t>has been in the hands of the jury</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2933F92B" w14:textId="77777777" w:rsidR="004709CA" w:rsidRPr="004709CA" w:rsidRDefault="004709CA" w:rsidP="004709CA">
      <w:pPr>
        <w:rPr>
          <w:rFonts w:ascii="Times New Roman" w:hAnsi="Times New Roman" w:cs="Times New Roman"/>
        </w:rPr>
      </w:pPr>
    </w:p>
    <w:p w14:paraId="49EAAC14" w14:textId="4DA30EB9"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Every trial lawyer is well aware that juries often do in fact allow recovery in cases of contributory negligence, and that the compromise in the jury room does result in some diminution of the damages because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fault. But the process is at best a haphazard and most unsatisfactory one. There are still juries which understand and respect the court</w:t>
      </w:r>
      <w:r w:rsidR="00B05F31">
        <w:rPr>
          <w:rFonts w:ascii="Times New Roman" w:eastAsia="Times New Roman" w:hAnsi="Times New Roman" w:cs="Times New Roman"/>
        </w:rPr>
        <w:t>’</w:t>
      </w:r>
      <w:r w:rsidRPr="750671CE">
        <w:rPr>
          <w:rFonts w:ascii="Times New Roman" w:eastAsia="Times New Roman" w:hAnsi="Times New Roman" w:cs="Times New Roman"/>
        </w:rPr>
        <w:t>s instructions on contributory negligence, just as there are other juries which throw them out of the window and refuse even to reduce the recovery by so much as a dime. Above all there are many directed verdict cases where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however slight it may be in comparison with that of the defendant, is still clear beyond dispute, and the court has no choice but to declare it as a matter of law.</w:t>
      </w:r>
    </w:p>
    <w:p w14:paraId="4AD863B7" w14:textId="77777777" w:rsidR="004709CA" w:rsidRPr="004709CA" w:rsidRDefault="004709CA" w:rsidP="004709CA">
      <w:pPr>
        <w:rPr>
          <w:rFonts w:ascii="Times New Roman" w:hAnsi="Times New Roman" w:cs="Times New Roman"/>
        </w:rPr>
      </w:pPr>
    </w:p>
    <w:p w14:paraId="6A764542" w14:textId="0128ED4F"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Prosser, </w:t>
      </w:r>
      <w:r w:rsidRPr="00F94B7E">
        <w:rPr>
          <w:rFonts w:ascii="Times New Roman" w:eastAsia="Times New Roman" w:hAnsi="Times New Roman" w:cs="Times New Roman"/>
          <w:i/>
        </w:rPr>
        <w:t>Comparative Negligence</w:t>
      </w:r>
      <w:r w:rsidRPr="750671CE">
        <w:rPr>
          <w:rFonts w:ascii="Times New Roman" w:eastAsia="Times New Roman" w:hAnsi="Times New Roman" w:cs="Times New Roman"/>
        </w:rPr>
        <w:t xml:space="preserve">, 51 </w:t>
      </w:r>
      <w:r w:rsidRPr="00F94B7E">
        <w:rPr>
          <w:rFonts w:ascii="Times New Roman" w:eastAsia="Times New Roman" w:hAnsi="Times New Roman" w:cs="Times New Roman"/>
          <w:smallCaps/>
        </w:rPr>
        <w:t>M</w:t>
      </w:r>
      <w:r w:rsidR="00EB44AD" w:rsidRPr="00F94B7E">
        <w:rPr>
          <w:rFonts w:ascii="Times New Roman" w:eastAsia="Times New Roman" w:hAnsi="Times New Roman" w:cs="Times New Roman"/>
          <w:smallCaps/>
        </w:rPr>
        <w:t>ich. L. Rev.</w:t>
      </w:r>
      <w:r w:rsidR="00EB44AD">
        <w:rPr>
          <w:rFonts w:ascii="Times New Roman" w:eastAsia="Times New Roman" w:hAnsi="Times New Roman" w:cs="Times New Roman"/>
        </w:rPr>
        <w:t xml:space="preserve"> </w:t>
      </w:r>
      <w:r w:rsidRPr="750671CE">
        <w:rPr>
          <w:rFonts w:ascii="Times New Roman" w:eastAsia="Times New Roman" w:hAnsi="Times New Roman" w:cs="Times New Roman"/>
        </w:rPr>
        <w:t xml:space="preserve">at 469. </w:t>
      </w:r>
    </w:p>
    <w:p w14:paraId="564BF6C0" w14:textId="77777777" w:rsidR="004709CA" w:rsidRPr="004709CA" w:rsidRDefault="004709CA" w:rsidP="004709CA">
      <w:pPr>
        <w:rPr>
          <w:rFonts w:ascii="Times New Roman" w:hAnsi="Times New Roman" w:cs="Times New Roman"/>
        </w:rPr>
      </w:pPr>
    </w:p>
    <w:p w14:paraId="3B4614AB" w14:textId="4146FB50"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recoveries by their proportional fault. </w:t>
      </w:r>
      <w:r w:rsidRPr="00F94B7E">
        <w:rPr>
          <w:rFonts w:ascii="Times New Roman" w:eastAsia="Times New Roman" w:hAnsi="Times New Roman" w:cs="Times New Roman"/>
          <w:i/>
        </w:rPr>
        <w:t>See, e.g.</w:t>
      </w:r>
      <w:r w:rsidRPr="750671CE">
        <w:rPr>
          <w:rFonts w:ascii="Times New Roman" w:eastAsia="Times New Roman" w:hAnsi="Times New Roman" w:cs="Times New Roman"/>
        </w:rPr>
        <w:t xml:space="preserve">, Harry Kalven, Jr., </w:t>
      </w:r>
      <w:r w:rsidRPr="00F94B7E">
        <w:rPr>
          <w:rFonts w:ascii="Times New Roman" w:eastAsia="Times New Roman" w:hAnsi="Times New Roman" w:cs="Times New Roman"/>
          <w:i/>
        </w:rPr>
        <w:t>The Jury, The Law, and the Personal Injury Damage Award</w:t>
      </w:r>
      <w:r w:rsidRPr="750671CE">
        <w:rPr>
          <w:rFonts w:ascii="Times New Roman" w:eastAsia="Times New Roman" w:hAnsi="Times New Roman" w:cs="Times New Roman"/>
        </w:rPr>
        <w:t xml:space="preserve">, 19 </w:t>
      </w:r>
      <w:r w:rsidR="00EB44AD" w:rsidRPr="00F94B7E">
        <w:rPr>
          <w:rFonts w:ascii="Times New Roman" w:eastAsia="Times New Roman" w:hAnsi="Times New Roman" w:cs="Times New Roman"/>
          <w:smallCaps/>
        </w:rPr>
        <w:t>Ohio St.</w:t>
      </w:r>
      <w:r w:rsidRPr="00F94B7E">
        <w:rPr>
          <w:rFonts w:ascii="Times New Roman" w:eastAsia="Times New Roman" w:hAnsi="Times New Roman" w:cs="Times New Roman"/>
          <w:smallCaps/>
        </w:rPr>
        <w:t xml:space="preserve"> L.J.</w:t>
      </w:r>
      <w:r w:rsidRPr="750671CE">
        <w:rPr>
          <w:rFonts w:ascii="Times New Roman" w:eastAsia="Times New Roman" w:hAnsi="Times New Roman" w:cs="Times New Roman"/>
        </w:rPr>
        <w:t xml:space="preserve"> 158, 167-</w:t>
      </w:r>
      <w:r w:rsidR="00EB44AD">
        <w:rPr>
          <w:rFonts w:ascii="Times New Roman" w:eastAsia="Times New Roman" w:hAnsi="Times New Roman" w:cs="Times New Roman"/>
        </w:rPr>
        <w:t>6</w:t>
      </w:r>
      <w:r w:rsidRPr="750671CE">
        <w:rPr>
          <w:rFonts w:ascii="Times New Roman" w:eastAsia="Times New Roman" w:hAnsi="Times New Roman" w:cs="Times New Roman"/>
        </w:rPr>
        <w:t xml:space="preserve">8 (1958); Lewis F. Powell, Jr., </w:t>
      </w:r>
      <w:r w:rsidRPr="00F94B7E">
        <w:rPr>
          <w:rFonts w:ascii="Times New Roman" w:eastAsia="Times New Roman" w:hAnsi="Times New Roman" w:cs="Times New Roman"/>
          <w:i/>
        </w:rPr>
        <w:t>Contributory Negligence: A Necessary Check on the American Jury</w:t>
      </w:r>
      <w:r w:rsidRPr="750671CE">
        <w:rPr>
          <w:rFonts w:ascii="Times New Roman" w:eastAsia="Times New Roman" w:hAnsi="Times New Roman" w:cs="Times New Roman"/>
        </w:rPr>
        <w:t>, 43 A.B.A.J. 1005, 1006 (1957).  In fact, in a before-and-after study of the contributory negligence rule, Professor Maurice Rosenberg concluded that there was no change in the size of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recoveries after the abolition of the rule, indicating that juries had been factoring in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negligence all along. Maurice Rosenberg, </w:t>
      </w:r>
      <w:r w:rsidRPr="00F94B7E">
        <w:rPr>
          <w:rFonts w:ascii="Times New Roman" w:eastAsia="Times New Roman" w:hAnsi="Times New Roman" w:cs="Times New Roman"/>
          <w:i/>
        </w:rPr>
        <w:t xml:space="preserve">Comparative Negligence in Arkansas: A </w:t>
      </w:r>
      <w:r w:rsidR="00B05F31">
        <w:rPr>
          <w:rFonts w:ascii="Times New Roman" w:eastAsia="Times New Roman" w:hAnsi="Times New Roman" w:cs="Times New Roman"/>
          <w:i/>
        </w:rPr>
        <w:t>“</w:t>
      </w:r>
      <w:r w:rsidRPr="00F94B7E">
        <w:rPr>
          <w:rFonts w:ascii="Times New Roman" w:eastAsia="Times New Roman" w:hAnsi="Times New Roman" w:cs="Times New Roman"/>
          <w:i/>
        </w:rPr>
        <w:t>Before and After</w:t>
      </w:r>
      <w:r w:rsidR="00B05F31">
        <w:rPr>
          <w:rFonts w:ascii="Times New Roman" w:eastAsia="Times New Roman" w:hAnsi="Times New Roman" w:cs="Times New Roman"/>
          <w:i/>
        </w:rPr>
        <w:t>”</w:t>
      </w:r>
      <w:r w:rsidRPr="00F94B7E">
        <w:rPr>
          <w:rFonts w:ascii="Times New Roman" w:eastAsia="Times New Roman" w:hAnsi="Times New Roman" w:cs="Times New Roman"/>
          <w:i/>
        </w:rPr>
        <w:t xml:space="preserve"> Survey</w:t>
      </w:r>
      <w:r w:rsidRPr="750671CE">
        <w:rPr>
          <w:rFonts w:ascii="Times New Roman" w:eastAsia="Times New Roman" w:hAnsi="Times New Roman" w:cs="Times New Roman"/>
        </w:rPr>
        <w:t xml:space="preserve">, 13 </w:t>
      </w:r>
      <w:r w:rsidR="00EB44AD" w:rsidRPr="00F94B7E">
        <w:rPr>
          <w:rFonts w:ascii="Times New Roman" w:eastAsia="Times New Roman" w:hAnsi="Times New Roman" w:cs="Times New Roman"/>
          <w:smallCaps/>
        </w:rPr>
        <w:t>Ark. L. Rev.</w:t>
      </w:r>
      <w:r w:rsidR="00EB44AD">
        <w:rPr>
          <w:rFonts w:ascii="Times New Roman" w:eastAsia="Times New Roman" w:hAnsi="Times New Roman" w:cs="Times New Roman"/>
        </w:rPr>
        <w:t xml:space="preserve"> </w:t>
      </w:r>
      <w:r w:rsidRPr="750671CE">
        <w:rPr>
          <w:rFonts w:ascii="Times New Roman" w:eastAsia="Times New Roman" w:hAnsi="Times New Roman" w:cs="Times New Roman"/>
        </w:rPr>
        <w:t>89, 103</w:t>
      </w:r>
      <w:r w:rsidR="001B42B1">
        <w:rPr>
          <w:rFonts w:ascii="Times New Roman" w:eastAsia="Times New Roman" w:hAnsi="Times New Roman" w:cs="Times New Roman"/>
        </w:rPr>
        <w:t xml:space="preserve"> (1959)</w:t>
      </w:r>
      <w:r w:rsidRPr="750671CE">
        <w:rPr>
          <w:rFonts w:ascii="Times New Roman" w:eastAsia="Times New Roman" w:hAnsi="Times New Roman" w:cs="Times New Roman"/>
        </w:rPr>
        <w:t>.</w:t>
      </w:r>
    </w:p>
    <w:p w14:paraId="0A93B3B3" w14:textId="77777777" w:rsidR="004709CA" w:rsidRPr="004709CA" w:rsidRDefault="004709CA" w:rsidP="004709CA">
      <w:pPr>
        <w:rPr>
          <w:rFonts w:ascii="Times New Roman" w:hAnsi="Times New Roman" w:cs="Times New Roman"/>
        </w:rPr>
      </w:pPr>
    </w:p>
    <w:p w14:paraId="3BEEA601" w14:textId="1AAB22FA" w:rsidR="004709CA" w:rsidRPr="00F94B7E" w:rsidRDefault="750671CE" w:rsidP="00F94B7E">
      <w:pPr>
        <w:pStyle w:val="ListParagraph"/>
        <w:numPr>
          <w:ilvl w:val="0"/>
          <w:numId w:val="1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Contributory negligence outside of the courtroom</w:t>
      </w:r>
      <w:r w:rsidRPr="00F94B7E">
        <w:rPr>
          <w:rFonts w:ascii="Times New Roman" w:eastAsia="Times New Roman" w:hAnsi="Times New Roman" w:cs="Times New Roman"/>
        </w:rPr>
        <w:t>.  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Pr>
          <w:rFonts w:ascii="Times New Roman" w:eastAsia="Times New Roman" w:hAnsi="Times New Roman" w:cs="Times New Roman"/>
        </w:rPr>
        <w:t>—</w:t>
      </w:r>
      <w:r w:rsidRPr="00F94B7E">
        <w:rPr>
          <w:rFonts w:ascii="Times New Roman" w:eastAsia="Times New Roman" w:hAnsi="Times New Roman" w:cs="Times New Roman"/>
        </w:rPr>
        <w:t>often the plaintiffs</w:t>
      </w:r>
      <w:r w:rsidR="001B42B1">
        <w:rPr>
          <w:rFonts w:ascii="Times New Roman" w:eastAsia="Times New Roman" w:hAnsi="Times New Roman" w:cs="Times New Roman"/>
        </w:rPr>
        <w:t>—</w:t>
      </w:r>
      <w:r w:rsidRPr="00F94B7E">
        <w:rPr>
          <w:rFonts w:ascii="Times New Roman" w:eastAsia="Times New Roman" w:hAnsi="Times New Roman" w:cs="Times New Roman"/>
        </w:rPr>
        <w:t xml:space="preserve">would have been willing to accept especially steep discounts from their damages in return for escaping the possibility of a devastating contributory negligence finding. </w:t>
      </w:r>
    </w:p>
    <w:p w14:paraId="4D6335A0" w14:textId="77777777" w:rsidR="004709CA" w:rsidRPr="004709CA" w:rsidRDefault="004709CA" w:rsidP="004709CA">
      <w:pPr>
        <w:rPr>
          <w:rFonts w:ascii="Times New Roman" w:hAnsi="Times New Roman" w:cs="Times New Roman"/>
        </w:rPr>
      </w:pPr>
    </w:p>
    <w:p w14:paraId="720D1CFB" w14:textId="283483FF"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 xml:space="preserve">The limited application of the contributory negligence rule in settlement was perhaps most apparent in the work of the claims adjusters who settled tort claims for insurance companies. In his classic sociological study of insurance claim adjusters, </w:t>
      </w:r>
      <w:r w:rsidRPr="00F94B7E">
        <w:rPr>
          <w:rFonts w:ascii="Times New Roman" w:eastAsia="Times New Roman" w:hAnsi="Times New Roman" w:cs="Times New Roman"/>
          <w:i/>
        </w:rPr>
        <w:t>Settled Out of Court</w:t>
      </w:r>
      <w:r w:rsidRPr="750671CE">
        <w:rPr>
          <w:rFonts w:ascii="Times New Roman" w:eastAsia="Times New Roman" w:hAnsi="Times New Roman" w:cs="Times New Roman"/>
        </w:rPr>
        <w:t>, Hugh Laurence Ross reported how they settled cases in the event of a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 contributory negligence states:</w:t>
      </w:r>
    </w:p>
    <w:p w14:paraId="7C1DAB90" w14:textId="77777777" w:rsidR="004709CA" w:rsidRPr="004709CA" w:rsidRDefault="004709CA" w:rsidP="004709CA">
      <w:pPr>
        <w:rPr>
          <w:rFonts w:ascii="Times New Roman" w:hAnsi="Times New Roman" w:cs="Times New Roman"/>
        </w:rPr>
      </w:pPr>
    </w:p>
    <w:p w14:paraId="194BA030"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4709CA" w:rsidRDefault="004709CA" w:rsidP="00F94B7E">
      <w:pPr>
        <w:ind w:left="720" w:right="720"/>
        <w:jc w:val="both"/>
        <w:rPr>
          <w:rFonts w:ascii="Times New Roman" w:hAnsi="Times New Roman" w:cs="Times New Roman"/>
        </w:rPr>
      </w:pPr>
    </w:p>
    <w:p w14:paraId="76551B97" w14:textId="32698FE9"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facts appearing in [various data on insurance settlements] . . . indicate</w:t>
      </w:r>
      <w:r w:rsidR="001D5F4F">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r w:rsidR="00B05F31">
        <w:rPr>
          <w:rFonts w:ascii="Times New Roman" w:eastAsia="Times New Roman" w:hAnsi="Times New Roman" w:cs="Times New Roman"/>
        </w:rPr>
        <w:t>”</w:t>
      </w:r>
    </w:p>
    <w:p w14:paraId="3A1072C2" w14:textId="77777777" w:rsidR="004709CA" w:rsidRPr="004709CA" w:rsidRDefault="004709CA" w:rsidP="004709CA">
      <w:pPr>
        <w:rPr>
          <w:rFonts w:ascii="Times New Roman" w:hAnsi="Times New Roman" w:cs="Times New Roman"/>
        </w:rPr>
      </w:pPr>
    </w:p>
    <w:p w14:paraId="240F3C8B" w14:textId="16C2B53D" w:rsidR="004709CA" w:rsidRPr="004709CA" w:rsidRDefault="001B42B1" w:rsidP="750671CE">
      <w:pPr>
        <w:rPr>
          <w:rFonts w:ascii="Times New Roman" w:eastAsia="Times New Roman" w:hAnsi="Times New Roman" w:cs="Times New Roman"/>
        </w:rPr>
      </w:pPr>
      <w:r w:rsidRPr="00F94B7E">
        <w:rPr>
          <w:rFonts w:ascii="Times New Roman" w:eastAsia="Times New Roman" w:hAnsi="Times New Roman" w:cs="Times New Roman"/>
          <w:smallCaps/>
        </w:rPr>
        <w:t>Hugh Lawrence Ross, Settled Out of Court: The Social Process of Insurance Claims Adjustment</w:t>
      </w:r>
      <w:r>
        <w:rPr>
          <w:rFonts w:ascii="Times New Roman" w:eastAsia="Times New Roman" w:hAnsi="Times New Roman" w:cs="Times New Roman"/>
          <w:smallCaps/>
        </w:rPr>
        <w:t xml:space="preserve"> </w:t>
      </w:r>
      <w:r w:rsidR="750671CE" w:rsidRPr="750671CE">
        <w:rPr>
          <w:rFonts w:ascii="Times New Roman" w:eastAsia="Times New Roman" w:hAnsi="Times New Roman" w:cs="Times New Roman"/>
        </w:rPr>
        <w:t>128, 211 (1970).</w:t>
      </w:r>
    </w:p>
    <w:p w14:paraId="77925F95" w14:textId="77777777" w:rsidR="004709CA" w:rsidRPr="004709CA" w:rsidRDefault="004709CA" w:rsidP="004709CA">
      <w:pPr>
        <w:rPr>
          <w:rFonts w:ascii="Times New Roman" w:hAnsi="Times New Roman" w:cs="Times New Roman"/>
        </w:rPr>
      </w:pPr>
    </w:p>
    <w:p w14:paraId="4569D515" w14:textId="23BA2108"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Yet for all the real-world limits on the contributory negligence rule</w:t>
      </w:r>
      <w:r w:rsidR="00B05F31">
        <w:rPr>
          <w:rFonts w:ascii="Times New Roman" w:eastAsia="Times New Roman" w:hAnsi="Times New Roman" w:cs="Times New Roman"/>
        </w:rPr>
        <w:t>’</w:t>
      </w:r>
      <w:r w:rsidRPr="750671CE">
        <w:rPr>
          <w:rFonts w:ascii="Times New Roman" w:eastAsia="Times New Roman" w:hAnsi="Times New Roman" w:cs="Times New Roman"/>
        </w:rPr>
        <w:t>s effect, or perhaps because of them, the rule gave way in virtually every state to a regime known as comparative negligence.  Keeping in mind the public policy problem, consider the following two cases:</w:t>
      </w:r>
    </w:p>
    <w:p w14:paraId="08206D82" w14:textId="77777777" w:rsidR="004709CA" w:rsidRPr="004709CA" w:rsidRDefault="004709CA" w:rsidP="004709CA">
      <w:pPr>
        <w:rPr>
          <w:rFonts w:ascii="Times New Roman" w:hAnsi="Times New Roman" w:cs="Times New Roman"/>
        </w:rPr>
      </w:pPr>
    </w:p>
    <w:p w14:paraId="5F15D6C3" w14:textId="77777777" w:rsidR="004709CA" w:rsidRPr="004709CA" w:rsidRDefault="004709CA" w:rsidP="004709CA">
      <w:pPr>
        <w:rPr>
          <w:rFonts w:ascii="Times New Roman" w:hAnsi="Times New Roman" w:cs="Times New Roman"/>
        </w:rPr>
      </w:pPr>
    </w:p>
    <w:p w14:paraId="63DCDC11" w14:textId="77777777" w:rsidR="004709CA" w:rsidRPr="004709CA" w:rsidRDefault="004709CA" w:rsidP="00322687">
      <w:pPr>
        <w:pStyle w:val="Heading3"/>
      </w:pPr>
      <w:bookmarkStart w:id="382" w:name="_Toc364636149"/>
      <w:bookmarkStart w:id="383" w:name="_Toc518323362"/>
      <w:r w:rsidRPr="004709CA">
        <w:t>2.  Comparative Negligence</w:t>
      </w:r>
      <w:bookmarkEnd w:id="382"/>
      <w:bookmarkEnd w:id="383"/>
    </w:p>
    <w:p w14:paraId="2AF3613A" w14:textId="77777777" w:rsidR="004709CA" w:rsidRPr="004709CA" w:rsidRDefault="004709CA" w:rsidP="004709CA">
      <w:pPr>
        <w:rPr>
          <w:rFonts w:ascii="Times New Roman" w:hAnsi="Times New Roman" w:cs="Times New Roman"/>
        </w:rPr>
      </w:pPr>
    </w:p>
    <w:p w14:paraId="55E5BADF" w14:textId="62D35B97" w:rsidR="004709CA" w:rsidRPr="00F94B7E" w:rsidRDefault="004709CA" w:rsidP="750671CE">
      <w:pPr>
        <w:rPr>
          <w:rFonts w:ascii="Times New Roman" w:eastAsia="Times New Roman" w:hAnsi="Times New Roman" w:cs="Times New Roman"/>
          <w:b/>
        </w:rPr>
      </w:pPr>
      <w:bookmarkStart w:id="384" w:name="_Toc518323363"/>
      <w:r w:rsidRPr="005F6519">
        <w:rPr>
          <w:rStyle w:val="Heading4Char"/>
          <w:rFonts w:eastAsiaTheme="minorEastAsia"/>
          <w:bCs w:val="0"/>
        </w:rPr>
        <w:t>Li v. Yellow Cab Company of California</w:t>
      </w:r>
      <w:r w:rsidR="005F6519">
        <w:rPr>
          <w:rStyle w:val="Heading4Char"/>
          <w:rFonts w:eastAsiaTheme="minorEastAsia"/>
          <w:bCs w:val="0"/>
        </w:rPr>
        <w:t>,</w:t>
      </w:r>
      <w:bookmarkEnd w:id="384"/>
      <w:r w:rsidRPr="00F94B7E">
        <w:rPr>
          <w:rFonts w:ascii="Times New Roman" w:eastAsia="Times New Roman" w:hAnsi="Times New Roman" w:cs="Times New Roman"/>
          <w:b/>
        </w:rPr>
        <w:t xml:space="preserve"> 532 P.2d 1226 (Cal. 1975)</w:t>
      </w:r>
    </w:p>
    <w:p w14:paraId="693EDDD1" w14:textId="77777777" w:rsidR="004709CA" w:rsidRPr="004709CA" w:rsidRDefault="004709CA" w:rsidP="004709CA">
      <w:pPr>
        <w:rPr>
          <w:rFonts w:ascii="Times New Roman" w:hAnsi="Times New Roman" w:cs="Times New Roman"/>
        </w:rPr>
      </w:pPr>
    </w:p>
    <w:p w14:paraId="2BD08ED7" w14:textId="46AFA599" w:rsidR="004709CA" w:rsidRPr="00470159" w:rsidRDefault="750671CE" w:rsidP="750671CE">
      <w:pPr>
        <w:rPr>
          <w:rFonts w:ascii="Times New Roman" w:eastAsia="Times New Roman" w:hAnsi="Times New Roman" w:cs="Times New Roman"/>
          <w:smallCaps/>
        </w:rPr>
      </w:pPr>
      <w:r w:rsidRPr="750671CE">
        <w:rPr>
          <w:rFonts w:ascii="Times New Roman" w:eastAsia="Times New Roman" w:hAnsi="Times New Roman" w:cs="Times New Roman"/>
          <w:smallCaps/>
        </w:rPr>
        <w:t>S</w:t>
      </w:r>
      <w:r w:rsidR="001B42B1">
        <w:rPr>
          <w:rFonts w:ascii="Times New Roman" w:eastAsia="Times New Roman" w:hAnsi="Times New Roman" w:cs="Times New Roman"/>
          <w:smallCaps/>
        </w:rPr>
        <w:t>ullivan</w:t>
      </w:r>
      <w:r w:rsidRPr="750671CE">
        <w:rPr>
          <w:rFonts w:ascii="Times New Roman" w:eastAsia="Times New Roman" w:hAnsi="Times New Roman" w:cs="Times New Roman"/>
          <w:smallCaps/>
        </w:rPr>
        <w:t>, J.</w:t>
      </w:r>
    </w:p>
    <w:p w14:paraId="7B04A7DE" w14:textId="77777777" w:rsidR="004709CA" w:rsidRPr="004709CA" w:rsidRDefault="004709CA" w:rsidP="004709CA">
      <w:pPr>
        <w:rPr>
          <w:rFonts w:ascii="Times New Roman" w:hAnsi="Times New Roman" w:cs="Times New Roman"/>
        </w:rPr>
      </w:pPr>
    </w:p>
    <w:p w14:paraId="7CA8E0B6" w14:textId="173B8ECA"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automobile, resulting in personal injuries to plaintiff as well as considerable damage to the automobile.</w:t>
      </w:r>
    </w:p>
    <w:p w14:paraId="75C1AA10" w14:textId="77777777" w:rsidR="004709CA" w:rsidRPr="004709CA" w:rsidRDefault="004709CA" w:rsidP="004709CA">
      <w:pPr>
        <w:rPr>
          <w:rFonts w:ascii="Times New Roman" w:hAnsi="Times New Roman" w:cs="Times New Roman"/>
        </w:rPr>
      </w:pPr>
    </w:p>
    <w:p w14:paraId="21A62312" w14:textId="50E92EB8"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left turn across the southbound lanes of Alvarado </w:t>
      </w:r>
      <w:r w:rsidR="00B05F31">
        <w:rPr>
          <w:rFonts w:ascii="Times New Roman" w:eastAsia="Times New Roman" w:hAnsi="Times New Roman" w:cs="Times New Roman"/>
        </w:rPr>
        <w:t>“</w:t>
      </w:r>
      <w:r w:rsidRPr="750671CE">
        <w:rPr>
          <w:rFonts w:ascii="Times New Roman" w:eastAsia="Times New Roman" w:hAnsi="Times New Roman" w:cs="Times New Roman"/>
        </w:rPr>
        <w:t>was made at a time when a vehicle was approaching from the opposite direction so close as to constitute an immediate hazard.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dispositive conclusion of law was as follows: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That the driving of </w:t>
      </w:r>
      <w:r w:rsidR="00510227">
        <w:rPr>
          <w:rFonts w:ascii="Times New Roman" w:eastAsia="Times New Roman" w:hAnsi="Times New Roman" w:cs="Times New Roman"/>
        </w:rPr>
        <w:t xml:space="preserve">[Nga Li] </w:t>
      </w:r>
      <w:r w:rsidRPr="750671CE">
        <w:rPr>
          <w:rFonts w:ascii="Times New Roman" w:eastAsia="Times New Roman" w:hAnsi="Times New Roman" w:cs="Times New Roman"/>
        </w:rPr>
        <w:t>was negligent, that such negligence was a proximate cause of the collision, and that she is barred from recovery by reason of such contributory negligence.</w:t>
      </w:r>
      <w:r w:rsidR="00B05F31">
        <w:rPr>
          <w:rFonts w:ascii="Times New Roman" w:eastAsia="Times New Roman" w:hAnsi="Times New Roman" w:cs="Times New Roman"/>
        </w:rPr>
        <w:t>”</w:t>
      </w:r>
    </w:p>
    <w:p w14:paraId="7D9C3BBB" w14:textId="77777777" w:rsidR="004709CA" w:rsidRPr="004709CA" w:rsidRDefault="004709CA" w:rsidP="004709CA">
      <w:pPr>
        <w:rPr>
          <w:rFonts w:ascii="Times New Roman" w:hAnsi="Times New Roman" w:cs="Times New Roman"/>
        </w:rPr>
      </w:pPr>
    </w:p>
    <w:p w14:paraId="6DAC7F19"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Judgment for defendants was entered accordingly.</w:t>
      </w:r>
    </w:p>
    <w:p w14:paraId="0D94E031" w14:textId="77777777" w:rsidR="004709CA" w:rsidRPr="004709CA" w:rsidRDefault="004709CA" w:rsidP="004709CA">
      <w:pPr>
        <w:rPr>
          <w:rFonts w:ascii="Times New Roman" w:hAnsi="Times New Roman" w:cs="Times New Roman"/>
        </w:rPr>
      </w:pPr>
    </w:p>
    <w:p w14:paraId="23695FE4"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w:t>
      </w:r>
    </w:p>
    <w:p w14:paraId="1C906820" w14:textId="77777777" w:rsidR="004709CA" w:rsidRPr="004709CA" w:rsidRDefault="004709CA" w:rsidP="004709CA">
      <w:pPr>
        <w:rPr>
          <w:rFonts w:ascii="Times New Roman" w:hAnsi="Times New Roman" w:cs="Times New Roman"/>
        </w:rPr>
      </w:pPr>
    </w:p>
    <w:p w14:paraId="6AF7533D" w14:textId="1AB6FFCD" w:rsidR="004709CA" w:rsidRPr="004709CA" w:rsidRDefault="00B05F31" w:rsidP="750671CE">
      <w:pPr>
        <w:ind w:firstLine="720"/>
        <w:rPr>
          <w:rFonts w:ascii="Times New Roman" w:eastAsia="Times New Roman" w:hAnsi="Times New Roman" w:cs="Times New Roman"/>
        </w:rPr>
      </w:pPr>
      <w:r>
        <w:rPr>
          <w:rFonts w:ascii="Times New Roman" w:eastAsia="Times New Roman" w:hAnsi="Times New Roman" w:cs="Times New Roman"/>
        </w:rPr>
        <w:t>“</w:t>
      </w:r>
      <w:r w:rsidR="750671CE" w:rsidRPr="750671CE">
        <w:rPr>
          <w:rFonts w:ascii="Times New Roman" w:eastAsia="Times New Roman" w:hAnsi="Times New Roman" w:cs="Times New Roman"/>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Pr>
          <w:rFonts w:ascii="Times New Roman" w:eastAsia="Times New Roman" w:hAnsi="Times New Roman" w:cs="Times New Roman"/>
        </w:rPr>
        <w:t>’</w:t>
      </w:r>
      <w:r w:rsidR="750671CE" w:rsidRPr="750671CE">
        <w:rPr>
          <w:rFonts w:ascii="Times New Roman" w:eastAsia="Times New Roman" w:hAnsi="Times New Roman" w:cs="Times New Roman"/>
        </w:rPr>
        <w:t>s harm.</w:t>
      </w:r>
      <w:r>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750671CE" w:rsidRPr="00F94B7E">
        <w:rPr>
          <w:rFonts w:ascii="Times New Roman" w:eastAsia="Times New Roman" w:hAnsi="Times New Roman" w:cs="Times New Roman"/>
          <w:smallCaps/>
        </w:rPr>
        <w:t>Rest</w:t>
      </w:r>
      <w:r w:rsidR="001B42B1" w:rsidRPr="00F94B7E">
        <w:rPr>
          <w:rFonts w:ascii="Times New Roman" w:eastAsia="Times New Roman" w:hAnsi="Times New Roman" w:cs="Times New Roman"/>
          <w:smallCaps/>
        </w:rPr>
        <w:t>atement (Second)</w:t>
      </w:r>
      <w:r w:rsidR="750671CE" w:rsidRPr="00F94B7E">
        <w:rPr>
          <w:rFonts w:ascii="Times New Roman" w:eastAsia="Times New Roman" w:hAnsi="Times New Roman" w:cs="Times New Roman"/>
          <w:smallCaps/>
        </w:rPr>
        <w:t xml:space="preserve"> Torts</w:t>
      </w:r>
      <w:r w:rsidR="750671CE" w:rsidRPr="750671CE">
        <w:rPr>
          <w:rFonts w:ascii="Times New Roman" w:eastAsia="Times New Roman" w:hAnsi="Times New Roman" w:cs="Times New Roman"/>
        </w:rPr>
        <w:t xml:space="preserve">, </w:t>
      </w:r>
      <w:r w:rsidR="001B42B1">
        <w:rPr>
          <w:rFonts w:ascii="Times New Roman" w:eastAsia="Times New Roman" w:hAnsi="Times New Roman" w:cs="Times New Roman"/>
        </w:rPr>
        <w:t>§</w:t>
      </w:r>
      <w:r w:rsidR="750671CE" w:rsidRPr="750671CE">
        <w:rPr>
          <w:rFonts w:ascii="Times New Roman" w:eastAsia="Times New Roman" w:hAnsi="Times New Roman" w:cs="Times New Roman"/>
        </w:rPr>
        <w:t xml:space="preserve">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rPr>
          <w:rFonts w:ascii="Times New Roman" w:eastAsia="Times New Roman" w:hAnsi="Times New Roman" w:cs="Times New Roman"/>
        </w:rPr>
        <w:t>‘</w:t>
      </w:r>
      <w:r w:rsidR="750671CE" w:rsidRPr="750671CE">
        <w:rPr>
          <w:rFonts w:ascii="Times New Roman" w:eastAsia="Times New Roman" w:hAnsi="Times New Roman" w:cs="Times New Roman"/>
        </w:rPr>
        <w:t>Except where the defendant has the last clear chance, the plaintiff</w:t>
      </w:r>
      <w:r>
        <w:rPr>
          <w:rFonts w:ascii="Times New Roman" w:eastAsia="Times New Roman" w:hAnsi="Times New Roman" w:cs="Times New Roman"/>
        </w:rPr>
        <w:t>’</w:t>
      </w:r>
      <w:r w:rsidR="750671CE" w:rsidRPr="750671CE">
        <w:rPr>
          <w:rFonts w:ascii="Times New Roman" w:eastAsia="Times New Roman" w:hAnsi="Times New Roman" w:cs="Times New Roman"/>
        </w:rPr>
        <w:t>s contributory negligence bars recovery against a defendant whose negligent conduct would otherwise make him liable to the plaintiff for the harm sustained by him.</w:t>
      </w:r>
      <w:r>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00510227">
        <w:rPr>
          <w:rFonts w:ascii="Times New Roman" w:eastAsia="Times New Roman" w:hAnsi="Times New Roman" w:cs="Times New Roman"/>
        </w:rPr>
        <w:t>([</w:t>
      </w:r>
      <w:r w:rsidR="001B42B1" w:rsidRPr="00F94B7E">
        <w:rPr>
          <w:rFonts w:ascii="Times New Roman" w:eastAsia="Times New Roman" w:hAnsi="Times New Roman" w:cs="Times New Roman"/>
          <w:i/>
        </w:rPr>
        <w:t>Id</w:t>
      </w:r>
      <w:r w:rsidR="001B42B1">
        <w:rPr>
          <w:rFonts w:ascii="Times New Roman" w:eastAsia="Times New Roman" w:hAnsi="Times New Roman" w:cs="Times New Roman"/>
        </w:rPr>
        <w:t>.</w:t>
      </w:r>
      <w:r w:rsidR="750671CE" w:rsidRPr="750671CE">
        <w:rPr>
          <w:rFonts w:ascii="Times New Roman" w:eastAsia="Times New Roman" w:hAnsi="Times New Roman" w:cs="Times New Roman"/>
        </w:rPr>
        <w:t xml:space="preserve"> </w:t>
      </w:r>
      <w:r w:rsidR="001B42B1">
        <w:rPr>
          <w:rFonts w:ascii="Times New Roman" w:eastAsia="Times New Roman" w:hAnsi="Times New Roman" w:cs="Times New Roman"/>
        </w:rPr>
        <w:t>§</w:t>
      </w:r>
      <w:r w:rsidR="00510227">
        <w:rPr>
          <w:rFonts w:ascii="Times New Roman" w:eastAsia="Times New Roman" w:hAnsi="Times New Roman" w:cs="Times New Roman"/>
        </w:rPr>
        <w:t>]</w:t>
      </w:r>
      <w:r w:rsidR="750671CE" w:rsidRPr="750671CE">
        <w:rPr>
          <w:rFonts w:ascii="Times New Roman" w:eastAsia="Times New Roman" w:hAnsi="Times New Roman" w:cs="Times New Roman"/>
        </w:rPr>
        <w:t xml:space="preserve"> 467.) </w:t>
      </w:r>
    </w:p>
    <w:p w14:paraId="2D412D2B" w14:textId="77777777" w:rsidR="004709CA" w:rsidRPr="004709CA" w:rsidRDefault="004709CA" w:rsidP="004709CA">
      <w:pPr>
        <w:rPr>
          <w:rFonts w:ascii="Times New Roman" w:hAnsi="Times New Roman" w:cs="Times New Roman"/>
        </w:rPr>
      </w:pPr>
    </w:p>
    <w:p w14:paraId="386E9493" w14:textId="422A8D53" w:rsidR="004709CA" w:rsidRPr="004709CA" w:rsidRDefault="004709CA"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This rule, rooted in the long-standing principle that one should not recover from another for damages brought upon oneself </w:t>
      </w:r>
      <w:r w:rsidR="00746162">
        <w:rPr>
          <w:rFonts w:ascii="Times New Roman" w:eastAsia="Times New Roman" w:hAnsi="Times New Roman" w:cs="Times New Roman"/>
        </w:rPr>
        <w:t xml:space="preserve">. . . </w:t>
      </w:r>
      <w:r w:rsidR="00746162" w:rsidRPr="750671CE">
        <w:rPr>
          <w:rFonts w:ascii="Times New Roman" w:eastAsia="Times New Roman" w:hAnsi="Times New Roman" w:cs="Times New Roman"/>
        </w:rPr>
        <w:t xml:space="preserve">, </w:t>
      </w:r>
      <w:r w:rsidRPr="750671CE">
        <w:rPr>
          <w:rFonts w:ascii="Times New Roman" w:eastAsia="Times New Roman" w:hAnsi="Times New Roman" w:cs="Times New Roman"/>
        </w:rPr>
        <w:t>has been the law of this state from its beginning.</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Although criticized almost from the outset for the harshness of its operation, it has weathered numerous a</w:t>
      </w:r>
      <w:r w:rsidR="00075719" w:rsidRPr="750671CE">
        <w:rPr>
          <w:rFonts w:ascii="Times New Roman" w:eastAsia="Times New Roman" w:hAnsi="Times New Roman" w:cs="Times New Roman"/>
        </w:rPr>
        <w:t>ttacks, in both the legislative</w:t>
      </w:r>
      <w:r w:rsidR="00075719" w:rsidRPr="750671CE">
        <w:rPr>
          <w:rStyle w:val="FootnoteReference"/>
          <w:rFonts w:ascii="Times New Roman" w:eastAsia="Times New Roman" w:hAnsi="Times New Roman" w:cs="Times New Roman"/>
        </w:rPr>
        <w:footnoteReference w:customMarkFollows="1" w:id="10"/>
        <w:t>1</w:t>
      </w:r>
      <w:r w:rsidRPr="750671CE">
        <w:rPr>
          <w:rFonts w:ascii="Times New Roman" w:eastAsia="Times New Roman" w:hAnsi="Times New Roman" w:cs="Times New Roman"/>
        </w:rPr>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rPr>
          <w:rFonts w:ascii="Times New Roman" w:eastAsia="Times New Roman" w:hAnsi="Times New Roman" w:cs="Times New Roman"/>
        </w:rPr>
        <w:t>‘</w:t>
      </w:r>
      <w:r w:rsidRPr="750671CE">
        <w:rPr>
          <w:rFonts w:ascii="Times New Roman" w:eastAsia="Times New Roman" w:hAnsi="Times New Roman" w:cs="Times New Roman"/>
        </w:rPr>
        <w:t>all-or-nothing</w:t>
      </w:r>
      <w:r w:rsidR="00510227">
        <w:rPr>
          <w:rFonts w:ascii="Times New Roman" w:eastAsia="Times New Roman" w:hAnsi="Times New Roman" w:cs="Times New Roman"/>
        </w:rPr>
        <w:t>’</w:t>
      </w:r>
      <w:r w:rsidRPr="750671CE">
        <w:rPr>
          <w:rFonts w:ascii="Times New Roman" w:eastAsia="Times New Roman" w:hAnsi="Times New Roman" w:cs="Times New Roman"/>
        </w:rPr>
        <w:t xml:space="preserve"> rule of contributory negligence can be and ought to be superseded by a rule which assesses liability in proportion to fault.</w:t>
      </w:r>
    </w:p>
    <w:p w14:paraId="0546AFF6" w14:textId="77777777" w:rsidR="004709CA" w:rsidRPr="004709CA" w:rsidRDefault="004709CA" w:rsidP="004709CA">
      <w:pPr>
        <w:rPr>
          <w:rFonts w:ascii="Times New Roman" w:hAnsi="Times New Roman" w:cs="Times New Roman"/>
        </w:rPr>
      </w:pPr>
    </w:p>
    <w:p w14:paraId="03D91AB5" w14:textId="086D8503"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unnecessary for us to catalogue the enormous amount of critical comment that has been directed over the years against the </w:t>
      </w:r>
      <w:r w:rsidR="00B05F31">
        <w:rPr>
          <w:rFonts w:ascii="Times New Roman" w:eastAsia="Times New Roman" w:hAnsi="Times New Roman" w:cs="Times New Roman"/>
        </w:rPr>
        <w:t>‘</w:t>
      </w:r>
      <w:r w:rsidRPr="750671CE">
        <w:rPr>
          <w:rFonts w:ascii="Times New Roman" w:eastAsia="Times New Roman" w:hAnsi="Times New Roman" w:cs="Times New Roman"/>
        </w:rPr>
        <w:t>all-or-nothing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approach of the doctrine of contributory negligence. The essence of that criticism has been constant and clear: the doctrine is inequitable in its operation . . . .</w:t>
      </w:r>
    </w:p>
    <w:p w14:paraId="3AE236EB" w14:textId="77777777" w:rsidR="004709CA" w:rsidRPr="004709CA" w:rsidRDefault="004709CA" w:rsidP="004709CA">
      <w:pPr>
        <w:rPr>
          <w:rFonts w:ascii="Times New Roman" w:hAnsi="Times New Roman" w:cs="Times New Roman"/>
        </w:rPr>
      </w:pPr>
    </w:p>
    <w:p w14:paraId="26157615" w14:textId="448C1E04" w:rsidR="004709CA" w:rsidRDefault="750671CE" w:rsidP="00F94B7E">
      <w:pPr>
        <w:ind w:firstLine="720"/>
        <w:rPr>
          <w:rFonts w:ascii="Times New Roman" w:hAnsi="Times New Roman" w:cs="Times New Roman"/>
        </w:rPr>
      </w:pPr>
      <w:r w:rsidRPr="750671CE">
        <w:rPr>
          <w:rFonts w:ascii="Times New Roman" w:eastAsia="Times New Roman" w:hAnsi="Times New Roman" w:cs="Times New Roman"/>
        </w:rPr>
        <w:t xml:space="preserve">Furthermore, practical experience with the application by juries of the doctrine of contributory negligence has added its weight to analyses of its inherent shortcomings: </w:t>
      </w:r>
      <w:r w:rsidR="00B05F31">
        <w:rPr>
          <w:rFonts w:ascii="Times New Roman" w:eastAsia="Times New Roman" w:hAnsi="Times New Roman" w:cs="Times New Roman"/>
        </w:rPr>
        <w:t>‘</w:t>
      </w:r>
      <w:r w:rsidRPr="750671CE">
        <w:rPr>
          <w:rFonts w:ascii="Times New Roman" w:eastAsia="Times New Roman" w:hAnsi="Times New Roman" w:cs="Times New Roman"/>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Pr>
          <w:rFonts w:ascii="Times New Roman" w:eastAsia="Times New Roman" w:hAnsi="Times New Roman" w:cs="Times New Roman"/>
        </w:rPr>
        <w:t xml:space="preserve"> . </w:t>
      </w:r>
      <w:r w:rsidR="00746162">
        <w:rPr>
          <w:rFonts w:ascii="Times New Roman" w:hAnsi="Times New Roman" w:cs="Times New Roman"/>
        </w:rPr>
        <w:t>. .</w:t>
      </w:r>
    </w:p>
    <w:p w14:paraId="1C82018B" w14:textId="77777777" w:rsidR="00746162" w:rsidRPr="004709CA" w:rsidRDefault="00746162" w:rsidP="00F94B7E">
      <w:pPr>
        <w:ind w:firstLine="720"/>
        <w:rPr>
          <w:rFonts w:ascii="Times New Roman" w:hAnsi="Times New Roman" w:cs="Times New Roman"/>
        </w:rPr>
      </w:pPr>
    </w:p>
    <w:p w14:paraId="205FD707" w14:textId="3F7DAD04" w:rsidR="004709CA" w:rsidRPr="004709CA" w:rsidRDefault="004709CA"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in view of these theoretical and practical considerations that to this date 25 states, have abrogated the </w:t>
      </w:r>
      <w:r w:rsidR="00510227">
        <w:rPr>
          <w:rFonts w:ascii="Times New Roman" w:eastAsia="Times New Roman" w:hAnsi="Times New Roman" w:cs="Times New Roman"/>
        </w:rPr>
        <w:t>‘</w:t>
      </w:r>
      <w:r w:rsidRPr="750671CE">
        <w:rPr>
          <w:rFonts w:ascii="Times New Roman" w:eastAsia="Times New Roman" w:hAnsi="Times New Roman" w:cs="Times New Roman"/>
        </w:rPr>
        <w:t>all or nothing</w:t>
      </w:r>
      <w:r w:rsidR="00510227">
        <w:rPr>
          <w:rFonts w:ascii="Times New Roman" w:eastAsia="Times New Roman" w:hAnsi="Times New Roman" w:cs="Times New Roman"/>
        </w:rPr>
        <w:t>’</w:t>
      </w:r>
      <w:r w:rsidRPr="750671CE">
        <w:rPr>
          <w:rFonts w:ascii="Times New Roman" w:eastAsia="Times New Roman" w:hAnsi="Times New Roman" w:cs="Times New Roman"/>
        </w:rPr>
        <w:t xml:space="preserve">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750671CE">
        <w:rPr>
          <w:rFonts w:ascii="Times New Roman" w:eastAsia="Times New Roman" w:hAnsi="Times New Roman" w:cs="Times New Roman"/>
          <w:i/>
          <w:iCs/>
        </w:rPr>
        <w:t>Hoffman v. Jones</w:t>
      </w:r>
      <w:r w:rsidRPr="750671CE">
        <w:rPr>
          <w:rFonts w:ascii="Times New Roman" w:eastAsia="Times New Roman" w:hAnsi="Times New Roman" w:cs="Times New Roman"/>
        </w:rPr>
        <w:t xml:space="preserve"> (Fla. 1973)</w:t>
      </w:r>
      <w:r w:rsidR="00510227">
        <w:rPr>
          <w:rFonts w:ascii="Times New Roman" w:eastAsia="Times New Roman" w:hAnsi="Times New Roman" w:cs="Times New Roman"/>
        </w:rPr>
        <w:t xml:space="preserve">. </w:t>
      </w:r>
      <w:r w:rsidRPr="750671CE">
        <w:rPr>
          <w:rFonts w:ascii="Times New Roman" w:eastAsia="Times New Roman" w:hAnsi="Times New Roman" w:cs="Times New Roman"/>
        </w:rPr>
        <w:t>We are likewise persuaded that logic, practical experience, and fundamental justice counsel against the retention of the doctrine rendering contributory negligence a complete bar to recovery</w:t>
      </w:r>
      <w:r w:rsidR="001B42B1">
        <w:rPr>
          <w:rFonts w:ascii="Times New Roman" w:eastAsia="Times New Roman" w:hAnsi="Times New Roman" w:cs="Times New Roman"/>
        </w:rPr>
        <w:t>—</w:t>
      </w:r>
      <w:r w:rsidRPr="750671CE">
        <w:rPr>
          <w:rFonts w:ascii="Times New Roman" w:eastAsia="Times New Roman" w:hAnsi="Times New Roman" w:cs="Times New Roman"/>
        </w:rPr>
        <w:t>and that it should be replaced in this state by a system under which liability for damage will be borne by those whose negligence caused it in direct proport</w:t>
      </w:r>
      <w:r w:rsidR="00B438FA" w:rsidRPr="750671CE">
        <w:rPr>
          <w:rFonts w:ascii="Times New Roman" w:eastAsia="Times New Roman" w:hAnsi="Times New Roman" w:cs="Times New Roman"/>
        </w:rPr>
        <w:t>ion to their respective fault.</w:t>
      </w:r>
      <w:r w:rsidR="00B438FA" w:rsidRPr="750671CE">
        <w:rPr>
          <w:rStyle w:val="FootnoteReference"/>
          <w:rFonts w:ascii="Times New Roman" w:eastAsia="Times New Roman" w:hAnsi="Times New Roman" w:cs="Times New Roman"/>
        </w:rPr>
        <w:footnoteReference w:customMarkFollows="1" w:id="11"/>
        <w:t>6a</w:t>
      </w:r>
    </w:p>
    <w:p w14:paraId="107B7580" w14:textId="53633A62"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 . . .</w:t>
      </w:r>
    </w:p>
    <w:p w14:paraId="6B575D81" w14:textId="77777777" w:rsidR="004709CA" w:rsidRPr="004709CA" w:rsidRDefault="004709CA" w:rsidP="004709CA">
      <w:pPr>
        <w:rPr>
          <w:rFonts w:ascii="Times New Roman" w:hAnsi="Times New Roman" w:cs="Times New Roman"/>
        </w:rPr>
      </w:pPr>
    </w:p>
    <w:p w14:paraId="11AB0BF0"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II</w:t>
      </w:r>
    </w:p>
    <w:p w14:paraId="69F5A338" w14:textId="77777777" w:rsidR="004709CA" w:rsidRPr="004709CA" w:rsidRDefault="004709CA" w:rsidP="004709CA">
      <w:pPr>
        <w:rPr>
          <w:rFonts w:ascii="Times New Roman" w:hAnsi="Times New Roman" w:cs="Times New Roman"/>
        </w:rPr>
      </w:pPr>
    </w:p>
    <w:p w14:paraId="0F837B8E" w14:textId="5C4A709A" w:rsidR="004709CA" w:rsidRPr="004709CA" w:rsidRDefault="004709CA"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is urged that any change in the law of contributory negligence must be made by the Legislature, not by this court. Although the doctrine of contributory negligence is of judicial origin</w:t>
      </w:r>
      <w:r w:rsidR="001B42B1">
        <w:rPr>
          <w:rFonts w:ascii="Times New Roman" w:eastAsia="Times New Roman" w:hAnsi="Times New Roman" w:cs="Times New Roman"/>
        </w:rPr>
        <w:t>—</w:t>
      </w:r>
      <w:r w:rsidRPr="750671CE">
        <w:rPr>
          <w:rFonts w:ascii="Times New Roman" w:eastAsia="Times New Roman" w:hAnsi="Times New Roman" w:cs="Times New Roman"/>
        </w:rPr>
        <w:t xml:space="preserve">its genesis being traditionally attributed to the opinion of Lord Ellenborough in </w:t>
      </w:r>
      <w:r w:rsidRPr="750671CE">
        <w:rPr>
          <w:rFonts w:ascii="Times New Roman" w:eastAsia="Times New Roman" w:hAnsi="Times New Roman" w:cs="Times New Roman"/>
          <w:i/>
          <w:iCs/>
        </w:rPr>
        <w:t>Butterfield v. Forrester</w:t>
      </w:r>
      <w:r w:rsidR="001B42B1">
        <w:rPr>
          <w:rFonts w:ascii="Times New Roman" w:eastAsia="Times New Roman" w:hAnsi="Times New Roman" w:cs="Times New Roman"/>
          <w:iCs/>
        </w:rPr>
        <w:t>,</w:t>
      </w:r>
      <w:r w:rsidRPr="750671CE">
        <w:rPr>
          <w:rFonts w:ascii="Times New Roman" w:eastAsia="Times New Roman" w:hAnsi="Times New Roman" w:cs="Times New Roman"/>
        </w:rPr>
        <w:t xml:space="preserve"> 103 Eng.Rep. 926</w:t>
      </w:r>
      <w:r w:rsidR="001B42B1">
        <w:rPr>
          <w:rFonts w:ascii="Times New Roman" w:eastAsia="Times New Roman" w:hAnsi="Times New Roman" w:cs="Times New Roman"/>
        </w:rPr>
        <w:t xml:space="preserve"> (K.B.1809)—</w:t>
      </w:r>
      <w:r w:rsidRPr="750671CE">
        <w:rPr>
          <w:rFonts w:ascii="Times New Roman" w:eastAsia="Times New Roman" w:hAnsi="Times New Roman" w:cs="Times New Roman"/>
        </w:rPr>
        <w:t>the enactment of</w:t>
      </w:r>
      <w:r w:rsidR="00B438FA" w:rsidRPr="750671CE">
        <w:rPr>
          <w:rFonts w:ascii="Times New Roman" w:eastAsia="Times New Roman" w:hAnsi="Times New Roman" w:cs="Times New Roman"/>
        </w:rPr>
        <w:t xml:space="preserve"> section 1714 of the Civil Code</w:t>
      </w:r>
      <w:r w:rsidR="00B438FA" w:rsidRPr="750671CE">
        <w:rPr>
          <w:rStyle w:val="FootnoteReference"/>
          <w:rFonts w:ascii="Times New Roman" w:eastAsia="Times New Roman" w:hAnsi="Times New Roman" w:cs="Times New Roman"/>
        </w:rPr>
        <w:footnoteReference w:customMarkFollows="1" w:id="12"/>
        <w:t>7</w:t>
      </w:r>
      <w:r w:rsidRPr="750671CE">
        <w:rPr>
          <w:rFonts w:ascii="Times New Roman" w:eastAsia="Times New Roman" w:hAnsi="Times New Roman" w:cs="Times New Roman"/>
        </w:rPr>
        <w:t xml:space="preserve"> in 1872 codified the doctrine as it stood at that date and, the argument continues, rendered it invulnerable to attack in the courts except on constitutional grounds . . . .</w:t>
      </w:r>
    </w:p>
    <w:p w14:paraId="4227B2C1" w14:textId="77777777" w:rsidR="004709CA" w:rsidRPr="004709CA" w:rsidRDefault="004709CA" w:rsidP="004709CA">
      <w:pPr>
        <w:rPr>
          <w:rFonts w:ascii="Times New Roman" w:hAnsi="Times New Roman" w:cs="Times New Roman"/>
        </w:rPr>
      </w:pPr>
    </w:p>
    <w:p w14:paraId="08016A7C"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4709CA" w:rsidRDefault="004709CA" w:rsidP="004709CA">
      <w:pPr>
        <w:rPr>
          <w:rFonts w:ascii="Times New Roman" w:hAnsi="Times New Roman" w:cs="Times New Roman"/>
        </w:rPr>
      </w:pPr>
    </w:p>
    <w:p w14:paraId="07946570" w14:textId="77777777" w:rsidR="004709CA" w:rsidRPr="004709CA" w:rsidRDefault="004709CA" w:rsidP="004709CA">
      <w:pPr>
        <w:rPr>
          <w:rFonts w:ascii="Times New Roman" w:hAnsi="Times New Roman" w:cs="Times New Roman"/>
        </w:rPr>
      </w:pPr>
    </w:p>
    <w:p w14:paraId="63042C90"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III</w:t>
      </w:r>
    </w:p>
    <w:p w14:paraId="322E76F7" w14:textId="77777777" w:rsidR="004709CA" w:rsidRPr="004709CA" w:rsidRDefault="004709CA" w:rsidP="004709CA">
      <w:pPr>
        <w:rPr>
          <w:rFonts w:ascii="Times New Roman" w:hAnsi="Times New Roman" w:cs="Times New Roman"/>
        </w:rPr>
      </w:pPr>
    </w:p>
    <w:p w14:paraId="3B96B5BA"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4709CA" w:rsidRDefault="004709CA" w:rsidP="004709CA">
      <w:pPr>
        <w:rPr>
          <w:rFonts w:ascii="Times New Roman" w:hAnsi="Times New Roman" w:cs="Times New Roman"/>
        </w:rPr>
      </w:pPr>
    </w:p>
    <w:p w14:paraId="1A22590A" w14:textId="2ECEB3BD"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rPr>
          <w:rFonts w:ascii="Times New Roman" w:eastAsia="Times New Roman" w:hAnsi="Times New Roman" w:cs="Times New Roman"/>
        </w:rPr>
        <w:t xml:space="preserve"> . . .</w:t>
      </w:r>
    </w:p>
    <w:p w14:paraId="32BE85A3" w14:textId="77777777" w:rsidR="004709CA" w:rsidRPr="004709CA" w:rsidRDefault="004709CA" w:rsidP="004709CA">
      <w:pPr>
        <w:rPr>
          <w:rFonts w:ascii="Times New Roman" w:hAnsi="Times New Roman" w:cs="Times New Roman"/>
        </w:rPr>
      </w:pPr>
    </w:p>
    <w:p w14:paraId="5219901C" w14:textId="04357DFD"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These inherent difficulties are not, however, insurmountable. Guidelines might be provided the jury which will assist it in keeping focussed upon the true inquiry</w:t>
      </w:r>
      <w:r w:rsidR="00746162">
        <w:rPr>
          <w:rFonts w:ascii="Times New Roman" w:eastAsia="Times New Roman" w:hAnsi="Times New Roman" w:cs="Times New Roman"/>
        </w:rPr>
        <w:t xml:space="preserve"> . . . </w:t>
      </w:r>
      <w:r w:rsidRPr="750671CE">
        <w:rPr>
          <w:rFonts w:ascii="Times New Roman" w:eastAsia="Times New Roman" w:hAnsi="Times New Roman" w:cs="Times New Roman"/>
        </w:rPr>
        <w:t xml:space="preserve">, and the utilization of special verdicts </w:t>
      </w:r>
      <w:r w:rsidR="00746162">
        <w:rPr>
          <w:rFonts w:ascii="Times New Roman" w:eastAsia="Times New Roman" w:hAnsi="Times New Roman" w:cs="Times New Roman"/>
        </w:rPr>
        <w:t>. . .</w:t>
      </w:r>
      <w:r w:rsidRPr="750671CE">
        <w:rPr>
          <w:rFonts w:ascii="Times New Roman" w:eastAsia="Times New Roman" w:hAnsi="Times New Roman" w:cs="Times New Roman"/>
        </w:rPr>
        <w:t xml:space="preserve"> or jury interrogatories can be of invaluable assistance in assuring that the jury has approached its sensitive and often complex task with proper standards and appropriate reverence.</w:t>
      </w:r>
      <w:r w:rsidR="00746162">
        <w:rPr>
          <w:rFonts w:ascii="Times New Roman" w:eastAsia="Times New Roman" w:hAnsi="Times New Roman" w:cs="Times New Roman"/>
        </w:rPr>
        <w:t xml:space="preserve"> . . .</w:t>
      </w:r>
    </w:p>
    <w:p w14:paraId="0D68EE62" w14:textId="77777777" w:rsidR="004709CA" w:rsidRPr="004709CA" w:rsidRDefault="004709CA" w:rsidP="004709CA">
      <w:pPr>
        <w:rPr>
          <w:rFonts w:ascii="Times New Roman" w:hAnsi="Times New Roman" w:cs="Times New Roman"/>
        </w:rPr>
      </w:pPr>
    </w:p>
    <w:p w14:paraId="0D8DE704" w14:textId="5DCBE55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Finally there is the problem of the treatment of willful misconduct under a system of comparative negligence. In jurisdictions following the </w:t>
      </w:r>
      <w:r w:rsidR="003C0388">
        <w:rPr>
          <w:rFonts w:ascii="Times New Roman" w:eastAsia="Times New Roman" w:hAnsi="Times New Roman" w:cs="Times New Roman"/>
        </w:rPr>
        <w:t>‘</w:t>
      </w:r>
      <w:r w:rsidRPr="750671CE">
        <w:rPr>
          <w:rFonts w:ascii="Times New Roman" w:eastAsia="Times New Roman" w:hAnsi="Times New Roman" w:cs="Times New Roman"/>
        </w:rPr>
        <w:t>all-or-nothing</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rule, contributory negligence is no defense to an action based upon a claim of willful misconduct</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and this is the present rule in California. As Dean Prosser has observed, </w:t>
      </w:r>
      <w:r w:rsidR="00B05F31">
        <w:rPr>
          <w:rFonts w:ascii="Times New Roman" w:eastAsia="Times New Roman" w:hAnsi="Times New Roman" w:cs="Times New Roman"/>
        </w:rPr>
        <w:t>“</w:t>
      </w:r>
      <w:r w:rsidRPr="750671CE">
        <w:rPr>
          <w:rFonts w:ascii="Times New Roman" w:eastAsia="Times New Roman" w:hAnsi="Times New Roman" w:cs="Times New Roman"/>
        </w:rPr>
        <w:t>(this) is in reality a rule of comparative fault which is being applied, and the court is refusing to set up the lesser fault against the greater.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Prosser, Torts</w:t>
      </w:r>
      <w:r w:rsidRPr="750671CE">
        <w:rPr>
          <w:rFonts w:ascii="Times New Roman" w:eastAsia="Times New Roman" w:hAnsi="Times New Roman" w:cs="Times New Roman"/>
        </w:rPr>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4709CA" w:rsidRDefault="004709CA" w:rsidP="004709CA">
      <w:pPr>
        <w:rPr>
          <w:rFonts w:ascii="Times New Roman" w:hAnsi="Times New Roman" w:cs="Times New Roman"/>
        </w:rPr>
      </w:pPr>
    </w:p>
    <w:p w14:paraId="20D60EA9" w14:textId="41C2EE29"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remains to identify the precise form of comparative negligence which we now adopt for application in this state. Although there are many variants, only the two basic forms need be considered here. The first of these, the so-called </w:t>
      </w:r>
      <w:r w:rsidR="003C0388">
        <w:rPr>
          <w:rFonts w:ascii="Times New Roman" w:eastAsia="Times New Roman" w:hAnsi="Times New Roman" w:cs="Times New Roman"/>
        </w:rPr>
        <w:t>‘</w:t>
      </w:r>
      <w:r w:rsidRPr="750671CE">
        <w:rPr>
          <w:rFonts w:ascii="Times New Roman" w:eastAsia="Times New Roman" w:hAnsi="Times New Roman" w:cs="Times New Roman"/>
        </w:rPr>
        <w:t>pure</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form of comparative negligence, apportions liability in direct proportion to fault in all cases. This was the form adopted by the Supreme Court of Florida in </w:t>
      </w:r>
      <w:r w:rsidRPr="00F94B7E">
        <w:rPr>
          <w:rFonts w:ascii="Times New Roman" w:eastAsia="Times New Roman" w:hAnsi="Times New Roman" w:cs="Times New Roman"/>
          <w:i/>
        </w:rPr>
        <w:t>Hoffman v. Jones</w:t>
      </w:r>
      <w:r w:rsidRPr="750671CE">
        <w:rPr>
          <w:rFonts w:ascii="Times New Roman" w:eastAsia="Times New Roman" w:hAnsi="Times New Roman" w:cs="Times New Roman"/>
        </w:rPr>
        <w:t>, and it applies by statute in Mississippi, Rhode Island, and Washington.  Moreover it is the form favored by most scholars and commentators.</w:t>
      </w:r>
      <w:r w:rsidR="00746162">
        <w:rPr>
          <w:rFonts w:ascii="Times New Roman" w:eastAsia="Times New Roman" w:hAnsi="Times New Roman" w:cs="Times New Roman"/>
        </w:rPr>
        <w:t xml:space="preserve"> . . .</w:t>
      </w:r>
    </w:p>
    <w:p w14:paraId="4EFD391E" w14:textId="77777777" w:rsidR="004709CA" w:rsidRPr="004709CA" w:rsidRDefault="004709CA" w:rsidP="004709CA">
      <w:pPr>
        <w:rPr>
          <w:rFonts w:ascii="Times New Roman" w:hAnsi="Times New Roman" w:cs="Times New Roman"/>
        </w:rPr>
      </w:pPr>
    </w:p>
    <w:p w14:paraId="638517ED" w14:textId="7FE1A4E3"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second basic form of comparative negligence, of which there are several variants, applies apportionment based on fault up to the point at which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is equal to or greater than that of the defendant</w:t>
      </w:r>
      <w:r w:rsidR="001B42B1">
        <w:rPr>
          <w:rFonts w:ascii="Times New Roman" w:eastAsia="Times New Roman" w:hAnsi="Times New Roman" w:cs="Times New Roman"/>
        </w:rPr>
        <w:t>—</w:t>
      </w:r>
      <w:r w:rsidRPr="750671CE">
        <w:rPr>
          <w:rFonts w:ascii="Times New Roman" w:eastAsia="Times New Roman" w:hAnsi="Times New Roman" w:cs="Times New Roman"/>
        </w:rPr>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rPr>
          <w:rFonts w:ascii="Times New Roman" w:eastAsia="Times New Roman" w:hAnsi="Times New Roman" w:cs="Times New Roman"/>
        </w:rPr>
        <w:t>‘</w:t>
      </w:r>
      <w:r w:rsidRPr="750671CE">
        <w:rPr>
          <w:rFonts w:ascii="Times New Roman" w:eastAsia="Times New Roman" w:hAnsi="Times New Roman" w:cs="Times New Roman"/>
        </w:rPr>
        <w:t>pure</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rather than a </w:t>
      </w:r>
      <w:r w:rsidR="003C0388">
        <w:rPr>
          <w:rFonts w:ascii="Times New Roman" w:eastAsia="Times New Roman" w:hAnsi="Times New Roman" w:cs="Times New Roman"/>
        </w:rPr>
        <w:t>‘</w:t>
      </w:r>
      <w:r w:rsidRPr="750671CE">
        <w:rPr>
          <w:rFonts w:ascii="Times New Roman" w:eastAsia="Times New Roman" w:hAnsi="Times New Roman" w:cs="Times New Roman"/>
        </w:rPr>
        <w:t>50 percent</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system is adopted, but this has been seriously questioned.</w:t>
      </w:r>
      <w:r w:rsidR="00746162">
        <w:rPr>
          <w:rFonts w:ascii="Times New Roman" w:eastAsia="Times New Roman" w:hAnsi="Times New Roman" w:cs="Times New Roman"/>
        </w:rPr>
        <w:t xml:space="preserve"> . . .</w:t>
      </w:r>
    </w:p>
    <w:p w14:paraId="03F3CBBF" w14:textId="77777777" w:rsidR="004709CA" w:rsidRPr="004709CA" w:rsidRDefault="004709CA" w:rsidP="004709CA">
      <w:pPr>
        <w:rPr>
          <w:rFonts w:ascii="Times New Roman" w:hAnsi="Times New Roman" w:cs="Times New Roman"/>
        </w:rPr>
      </w:pPr>
    </w:p>
    <w:p w14:paraId="3ADC2066" w14:textId="3CA839E0" w:rsidR="004709CA" w:rsidRPr="004709CA" w:rsidRDefault="004709CA"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have concluded that the </w:t>
      </w:r>
      <w:r w:rsidR="003C0388">
        <w:rPr>
          <w:rFonts w:ascii="Times New Roman" w:eastAsia="Times New Roman" w:hAnsi="Times New Roman" w:cs="Times New Roman"/>
        </w:rPr>
        <w:t>‘</w:t>
      </w:r>
      <w:r w:rsidRPr="750671CE">
        <w:rPr>
          <w:rFonts w:ascii="Times New Roman" w:eastAsia="Times New Roman" w:hAnsi="Times New Roman" w:cs="Times New Roman"/>
        </w:rPr>
        <w:t>pure</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form of comparative negligence is that which should be adopted </w:t>
      </w:r>
      <w:r w:rsidR="009F65E8" w:rsidRPr="750671CE">
        <w:rPr>
          <w:rFonts w:ascii="Times New Roman" w:eastAsia="Times New Roman" w:hAnsi="Times New Roman" w:cs="Times New Roman"/>
        </w:rPr>
        <w:t xml:space="preserve">in this state. In our view the </w:t>
      </w:r>
      <w:r w:rsidR="003C0388">
        <w:rPr>
          <w:rFonts w:ascii="Times New Roman" w:eastAsia="Times New Roman" w:hAnsi="Times New Roman" w:cs="Times New Roman"/>
        </w:rPr>
        <w:t>‘</w:t>
      </w:r>
      <w:r w:rsidR="009F65E8" w:rsidRPr="750671CE">
        <w:rPr>
          <w:rFonts w:ascii="Times New Roman" w:eastAsia="Times New Roman" w:hAnsi="Times New Roman" w:cs="Times New Roman"/>
        </w:rPr>
        <w:t>50 percent</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system simply shifts the lottery aspect of the contributory negligence rule to a different ground. As Dean Prosser </w:t>
      </w:r>
      <w:r w:rsidR="009F65E8" w:rsidRPr="750671CE">
        <w:rPr>
          <w:rFonts w:ascii="Times New Roman" w:eastAsia="Times New Roman" w:hAnsi="Times New Roman" w:cs="Times New Roman"/>
        </w:rPr>
        <w:t xml:space="preserve">has noted, under such a system </w:t>
      </w:r>
      <w:r w:rsidR="003C0388">
        <w:rPr>
          <w:rFonts w:ascii="Times New Roman" w:eastAsia="Times New Roman" w:hAnsi="Times New Roman" w:cs="Times New Roman"/>
        </w:rPr>
        <w:t>‘</w:t>
      </w:r>
      <w:r w:rsidR="009F65E8" w:rsidRPr="750671CE">
        <w:rPr>
          <w:rFonts w:ascii="Times New Roman" w:eastAsia="Times New Roman" w:hAnsi="Times New Roman" w:cs="Times New Roman"/>
        </w:rPr>
        <w:t>(</w:t>
      </w:r>
      <w:r w:rsidRPr="750671CE">
        <w:rPr>
          <w:rFonts w:ascii="Times New Roman" w:eastAsia="Times New Roman" w:hAnsi="Times New Roman" w:cs="Times New Roman"/>
        </w:rPr>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3C0388">
        <w:rPr>
          <w:rFonts w:ascii="Times New Roman" w:eastAsia="Times New Roman" w:hAnsi="Times New Roman" w:cs="Times New Roman"/>
        </w:rPr>
        <w:t>’</w:t>
      </w:r>
      <w:r w:rsidR="009F65E8" w:rsidRPr="750671CE">
        <w:rPr>
          <w:rStyle w:val="FootnoteReference"/>
          <w:rFonts w:ascii="Times New Roman" w:eastAsia="Times New Roman" w:hAnsi="Times New Roman" w:cs="Times New Roman"/>
        </w:rPr>
        <w:footnoteReference w:customMarkFollows="1" w:id="13"/>
        <w:t>22</w:t>
      </w:r>
      <w:r w:rsidR="009F65E8" w:rsidRPr="750671CE">
        <w:rPr>
          <w:rFonts w:ascii="Times New Roman" w:eastAsia="Times New Roman" w:hAnsi="Times New Roman" w:cs="Times New Roman"/>
        </w:rPr>
        <w:t xml:space="preserve"> In effect </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such a rule distorts the very principle it recognizes, i.e., that persons are responsible for their acts to the extent their fault contributes to an injurious result. The partial rule simply lowers, but does not eliminate, the </w:t>
      </w:r>
      <w:r w:rsidR="009F65E8" w:rsidRPr="750671CE">
        <w:rPr>
          <w:rFonts w:ascii="Times New Roman" w:eastAsia="Times New Roman" w:hAnsi="Times New Roman" w:cs="Times New Roman"/>
        </w:rPr>
        <w:t>bar of contributory negligence.</w:t>
      </w:r>
      <w:r w:rsidR="003C0388">
        <w:rPr>
          <w:rFonts w:ascii="Times New Roman" w:eastAsia="Times New Roman" w:hAnsi="Times New Roman" w:cs="Times New Roman"/>
        </w:rPr>
        <w:t>’</w:t>
      </w:r>
      <w:r w:rsidR="00746162">
        <w:rPr>
          <w:rFonts w:ascii="Times New Roman" w:eastAsia="Times New Roman" w:hAnsi="Times New Roman" w:cs="Times New Roman"/>
        </w:rPr>
        <w:t xml:space="preserve"> . . .</w:t>
      </w:r>
    </w:p>
    <w:p w14:paraId="29D3C3DF" w14:textId="77777777" w:rsidR="004709CA" w:rsidRPr="004709CA" w:rsidRDefault="004709CA" w:rsidP="004709CA">
      <w:pPr>
        <w:rPr>
          <w:rFonts w:ascii="Times New Roman" w:hAnsi="Times New Roman" w:cs="Times New Roman"/>
        </w:rPr>
      </w:pPr>
    </w:p>
    <w:p w14:paraId="3C0DFB2F" w14:textId="1DC826C9"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also consider significant the experience of the State of Wisconsin, which until recently was considered the leading exponent of the </w:t>
      </w:r>
      <w:r w:rsidR="003C0388">
        <w:rPr>
          <w:rFonts w:ascii="Times New Roman" w:eastAsia="Times New Roman" w:hAnsi="Times New Roman" w:cs="Times New Roman"/>
        </w:rPr>
        <w:t>‘</w:t>
      </w:r>
      <w:r w:rsidRPr="750671CE">
        <w:rPr>
          <w:rFonts w:ascii="Times New Roman" w:eastAsia="Times New Roman" w:hAnsi="Times New Roman" w:cs="Times New Roman"/>
        </w:rPr>
        <w:t>50 percent</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system. There that system led to numerous appeals on the narrow but crucial issue whether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equal to defendant</w:t>
      </w:r>
      <w:r w:rsidR="00B05F31">
        <w:rPr>
          <w:rFonts w:ascii="Times New Roman" w:eastAsia="Times New Roman" w:hAnsi="Times New Roman" w:cs="Times New Roman"/>
        </w:rPr>
        <w:t>’</w:t>
      </w:r>
      <w:r w:rsidRPr="750671CE">
        <w:rPr>
          <w:rFonts w:ascii="Times New Roman" w:eastAsia="Times New Roman" w:hAnsi="Times New Roman" w:cs="Times New Roman"/>
        </w:rPr>
        <w:t>s.</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Numerous reversals have resulted on this point, leading to the development of arcane classifications of negligence according to quality and category. . . .</w:t>
      </w:r>
    </w:p>
    <w:p w14:paraId="7F6A0440" w14:textId="77777777" w:rsidR="004709CA" w:rsidRPr="004709CA" w:rsidRDefault="004709CA" w:rsidP="004709CA">
      <w:pPr>
        <w:rPr>
          <w:rFonts w:ascii="Times New Roman" w:hAnsi="Times New Roman" w:cs="Times New Roman"/>
        </w:rPr>
      </w:pPr>
    </w:p>
    <w:p w14:paraId="213204B6"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4709CA" w:rsidRDefault="004709CA" w:rsidP="004709CA">
      <w:pPr>
        <w:rPr>
          <w:rFonts w:ascii="Times New Roman" w:hAnsi="Times New Roman" w:cs="Times New Roman"/>
        </w:rPr>
      </w:pPr>
    </w:p>
    <w:p w14:paraId="6361D4A9" w14:textId="44278385"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C</w:t>
      </w:r>
      <w:r w:rsidR="001B42B1">
        <w:rPr>
          <w:rFonts w:ascii="Times New Roman" w:eastAsia="Times New Roman" w:hAnsi="Times New Roman" w:cs="Times New Roman"/>
          <w:smallCaps/>
        </w:rPr>
        <w:t>lark</w:t>
      </w:r>
      <w:r w:rsidRPr="750671CE">
        <w:rPr>
          <w:rFonts w:ascii="Times New Roman" w:eastAsia="Times New Roman" w:hAnsi="Times New Roman" w:cs="Times New Roman"/>
          <w:smallCaps/>
        </w:rPr>
        <w:t>, J</w:t>
      </w:r>
      <w:r w:rsidR="001B42B1">
        <w:rPr>
          <w:rFonts w:ascii="Times New Roman" w:eastAsia="Times New Roman" w:hAnsi="Times New Roman" w:cs="Times New Roman"/>
          <w:smallCaps/>
        </w:rPr>
        <w:t>.</w:t>
      </w:r>
      <w:r w:rsidR="00B978E6">
        <w:rPr>
          <w:rFonts w:ascii="Times New Roman" w:eastAsia="Times New Roman" w:hAnsi="Times New Roman" w:cs="Times New Roman"/>
        </w:rPr>
        <w:t xml:space="preserve">, </w:t>
      </w:r>
      <w:r w:rsidRPr="750671CE">
        <w:rPr>
          <w:rFonts w:ascii="Times New Roman" w:eastAsia="Times New Roman" w:hAnsi="Times New Roman" w:cs="Times New Roman"/>
        </w:rPr>
        <w:t>dissenting</w:t>
      </w:r>
      <w:r w:rsidR="00B978E6">
        <w:rPr>
          <w:rFonts w:ascii="Times New Roman" w:eastAsia="Times New Roman" w:hAnsi="Times New Roman" w:cs="Times New Roman"/>
        </w:rPr>
        <w:t>.</w:t>
      </w:r>
    </w:p>
    <w:p w14:paraId="3B284C82" w14:textId="77777777" w:rsidR="004709CA" w:rsidRPr="004709CA" w:rsidRDefault="004709CA" w:rsidP="004709CA">
      <w:pPr>
        <w:rPr>
          <w:rFonts w:ascii="Times New Roman" w:hAnsi="Times New Roman" w:cs="Times New Roman"/>
        </w:rPr>
      </w:pPr>
    </w:p>
    <w:p w14:paraId="140BED66"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4709CA" w:rsidRDefault="004709CA">
      <w:pPr>
        <w:rPr>
          <w:rFonts w:ascii="Times New Roman" w:hAnsi="Times New Roman" w:cs="Times New Roman"/>
        </w:rPr>
      </w:pPr>
    </w:p>
    <w:p w14:paraId="79631B93" w14:textId="77777777" w:rsidR="004709CA" w:rsidRPr="004709CA" w:rsidRDefault="004709CA">
      <w:pPr>
        <w:rPr>
          <w:rFonts w:ascii="Times New Roman" w:hAnsi="Times New Roman" w:cs="Times New Roman"/>
        </w:rPr>
      </w:pPr>
    </w:p>
    <w:p w14:paraId="6A25DEFF" w14:textId="5180B0B2" w:rsidR="004709CA" w:rsidRPr="00874C9A" w:rsidRDefault="004709CA" w:rsidP="002502CC">
      <w:pPr>
        <w:pStyle w:val="Heading4"/>
      </w:pPr>
      <w:bookmarkStart w:id="385" w:name="_Toc364636150"/>
      <w:bookmarkStart w:id="386" w:name="_Toc518323364"/>
      <w:r w:rsidRPr="00874C9A">
        <w:t>Notes</w:t>
      </w:r>
      <w:bookmarkEnd w:id="385"/>
      <w:bookmarkEnd w:id="386"/>
    </w:p>
    <w:p w14:paraId="49E8BB92" w14:textId="77777777" w:rsidR="004709CA" w:rsidRDefault="004709CA" w:rsidP="005D42D9">
      <w:pPr>
        <w:rPr>
          <w:rFonts w:ascii="Times New Roman" w:hAnsi="Times New Roman" w:cs="Times New Roman"/>
        </w:rPr>
      </w:pPr>
    </w:p>
    <w:p w14:paraId="5F2D31DB" w14:textId="77777777" w:rsidR="005D42D9" w:rsidRPr="004709CA" w:rsidRDefault="005D42D9" w:rsidP="005D42D9">
      <w:pPr>
        <w:rPr>
          <w:rFonts w:ascii="Times New Roman" w:hAnsi="Times New Roman" w:cs="Times New Roman"/>
        </w:rPr>
      </w:pPr>
    </w:p>
    <w:p w14:paraId="0070AF34" w14:textId="3AED5830" w:rsidR="004709CA" w:rsidRPr="00F94B7E" w:rsidRDefault="750671CE" w:rsidP="00F94B7E">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Courts versus legislatures</w:t>
      </w:r>
      <w:r w:rsidRPr="00F94B7E">
        <w:rPr>
          <w:rFonts w:ascii="Times New Roman" w:eastAsia="Times New Roman" w:hAnsi="Times New Roman" w:cs="Times New Roman"/>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4709CA" w:rsidRDefault="004709CA" w:rsidP="004709CA">
      <w:pPr>
        <w:rPr>
          <w:rFonts w:ascii="Times New Roman" w:hAnsi="Times New Roman" w:cs="Times New Roman"/>
        </w:rPr>
      </w:pPr>
    </w:p>
    <w:p w14:paraId="151B69C6" w14:textId="77777777" w:rsidR="004709CA" w:rsidRPr="004709CA" w:rsidRDefault="004709CA" w:rsidP="004709CA">
      <w:pPr>
        <w:rPr>
          <w:rFonts w:ascii="Times New Roman" w:hAnsi="Times New Roman" w:cs="Times New Roman"/>
        </w:rPr>
      </w:pPr>
    </w:p>
    <w:p w14:paraId="57B59EEE" w14:textId="0A663487" w:rsidR="004709CA" w:rsidRPr="00F94B7E" w:rsidRDefault="750671CE" w:rsidP="00F94B7E">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joins in</w:t>
      </w:r>
      <w:r w:rsidRPr="00F94B7E">
        <w:rPr>
          <w:rFonts w:ascii="Times New Roman" w:eastAsia="Times New Roman" w:hAnsi="Times New Roman" w:cs="Times New Roman"/>
        </w:rPr>
        <w:t xml:space="preserve">. The above case describes two main kinds of comparative negligence regimes: a </w:t>
      </w:r>
      <w:r w:rsidR="00B05F31">
        <w:rPr>
          <w:rFonts w:ascii="Times New Roman" w:eastAsia="Times New Roman" w:hAnsi="Times New Roman" w:cs="Times New Roman"/>
        </w:rPr>
        <w:t>“</w:t>
      </w:r>
      <w:r w:rsidRPr="00F94B7E">
        <w:rPr>
          <w:rFonts w:ascii="Times New Roman" w:eastAsia="Times New Roman" w:hAnsi="Times New Roman" w:cs="Times New Roman"/>
        </w:rPr>
        <w:t>pure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and a </w:t>
      </w:r>
      <w:r w:rsidR="00B05F31">
        <w:rPr>
          <w:rFonts w:ascii="Times New Roman" w:eastAsia="Times New Roman" w:hAnsi="Times New Roman" w:cs="Times New Roman"/>
        </w:rPr>
        <w:t>“</w:t>
      </w:r>
      <w:r w:rsidRPr="00F94B7E">
        <w:rPr>
          <w:rFonts w:ascii="Times New Roman" w:eastAsia="Times New Roman" w:hAnsi="Times New Roman" w:cs="Times New Roman"/>
        </w:rPr>
        <w:t>50 percent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form. The Third Restatement recommends the pure form, asserting that a where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is </w:t>
      </w:r>
      <w:r w:rsidR="00B05F31">
        <w:rPr>
          <w:rFonts w:ascii="Times New Roman" w:eastAsia="Times New Roman" w:hAnsi="Times New Roman" w:cs="Times New Roman"/>
        </w:rPr>
        <w:t>“</w:t>
      </w:r>
      <w:r w:rsidRPr="00F94B7E">
        <w:rPr>
          <w:rFonts w:ascii="Times New Roman" w:eastAsia="Times New Roman" w:hAnsi="Times New Roman" w:cs="Times New Roman"/>
        </w:rPr>
        <w:t>a legal cause of an indivisible injury,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courts are to reduce a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recovery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in proportion to the share of responsibility the fact finder assigns to the plaintiff.  </w:t>
      </w:r>
      <w:r w:rsidR="007F4443" w:rsidRPr="00F94B7E">
        <w:rPr>
          <w:rFonts w:ascii="Times New Roman" w:eastAsia="Times New Roman" w:hAnsi="Times New Roman" w:cs="Times New Roman"/>
          <w:smallCaps/>
        </w:rPr>
        <w:t>Restatement (Third) of Torts: Apportionment Liability</w:t>
      </w:r>
      <w:r w:rsidR="007F4443">
        <w:rPr>
          <w:rFonts w:ascii="Times New Roman" w:eastAsia="Times New Roman" w:hAnsi="Times New Roman" w:cs="Times New Roman"/>
        </w:rPr>
        <w:t xml:space="preserve"> </w:t>
      </w:r>
      <w:r w:rsidRPr="00F94B7E">
        <w:rPr>
          <w:rFonts w:ascii="Times New Roman" w:eastAsia="Times New Roman" w:hAnsi="Times New Roman" w:cs="Times New Roman"/>
        </w:rPr>
        <w:t>§ 7 (2000).</w:t>
      </w:r>
    </w:p>
    <w:p w14:paraId="6D9EEDAB" w14:textId="77777777" w:rsidR="004709CA" w:rsidRPr="004709CA" w:rsidRDefault="004709CA" w:rsidP="004709CA">
      <w:pPr>
        <w:rPr>
          <w:rFonts w:ascii="Times New Roman" w:hAnsi="Times New Roman" w:cs="Times New Roman"/>
        </w:rPr>
      </w:pPr>
    </w:p>
    <w:p w14:paraId="0510B7D4" w14:textId="77777777" w:rsidR="004709CA" w:rsidRPr="004709CA" w:rsidRDefault="004709CA" w:rsidP="004709CA">
      <w:pPr>
        <w:rPr>
          <w:rFonts w:ascii="Times New Roman" w:hAnsi="Times New Roman" w:cs="Times New Roman"/>
        </w:rPr>
      </w:pPr>
    </w:p>
    <w:p w14:paraId="6D68F97C" w14:textId="0DF9D90A" w:rsidR="004709CA" w:rsidRPr="00F94B7E" w:rsidRDefault="750671CE" w:rsidP="00F94B7E">
      <w:pPr>
        <w:pStyle w:val="ListParagraph"/>
        <w:numPr>
          <w:ilvl w:val="0"/>
          <w:numId w:val="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Comparing negligence</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court raises an interesting question in the course of adopting a comparative negligence regime: how exactly do we compare one party</w:t>
      </w:r>
      <w:r w:rsidR="00B05F31">
        <w:rPr>
          <w:rFonts w:ascii="Times New Roman" w:eastAsia="Times New Roman" w:hAnsi="Times New Roman" w:cs="Times New Roman"/>
        </w:rPr>
        <w:t>’</w:t>
      </w:r>
      <w:r w:rsidRPr="00F94B7E">
        <w:rPr>
          <w:rFonts w:ascii="Times New Roman" w:eastAsia="Times New Roman" w:hAnsi="Times New Roman" w:cs="Times New Roman"/>
        </w:rPr>
        <w:t>s negligent act with another party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different negligent act? Consider the facts of the </w:t>
      </w:r>
      <w:r w:rsidRPr="00F94B7E">
        <w:rPr>
          <w:rFonts w:ascii="Times New Roman" w:eastAsia="Times New Roman" w:hAnsi="Times New Roman" w:cs="Times New Roman"/>
          <w:i/>
          <w:iCs/>
        </w:rPr>
        <w:t>Li</w:t>
      </w:r>
      <w:r w:rsidRPr="00F94B7E">
        <w:rPr>
          <w:rFonts w:ascii="Times New Roman" w:eastAsia="Times New Roman" w:hAnsi="Times New Roman" w:cs="Times New Roman"/>
        </w:rPr>
        <w:t xml:space="preserve"> case itself. How should a jury apportion percentages of fault to the plaintiff, who made a negligent left turn, and the defendant, who was driving over the speed limit? Is it 50-50? Or something else?</w:t>
      </w:r>
    </w:p>
    <w:p w14:paraId="6F37F019" w14:textId="77777777" w:rsidR="004709CA" w:rsidRPr="004709CA" w:rsidRDefault="004709CA" w:rsidP="004709CA">
      <w:pPr>
        <w:rPr>
          <w:rFonts w:ascii="Times New Roman" w:hAnsi="Times New Roman" w:cs="Times New Roman"/>
        </w:rPr>
      </w:pPr>
    </w:p>
    <w:p w14:paraId="5002D835" w14:textId="5F04512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Alternatively, try comparing two parties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4709CA" w:rsidRDefault="004709CA" w:rsidP="004709CA">
      <w:pPr>
        <w:rPr>
          <w:rFonts w:ascii="Times New Roman" w:hAnsi="Times New Roman" w:cs="Times New Roman"/>
        </w:rPr>
      </w:pPr>
    </w:p>
    <w:p w14:paraId="1A8DCBBD" w14:textId="768BCFDA"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Consider another wrinkle for comparative negligence regimes. In footnote 6a, the </w:t>
      </w:r>
      <w:r w:rsidRPr="750671CE">
        <w:rPr>
          <w:rFonts w:ascii="Times New Roman" w:eastAsia="Times New Roman" w:hAnsi="Times New Roman" w:cs="Times New Roman"/>
          <w:i/>
          <w:iCs/>
        </w:rPr>
        <w:t>Li</w:t>
      </w:r>
      <w:r w:rsidRPr="750671CE">
        <w:rPr>
          <w:rFonts w:ascii="Times New Roman" w:eastAsia="Times New Roman" w:hAnsi="Times New Roman" w:cs="Times New Roman"/>
        </w:rPr>
        <w:t xml:space="preserve"> court attempted to clarify that California tort law forces judges and juries to compare parties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respective faults rather than their respective causal responsibilities. The court modified the decision a month after it was published to clarify that California</w:t>
      </w:r>
      <w:r w:rsidR="00B05F31">
        <w:rPr>
          <w:rFonts w:ascii="Times New Roman" w:eastAsia="Times New Roman" w:hAnsi="Times New Roman" w:cs="Times New Roman"/>
        </w:rPr>
        <w:t>’</w:t>
      </w:r>
      <w:r w:rsidRPr="750671CE">
        <w:rPr>
          <w:rFonts w:ascii="Times New Roman" w:eastAsia="Times New Roman" w:hAnsi="Times New Roman" w:cs="Times New Roman"/>
        </w:rPr>
        <w:t>s negligence regime would only focus on fault. But what</w:t>
      </w:r>
      <w:r w:rsidR="00B05F31">
        <w:rPr>
          <w:rFonts w:ascii="Times New Roman" w:eastAsia="Times New Roman" w:hAnsi="Times New Roman" w:cs="Times New Roman"/>
        </w:rPr>
        <w:t>’</w:t>
      </w:r>
      <w:r w:rsidRPr="750671CE">
        <w:rPr>
          <w:rFonts w:ascii="Times New Roman" w:eastAsia="Times New Roman" w:hAnsi="Times New Roman" w:cs="Times New Roman"/>
        </w:rPr>
        <w:t>s the difference between a party</w:t>
      </w:r>
      <w:r w:rsidR="00B05F31">
        <w:rPr>
          <w:rFonts w:ascii="Times New Roman" w:eastAsia="Times New Roman" w:hAnsi="Times New Roman" w:cs="Times New Roman"/>
        </w:rPr>
        <w:t>’</w:t>
      </w:r>
      <w:r w:rsidRPr="750671CE">
        <w:rPr>
          <w:rFonts w:ascii="Times New Roman" w:eastAsia="Times New Roman" w:hAnsi="Times New Roman" w:cs="Times New Roman"/>
        </w:rPr>
        <w:t>s fault and a party</w:t>
      </w:r>
      <w:r w:rsidR="00B05F31">
        <w:rPr>
          <w:rFonts w:ascii="Times New Roman" w:eastAsia="Times New Roman" w:hAnsi="Times New Roman" w:cs="Times New Roman"/>
        </w:rPr>
        <w:t>’</w:t>
      </w:r>
      <w:r w:rsidRPr="750671CE">
        <w:rPr>
          <w:rFonts w:ascii="Times New Roman" w:eastAsia="Times New Roman" w:hAnsi="Times New Roman" w:cs="Times New Roman"/>
        </w:rPr>
        <w:t>s causal contribution? If the California Supreme Court was confused between the two, what are the chances that future courts and juries will understand the distinction?</w:t>
      </w:r>
    </w:p>
    <w:p w14:paraId="4CCDDB77" w14:textId="77777777" w:rsidR="004709CA" w:rsidRPr="004709CA" w:rsidRDefault="004709CA" w:rsidP="004709CA">
      <w:pPr>
        <w:rPr>
          <w:rFonts w:ascii="Times New Roman" w:hAnsi="Times New Roman" w:cs="Times New Roman"/>
        </w:rPr>
      </w:pPr>
    </w:p>
    <w:p w14:paraId="10693ADA"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Perhaps frustrated with questions like these, some state supreme courts have passed up their opportunities to adopt comparative negligence regimes:</w:t>
      </w:r>
    </w:p>
    <w:p w14:paraId="30036FC6" w14:textId="77777777" w:rsidR="004709CA" w:rsidRPr="004709CA" w:rsidRDefault="004709CA" w:rsidP="004709CA">
      <w:pPr>
        <w:rPr>
          <w:rFonts w:ascii="Times New Roman" w:hAnsi="Times New Roman" w:cs="Times New Roman"/>
        </w:rPr>
      </w:pPr>
    </w:p>
    <w:p w14:paraId="0EE3C9B6" w14:textId="77777777" w:rsidR="004709CA" w:rsidRPr="004709CA" w:rsidRDefault="004709CA" w:rsidP="004709CA">
      <w:pPr>
        <w:rPr>
          <w:rFonts w:ascii="Times New Roman" w:hAnsi="Times New Roman" w:cs="Times New Roman"/>
        </w:rPr>
      </w:pPr>
    </w:p>
    <w:p w14:paraId="53BE093B" w14:textId="7F7417CD" w:rsidR="004709CA" w:rsidRPr="004709CA" w:rsidRDefault="004709CA" w:rsidP="750671CE">
      <w:pPr>
        <w:rPr>
          <w:rFonts w:ascii="Times New Roman" w:eastAsia="Times New Roman" w:hAnsi="Times New Roman" w:cs="Times New Roman"/>
        </w:rPr>
      </w:pPr>
      <w:bookmarkStart w:id="387" w:name="_Toc518323365"/>
      <w:r w:rsidRPr="00F94B7E">
        <w:rPr>
          <w:rStyle w:val="Heading4Char"/>
          <w:rFonts w:eastAsiaTheme="minorEastAsia"/>
        </w:rPr>
        <w:t>Coleman v. Soccer Ass</w:t>
      </w:r>
      <w:r w:rsidR="00B05F31">
        <w:rPr>
          <w:rStyle w:val="Heading4Char"/>
          <w:rFonts w:eastAsiaTheme="minorEastAsia"/>
        </w:rPr>
        <w:t>’</w:t>
      </w:r>
      <w:r w:rsidRPr="00F94B7E">
        <w:rPr>
          <w:rStyle w:val="Heading4Char"/>
          <w:rFonts w:eastAsiaTheme="minorEastAsia"/>
        </w:rPr>
        <w:t>n. of Columbia</w:t>
      </w:r>
      <w:bookmarkEnd w:id="387"/>
      <w:r w:rsidRPr="750671CE">
        <w:rPr>
          <w:rFonts w:ascii="Times New Roman" w:eastAsia="Times New Roman" w:hAnsi="Times New Roman" w:cs="Times New Roman"/>
          <w:b/>
          <w:bCs/>
        </w:rPr>
        <w:t>, 432 Md. 679 (2013).</w:t>
      </w:r>
    </w:p>
    <w:p w14:paraId="3C750C87" w14:textId="77777777" w:rsidR="004709CA" w:rsidRPr="004709CA" w:rsidRDefault="004709CA" w:rsidP="004709CA">
      <w:pPr>
        <w:rPr>
          <w:rFonts w:ascii="Times New Roman" w:hAnsi="Times New Roman" w:cs="Times New Roman"/>
        </w:rPr>
      </w:pPr>
    </w:p>
    <w:p w14:paraId="716E66B0" w14:textId="3E7E0891"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Thirty years ago, in </w:t>
      </w:r>
      <w:r w:rsidRPr="750671CE">
        <w:rPr>
          <w:rFonts w:ascii="Times New Roman" w:eastAsia="Times New Roman" w:hAnsi="Times New Roman" w:cs="Times New Roman"/>
          <w:i/>
          <w:iCs/>
        </w:rPr>
        <w:t>Harrison v. Montgomery County Bd. of Educ</w:t>
      </w:r>
      <w:r w:rsidRPr="750671CE">
        <w:rPr>
          <w:rFonts w:ascii="Times New Roman" w:eastAsia="Times New Roman" w:hAnsi="Times New Roman" w:cs="Times New Roman"/>
        </w:rPr>
        <w:t xml:space="preserve">., 295 Md. 442, 444 (1983), this Court issued a writ of certiorari to decide </w:t>
      </w:r>
      <w:r w:rsidR="00B05F31">
        <w:rPr>
          <w:rFonts w:ascii="Times New Roman" w:eastAsia="Times New Roman" w:hAnsi="Times New Roman" w:cs="Times New Roman"/>
        </w:rPr>
        <w:t>“</w:t>
      </w:r>
      <w:r w:rsidRPr="750671CE">
        <w:rPr>
          <w:rFonts w:ascii="Times New Roman" w:eastAsia="Times New Roman" w:hAnsi="Times New Roman" w:cs="Times New Roman"/>
        </w:rPr>
        <w:t>whether the common law doctrine of contributory negligence should be judicially abrogated in Maryland and the doctrine of comparative negligence adopted in its place as the rule governing trial of negligence actions in this State.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a comprehensive opinion by then Chief Judge Robert C. Murphy, the Court in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declined to abandon the doctrine of contributory negligence in favor of comparative negligence, pointing out that such change </w:t>
      </w:r>
      <w:r w:rsidR="00B05F31">
        <w:rPr>
          <w:rFonts w:ascii="Times New Roman" w:eastAsia="Times New Roman" w:hAnsi="Times New Roman" w:cs="Times New Roman"/>
        </w:rPr>
        <w:t>“</w:t>
      </w:r>
      <w:r w:rsidRPr="750671CE">
        <w:rPr>
          <w:rFonts w:ascii="Times New Roman" w:eastAsia="Times New Roman" w:hAnsi="Times New Roman" w:cs="Times New Roman"/>
        </w:rPr>
        <w:t>involves fundamental and basic public policy considerations properly to be addressed by the legislature.</w:t>
      </w:r>
      <w:r w:rsidR="00B05F31">
        <w:rPr>
          <w:rFonts w:ascii="Times New Roman" w:eastAsia="Times New Roman" w:hAnsi="Times New Roman" w:cs="Times New Roman"/>
        </w:rPr>
        <w:t>”</w:t>
      </w:r>
    </w:p>
    <w:p w14:paraId="3366715D"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C17C756"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petitioner in the case at bar presents the same issue that was presented in </w:t>
      </w:r>
      <w:r w:rsidRPr="00F94B7E">
        <w:rPr>
          <w:rFonts w:ascii="Times New Roman" w:eastAsia="Times New Roman" w:hAnsi="Times New Roman" w:cs="Times New Roman"/>
          <w:i/>
        </w:rPr>
        <w:t>Harrison</w:t>
      </w:r>
      <w:r w:rsidRPr="750671CE">
        <w:rPr>
          <w:rFonts w:ascii="Times New Roman" w:eastAsia="Times New Roman" w:hAnsi="Times New Roman" w:cs="Times New Roman"/>
        </w:rPr>
        <w:t xml:space="preserve">, namely whether this Court should change the common law and abrogate the defense of contributory negligence in certain types of tort actions. After reviewing the issue again, we shall arrive at the same conclusion that the Court reached in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w:t>
      </w:r>
    </w:p>
    <w:p w14:paraId="25D0C969" w14:textId="77777777" w:rsidR="00D9232E" w:rsidRPr="004709CA" w:rsidRDefault="00D9232E" w:rsidP="004709CA">
      <w:pPr>
        <w:rPr>
          <w:rFonts w:ascii="Times New Roman" w:hAnsi="Times New Roman" w:cs="Times New Roman"/>
        </w:rPr>
      </w:pPr>
    </w:p>
    <w:p w14:paraId="3F43CEF4" w14:textId="2700BD09"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w:t>
      </w:r>
    </w:p>
    <w:p w14:paraId="2767431B" w14:textId="77777777" w:rsidR="004709CA" w:rsidRPr="004709CA" w:rsidRDefault="004709CA" w:rsidP="004709CA">
      <w:pPr>
        <w:rPr>
          <w:rFonts w:ascii="Times New Roman" w:hAnsi="Times New Roman" w:cs="Times New Roman"/>
        </w:rPr>
      </w:pPr>
    </w:p>
    <w:p w14:paraId="3F861BD4" w14:textId="39170C15"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rPr>
          <w:rFonts w:ascii="Times New Roman" w:eastAsia="Times New Roman" w:hAnsi="Times New Roman" w:cs="Times New Roman"/>
        </w:rPr>
        <w:t>’</w:t>
      </w:r>
      <w:r w:rsidRPr="750671CE">
        <w:rPr>
          <w:rFonts w:ascii="Times New Roman" w:eastAsia="Times New Roman" w:hAnsi="Times New Roman" w:cs="Times New Roman"/>
        </w:rPr>
        <w:t>s young soccer players; the Association was required to use school fields for practices. At some point during the practice, Coleman kicked a soccer ball into a soccer goal. As he passed under the goal</w:t>
      </w:r>
      <w:r w:rsidR="00B05F31">
        <w:rPr>
          <w:rFonts w:ascii="Times New Roman" w:eastAsia="Times New Roman" w:hAnsi="Times New Roman" w:cs="Times New Roman"/>
        </w:rPr>
        <w:t>’</w:t>
      </w:r>
      <w:r w:rsidRPr="750671CE">
        <w:rPr>
          <w:rFonts w:ascii="Times New Roman" w:eastAsia="Times New Roman" w:hAnsi="Times New Roman" w:cs="Times New Roman"/>
        </w:rPr>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negligence. The defendant and respondent, the Soccer Association of Columbia, asserted the defense of contributory negligence.</w:t>
      </w:r>
    </w:p>
    <w:p w14:paraId="16E676A0"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2618D1A" w14:textId="639004C9"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 .</w:t>
      </w:r>
    </w:p>
    <w:p w14:paraId="136EE209" w14:textId="77777777" w:rsidR="004709CA" w:rsidRPr="004709CA" w:rsidRDefault="004709CA" w:rsidP="004709CA">
      <w:pPr>
        <w:rPr>
          <w:rFonts w:ascii="Times New Roman" w:hAnsi="Times New Roman" w:cs="Times New Roman"/>
        </w:rPr>
      </w:pPr>
    </w:p>
    <w:p w14:paraId="1FE2209A" w14:textId="5DAD34A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jury concluded that the Soccer Association of Columbia was negligent and that the Soccer Association</w:t>
      </w:r>
      <w:r w:rsidR="00B05F31">
        <w:rPr>
          <w:rFonts w:ascii="Times New Roman" w:eastAsia="Times New Roman" w:hAnsi="Times New Roman" w:cs="Times New Roman"/>
        </w:rPr>
        <w:t>’</w:t>
      </w:r>
      <w:r w:rsidRPr="750671CE">
        <w:rPr>
          <w:rFonts w:ascii="Times New Roman" w:eastAsia="Times New Roman" w:hAnsi="Times New Roman" w:cs="Times New Roman"/>
        </w:rPr>
        <w:t>s negligence caused Coleman</w:t>
      </w:r>
      <w:r w:rsidR="00B05F31">
        <w:rPr>
          <w:rFonts w:ascii="Times New Roman" w:eastAsia="Times New Roman" w:hAnsi="Times New Roman" w:cs="Times New Roman"/>
        </w:rPr>
        <w:t>’</w:t>
      </w:r>
      <w:r w:rsidRPr="750671CE">
        <w:rPr>
          <w:rFonts w:ascii="Times New Roman" w:eastAsia="Times New Roman" w:hAnsi="Times New Roman" w:cs="Times New Roman"/>
        </w:rPr>
        <w:t>s injuries. The jury also found that Coleman was negligent, and that his negligence contributed to his own injuries. Because of the contributory negligence finding, Coleman was barred from any recovery. . . .</w:t>
      </w:r>
    </w:p>
    <w:p w14:paraId="25F310CE" w14:textId="77777777" w:rsidR="004709CA" w:rsidRPr="004709CA" w:rsidRDefault="004709CA" w:rsidP="004709CA">
      <w:pPr>
        <w:rPr>
          <w:rFonts w:ascii="Times New Roman" w:hAnsi="Times New Roman" w:cs="Times New Roman"/>
        </w:rPr>
      </w:pPr>
    </w:p>
    <w:p w14:paraId="78D884B3"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II.</w:t>
      </w:r>
    </w:p>
    <w:p w14:paraId="2567CD60" w14:textId="77777777" w:rsidR="004709CA" w:rsidRPr="004709CA" w:rsidRDefault="004709CA" w:rsidP="004709CA">
      <w:pPr>
        <w:rPr>
          <w:rFonts w:ascii="Times New Roman" w:hAnsi="Times New Roman" w:cs="Times New Roman"/>
        </w:rPr>
      </w:pPr>
    </w:p>
    <w:p w14:paraId="1A3EA994" w14:textId="4893AB65"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This Court last addressed the continuing viability of the contributory negligence doctrine in </w:t>
      </w:r>
      <w:r w:rsidRPr="750671CE">
        <w:rPr>
          <w:rFonts w:ascii="Times New Roman" w:eastAsia="Times New Roman" w:hAnsi="Times New Roman" w:cs="Times New Roman"/>
          <w:i/>
          <w:iCs/>
        </w:rPr>
        <w:t>Harrison v. Montgomery County Bd. of Educ</w:t>
      </w:r>
      <w:r w:rsidRPr="750671CE">
        <w:rPr>
          <w:rFonts w:ascii="Times New Roman" w:eastAsia="Times New Roman" w:hAnsi="Times New Roman" w:cs="Times New Roman"/>
        </w:rPr>
        <w:t xml:space="preserve">., [decided in 1983].  In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the Court held that the contributory negligence principle remained the valid standard in Maryland negligence cases and that </w:t>
      </w:r>
      <w:r w:rsidR="00B05F31">
        <w:rPr>
          <w:rFonts w:ascii="Times New Roman" w:eastAsia="Times New Roman" w:hAnsi="Times New Roman" w:cs="Times New Roman"/>
        </w:rPr>
        <w:t>“</w:t>
      </w:r>
      <w:r w:rsidRPr="750671CE">
        <w:rPr>
          <w:rFonts w:ascii="Times New Roman" w:eastAsia="Times New Roman" w:hAnsi="Times New Roman" w:cs="Times New Roman"/>
        </w:rPr>
        <w:t>any change in the established doctrine [was for] the Legislature.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295 Md. at 463.</w:t>
      </w:r>
    </w:p>
    <w:p w14:paraId="70FC541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B335246" w14:textId="271481D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Chief Judge Murphy, for the Court in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began his review of the contributory negligence standard by tracing the standard</w:t>
      </w:r>
      <w:r w:rsidR="00B05F31">
        <w:rPr>
          <w:rFonts w:ascii="Times New Roman" w:eastAsia="Times New Roman" w:hAnsi="Times New Roman" w:cs="Times New Roman"/>
        </w:rPr>
        <w:t>’</w:t>
      </w:r>
      <w:r w:rsidRPr="750671CE">
        <w:rPr>
          <w:rFonts w:ascii="Times New Roman" w:eastAsia="Times New Roman" w:hAnsi="Times New Roman" w:cs="Times New Roman"/>
        </w:rPr>
        <w:t>s historical origins to Lord Chief Justice Ellenborough</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opinion in </w:t>
      </w:r>
      <w:r w:rsidRPr="750671CE">
        <w:rPr>
          <w:rFonts w:ascii="Times New Roman" w:eastAsia="Times New Roman" w:hAnsi="Times New Roman" w:cs="Times New Roman"/>
          <w:i/>
          <w:iCs/>
        </w:rPr>
        <w:t>Butterfield v. Forrester</w:t>
      </w:r>
      <w:r w:rsidRPr="750671CE">
        <w:rPr>
          <w:rFonts w:ascii="Times New Roman" w:eastAsia="Times New Roman" w:hAnsi="Times New Roman" w:cs="Times New Roman"/>
        </w:rPr>
        <w:t xml:space="preserve">, 11 East 60, 103 Eng. Rep. 926 (K.B.1809). . . .  The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Pr>
          <w:rFonts w:ascii="Times New Roman" w:eastAsia="Times New Roman" w:hAnsi="Times New Roman" w:cs="Times New Roman"/>
        </w:rPr>
        <w:t>“</w:t>
      </w:r>
      <w:r w:rsidRPr="750671CE">
        <w:rPr>
          <w:rFonts w:ascii="Times New Roman" w:eastAsia="Times New Roman" w:hAnsi="Times New Roman" w:cs="Times New Roman"/>
        </w:rPr>
        <w:t>newly developing industry.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Early American courts were also concerned that they should not adopt a policy in which </w:t>
      </w:r>
      <w:r w:rsidR="00B05F31">
        <w:rPr>
          <w:rFonts w:ascii="Times New Roman" w:eastAsia="Times New Roman" w:hAnsi="Times New Roman" w:cs="Times New Roman"/>
        </w:rPr>
        <w:t>“</w:t>
      </w:r>
      <w:r w:rsidRPr="750671CE">
        <w:rPr>
          <w:rFonts w:ascii="Times New Roman" w:eastAsia="Times New Roman" w:hAnsi="Times New Roman" w:cs="Times New Roman"/>
        </w:rPr>
        <w:t>courts . . .  assist a wrongdoer who suffered an injury as a result of his own wrongdoing.</w:t>
      </w:r>
      <w:r w:rsidR="00B05F31">
        <w:rPr>
          <w:rFonts w:ascii="Times New Roman" w:eastAsia="Times New Roman" w:hAnsi="Times New Roman" w:cs="Times New Roman"/>
        </w:rPr>
        <w:t>”</w:t>
      </w:r>
      <w:r w:rsidRPr="750671CE">
        <w:rPr>
          <w:rFonts w:ascii="Times New Roman" w:eastAsia="Times New Roman" w:hAnsi="Times New Roman" w:cs="Times New Roman"/>
        </w:rPr>
        <w:t>. . .</w:t>
      </w:r>
    </w:p>
    <w:p w14:paraId="1AE7FF67" w14:textId="77777777" w:rsidR="004709CA" w:rsidRPr="004709CA" w:rsidRDefault="004709CA" w:rsidP="004709CA">
      <w:pPr>
        <w:rPr>
          <w:rFonts w:ascii="Times New Roman" w:hAnsi="Times New Roman" w:cs="Times New Roman"/>
        </w:rPr>
      </w:pPr>
    </w:p>
    <w:p w14:paraId="513DE031" w14:textId="2834583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Court in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rPr>
          <w:rFonts w:ascii="Times New Roman" w:eastAsia="Times New Roman" w:hAnsi="Times New Roman" w:cs="Times New Roman"/>
        </w:rPr>
        <w:t>“</w:t>
      </w:r>
      <w:r w:rsidRPr="750671CE">
        <w:rPr>
          <w:rFonts w:ascii="Times New Roman" w:eastAsia="Times New Roman" w:hAnsi="Times New Roman" w:cs="Times New Roman"/>
        </w:rPr>
        <w:t>clear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legal scholars </w:t>
      </w:r>
      <w:r w:rsidR="00B05F31">
        <w:rPr>
          <w:rFonts w:ascii="Times New Roman" w:eastAsia="Times New Roman" w:hAnsi="Times New Roman" w:cs="Times New Roman"/>
        </w:rPr>
        <w:t>“</w:t>
      </w:r>
      <w:r w:rsidRPr="750671CE">
        <w:rPr>
          <w:rFonts w:ascii="Times New Roman" w:eastAsia="Times New Roman" w:hAnsi="Times New Roman" w:cs="Times New Roman"/>
        </w:rPr>
        <w:t>favored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comparative negligence standard . . . .</w:t>
      </w:r>
    </w:p>
    <w:p w14:paraId="4DCEA678"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BD52E4D"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Nevertheless, the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Court pointed to other considerations involved in changing the standard from contributory negligence to comparative negligence (295 Md. at 454–455):</w:t>
      </w:r>
    </w:p>
    <w:p w14:paraId="0C5DF83F" w14:textId="3A6442FF"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rPr>
          <w:rFonts w:ascii="Times New Roman" w:eastAsia="Times New Roman" w:hAnsi="Times New Roman" w:cs="Times New Roman"/>
        </w:rPr>
        <w:t>‘</w:t>
      </w:r>
      <w:r w:rsidRPr="750671CE">
        <w:rPr>
          <w:rFonts w:ascii="Times New Roman" w:eastAsia="Times New Roman" w:hAnsi="Times New Roman" w:cs="Times New Roman"/>
        </w:rPr>
        <w:t>pure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form of comparative negligence, there are several </w:t>
      </w:r>
      <w:r w:rsidR="00B05F31">
        <w:rPr>
          <w:rFonts w:ascii="Times New Roman" w:eastAsia="Times New Roman" w:hAnsi="Times New Roman" w:cs="Times New Roman"/>
        </w:rPr>
        <w:t>‘</w:t>
      </w:r>
      <w:r w:rsidRPr="750671CE">
        <w:rPr>
          <w:rFonts w:ascii="Times New Roman" w:eastAsia="Times New Roman" w:hAnsi="Times New Roman" w:cs="Times New Roman"/>
        </w:rPr>
        <w:t>modified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forms, so that abrogation of the contributory negligence doctrine will necessitate the substitution of an alternate doctrine. Which form to adopt presents its own questions and the choice is by no means clear.</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 That a change from contributory to comparative negligence involves considerably more than a simple common law adjustment is readily apparent.</w:t>
      </w:r>
    </w:p>
    <w:p w14:paraId="0C094C2D"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BBC122B" w14:textId="293941A1"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 . . </w:t>
      </w:r>
      <w:r w:rsidRPr="00F94B7E">
        <w:rPr>
          <w:rFonts w:ascii="Times New Roman" w:eastAsia="Times New Roman" w:hAnsi="Times New Roman" w:cs="Times New Roman"/>
          <w:i/>
        </w:rPr>
        <w:t>Harrison</w:t>
      </w:r>
      <w:r w:rsidRPr="750671CE">
        <w:rPr>
          <w:rFonts w:ascii="Times New Roman" w:eastAsia="Times New Roman" w:hAnsi="Times New Roman" w:cs="Times New Roman"/>
        </w:rPr>
        <w:t xml:space="preserve"> concluded</w:t>
      </w:r>
      <w:r w:rsidR="0026352C">
        <w:rPr>
          <w:rFonts w:ascii="Times New Roman" w:eastAsia="Times New Roman" w:hAnsi="Times New Roman" w:cs="Times New Roman"/>
        </w:rPr>
        <w:t xml:space="preserve"> . . . </w:t>
      </w:r>
      <w:r w:rsidRPr="750671CE">
        <w:rPr>
          <w:rFonts w:ascii="Times New Roman" w:eastAsia="Times New Roman" w:hAnsi="Times New Roman" w:cs="Times New Roman"/>
        </w:rPr>
        <w:t>:</w:t>
      </w:r>
    </w:p>
    <w:p w14:paraId="5911E1D2" w14:textId="77777777" w:rsidR="004709CA" w:rsidRPr="004709CA" w:rsidRDefault="004709CA" w:rsidP="004709CA">
      <w:pPr>
        <w:rPr>
          <w:rFonts w:ascii="Times New Roman" w:hAnsi="Times New Roman" w:cs="Times New Roman"/>
        </w:rPr>
      </w:pPr>
    </w:p>
    <w:p w14:paraId="1E112C34" w14:textId="124294FB"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[I]n considering whether a long-established common law rule—unchanged by the legislature and thus reflective of this State</w:t>
      </w:r>
      <w:r w:rsidR="00B05F31">
        <w:rPr>
          <w:rFonts w:ascii="Times New Roman" w:eastAsia="Times New Roman" w:hAnsi="Times New Roman" w:cs="Times New Roman"/>
        </w:rPr>
        <w:t>’</w:t>
      </w:r>
      <w:r w:rsidRPr="750671CE">
        <w:rPr>
          <w:rFonts w:ascii="Times New Roman" w:eastAsia="Times New Roman" w:hAnsi="Times New Roman" w:cs="Times New Roman"/>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ABC485D" w14:textId="5FC9C4E1"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years immediately prior to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from 1966 to 1982, the Maryland General Assembly had considered twenty-one bills seeking to change the contributory negligence standard. None of the bills had been enacted. The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Court accorded a great deal of weight to the General Assembly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failure to enact any of these bills, stating: </w:t>
      </w:r>
      <w:r w:rsidR="00B05F31">
        <w:rPr>
          <w:rFonts w:ascii="Times New Roman" w:eastAsia="Times New Roman" w:hAnsi="Times New Roman" w:cs="Times New Roman"/>
        </w:rPr>
        <w:t>“</w:t>
      </w:r>
      <w:r w:rsidRPr="750671CE">
        <w:rPr>
          <w:rFonts w:ascii="Times New Roman" w:eastAsia="Times New Roman" w:hAnsi="Times New Roman" w:cs="Times New Roman"/>
        </w:rPr>
        <w:t>[T]he legislature</w:t>
      </w:r>
      <w:r w:rsidR="00B05F31">
        <w:rPr>
          <w:rFonts w:ascii="Times New Roman" w:eastAsia="Times New Roman" w:hAnsi="Times New Roman" w:cs="Times New Roman"/>
        </w:rPr>
        <w:t>’</w:t>
      </w:r>
      <w:r w:rsidRPr="750671CE">
        <w:rPr>
          <w:rFonts w:ascii="Times New Roman" w:eastAsia="Times New Roman" w:hAnsi="Times New Roman" w:cs="Times New Roman"/>
        </w:rPr>
        <w:t>s action in rejecting the proposed change is indicative of an intention to retain the contributory negligence doctrine.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4430DDEB" w14:textId="77777777" w:rsidR="004709CA" w:rsidRPr="004709CA" w:rsidRDefault="004709CA" w:rsidP="004709CA">
      <w:pPr>
        <w:rPr>
          <w:rFonts w:ascii="Times New Roman" w:hAnsi="Times New Roman" w:cs="Times New Roman"/>
        </w:rPr>
      </w:pPr>
    </w:p>
    <w:p w14:paraId="21BE5AD0" w14:textId="78A9CDDE"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Court further pointed out that enactment of a comparative negligence standard is be made, beginning with the initial inquiry of what form of comparative negligence to adopt, </w:t>
      </w:r>
      <w:r w:rsidR="00B05F31">
        <w:rPr>
          <w:rFonts w:ascii="Times New Roman" w:eastAsia="Times New Roman" w:hAnsi="Times New Roman" w:cs="Times New Roman"/>
        </w:rPr>
        <w:t>“</w:t>
      </w:r>
      <w:r w:rsidRPr="750671CE">
        <w:rPr>
          <w:rFonts w:ascii="Times New Roman" w:eastAsia="Times New Roman" w:hAnsi="Times New Roman" w:cs="Times New Roman"/>
        </w:rPr>
        <w:t>pure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one </w:t>
      </w:r>
      <w:r w:rsidR="00B05F31">
        <w:rPr>
          <w:rFonts w:ascii="Times New Roman" w:eastAsia="Times New Roman" w:hAnsi="Times New Roman" w:cs="Times New Roman"/>
        </w:rPr>
        <w:t>“</w:t>
      </w:r>
      <w:r w:rsidRPr="750671CE">
        <w:rPr>
          <w:rFonts w:ascii="Times New Roman" w:eastAsia="Times New Roman" w:hAnsi="Times New Roman" w:cs="Times New Roman"/>
        </w:rPr>
        <w:t>of the several types of modified comparative negligence.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If Maryland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common law were to change, the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xml:space="preserve"> opinion explained, the decision as to which form of comparative negligence to adopt </w:t>
      </w:r>
      <w:r w:rsidR="00B05F31">
        <w:rPr>
          <w:rFonts w:ascii="Times New Roman" w:eastAsia="Times New Roman" w:hAnsi="Times New Roman" w:cs="Times New Roman"/>
        </w:rPr>
        <w:t>“</w:t>
      </w:r>
      <w:r w:rsidRPr="750671CE">
        <w:rPr>
          <w:rFonts w:ascii="Times New Roman" w:eastAsia="Times New Roman" w:hAnsi="Times New Roman" w:cs="Times New Roman"/>
        </w:rPr>
        <w:t>plainly involves major policy considerations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the sort best left to the General Assembly. </w:t>
      </w:r>
    </w:p>
    <w:p w14:paraId="1EAE9A42" w14:textId="77777777" w:rsidR="004709CA" w:rsidRPr="004709CA" w:rsidRDefault="004709CA" w:rsidP="004709CA">
      <w:pPr>
        <w:rPr>
          <w:rFonts w:ascii="Times New Roman" w:hAnsi="Times New Roman" w:cs="Times New Roman"/>
        </w:rPr>
      </w:pPr>
    </w:p>
    <w:p w14:paraId="3243B047"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III.</w:t>
      </w:r>
    </w:p>
    <w:p w14:paraId="69CE69BC" w14:textId="77777777" w:rsidR="004709CA" w:rsidRPr="004709CA" w:rsidRDefault="004709CA" w:rsidP="004709CA">
      <w:pPr>
        <w:rPr>
          <w:rFonts w:ascii="Times New Roman" w:hAnsi="Times New Roman" w:cs="Times New Roman"/>
        </w:rPr>
      </w:pPr>
    </w:p>
    <w:p w14:paraId="2EBB3840" w14:textId="0E197EE3"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Since the time of </w:t>
      </w:r>
      <w:r w:rsidRPr="750671CE">
        <w:rPr>
          <w:rFonts w:ascii="Times New Roman" w:eastAsia="Times New Roman" w:hAnsi="Times New Roman" w:cs="Times New Roman"/>
          <w:i/>
          <w:iCs/>
        </w:rPr>
        <w:t>Harrison</w:t>
      </w:r>
      <w:r w:rsidRPr="750671CE">
        <w:rPr>
          <w:rFonts w:ascii="Times New Roman" w:eastAsia="Times New Roman" w:hAnsi="Times New Roman" w:cs="Times New Roman"/>
        </w:rPr>
        <w:t>, this Court has continued to recognize the standard of contributory negligence as the applicable principle in Maryland negligence actions. Although the contributory negligence principle has been part of this State</w:t>
      </w:r>
      <w:r w:rsidR="00B05F31">
        <w:rPr>
          <w:rFonts w:ascii="Times New Roman" w:eastAsia="Times New Roman" w:hAnsi="Times New Roman" w:cs="Times New Roman"/>
        </w:rPr>
        <w:t>’</w:t>
      </w:r>
      <w:r w:rsidRPr="750671CE">
        <w:rPr>
          <w:rFonts w:ascii="Times New Roman" w:eastAsia="Times New Roman" w:hAnsi="Times New Roman" w:cs="Times New Roman"/>
        </w:rPr>
        <w:t>s common law for over 165 years, petitioners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primarily responsible for the act or omission which resulted in a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behavior.</w:t>
      </w:r>
    </w:p>
    <w:p w14:paraId="5F69B8C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84AB807" w14:textId="77777777" w:rsidR="003C0388"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Petitioners correctly contend that, because contributory negligence is a court-created principle, and has not been embodied in Maryland statutes, this Court possesses the authority to change the principle. This Court has recognized that (</w:t>
      </w:r>
      <w:r w:rsidRPr="750671CE">
        <w:rPr>
          <w:rFonts w:ascii="Times New Roman" w:eastAsia="Times New Roman" w:hAnsi="Times New Roman" w:cs="Times New Roman"/>
          <w:i/>
          <w:iCs/>
        </w:rPr>
        <w:t>Ireland v. State</w:t>
      </w:r>
      <w:r w:rsidRPr="750671CE">
        <w:rPr>
          <w:rFonts w:ascii="Times New Roman" w:eastAsia="Times New Roman" w:hAnsi="Times New Roman" w:cs="Times New Roman"/>
        </w:rPr>
        <w:t>, 310 Md. 328, 331–332 (1987)),</w:t>
      </w:r>
    </w:p>
    <w:p w14:paraId="28E764B5" w14:textId="77777777" w:rsidR="003D02FE" w:rsidRDefault="003D02FE" w:rsidP="750671CE">
      <w:pPr>
        <w:ind w:firstLine="720"/>
        <w:rPr>
          <w:rFonts w:ascii="Times New Roman" w:eastAsia="Times New Roman" w:hAnsi="Times New Roman" w:cs="Times New Roman"/>
        </w:rPr>
      </w:pPr>
    </w:p>
    <w:p w14:paraId="5B50D4EB" w14:textId="0E6B2105" w:rsidR="004709CA" w:rsidRPr="004709CA" w:rsidRDefault="003D02FE" w:rsidP="00F94B7E">
      <w:pPr>
        <w:pStyle w:val="blockquote"/>
      </w:pPr>
      <w:r>
        <w:t>[</w:t>
      </w:r>
      <w:r w:rsidR="750671CE" w:rsidRPr="750671CE">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750671CE">
        <w:rPr>
          <w:i/>
          <w:iCs/>
        </w:rPr>
        <w:t>Kelley v. R.G. Industries, Inc</w:t>
      </w:r>
      <w:r w:rsidR="750671CE" w:rsidRPr="750671CE">
        <w:t xml:space="preserve">., 304 Md. 124, 141. In the area of civil common law this Court has not only modified the existing law but also added to the body of law by recognizing new causes of action. </w:t>
      </w:r>
      <w:r w:rsidR="750671CE" w:rsidRPr="750671CE">
        <w:rPr>
          <w:i/>
          <w:iCs/>
        </w:rPr>
        <w:t>Kelley</w:t>
      </w:r>
      <w:r w:rsidR="750671CE" w:rsidRPr="750671CE">
        <w:t xml:space="preserve">, (recognizing cause of action against manufacturers or marketers for damages caused by </w:t>
      </w:r>
      <w:r w:rsidR="00B05F31">
        <w:t>‘</w:t>
      </w:r>
      <w:r w:rsidR="750671CE" w:rsidRPr="750671CE">
        <w:t>Saturday Night Special</w:t>
      </w:r>
      <w:r w:rsidR="00B05F31">
        <w:t>’</w:t>
      </w:r>
      <w:r w:rsidR="750671CE" w:rsidRPr="750671CE">
        <w:t xml:space="preserve"> handguns); </w:t>
      </w:r>
      <w:r w:rsidR="750671CE" w:rsidRPr="750671CE">
        <w:rPr>
          <w:i/>
          <w:iCs/>
        </w:rPr>
        <w:t>Boblitz v. Boblitz</w:t>
      </w:r>
      <w:r w:rsidR="750671CE" w:rsidRPr="750671CE">
        <w:t>, 296 Md. 242 (1983)</w:t>
      </w:r>
      <w:r w:rsidR="00D9232E">
        <w:t xml:space="preserve"> </w:t>
      </w:r>
      <w:r w:rsidR="750671CE" w:rsidRPr="750671CE">
        <w:t xml:space="preserve">(permitting negligence action by one spouse against another); </w:t>
      </w:r>
      <w:r w:rsidR="750671CE" w:rsidRPr="750671CE">
        <w:rPr>
          <w:i/>
          <w:iCs/>
        </w:rPr>
        <w:t>Moxley v. Acker</w:t>
      </w:r>
      <w:r w:rsidR="750671CE" w:rsidRPr="750671CE">
        <w:t>, 294 Md. 47 (1982)</w:t>
      </w:r>
      <w:r w:rsidR="00D9232E">
        <w:t xml:space="preserve"> </w:t>
      </w:r>
      <w:r w:rsidR="750671CE" w:rsidRPr="750671CE">
        <w:t xml:space="preserve">(deleting force as a required element of the action of forceable detainer); </w:t>
      </w:r>
      <w:r w:rsidR="750671CE" w:rsidRPr="750671CE">
        <w:rPr>
          <w:i/>
          <w:iCs/>
        </w:rPr>
        <w:t>Adler v. American Standard Corp</w:t>
      </w:r>
      <w:r w:rsidR="750671CE" w:rsidRPr="750671CE">
        <w:t>., 291 Md. 31 (1981)</w:t>
      </w:r>
      <w:r w:rsidR="00D9232E">
        <w:t xml:space="preserve"> </w:t>
      </w:r>
      <w:r w:rsidR="750671CE" w:rsidRPr="750671CE">
        <w:t xml:space="preserve">(recognizing tort of abusive or wrongful discharge); </w:t>
      </w:r>
      <w:r w:rsidR="750671CE" w:rsidRPr="750671CE">
        <w:rPr>
          <w:i/>
          <w:iCs/>
        </w:rPr>
        <w:t>Lusby v. Lusby</w:t>
      </w:r>
      <w:r w:rsidR="750671CE" w:rsidRPr="750671CE">
        <w:t xml:space="preserve">, 283 Md. 334 (1978) (abolishing the defense of interspousal immunity in the case of outrageous intentional torts); </w:t>
      </w:r>
      <w:r w:rsidR="750671CE" w:rsidRPr="750671CE">
        <w:rPr>
          <w:i/>
          <w:iCs/>
        </w:rPr>
        <w:t>Harris v. Jones</w:t>
      </w:r>
      <w:r w:rsidR="750671CE" w:rsidRPr="750671CE">
        <w:t>, 281 Md. 560 (1977)</w:t>
      </w:r>
      <w:r w:rsidR="00D9232E">
        <w:t xml:space="preserve"> </w:t>
      </w:r>
      <w:r w:rsidR="750671CE" w:rsidRPr="750671CE">
        <w:t>(recognizing tort of intentional infliction of emotional distress).</w:t>
      </w:r>
    </w:p>
    <w:p w14:paraId="470534F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DCE5375" w14:textId="5FD4322D"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 .</w:t>
      </w:r>
    </w:p>
    <w:p w14:paraId="5F6473E9"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BBFABA1"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Since the </w:t>
      </w:r>
      <w:r w:rsidRPr="750671CE">
        <w:rPr>
          <w:rFonts w:ascii="Times New Roman" w:eastAsia="Times New Roman" w:hAnsi="Times New Roman" w:cs="Times New Roman"/>
          <w:i/>
          <w:iCs/>
        </w:rPr>
        <w:t xml:space="preserve">Harrison </w:t>
      </w:r>
      <w:r w:rsidRPr="750671CE">
        <w:rPr>
          <w:rFonts w:ascii="Times New Roman" w:eastAsia="Times New Roman" w:hAnsi="Times New Roman" w:cs="Times New Roman"/>
        </w:rPr>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4709CA" w:rsidRDefault="004709CA" w:rsidP="004709CA">
      <w:pPr>
        <w:rPr>
          <w:rFonts w:ascii="Times New Roman" w:hAnsi="Times New Roman" w:cs="Times New Roman"/>
        </w:rPr>
      </w:pPr>
    </w:p>
    <w:p w14:paraId="712AC06A" w14:textId="6A95C136" w:rsidR="00A31732" w:rsidRDefault="00A31732">
      <w:pPr>
        <w:rPr>
          <w:rFonts w:ascii="Times New Roman" w:hAnsi="Times New Roman" w:cs="Times New Roman"/>
        </w:rPr>
      </w:pPr>
    </w:p>
    <w:p w14:paraId="23FA3C29" w14:textId="4E0413FB"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Dissenting Opinion by </w:t>
      </w:r>
      <w:r w:rsidRPr="00F94B7E">
        <w:rPr>
          <w:rFonts w:ascii="Times New Roman" w:eastAsia="Times New Roman" w:hAnsi="Times New Roman" w:cs="Times New Roman"/>
          <w:smallCaps/>
        </w:rPr>
        <w:t>H</w:t>
      </w:r>
      <w:r w:rsidR="00D9232E" w:rsidRPr="00F94B7E">
        <w:rPr>
          <w:rFonts w:ascii="Times New Roman" w:eastAsia="Times New Roman" w:hAnsi="Times New Roman" w:cs="Times New Roman"/>
          <w:smallCaps/>
        </w:rPr>
        <w:t>arrell</w:t>
      </w:r>
      <w:r w:rsidRPr="750671CE">
        <w:rPr>
          <w:rFonts w:ascii="Times New Roman" w:eastAsia="Times New Roman" w:hAnsi="Times New Roman" w:cs="Times New Roman"/>
        </w:rPr>
        <w:t xml:space="preserve">, J., which </w:t>
      </w:r>
      <w:r w:rsidRPr="00F94B7E">
        <w:rPr>
          <w:rFonts w:ascii="Times New Roman" w:eastAsia="Times New Roman" w:hAnsi="Times New Roman" w:cs="Times New Roman"/>
          <w:smallCaps/>
        </w:rPr>
        <w:t>B</w:t>
      </w:r>
      <w:r w:rsidR="00D9232E" w:rsidRPr="00F94B7E">
        <w:rPr>
          <w:rFonts w:ascii="Times New Roman" w:eastAsia="Times New Roman" w:hAnsi="Times New Roman" w:cs="Times New Roman"/>
          <w:smallCaps/>
        </w:rPr>
        <w:t>ell</w:t>
      </w:r>
      <w:r w:rsidRPr="750671CE">
        <w:rPr>
          <w:rFonts w:ascii="Times New Roman" w:eastAsia="Times New Roman" w:hAnsi="Times New Roman" w:cs="Times New Roman"/>
        </w:rPr>
        <w:t>, C.J., joins.</w:t>
      </w:r>
    </w:p>
    <w:p w14:paraId="51E2BBF9" w14:textId="77777777" w:rsidR="004709CA" w:rsidRPr="004709CA" w:rsidRDefault="004709CA" w:rsidP="004709CA">
      <w:pPr>
        <w:rPr>
          <w:rFonts w:ascii="Times New Roman" w:hAnsi="Times New Roman" w:cs="Times New Roman"/>
        </w:rPr>
      </w:pPr>
    </w:p>
    <w:p w14:paraId="02521973" w14:textId="2723D6B3"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Paleontologists and geologists inform us that Earth</w:t>
      </w:r>
      <w:r w:rsidR="00B05F31">
        <w:rPr>
          <w:rFonts w:ascii="Times New Roman" w:eastAsia="Times New Roman" w:hAnsi="Times New Roman" w:cs="Times New Roman"/>
        </w:rPr>
        <w:t>’</w:t>
      </w:r>
      <w:r w:rsidRPr="750671CE">
        <w:rPr>
          <w:rFonts w:ascii="Times New Roman" w:eastAsia="Times New Roman" w:hAnsi="Times New Roman" w:cs="Times New Roman"/>
        </w:rPr>
        <w:t>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4709CA" w:rsidRDefault="004709CA">
      <w:pPr>
        <w:rPr>
          <w:rFonts w:ascii="Times New Roman" w:hAnsi="Times New Roman" w:cs="Times New Roman"/>
        </w:rPr>
      </w:pPr>
    </w:p>
    <w:p w14:paraId="7D385953" w14:textId="77777777" w:rsidR="004709CA" w:rsidRPr="004709CA" w:rsidRDefault="004709CA">
      <w:pPr>
        <w:rPr>
          <w:rFonts w:ascii="Times New Roman" w:hAnsi="Times New Roman" w:cs="Times New Roman"/>
        </w:rPr>
      </w:pPr>
    </w:p>
    <w:p w14:paraId="75C7D17D" w14:textId="77777777" w:rsidR="004709CA" w:rsidRPr="00874C9A" w:rsidRDefault="004709CA" w:rsidP="002502CC">
      <w:pPr>
        <w:pStyle w:val="Heading4"/>
      </w:pPr>
      <w:bookmarkStart w:id="388" w:name="_Toc364636151"/>
      <w:bookmarkStart w:id="389" w:name="_Toc518323366"/>
      <w:r w:rsidRPr="00874C9A">
        <w:t>Notes</w:t>
      </w:r>
      <w:bookmarkEnd w:id="388"/>
      <w:bookmarkEnd w:id="389"/>
      <w:r w:rsidRPr="00874C9A">
        <w:tab/>
      </w:r>
    </w:p>
    <w:p w14:paraId="0DBCB0DC" w14:textId="77777777" w:rsidR="004709CA" w:rsidRDefault="004709CA" w:rsidP="005D42D9">
      <w:pPr>
        <w:rPr>
          <w:rFonts w:ascii="Times New Roman" w:hAnsi="Times New Roman" w:cs="Times New Roman"/>
        </w:rPr>
      </w:pPr>
    </w:p>
    <w:p w14:paraId="04B81623" w14:textId="77777777" w:rsidR="005D42D9" w:rsidRPr="004709CA" w:rsidRDefault="005D42D9" w:rsidP="005D42D9">
      <w:pPr>
        <w:rPr>
          <w:rFonts w:ascii="Times New Roman" w:hAnsi="Times New Roman" w:cs="Times New Roman"/>
        </w:rPr>
      </w:pPr>
    </w:p>
    <w:p w14:paraId="1AD9928F" w14:textId="0D7F73E8" w:rsidR="004709CA" w:rsidRPr="00F94B7E" w:rsidRDefault="750671CE" w:rsidP="00F94B7E">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persistence of contributory negligence?</w:t>
      </w:r>
      <w:r w:rsidRPr="00F94B7E">
        <w:rPr>
          <w:rFonts w:ascii="Times New Roman" w:eastAsia="Times New Roman" w:hAnsi="Times New Roman" w:cs="Times New Roman"/>
        </w:rPr>
        <w:t xml:space="preserve">  Is the </w:t>
      </w:r>
      <w:r w:rsidRPr="00F94B7E">
        <w:rPr>
          <w:rFonts w:ascii="Times New Roman" w:eastAsia="Times New Roman" w:hAnsi="Times New Roman" w:cs="Times New Roman"/>
          <w:i/>
          <w:iCs/>
        </w:rPr>
        <w:t>Coleman</w:t>
      </w:r>
      <w:r w:rsidRPr="00F94B7E">
        <w:rPr>
          <w:rFonts w:ascii="Times New Roman" w:eastAsia="Times New Roman" w:hAnsi="Times New Roman" w:cs="Times New Roman"/>
        </w:rPr>
        <w:t xml:space="preserve"> court right to refrain from altering its long-settled rule on grounds of democratic values and institutional choice?  Note that the legislature could almost certainly switch the rule back to contributory negligence if the court had opted to follow </w:t>
      </w:r>
      <w:r w:rsidRPr="00F94B7E">
        <w:rPr>
          <w:rFonts w:ascii="Times New Roman" w:eastAsia="Times New Roman" w:hAnsi="Times New Roman" w:cs="Times New Roman"/>
          <w:i/>
          <w:iCs/>
        </w:rPr>
        <w:t>Li v. Yellow Cab</w:t>
      </w:r>
      <w:r w:rsidRPr="00F94B7E">
        <w:rPr>
          <w:rFonts w:ascii="Times New Roman" w:eastAsia="Times New Roman" w:hAnsi="Times New Roman" w:cs="Times New Roman"/>
        </w:rPr>
        <w:t>.  As a result, the choice reduces to one about proper starting points and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role as an agenda-setter in the political process. </w:t>
      </w:r>
    </w:p>
    <w:p w14:paraId="27D838FD" w14:textId="77777777" w:rsidR="004709CA" w:rsidRPr="004709CA" w:rsidRDefault="004709CA" w:rsidP="004709CA">
      <w:pPr>
        <w:rPr>
          <w:rFonts w:ascii="Times New Roman" w:hAnsi="Times New Roman" w:cs="Times New Roman"/>
        </w:rPr>
      </w:pPr>
    </w:p>
    <w:p w14:paraId="2D0F0EDD" w14:textId="77777777" w:rsidR="004709CA" w:rsidRPr="004709CA" w:rsidRDefault="004709CA" w:rsidP="004709CA">
      <w:pPr>
        <w:rPr>
          <w:rFonts w:ascii="Times New Roman" w:hAnsi="Times New Roman" w:cs="Times New Roman"/>
        </w:rPr>
      </w:pPr>
    </w:p>
    <w:p w14:paraId="35B9FCAB" w14:textId="6D8E3816" w:rsidR="004709CA" w:rsidRPr="00F94B7E" w:rsidRDefault="750671CE" w:rsidP="00F94B7E">
      <w:pPr>
        <w:pStyle w:val="ListParagraph"/>
        <w:numPr>
          <w:ilvl w:val="0"/>
          <w:numId w:val="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seat belt defense</w:t>
      </w:r>
      <w:r w:rsidRPr="00F94B7E">
        <w:rPr>
          <w:rFonts w:ascii="Times New Roman" w:eastAsia="Times New Roman" w:hAnsi="Times New Roman" w:cs="Times New Roman"/>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4709CA" w:rsidRDefault="004709CA" w:rsidP="004709CA">
      <w:pPr>
        <w:rPr>
          <w:rFonts w:ascii="Times New Roman" w:hAnsi="Times New Roman" w:cs="Times New Roman"/>
        </w:rPr>
      </w:pPr>
    </w:p>
    <w:p w14:paraId="2D20E37A" w14:textId="251C3D01"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Can a defendant prove a plaintiff</w:t>
      </w:r>
      <w:r w:rsidR="00B05F31">
        <w:rPr>
          <w:rFonts w:ascii="Times New Roman" w:eastAsia="Times New Roman" w:hAnsi="Times New Roman" w:cs="Times New Roman"/>
        </w:rPr>
        <w:t>’</w:t>
      </w:r>
      <w:r w:rsidRPr="750671CE">
        <w:rPr>
          <w:rFonts w:ascii="Times New Roman" w:eastAsia="Times New Roman" w:hAnsi="Times New Roman" w:cs="Times New Roman"/>
        </w:rPr>
        <w:t>s negligence by submitting evidence that the plaintiff was not wearing a seat belt during the accident? Under contributory negligence regimes, courts were hesitant to deny an un-seatbelted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recovery outright. This may be because contributory negligence regimes were most prominent before cars were required to have seatbelts. Or, perhaps, the courts just found this application of contributory negligence </w:t>
      </w:r>
      <w:r w:rsidR="00B05F31">
        <w:rPr>
          <w:rFonts w:ascii="Times New Roman" w:eastAsia="Times New Roman" w:hAnsi="Times New Roman" w:cs="Times New Roman"/>
        </w:rPr>
        <w:t>“</w:t>
      </w:r>
      <w:r w:rsidRPr="750671CE">
        <w:rPr>
          <w:rFonts w:ascii="Times New Roman" w:eastAsia="Times New Roman" w:hAnsi="Times New Roman" w:cs="Times New Roman"/>
        </w:rPr>
        <w:t>too harsh</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something that didn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even cause the accident. </w:t>
      </w:r>
      <w:r w:rsidRPr="00F94B7E">
        <w:rPr>
          <w:rFonts w:ascii="Times New Roman" w:eastAsia="Times New Roman" w:hAnsi="Times New Roman" w:cs="Times New Roman"/>
          <w:i/>
        </w:rPr>
        <w:t>See</w:t>
      </w:r>
      <w:r w:rsidRPr="750671CE">
        <w:rPr>
          <w:rFonts w:ascii="Times New Roman" w:eastAsia="Times New Roman" w:hAnsi="Times New Roman" w:cs="Times New Roman"/>
        </w:rPr>
        <w:t xml:space="preserve"> </w:t>
      </w:r>
      <w:r w:rsidR="00D9232E" w:rsidRPr="00F94B7E">
        <w:rPr>
          <w:rFonts w:ascii="Times New Roman" w:eastAsia="Times New Roman" w:hAnsi="Times New Roman" w:cs="Times New Roman"/>
          <w:smallCaps/>
        </w:rPr>
        <w:t>Victor Schwartz, Comparative Negligence</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 4.06 (5th ed. 2013).</w:t>
      </w:r>
    </w:p>
    <w:p w14:paraId="61C382FB" w14:textId="77777777" w:rsidR="004709CA" w:rsidRPr="004709CA" w:rsidRDefault="004709CA" w:rsidP="004709CA">
      <w:pPr>
        <w:rPr>
          <w:rFonts w:ascii="Times New Roman" w:hAnsi="Times New Roman" w:cs="Times New Roman"/>
        </w:rPr>
      </w:pPr>
    </w:p>
    <w:p w14:paraId="2484B1D9" w14:textId="60E8D2D0"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Perhaps more surprisingly, the vast majority of states have also been loath to allow defendants to raise a </w:t>
      </w:r>
      <w:r w:rsidR="00B05F31">
        <w:rPr>
          <w:rFonts w:ascii="Times New Roman" w:eastAsia="Times New Roman" w:hAnsi="Times New Roman" w:cs="Times New Roman"/>
        </w:rPr>
        <w:t>“</w:t>
      </w:r>
      <w:r w:rsidRPr="750671CE">
        <w:rPr>
          <w:rFonts w:ascii="Times New Roman" w:eastAsia="Times New Roman" w:hAnsi="Times New Roman" w:cs="Times New Roman"/>
        </w:rPr>
        <w:t>seat belt defense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under comparative negligence regimes. For example, the state legislatures in Indiana, North Dakota, and Minnesota have all passed laws prohibiting evidence of a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un-seatbeltedness from being used to prove negligence. </w:t>
      </w:r>
      <w:r w:rsidR="00D9232E" w:rsidRPr="00F94B7E">
        <w:rPr>
          <w:rFonts w:ascii="Times New Roman" w:eastAsia="Times New Roman" w:hAnsi="Times New Roman" w:cs="Times New Roman"/>
          <w:smallCaps/>
        </w:rPr>
        <w:t xml:space="preserve">Ind. Stat. Ann. </w:t>
      </w:r>
      <w:r w:rsidRPr="750671CE">
        <w:rPr>
          <w:rFonts w:ascii="Times New Roman" w:eastAsia="Times New Roman" w:hAnsi="Times New Roman" w:cs="Times New Roman"/>
        </w:rPr>
        <w:t xml:space="preserve">§ 9-8-14-5; </w:t>
      </w:r>
      <w:r w:rsidR="00D9232E" w:rsidRPr="00F94B7E">
        <w:rPr>
          <w:rFonts w:ascii="Times New Roman" w:eastAsia="Times New Roman" w:hAnsi="Times New Roman" w:cs="Times New Roman"/>
          <w:smallCaps/>
        </w:rPr>
        <w:t>N.D. Cent. Code</w:t>
      </w:r>
      <w:r w:rsidRPr="750671CE">
        <w:rPr>
          <w:rFonts w:ascii="Times New Roman" w:eastAsia="Times New Roman" w:hAnsi="Times New Roman" w:cs="Times New Roman"/>
        </w:rPr>
        <w:t xml:space="preserve"> § 39-21-41.2(3); </w:t>
      </w:r>
      <w:r w:rsidRPr="00F94B7E">
        <w:rPr>
          <w:rFonts w:ascii="Times New Roman" w:eastAsia="Times New Roman" w:hAnsi="Times New Roman" w:cs="Times New Roman"/>
          <w:i/>
        </w:rPr>
        <w:t>Cressy v. Grassman</w:t>
      </w:r>
      <w:r w:rsidRPr="750671CE">
        <w:rPr>
          <w:rFonts w:ascii="Times New Roman" w:eastAsia="Times New Roman" w:hAnsi="Times New Roman" w:cs="Times New Roman"/>
        </w:rPr>
        <w:t>, 536 N.W.2d 39 (Minn. App. 1995). Even Michigan—one of the few states that does allow a version of the seat belt defense in tort cases—limits damages reductions due to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seatbelt-related negligence to 5% of total damages. </w:t>
      </w:r>
      <w:r w:rsidR="00D9232E" w:rsidRPr="00F94B7E">
        <w:rPr>
          <w:rFonts w:ascii="Times New Roman" w:eastAsia="Times New Roman" w:hAnsi="Times New Roman" w:cs="Times New Roman"/>
          <w:smallCaps/>
        </w:rPr>
        <w:t>Mich. Comp. Laws. Ann.</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 xml:space="preserve">§ 257.710e. </w:t>
      </w:r>
    </w:p>
    <w:p w14:paraId="11A7A36F" w14:textId="77777777" w:rsidR="004709CA" w:rsidRPr="004709CA" w:rsidRDefault="004709CA" w:rsidP="004709CA">
      <w:pPr>
        <w:rPr>
          <w:rFonts w:ascii="Times New Roman" w:hAnsi="Times New Roman" w:cs="Times New Roman"/>
        </w:rPr>
      </w:pPr>
    </w:p>
    <w:p w14:paraId="67358561" w14:textId="2BAEDF96"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fact, the seat belt defense has not even gained traction in </w:t>
      </w:r>
      <w:r w:rsidR="00B05F31">
        <w:rPr>
          <w:rFonts w:ascii="Times New Roman" w:eastAsia="Times New Roman" w:hAnsi="Times New Roman" w:cs="Times New Roman"/>
        </w:rPr>
        <w:t>“</w:t>
      </w:r>
      <w:r w:rsidRPr="750671CE">
        <w:rPr>
          <w:rFonts w:ascii="Times New Roman" w:eastAsia="Times New Roman" w:hAnsi="Times New Roman" w:cs="Times New Roman"/>
        </w:rPr>
        <w:t>Click It or Ticket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states that impose nominal criminal fines on drivers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failures to wear seatbelts. For example, New Mexican traffic police impose twenty-five to fifty dollar fines on all individuals who fail to wear a seat belt. </w:t>
      </w:r>
      <w:r w:rsidR="00D9232E" w:rsidRPr="00F94B7E">
        <w:rPr>
          <w:rFonts w:ascii="Times New Roman" w:eastAsia="Times New Roman" w:hAnsi="Times New Roman" w:cs="Times New Roman"/>
          <w:smallCaps/>
        </w:rPr>
        <w:t>N.M. Stat. Ann.</w:t>
      </w:r>
      <w:r w:rsidR="00D9232E">
        <w:rPr>
          <w:rFonts w:ascii="Times New Roman" w:eastAsia="Times New Roman" w:hAnsi="Times New Roman" w:cs="Times New Roman"/>
        </w:rPr>
        <w:t xml:space="preserve"> </w:t>
      </w:r>
      <w:r w:rsidRPr="750671CE">
        <w:rPr>
          <w:rFonts w:ascii="Times New Roman" w:eastAsia="Times New Roman" w:hAnsi="Times New Roman" w:cs="Times New Roman"/>
        </w:rPr>
        <w:t xml:space="preserve">§66-7-370 et seq. Yet the same statute authorizing the police to impose the fine also prohibits courts from finding a plaintiff negligent for failing to wear a seatbelt. How could this particular contradiction come to be? As Professor Schwartz suggests, </w:t>
      </w:r>
      <w:r w:rsidR="00B05F31">
        <w:rPr>
          <w:rFonts w:ascii="Times New Roman" w:eastAsia="Times New Roman" w:hAnsi="Times New Roman" w:cs="Times New Roman"/>
        </w:rPr>
        <w:t>“</w:t>
      </w:r>
      <w:r w:rsidRPr="750671CE">
        <w:rPr>
          <w:rFonts w:ascii="Times New Roman" w:eastAsia="Times New Roman" w:hAnsi="Times New Roman" w:cs="Times New Roman"/>
        </w:rPr>
        <w:t>[t]he answer regarding a change in public policy was clear: voters know that seat belts are a good idea, but will not accept significant legal consequences for failure to use them.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D9232E" w:rsidRPr="00382650">
        <w:rPr>
          <w:rFonts w:ascii="Times New Roman" w:eastAsia="Times New Roman" w:hAnsi="Times New Roman" w:cs="Times New Roman"/>
          <w:smallCaps/>
        </w:rPr>
        <w:t>Victor Schwartz, Comparative Negligence</w:t>
      </w:r>
      <w:r w:rsidRPr="750671CE">
        <w:rPr>
          <w:rFonts w:ascii="Times New Roman" w:eastAsia="Times New Roman" w:hAnsi="Times New Roman" w:cs="Times New Roman"/>
        </w:rPr>
        <w:t xml:space="preserve"> § 4.06 (5th ed. 2013).</w:t>
      </w:r>
    </w:p>
    <w:p w14:paraId="0B4AD2F4" w14:textId="77777777" w:rsidR="004709CA" w:rsidRPr="004709CA" w:rsidRDefault="004709CA" w:rsidP="004709CA">
      <w:pPr>
        <w:rPr>
          <w:rFonts w:ascii="Times New Roman" w:hAnsi="Times New Roman" w:cs="Times New Roman"/>
        </w:rPr>
      </w:pPr>
    </w:p>
    <w:p w14:paraId="508B7FA8" w14:textId="77777777" w:rsidR="004709CA" w:rsidRPr="004709CA" w:rsidRDefault="004709CA" w:rsidP="004709CA">
      <w:pPr>
        <w:rPr>
          <w:rFonts w:ascii="Times New Roman" w:hAnsi="Times New Roman" w:cs="Times New Roman"/>
        </w:rPr>
      </w:pPr>
    </w:p>
    <w:p w14:paraId="12AD1F89" w14:textId="159C6BED" w:rsidR="004709CA" w:rsidRPr="004709CA" w:rsidRDefault="00E6359A" w:rsidP="00E6359A">
      <w:pPr>
        <w:pStyle w:val="Heading2"/>
      </w:pPr>
      <w:bookmarkStart w:id="390" w:name="_Toc364636152"/>
      <w:bookmarkStart w:id="391" w:name="_Toc518323367"/>
      <w:r>
        <w:t xml:space="preserve">B.  </w:t>
      </w:r>
      <w:r w:rsidR="004709CA" w:rsidRPr="004709CA">
        <w:t>Assumption of Risk</w:t>
      </w:r>
      <w:bookmarkEnd w:id="390"/>
      <w:bookmarkEnd w:id="391"/>
    </w:p>
    <w:p w14:paraId="169F7389" w14:textId="77777777" w:rsidR="004709CA" w:rsidRDefault="004709CA" w:rsidP="004709CA">
      <w:pPr>
        <w:rPr>
          <w:rFonts w:ascii="Times New Roman" w:hAnsi="Times New Roman" w:cs="Times New Roman"/>
        </w:rPr>
      </w:pPr>
    </w:p>
    <w:p w14:paraId="2535F044" w14:textId="77777777" w:rsidR="005D42D9" w:rsidRPr="004709CA" w:rsidRDefault="005D42D9" w:rsidP="004709CA">
      <w:pPr>
        <w:rPr>
          <w:rFonts w:ascii="Times New Roman" w:hAnsi="Times New Roman" w:cs="Times New Roman"/>
        </w:rPr>
      </w:pPr>
    </w:p>
    <w:p w14:paraId="7E1FFB0C" w14:textId="1BE8E59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rPr>
          <w:rFonts w:ascii="Times New Roman" w:eastAsia="Times New Roman" w:hAnsi="Times New Roman" w:cs="Times New Roman"/>
        </w:rPr>
        <w:t>’</w:t>
      </w:r>
      <w:r w:rsidRPr="750671CE">
        <w:rPr>
          <w:rFonts w:ascii="Times New Roman" w:eastAsia="Times New Roman" w:hAnsi="Times New Roman" w:cs="Times New Roman"/>
        </w:rPr>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4709CA" w:rsidRDefault="004709CA" w:rsidP="004709CA">
      <w:pPr>
        <w:rPr>
          <w:rFonts w:ascii="Times New Roman" w:hAnsi="Times New Roman" w:cs="Times New Roman"/>
        </w:rPr>
      </w:pPr>
    </w:p>
    <w:p w14:paraId="0C381DFD"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4709CA" w:rsidRDefault="004709CA" w:rsidP="004709CA">
      <w:pPr>
        <w:rPr>
          <w:rFonts w:ascii="Times New Roman" w:hAnsi="Times New Roman" w:cs="Times New Roman"/>
        </w:rPr>
      </w:pPr>
    </w:p>
    <w:p w14:paraId="28F98D7E" w14:textId="77777777" w:rsidR="004709CA" w:rsidRPr="004709CA" w:rsidRDefault="004709CA" w:rsidP="004709CA">
      <w:pPr>
        <w:rPr>
          <w:rFonts w:ascii="Times New Roman" w:hAnsi="Times New Roman" w:cs="Times New Roman"/>
        </w:rPr>
      </w:pPr>
    </w:p>
    <w:p w14:paraId="08B5D6B8" w14:textId="77777777" w:rsidR="004709CA" w:rsidRPr="004709CA" w:rsidRDefault="004709CA" w:rsidP="00322687">
      <w:pPr>
        <w:pStyle w:val="Heading3"/>
      </w:pPr>
      <w:bookmarkStart w:id="392" w:name="_Toc364636153"/>
      <w:bookmarkStart w:id="393" w:name="_Toc518323368"/>
      <w:r w:rsidRPr="004709CA">
        <w:t>1.  Implied Assumption of Risk</w:t>
      </w:r>
      <w:bookmarkEnd w:id="392"/>
      <w:bookmarkEnd w:id="393"/>
    </w:p>
    <w:p w14:paraId="42FB104F" w14:textId="77777777" w:rsidR="004709CA" w:rsidRPr="004709CA" w:rsidRDefault="004709CA" w:rsidP="004709CA">
      <w:pPr>
        <w:rPr>
          <w:rFonts w:ascii="Times New Roman" w:hAnsi="Times New Roman" w:cs="Times New Roman"/>
        </w:rPr>
      </w:pPr>
    </w:p>
    <w:p w14:paraId="34AD7AC5" w14:textId="77777777" w:rsidR="004709CA" w:rsidRPr="004709CA" w:rsidRDefault="004709CA" w:rsidP="750671CE">
      <w:pPr>
        <w:rPr>
          <w:rFonts w:ascii="Times New Roman" w:eastAsia="Times New Roman" w:hAnsi="Times New Roman" w:cs="Times New Roman"/>
        </w:rPr>
      </w:pPr>
      <w:bookmarkStart w:id="394" w:name="_Toc518323369"/>
      <w:r w:rsidRPr="00F94B7E">
        <w:rPr>
          <w:rStyle w:val="Heading4Char"/>
          <w:rFonts w:eastAsiaTheme="minorEastAsia"/>
        </w:rPr>
        <w:t>Murphy v. Steeplechase Amusement Co</w:t>
      </w:r>
      <w:bookmarkEnd w:id="394"/>
      <w:r w:rsidRPr="00D9232E">
        <w:rPr>
          <w:rFonts w:ascii="Times New Roman" w:eastAsia="Times New Roman" w:hAnsi="Times New Roman" w:cs="Times New Roman"/>
          <w:b/>
          <w:bCs/>
        </w:rPr>
        <w:t>.</w:t>
      </w:r>
      <w:r w:rsidRPr="750671CE">
        <w:rPr>
          <w:rFonts w:ascii="Times New Roman" w:eastAsia="Times New Roman" w:hAnsi="Times New Roman" w:cs="Times New Roman"/>
          <w:b/>
          <w:bCs/>
        </w:rPr>
        <w:t>, 250 N.Y. 479 (N.Y. 1929)</w:t>
      </w:r>
    </w:p>
    <w:p w14:paraId="7E4BA9C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7BC81A5" w14:textId="6EC4384F"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Cardozo, C.J</w:t>
      </w:r>
      <w:r w:rsidRPr="750671CE">
        <w:rPr>
          <w:rFonts w:ascii="Times New Roman" w:eastAsia="Times New Roman" w:hAnsi="Times New Roman" w:cs="Times New Roman"/>
        </w:rPr>
        <w:t>.</w:t>
      </w:r>
    </w:p>
    <w:p w14:paraId="55C66EAE" w14:textId="77777777" w:rsidR="004709CA" w:rsidRPr="004709CA" w:rsidRDefault="004709CA" w:rsidP="004709CA">
      <w:pPr>
        <w:rPr>
          <w:rFonts w:ascii="Times New Roman" w:hAnsi="Times New Roman" w:cs="Times New Roman"/>
        </w:rPr>
      </w:pPr>
    </w:p>
    <w:p w14:paraId="3890FDF3" w14:textId="78B11F1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defendant, Steeplechase Amusement Company, maintains an amusement park at Coney Island, N.Y. One of the supposed attractions is known as </w:t>
      </w:r>
      <w:r w:rsidR="00B05F31">
        <w:rPr>
          <w:rFonts w:ascii="Times New Roman" w:eastAsia="Times New Roman" w:hAnsi="Times New Roman" w:cs="Times New Roman"/>
        </w:rPr>
        <w:t>“</w:t>
      </w:r>
      <w:r w:rsidRPr="750671CE">
        <w:rPr>
          <w:rFonts w:ascii="Times New Roman" w:eastAsia="Times New Roman" w:hAnsi="Times New Roman" w:cs="Times New Roman"/>
        </w:rPr>
        <w:t>the Flopper.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4709CA" w:rsidRDefault="004709CA" w:rsidP="004709CA">
      <w:pPr>
        <w:rPr>
          <w:rFonts w:ascii="Times New Roman" w:hAnsi="Times New Roman" w:cs="Times New Roman"/>
        </w:rPr>
      </w:pPr>
    </w:p>
    <w:p w14:paraId="03A8E9D5" w14:textId="2B11B40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rPr>
          <w:rFonts w:ascii="Times New Roman" w:eastAsia="Times New Roman" w:hAnsi="Times New Roman" w:cs="Times New Roman"/>
        </w:rPr>
        <w:t>‘</w:t>
      </w:r>
      <w:r w:rsidRPr="750671CE">
        <w:rPr>
          <w:rFonts w:ascii="Times New Roman" w:eastAsia="Times New Roman" w:hAnsi="Times New Roman" w:cs="Times New Roman"/>
        </w:rPr>
        <w:t>the Flopper,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was warning to the timid. If the name was not enough, there was warning more distinct in the experience of others. We are told by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wife that the members of her party stood looking at the sport before joining in it themselves. Some aboard the belt were able, as she viewed them, to sit down with decorum or even to stand and keep their footing; others jumped or fell. The tumbling bodies and the screams and laughter supplied the merriment and fun. </w:t>
      </w:r>
      <w:r w:rsidR="00B05F31">
        <w:rPr>
          <w:rFonts w:ascii="Times New Roman" w:eastAsia="Times New Roman" w:hAnsi="Times New Roman" w:cs="Times New Roman"/>
        </w:rPr>
        <w:t>‘</w:t>
      </w:r>
      <w:r w:rsidRPr="750671CE">
        <w:rPr>
          <w:rFonts w:ascii="Times New Roman" w:eastAsia="Times New Roman" w:hAnsi="Times New Roman" w:cs="Times New Roman"/>
        </w:rPr>
        <w:t>I took a chance,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she said when asked whether she thought that a fall might be expected.</w:t>
      </w:r>
    </w:p>
    <w:p w14:paraId="021F4BA7" w14:textId="77777777" w:rsidR="004709CA" w:rsidRPr="004709CA" w:rsidRDefault="004709CA" w:rsidP="004709CA">
      <w:pPr>
        <w:rPr>
          <w:rFonts w:ascii="Times New Roman" w:hAnsi="Times New Roman" w:cs="Times New Roman"/>
        </w:rPr>
      </w:pPr>
    </w:p>
    <w:p w14:paraId="05A5ECC9"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4709CA" w:rsidRDefault="004709CA" w:rsidP="004709CA">
      <w:pPr>
        <w:rPr>
          <w:rFonts w:ascii="Times New Roman" w:hAnsi="Times New Roman" w:cs="Times New Roman"/>
        </w:rPr>
      </w:pPr>
    </w:p>
    <w:p w14:paraId="564E52F5"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4709CA" w:rsidRDefault="004709CA" w:rsidP="004709CA">
      <w:pPr>
        <w:rPr>
          <w:rFonts w:ascii="Times New Roman" w:hAnsi="Times New Roman" w:cs="Times New Roman"/>
        </w:rPr>
      </w:pPr>
    </w:p>
    <w:p w14:paraId="1E2EE445"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r w:rsidRPr="004709CA">
        <w:rPr>
          <w:rFonts w:ascii="Times New Roman" w:hAnsi="Times New Roman" w:cs="Times New Roman"/>
        </w:rPr>
        <w:tab/>
      </w:r>
    </w:p>
    <w:p w14:paraId="4C2120A8" w14:textId="2C2519A6"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estimate, 250,000 visitors were at the Flopper in a year. Some quota of accidents was to be looked for in so great a mass. One might as well say that a skating rink should be abandoned because skaters sometimes fall.</w:t>
      </w:r>
    </w:p>
    <w:p w14:paraId="2DEEB748" w14:textId="77777777" w:rsidR="004709CA" w:rsidRPr="004709CA" w:rsidRDefault="004709CA" w:rsidP="004709CA">
      <w:pPr>
        <w:rPr>
          <w:rFonts w:ascii="Times New Roman" w:hAnsi="Times New Roman" w:cs="Times New Roman"/>
        </w:rPr>
      </w:pPr>
    </w:p>
    <w:p w14:paraId="39FA0E5D" w14:textId="44E592EB"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liability, nor is the defect fairly suggested by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bill of particulars, which limits his complaint. The case went to the jury upon the theory that negligence was dependent upon a sharp and sudden jerk.</w:t>
      </w:r>
    </w:p>
    <w:p w14:paraId="4905CB05" w14:textId="77777777" w:rsidR="004709CA" w:rsidRPr="004709CA" w:rsidRDefault="004709CA" w:rsidP="004709CA">
      <w:pPr>
        <w:rPr>
          <w:rFonts w:ascii="Times New Roman" w:hAnsi="Times New Roman" w:cs="Times New Roman"/>
        </w:rPr>
      </w:pPr>
    </w:p>
    <w:p w14:paraId="7E4A525C"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of the Appellate Division and that of the Trial Term should be reversed, and a new trial granted, with costs to abide the event.</w:t>
      </w:r>
    </w:p>
    <w:p w14:paraId="04468192" w14:textId="77777777" w:rsidR="004709CA" w:rsidRPr="004709CA" w:rsidRDefault="004709CA" w:rsidP="004709CA">
      <w:pPr>
        <w:rPr>
          <w:rFonts w:ascii="Times New Roman" w:hAnsi="Times New Roman" w:cs="Times New Roman"/>
        </w:rPr>
      </w:pPr>
    </w:p>
    <w:p w14:paraId="1FE5721E" w14:textId="7BE587F0"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Pound, Crane, Lehman, Kellog</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smallCaps/>
        </w:rPr>
        <w:t>Hubbs</w:t>
      </w:r>
      <w:r w:rsidRPr="750671CE">
        <w:rPr>
          <w:rFonts w:ascii="Times New Roman" w:eastAsia="Times New Roman" w:hAnsi="Times New Roman" w:cs="Times New Roman"/>
        </w:rPr>
        <w:t>, JJ., concur.</w:t>
      </w:r>
    </w:p>
    <w:p w14:paraId="4057A597" w14:textId="77777777" w:rsidR="004709CA" w:rsidRPr="004709CA" w:rsidRDefault="004709CA" w:rsidP="004709CA">
      <w:pPr>
        <w:rPr>
          <w:rFonts w:ascii="Times New Roman" w:hAnsi="Times New Roman" w:cs="Times New Roman"/>
        </w:rPr>
      </w:pPr>
    </w:p>
    <w:p w14:paraId="7D7870A3" w14:textId="1F96A9C0" w:rsidR="004709CA" w:rsidRPr="004709CA" w:rsidRDefault="750671CE">
      <w:pPr>
        <w:rPr>
          <w:rFonts w:ascii="Times New Roman" w:eastAsia="Times New Roman" w:hAnsi="Times New Roman" w:cs="Times New Roman"/>
        </w:rPr>
      </w:pPr>
      <w:r w:rsidRPr="750671CE">
        <w:rPr>
          <w:rFonts w:ascii="Times New Roman" w:eastAsia="Times New Roman" w:hAnsi="Times New Roman" w:cs="Times New Roman"/>
          <w:smallCaps/>
        </w:rPr>
        <w:t>O</w:t>
      </w:r>
      <w:r w:rsidR="00B05F31">
        <w:rPr>
          <w:rFonts w:ascii="Times New Roman" w:eastAsia="Times New Roman" w:hAnsi="Times New Roman" w:cs="Times New Roman"/>
          <w:smallCaps/>
        </w:rPr>
        <w:t>’</w:t>
      </w:r>
      <w:r w:rsidRPr="750671CE">
        <w:rPr>
          <w:rFonts w:ascii="Times New Roman" w:eastAsia="Times New Roman" w:hAnsi="Times New Roman" w:cs="Times New Roman"/>
          <w:smallCaps/>
        </w:rPr>
        <w:t>Brien</w:t>
      </w:r>
      <w:r w:rsidRPr="750671CE">
        <w:rPr>
          <w:rFonts w:ascii="Times New Roman" w:eastAsia="Times New Roman" w:hAnsi="Times New Roman" w:cs="Times New Roman"/>
        </w:rPr>
        <w:t xml:space="preserve">, J., dissents . . . </w:t>
      </w:r>
    </w:p>
    <w:p w14:paraId="108614CE" w14:textId="77777777" w:rsidR="004709CA" w:rsidRPr="004709CA" w:rsidRDefault="004709CA">
      <w:pPr>
        <w:rPr>
          <w:rFonts w:ascii="Times New Roman" w:hAnsi="Times New Roman" w:cs="Times New Roman"/>
        </w:rPr>
      </w:pPr>
    </w:p>
    <w:p w14:paraId="02D8D26B" w14:textId="77777777" w:rsidR="004709CA" w:rsidRPr="004709CA" w:rsidRDefault="004709CA">
      <w:pPr>
        <w:rPr>
          <w:rFonts w:ascii="Times New Roman" w:hAnsi="Times New Roman" w:cs="Times New Roman"/>
        </w:rPr>
      </w:pPr>
    </w:p>
    <w:p w14:paraId="530D1375" w14:textId="77777777" w:rsidR="004709CA" w:rsidRPr="004709CA" w:rsidRDefault="004709CA" w:rsidP="002502CC">
      <w:pPr>
        <w:pStyle w:val="Heading4"/>
      </w:pPr>
      <w:bookmarkStart w:id="395" w:name="_Toc364636154"/>
      <w:bookmarkStart w:id="396" w:name="_Toc518323370"/>
      <w:r w:rsidRPr="004709CA">
        <w:t>Notes</w:t>
      </w:r>
      <w:bookmarkEnd w:id="395"/>
      <w:bookmarkEnd w:id="396"/>
    </w:p>
    <w:p w14:paraId="37B05F60" w14:textId="77777777" w:rsidR="004709CA" w:rsidRDefault="004709CA" w:rsidP="005D42D9">
      <w:pPr>
        <w:rPr>
          <w:rFonts w:ascii="Times New Roman" w:hAnsi="Times New Roman" w:cs="Times New Roman"/>
        </w:rPr>
      </w:pPr>
    </w:p>
    <w:p w14:paraId="60125705" w14:textId="77777777" w:rsidR="005D42D9" w:rsidRPr="004709CA" w:rsidRDefault="005D42D9" w:rsidP="005D42D9">
      <w:pPr>
        <w:rPr>
          <w:rFonts w:ascii="Times New Roman" w:hAnsi="Times New Roman" w:cs="Times New Roman"/>
        </w:rPr>
      </w:pPr>
    </w:p>
    <w:p w14:paraId="0447B7A0" w14:textId="3E02A0E1" w:rsidR="004709CA" w:rsidRPr="00F94B7E" w:rsidRDefault="750671CE" w:rsidP="00F94B7E">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Negligence in the Flopper case?</w:t>
      </w:r>
      <w:r w:rsidRPr="00F94B7E">
        <w:rPr>
          <w:rFonts w:ascii="Times New Roman" w:eastAsia="Times New Roman" w:hAnsi="Times New Roman" w:cs="Times New Roman"/>
        </w:rPr>
        <w:t xml:space="preserve"> What, if anything, did the operator of the Flopper do wrong?  If the answer is nothing, then why are we talking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s conduct?  Isn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this a case in which the plaintiff loses simply because he cannot show negligence on the part of the defendant?  </w:t>
      </w:r>
    </w:p>
    <w:p w14:paraId="4E5C2F1E" w14:textId="77777777" w:rsidR="004709CA" w:rsidRPr="004709CA" w:rsidRDefault="004709CA" w:rsidP="004709CA">
      <w:pPr>
        <w:rPr>
          <w:rFonts w:ascii="Times New Roman" w:hAnsi="Times New Roman" w:cs="Times New Roman"/>
        </w:rPr>
      </w:pPr>
    </w:p>
    <w:p w14:paraId="4188825E" w14:textId="05E2A465" w:rsidR="004709CA" w:rsidRPr="00F94B7E" w:rsidRDefault="750671CE" w:rsidP="00F94B7E">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Primary assumption of the risk</w:t>
      </w:r>
      <w:r w:rsidRPr="00F94B7E">
        <w:rPr>
          <w:rFonts w:ascii="Times New Roman" w:eastAsia="Times New Roman" w:hAnsi="Times New Roman" w:cs="Times New Roman"/>
        </w:rPr>
        <w:t xml:space="preserve">. Flopper-like cases are often said to deal with </w:t>
      </w:r>
      <w:r w:rsidR="00B05F31">
        <w:rPr>
          <w:rFonts w:ascii="Times New Roman" w:eastAsia="Times New Roman" w:hAnsi="Times New Roman" w:cs="Times New Roman"/>
        </w:rPr>
        <w:t>“</w:t>
      </w:r>
      <w:r w:rsidRPr="00F94B7E">
        <w:rPr>
          <w:rFonts w:ascii="Times New Roman" w:eastAsia="Times New Roman" w:hAnsi="Times New Roman" w:cs="Times New Roman"/>
        </w:rPr>
        <w:t>primary assumption of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the California Supreme Court has put it, </w:t>
      </w:r>
    </w:p>
    <w:p w14:paraId="2CFE1C47" w14:textId="77777777" w:rsidR="004709CA" w:rsidRPr="004709CA" w:rsidRDefault="004709CA" w:rsidP="004709CA">
      <w:pPr>
        <w:rPr>
          <w:rFonts w:ascii="Times New Roman" w:hAnsi="Times New Roman" w:cs="Times New Roman"/>
        </w:rPr>
      </w:pPr>
    </w:p>
    <w:p w14:paraId="2B8F9840" w14:textId="62EF7152"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these are instances in which the assumption of risk doctrine embodies a legal conclusion that there is </w:t>
      </w:r>
      <w:r w:rsidR="003C0388">
        <w:rPr>
          <w:rFonts w:ascii="Times New Roman" w:eastAsia="Times New Roman" w:hAnsi="Times New Roman" w:cs="Times New Roman"/>
        </w:rPr>
        <w:t>“</w:t>
      </w:r>
      <w:r w:rsidRPr="750671CE">
        <w:rPr>
          <w:rFonts w:ascii="Times New Roman" w:eastAsia="Times New Roman" w:hAnsi="Times New Roman" w:cs="Times New Roman"/>
        </w:rPr>
        <w:t>no duty</w:t>
      </w:r>
      <w:r w:rsidR="003C0388">
        <w:rPr>
          <w:rFonts w:ascii="Times New Roman" w:eastAsia="Times New Roman" w:hAnsi="Times New Roman" w:cs="Times New Roman"/>
        </w:rPr>
        <w:t>”</w:t>
      </w:r>
      <w:r w:rsidRPr="750671CE">
        <w:rPr>
          <w:rFonts w:ascii="Times New Roman" w:eastAsia="Times New Roman" w:hAnsi="Times New Roman" w:cs="Times New Roman"/>
        </w:rPr>
        <w:t xml:space="preserve"> on the part of the defendant to protect the plaintiff from a particular risk—the category of assumption of risk that the legal commentators generally refer to as </w:t>
      </w:r>
      <w:r w:rsidR="00B05F31">
        <w:rPr>
          <w:rFonts w:ascii="Times New Roman" w:eastAsia="Times New Roman" w:hAnsi="Times New Roman" w:cs="Times New Roman"/>
        </w:rPr>
        <w:t>“</w:t>
      </w:r>
      <w:r w:rsidRPr="750671CE">
        <w:rPr>
          <w:rFonts w:ascii="Times New Roman" w:eastAsia="Times New Roman" w:hAnsi="Times New Roman" w:cs="Times New Roman"/>
        </w:rPr>
        <w:t>primary assumption of risk.</w:t>
      </w:r>
      <w:r w:rsidR="00B05F31">
        <w:rPr>
          <w:rFonts w:ascii="Times New Roman" w:eastAsia="Times New Roman" w:hAnsi="Times New Roman" w:cs="Times New Roman"/>
        </w:rPr>
        <w:t>”</w:t>
      </w:r>
    </w:p>
    <w:p w14:paraId="3ED09B87" w14:textId="77777777" w:rsidR="004709CA" w:rsidRPr="004709CA" w:rsidRDefault="004709CA" w:rsidP="004709CA">
      <w:pPr>
        <w:rPr>
          <w:rFonts w:ascii="Times New Roman" w:hAnsi="Times New Roman" w:cs="Times New Roman"/>
        </w:rPr>
      </w:pPr>
    </w:p>
    <w:p w14:paraId="63EB606F" w14:textId="5F1E8640"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Knight v. Jewett</w:t>
      </w:r>
      <w:r w:rsidRPr="750671CE">
        <w:rPr>
          <w:rFonts w:ascii="Times New Roman" w:eastAsia="Times New Roman" w:hAnsi="Times New Roman" w:cs="Times New Roman"/>
        </w:rPr>
        <w:t>, 834 P.2d 696, 701 (Cal. 1992).  But if that is so, why craft an independent doctrine for such cases?  Why aren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these simply dealt with as cases in which the plaintiff wins because the defendant did not breach a duty of care?  </w:t>
      </w:r>
    </w:p>
    <w:p w14:paraId="57DF6CB9" w14:textId="77777777" w:rsidR="004709CA" w:rsidRDefault="004709CA" w:rsidP="004709CA">
      <w:pPr>
        <w:rPr>
          <w:rFonts w:ascii="Times New Roman" w:hAnsi="Times New Roman" w:cs="Times New Roman"/>
        </w:rPr>
      </w:pPr>
    </w:p>
    <w:p w14:paraId="3AA14750" w14:textId="77777777" w:rsidR="005D42D9" w:rsidRPr="004709CA" w:rsidRDefault="005D42D9" w:rsidP="004709CA">
      <w:pPr>
        <w:rPr>
          <w:rFonts w:ascii="Times New Roman" w:hAnsi="Times New Roman" w:cs="Times New Roman"/>
        </w:rPr>
      </w:pPr>
    </w:p>
    <w:p w14:paraId="315ACC5A" w14:textId="4AED0B7D" w:rsidR="004709CA" w:rsidRPr="00F94B7E" w:rsidRDefault="750671CE" w:rsidP="00F94B7E">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1D2B7E">
        <w:rPr>
          <w:rFonts w:ascii="Times New Roman" w:eastAsia="Times New Roman" w:hAnsi="Times New Roman" w:cs="Times New Roman"/>
          <w:i/>
          <w:iCs/>
        </w:rPr>
        <w:t>f</w:t>
      </w:r>
      <w:r w:rsidRPr="00F94B7E">
        <w:rPr>
          <w:rFonts w:ascii="Times New Roman" w:eastAsia="Times New Roman" w:hAnsi="Times New Roman" w:cs="Times New Roman"/>
          <w:i/>
          <w:iCs/>
        </w:rPr>
        <w:t>ellow servant rule</w:t>
      </w:r>
      <w:r w:rsidRPr="00F94B7E">
        <w:rPr>
          <w:rFonts w:ascii="Times New Roman" w:eastAsia="Times New Roman" w:hAnsi="Times New Roman" w:cs="Times New Roman"/>
        </w:rPr>
        <w:t>.  Historically, many cases of primary assumption of the risk dealt with workplace risks.  Workers in the pre-worker</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compensation era were regularly said to assume the risks of the work in which they were engaged.  In </w:t>
      </w:r>
      <w:r w:rsidRPr="00F94B7E">
        <w:rPr>
          <w:rFonts w:ascii="Times New Roman" w:eastAsia="Times New Roman" w:hAnsi="Times New Roman" w:cs="Times New Roman"/>
          <w:i/>
          <w:iCs/>
        </w:rPr>
        <w:t xml:space="preserve">Lamson v. American Ax </w:t>
      </w:r>
      <w:r w:rsidR="00D9232E">
        <w:rPr>
          <w:rFonts w:ascii="Times New Roman" w:eastAsia="Times New Roman" w:hAnsi="Times New Roman" w:cs="Times New Roman"/>
          <w:i/>
          <w:iCs/>
        </w:rPr>
        <w:t>&amp;</w:t>
      </w:r>
      <w:r w:rsidRPr="00F94B7E">
        <w:rPr>
          <w:rFonts w:ascii="Times New Roman" w:eastAsia="Times New Roman" w:hAnsi="Times New Roman" w:cs="Times New Roman"/>
          <w:i/>
          <w:iCs/>
        </w:rPr>
        <w:t xml:space="preserve"> Tool Co</w:t>
      </w:r>
      <w:r w:rsidRPr="00F94B7E">
        <w:rPr>
          <w:rFonts w:ascii="Times New Roman" w:eastAsia="Times New Roman" w:hAnsi="Times New Roman" w:cs="Times New Roman"/>
        </w:rPr>
        <w:t>., for example, the plaintiff was a painter of hatchets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manufacturing establishment.  When the defendant installed a new axe rack, plaintiff complained to the superintendent of the factory that the new rack was dangerous.  The superintendent answered that </w:t>
      </w:r>
      <w:r w:rsidR="00B05F31">
        <w:rPr>
          <w:rFonts w:ascii="Times New Roman" w:eastAsia="Times New Roman" w:hAnsi="Times New Roman" w:cs="Times New Roman"/>
        </w:rPr>
        <w:t>“</w:t>
      </w:r>
      <w:r w:rsidRPr="00F94B7E">
        <w:rPr>
          <w:rFonts w:ascii="Times New Roman" w:eastAsia="Times New Roman" w:hAnsi="Times New Roman" w:cs="Times New Roman"/>
        </w:rPr>
        <w:t>he would have to use the racks or leave.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4709CA" w:rsidRDefault="004709CA" w:rsidP="004709CA">
      <w:pPr>
        <w:rPr>
          <w:rFonts w:ascii="Times New Roman" w:hAnsi="Times New Roman" w:cs="Times New Roman"/>
        </w:rPr>
      </w:pPr>
    </w:p>
    <w:p w14:paraId="550A153B" w14:textId="3FEEE262"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plaintiff, on his own evidence, appreciated the danger more than any one else. He perfectly understood what was likely to happen. That likelihood did not depend upon the doing of some negligent act by people in another branch of employment, but solely on the permanent conditions of the racks and their surroundings and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continuing to work where he did. He complained, and was notified that he could go if he would not face the chance. He stayed and took the risk.</w:t>
      </w:r>
    </w:p>
    <w:p w14:paraId="7EDD5F88" w14:textId="77777777" w:rsidR="004709CA" w:rsidRPr="004709CA" w:rsidRDefault="004709CA" w:rsidP="004709CA">
      <w:pPr>
        <w:rPr>
          <w:rFonts w:ascii="Times New Roman" w:hAnsi="Times New Roman" w:cs="Times New Roman"/>
        </w:rPr>
      </w:pPr>
    </w:p>
    <w:p w14:paraId="0DA6E237" w14:textId="02DE84AB"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 xml:space="preserve">Lamson v. American Ax </w:t>
      </w:r>
      <w:r w:rsidR="00D9232E">
        <w:rPr>
          <w:rFonts w:ascii="Times New Roman" w:eastAsia="Times New Roman" w:hAnsi="Times New Roman" w:cs="Times New Roman"/>
          <w:i/>
          <w:iCs/>
        </w:rPr>
        <w:t>&amp;</w:t>
      </w:r>
      <w:r w:rsidRPr="750671CE">
        <w:rPr>
          <w:rFonts w:ascii="Times New Roman" w:eastAsia="Times New Roman" w:hAnsi="Times New Roman" w:cs="Times New Roman"/>
          <w:i/>
          <w:iCs/>
        </w:rPr>
        <w:t xml:space="preserve"> Tool Co</w:t>
      </w:r>
      <w:r w:rsidRPr="750671CE">
        <w:rPr>
          <w:rFonts w:ascii="Times New Roman" w:eastAsia="Times New Roman" w:hAnsi="Times New Roman" w:cs="Times New Roman"/>
        </w:rPr>
        <w:t>., 58 N.E. 585, 585 (Mass. 1900).</w:t>
      </w:r>
    </w:p>
    <w:p w14:paraId="56410A8E" w14:textId="77777777" w:rsidR="004709CA" w:rsidRPr="004709CA" w:rsidRDefault="004709CA" w:rsidP="004709CA">
      <w:pPr>
        <w:rPr>
          <w:rFonts w:ascii="Times New Roman" w:hAnsi="Times New Roman" w:cs="Times New Roman"/>
        </w:rPr>
      </w:pPr>
    </w:p>
    <w:p w14:paraId="183EDABB" w14:textId="22B1550A"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 xml:space="preserve">The assumption of the risk rule in the nineteenth- and early twentieth-century workplace encompassed the assumption of virtually all risks arising out of the negligence of a co-worker.  This was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fellow servant rule.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Articulated most famously by Chief Justice Lemuel Shaw of Massachusetts (you will recall Shaw as the author of the opinion in </w:t>
      </w:r>
      <w:r w:rsidRPr="750671CE">
        <w:rPr>
          <w:rFonts w:ascii="Times New Roman" w:eastAsia="Times New Roman" w:hAnsi="Times New Roman" w:cs="Times New Roman"/>
          <w:i/>
          <w:iCs/>
        </w:rPr>
        <w:t>Brown v. Kendall</w:t>
      </w:r>
      <w:r w:rsidRPr="750671CE">
        <w:rPr>
          <w:rFonts w:ascii="Times New Roman" w:eastAsia="Times New Roman" w:hAnsi="Times New Roman" w:cs="Times New Roman"/>
        </w:rPr>
        <w:t>), the fellow servant rule was grounded in two theories.  The first was that employees are better positioned than an employer to minimize the risks involved in the workplace:</w:t>
      </w:r>
    </w:p>
    <w:p w14:paraId="3E59F60D" w14:textId="77777777" w:rsidR="004709CA" w:rsidRPr="004709CA" w:rsidRDefault="004709CA" w:rsidP="004709CA">
      <w:pPr>
        <w:rPr>
          <w:rFonts w:ascii="Times New Roman" w:hAnsi="Times New Roman" w:cs="Times New Roman"/>
        </w:rPr>
      </w:pPr>
    </w:p>
    <w:p w14:paraId="1C411A74"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4709CA" w:rsidRDefault="004709CA" w:rsidP="004709CA">
      <w:pPr>
        <w:rPr>
          <w:rFonts w:ascii="Times New Roman" w:hAnsi="Times New Roman" w:cs="Times New Roman"/>
        </w:rPr>
      </w:pPr>
    </w:p>
    <w:p w14:paraId="15B85972" w14:textId="35E9CE3A" w:rsidR="004709CA" w:rsidRPr="004709CA" w:rsidRDefault="750671CE" w:rsidP="00F94B7E">
      <w:pPr>
        <w:rPr>
          <w:rFonts w:ascii="Times New Roman" w:eastAsia="Times New Roman" w:hAnsi="Times New Roman" w:cs="Times New Roman"/>
        </w:rPr>
      </w:pPr>
      <w:r w:rsidRPr="750671CE">
        <w:rPr>
          <w:rFonts w:ascii="Times New Roman" w:eastAsia="Times New Roman" w:hAnsi="Times New Roman" w:cs="Times New Roman"/>
          <w:i/>
          <w:iCs/>
        </w:rPr>
        <w:t>Farwell v. Boston &amp; Worcester R. Corp</w:t>
      </w:r>
      <w:r w:rsidRPr="750671CE">
        <w:rPr>
          <w:rFonts w:ascii="Times New Roman" w:eastAsia="Times New Roman" w:hAnsi="Times New Roman" w:cs="Times New Roman"/>
        </w:rPr>
        <w:t>., 45 Mass. 49, 59 (1842).  Does Shaw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description of the workplace hold true for modern firms?  Did it hold true for railroad firms in the middle of the nineteenth century?  </w:t>
      </w:r>
    </w:p>
    <w:p w14:paraId="5C4C34D1" w14:textId="77777777" w:rsidR="004709CA" w:rsidRPr="004709CA" w:rsidRDefault="004709CA" w:rsidP="004709CA">
      <w:pPr>
        <w:rPr>
          <w:rFonts w:ascii="Times New Roman" w:hAnsi="Times New Roman" w:cs="Times New Roman"/>
        </w:rPr>
      </w:pPr>
    </w:p>
    <w:p w14:paraId="72931DEC" w14:textId="77777777" w:rsidR="004709CA" w:rsidRPr="004709CA" w:rsidRDefault="004709CA" w:rsidP="004709CA">
      <w:pPr>
        <w:rPr>
          <w:rFonts w:ascii="Times New Roman" w:hAnsi="Times New Roman" w:cs="Times New Roman"/>
        </w:rPr>
      </w:pPr>
    </w:p>
    <w:p w14:paraId="10EFEB70" w14:textId="2D9447D3" w:rsidR="004709CA" w:rsidRPr="00F94B7E" w:rsidRDefault="750671CE" w:rsidP="00F94B7E">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Compensating wage premiums?</w:t>
      </w:r>
      <w:r w:rsidRPr="00F94B7E">
        <w:rPr>
          <w:rFonts w:ascii="Times New Roman" w:eastAsia="Times New Roman" w:hAnsi="Times New Roman" w:cs="Times New Roman"/>
        </w:rPr>
        <w:t xml:space="preserve">  A second theoretical basis for the assumption of the risk rule was that even if employees were not better positioned, the employees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wages would be higher ex ante to reflect the allocation of the risk of work accidents to workers ex post; as Shaw put it, even if workers lost when they brought injury suits, their compensation was </w:t>
      </w:r>
      <w:r w:rsidR="00B05F31">
        <w:rPr>
          <w:rFonts w:ascii="Times New Roman" w:eastAsia="Times New Roman" w:hAnsi="Times New Roman" w:cs="Times New Roman"/>
        </w:rPr>
        <w:t>“</w:t>
      </w:r>
      <w:r w:rsidRPr="00F94B7E">
        <w:rPr>
          <w:rFonts w:ascii="Times New Roman" w:eastAsia="Times New Roman" w:hAnsi="Times New Roman" w:cs="Times New Roman"/>
        </w:rPr>
        <w:t>adjusted accordingly.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45 Mass. at 57.</w:t>
      </w:r>
    </w:p>
    <w:p w14:paraId="5F27CF2C"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543C0A0" w14:textId="5509C6E5"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rPr>
          <w:rFonts w:ascii="Times New Roman" w:eastAsia="Times New Roman" w:hAnsi="Times New Roman" w:cs="Times New Roman"/>
        </w:rPr>
        <w:t>’</w:t>
      </w:r>
      <w:r w:rsidRPr="750671CE">
        <w:rPr>
          <w:rFonts w:ascii="Times New Roman" w:eastAsia="Times New Roman" w:hAnsi="Times New Roman" w:cs="Times New Roman"/>
        </w:rPr>
        <w:t>s new costs.</w:t>
      </w:r>
    </w:p>
    <w:p w14:paraId="63417458"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11932FA" w14:textId="4B170DAD"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Peter Dorman </w:t>
      </w:r>
      <w:r w:rsidR="003C0388">
        <w:rPr>
          <w:rFonts w:ascii="Times New Roman" w:eastAsia="Times New Roman" w:hAnsi="Times New Roman" w:cs="Times New Roman"/>
        </w:rPr>
        <w:t>&amp;</w:t>
      </w:r>
      <w:r w:rsidR="003C0388"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Paul Hagstrom, </w:t>
      </w:r>
      <w:r w:rsidRPr="00F94B7E">
        <w:rPr>
          <w:rFonts w:ascii="Times New Roman" w:eastAsia="Times New Roman" w:hAnsi="Times New Roman" w:cs="Times New Roman"/>
          <w:i/>
        </w:rPr>
        <w:t>Wage Compensation for Dangerous Work Revisited</w:t>
      </w:r>
      <w:r w:rsidRPr="750671CE">
        <w:rPr>
          <w:rFonts w:ascii="Times New Roman" w:eastAsia="Times New Roman" w:hAnsi="Times New Roman" w:cs="Times New Roman"/>
        </w:rPr>
        <w:t xml:space="preserve">, 52 Indus. &amp; Labor Relations Rev. 116 (1998).  Others find considerable compensating wage differentials in risky workplaces.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 Kip Viscusi &amp; Joseph E. Aldy, </w:t>
      </w:r>
      <w:r w:rsidRPr="00F94B7E">
        <w:rPr>
          <w:rFonts w:ascii="Times New Roman" w:eastAsia="Times New Roman" w:hAnsi="Times New Roman" w:cs="Times New Roman"/>
          <w:i/>
        </w:rPr>
        <w:t>The Value of a Statistical Life: A Critical Review of Market Estimates Throughout the World</w:t>
      </w:r>
      <w:r w:rsidRPr="750671CE">
        <w:rPr>
          <w:rFonts w:ascii="Times New Roman" w:eastAsia="Times New Roman" w:hAnsi="Times New Roman" w:cs="Times New Roman"/>
        </w:rPr>
        <w:t xml:space="preserve">, 27 </w:t>
      </w:r>
      <w:r w:rsidRPr="00F94B7E">
        <w:rPr>
          <w:rFonts w:ascii="Times New Roman" w:eastAsia="Times New Roman" w:hAnsi="Times New Roman" w:cs="Times New Roman"/>
          <w:smallCaps/>
        </w:rPr>
        <w:t>J. Risk &amp; Uncertainty</w:t>
      </w:r>
      <w:r w:rsidRPr="750671CE">
        <w:rPr>
          <w:rFonts w:ascii="Times New Roman" w:eastAsia="Times New Roman" w:hAnsi="Times New Roman" w:cs="Times New Roman"/>
        </w:rPr>
        <w:t xml:space="preserve"> 5, 23 (2003) (finding that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wage differentials place an implicit value of $3 to $7 million dollars on the average worker life).  Similarly, studies of the transition from tort to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conclude that the shift to a more ex post compensation was accompanied by a reduction in wages, suggesting that workers traded off increased after-the-fact injury compensation for decreased ex ante risk premiums.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Price V. Fishback </w:t>
      </w:r>
      <w:r w:rsidR="00BD1E21">
        <w:rPr>
          <w:rFonts w:ascii="Times New Roman" w:eastAsia="Times New Roman" w:hAnsi="Times New Roman" w:cs="Times New Roman"/>
          <w:smallCaps/>
        </w:rPr>
        <w:t>&amp;</w:t>
      </w:r>
      <w:r w:rsidRPr="00F94B7E">
        <w:rPr>
          <w:rFonts w:ascii="Times New Roman" w:eastAsia="Times New Roman" w:hAnsi="Times New Roman" w:cs="Times New Roman"/>
          <w:smallCaps/>
        </w:rPr>
        <w:t xml:space="preserve"> Shawn E. Kantor, Prelude to the Welfare State: The Origins of Workers</w:t>
      </w:r>
      <w:r w:rsidR="00B05F31">
        <w:rPr>
          <w:rFonts w:ascii="Times New Roman" w:eastAsia="Times New Roman" w:hAnsi="Times New Roman" w:cs="Times New Roman"/>
          <w:smallCaps/>
        </w:rPr>
        <w:t>’</w:t>
      </w:r>
      <w:r w:rsidRPr="00F94B7E">
        <w:rPr>
          <w:rFonts w:ascii="Times New Roman" w:eastAsia="Times New Roman" w:hAnsi="Times New Roman" w:cs="Times New Roman"/>
          <w:smallCaps/>
        </w:rPr>
        <w:t xml:space="preserve"> Compensation</w:t>
      </w:r>
      <w:r w:rsidRPr="750671CE">
        <w:rPr>
          <w:rFonts w:ascii="Times New Roman" w:eastAsia="Times New Roman" w:hAnsi="Times New Roman" w:cs="Times New Roman"/>
        </w:rPr>
        <w:t xml:space="preserve"> (2000).</w:t>
      </w:r>
    </w:p>
    <w:p w14:paraId="1EC586F3"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AD6E1DC" w14:textId="45A5FDC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limited information about the relevant risks, to think that the market wage for any given position accurately includes the risk of injury and the background tort rule.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Susan Rose-Ackerman, </w:t>
      </w:r>
      <w:r w:rsidRPr="00F94B7E">
        <w:rPr>
          <w:rFonts w:ascii="Times New Roman" w:eastAsia="Times New Roman" w:hAnsi="Times New Roman" w:cs="Times New Roman"/>
          <w:i/>
        </w:rPr>
        <w:t>Progressive Law and Economics</w:t>
      </w:r>
      <w:r w:rsidRPr="750671CE">
        <w:rPr>
          <w:rFonts w:ascii="Times New Roman" w:eastAsia="Times New Roman" w:hAnsi="Times New Roman" w:cs="Times New Roman"/>
        </w:rPr>
        <w:t xml:space="preserve">, 98 </w:t>
      </w:r>
      <w:r w:rsidRPr="00F94B7E">
        <w:rPr>
          <w:rFonts w:ascii="Times New Roman" w:eastAsia="Times New Roman" w:hAnsi="Times New Roman" w:cs="Times New Roman"/>
          <w:smallCaps/>
        </w:rPr>
        <w:t xml:space="preserve">Yale L.J. </w:t>
      </w:r>
      <w:r w:rsidRPr="750671CE">
        <w:rPr>
          <w:rFonts w:ascii="Times New Roman" w:eastAsia="Times New Roman" w:hAnsi="Times New Roman" w:cs="Times New Roman"/>
        </w:rPr>
        <w:t>341, 355-57 (1988).</w:t>
      </w:r>
    </w:p>
    <w:p w14:paraId="40A376A2" w14:textId="77777777" w:rsidR="004709CA" w:rsidRPr="004709CA" w:rsidRDefault="004709CA" w:rsidP="004709CA">
      <w:pPr>
        <w:rPr>
          <w:rFonts w:ascii="Times New Roman" w:hAnsi="Times New Roman" w:cs="Times New Roman"/>
        </w:rPr>
      </w:pPr>
    </w:p>
    <w:p w14:paraId="5A0B0A27" w14:textId="77777777" w:rsidR="004709CA" w:rsidRPr="004709CA" w:rsidRDefault="004709CA" w:rsidP="004709CA">
      <w:pPr>
        <w:rPr>
          <w:rFonts w:ascii="Times New Roman" w:hAnsi="Times New Roman" w:cs="Times New Roman"/>
        </w:rPr>
      </w:pPr>
    </w:p>
    <w:p w14:paraId="74916A2F" w14:textId="44EB909E" w:rsidR="004709CA" w:rsidRPr="00F94B7E" w:rsidRDefault="750671CE" w:rsidP="00F94B7E">
      <w:pPr>
        <w:pStyle w:val="ListParagraph"/>
        <w:numPr>
          <w:ilvl w:val="0"/>
          <w:numId w:val="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Assumption of the risk is no longer a live doctrine in most workplaces</w:t>
      </w:r>
      <w:r w:rsidR="005727C4">
        <w:rPr>
          <w:rFonts w:ascii="Times New Roman" w:eastAsia="Times New Roman" w:hAnsi="Times New Roman" w:cs="Times New Roman"/>
        </w:rPr>
        <w:t>.</w:t>
      </w:r>
      <w:r w:rsidRPr="00F94B7E">
        <w:rPr>
          <w:rFonts w:ascii="Times New Roman" w:eastAsia="Times New Roman" w:hAnsi="Times New Roman" w:cs="Times New Roman"/>
        </w:rPr>
        <w:t xml:space="preserve"> </w:t>
      </w:r>
      <w:r w:rsidR="005727C4">
        <w:rPr>
          <w:rFonts w:ascii="Times New Roman" w:eastAsia="Times New Roman" w:hAnsi="Times New Roman" w:cs="Times New Roman"/>
        </w:rPr>
        <w:t>T</w:t>
      </w:r>
      <w:r w:rsidRPr="00F94B7E">
        <w:rPr>
          <w:rFonts w:ascii="Times New Roman" w:eastAsia="Times New Roman" w:hAnsi="Times New Roman" w:cs="Times New Roman"/>
        </w:rPr>
        <w:t>he enactment of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laws has displaced most tort suits between employer and employee.  Today the most common setting for the doctrine of primary assumption of the risk is athletic events.</w:t>
      </w:r>
    </w:p>
    <w:p w14:paraId="09A37C1F" w14:textId="77777777" w:rsidR="004709CA" w:rsidRPr="004709CA" w:rsidRDefault="004709CA" w:rsidP="004709CA">
      <w:pPr>
        <w:rPr>
          <w:rFonts w:ascii="Times New Roman" w:hAnsi="Times New Roman" w:cs="Times New Roman"/>
        </w:rPr>
      </w:pPr>
    </w:p>
    <w:p w14:paraId="4C8DEB66" w14:textId="77777777" w:rsidR="004709CA" w:rsidRPr="004709CA" w:rsidRDefault="004709CA" w:rsidP="004709CA">
      <w:pPr>
        <w:rPr>
          <w:rFonts w:ascii="Times New Roman" w:hAnsi="Times New Roman" w:cs="Times New Roman"/>
        </w:rPr>
      </w:pPr>
    </w:p>
    <w:p w14:paraId="7B8C8B55" w14:textId="77777777" w:rsidR="004709CA" w:rsidRPr="004709CA" w:rsidRDefault="004709CA" w:rsidP="750671CE">
      <w:pPr>
        <w:rPr>
          <w:rFonts w:ascii="Times New Roman" w:eastAsia="Times New Roman" w:hAnsi="Times New Roman" w:cs="Times New Roman"/>
        </w:rPr>
      </w:pPr>
      <w:bookmarkStart w:id="397" w:name="_Toc518323371"/>
      <w:r w:rsidRPr="00F94B7E">
        <w:rPr>
          <w:rStyle w:val="Heading4Char"/>
          <w:rFonts w:eastAsiaTheme="minorEastAsia"/>
        </w:rPr>
        <w:t>Maddox v. City of New York</w:t>
      </w:r>
      <w:bookmarkEnd w:id="397"/>
      <w:r w:rsidRPr="750671CE">
        <w:rPr>
          <w:rFonts w:ascii="Times New Roman" w:eastAsia="Times New Roman" w:hAnsi="Times New Roman" w:cs="Times New Roman"/>
          <w:b/>
          <w:bCs/>
        </w:rPr>
        <w:t>, 487 N.E.2d 553 (N.Y. 1985)</w:t>
      </w:r>
      <w:r w:rsidRPr="750671CE">
        <w:rPr>
          <w:rFonts w:ascii="Times New Roman" w:eastAsia="Times New Roman" w:hAnsi="Times New Roman" w:cs="Times New Roman"/>
        </w:rPr>
        <w:t xml:space="preserve"> </w:t>
      </w:r>
    </w:p>
    <w:p w14:paraId="59CA2F91" w14:textId="77777777" w:rsidR="004709CA" w:rsidRPr="004709CA" w:rsidRDefault="004709CA" w:rsidP="004709CA">
      <w:pPr>
        <w:rPr>
          <w:rFonts w:ascii="Times New Roman" w:hAnsi="Times New Roman" w:cs="Times New Roman"/>
        </w:rPr>
      </w:pPr>
    </w:p>
    <w:p w14:paraId="3C8FB8E6" w14:textId="5A838700" w:rsidR="004709CA" w:rsidRPr="004709CA"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M</w:t>
      </w:r>
      <w:r w:rsidR="00BD1E21" w:rsidRPr="00F94B7E">
        <w:rPr>
          <w:rFonts w:ascii="Times New Roman" w:eastAsia="Times New Roman" w:hAnsi="Times New Roman" w:cs="Times New Roman"/>
          <w:smallCaps/>
        </w:rPr>
        <w:t>eyer</w:t>
      </w:r>
      <w:r w:rsidRPr="750671CE">
        <w:rPr>
          <w:rFonts w:ascii="Times New Roman" w:eastAsia="Times New Roman" w:hAnsi="Times New Roman" w:cs="Times New Roman"/>
        </w:rPr>
        <w:t>, J.</w:t>
      </w:r>
    </w:p>
    <w:p w14:paraId="70B5269E" w14:textId="77777777" w:rsidR="004709CA" w:rsidRPr="004709CA" w:rsidRDefault="004709CA" w:rsidP="004709CA">
      <w:pPr>
        <w:rPr>
          <w:rFonts w:ascii="Times New Roman" w:hAnsi="Times New Roman" w:cs="Times New Roman"/>
        </w:rPr>
      </w:pPr>
    </w:p>
    <w:p w14:paraId="70977E25"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2483B03" w14:textId="306DB380"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and his wife (hereafter collectively referred to as plaintiff) sued the city, as owner of Shea Stadium</w:t>
      </w:r>
      <w:r w:rsidR="00F55886">
        <w:rPr>
          <w:rFonts w:ascii="Times New Roman" w:eastAsia="Times New Roman" w:hAnsi="Times New Roman" w:cs="Times New Roman"/>
        </w:rPr>
        <w:t xml:space="preserve"> [predecessor stadium to the New York Mets’s Citi Field]</w:t>
      </w:r>
      <w:r w:rsidRPr="750671CE">
        <w:rPr>
          <w:rFonts w:ascii="Times New Roman" w:eastAsia="Times New Roman" w:hAnsi="Times New Roman" w:cs="Times New Roman"/>
        </w:rPr>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motion for summary judgment.  Maddox appealed, arguing that </w:t>
      </w:r>
      <w:r w:rsidR="00B05F31">
        <w:rPr>
          <w:rFonts w:ascii="Times New Roman" w:eastAsia="Times New Roman" w:hAnsi="Times New Roman" w:cs="Times New Roman"/>
        </w:rPr>
        <w:t>“</w:t>
      </w:r>
      <w:r w:rsidRPr="750671CE">
        <w:rPr>
          <w:rFonts w:ascii="Times New Roman" w:eastAsia="Times New Roman" w:hAnsi="Times New Roman" w:cs="Times New Roman"/>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580CE656" w14:textId="77777777" w:rsidR="004709CA" w:rsidRPr="004709CA" w:rsidRDefault="004709CA" w:rsidP="004709CA">
      <w:pPr>
        <w:rPr>
          <w:rFonts w:ascii="Times New Roman" w:hAnsi="Times New Roman" w:cs="Times New Roman"/>
        </w:rPr>
      </w:pPr>
    </w:p>
    <w:p w14:paraId="01ED6203" w14:textId="02DF0476"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instant case we deal not with express assumption of risk, but with assumption of risk to be implied from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continued participation in the game with the knowledge and appreciation of the risk which his deposition testimony spelled out and which established his implied assumption as a matter of law</w:t>
      </w:r>
      <w:r w:rsidR="004B7FE9">
        <w:rPr>
          <w:rFonts w:ascii="Times New Roman" w:eastAsia="Times New Roman" w:hAnsi="Times New Roman" w:cs="Times New Roman"/>
        </w:rPr>
        <w:t xml:space="preserve">. . . </w:t>
      </w:r>
      <w:r w:rsidRPr="750671CE">
        <w:rPr>
          <w:rFonts w:ascii="Times New Roman" w:eastAsia="Times New Roman" w:hAnsi="Times New Roman" w:cs="Times New Roman"/>
        </w:rPr>
        <w:t>.</w:t>
      </w:r>
    </w:p>
    <w:p w14:paraId="0AD5CEB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76893E8" w14:textId="5D44828B"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risks of a game which must be played upon a field include the risks involved in the construction of the field, as has been held many times before</w:t>
      </w:r>
      <w:r w:rsidR="004B7FE9">
        <w:rPr>
          <w:rFonts w:ascii="Times New Roman" w:eastAsia="Times New Roman" w:hAnsi="Times New Roman" w:cs="Times New Roman"/>
        </w:rPr>
        <w:t>. . . .</w:t>
      </w:r>
      <w:r w:rsidR="004B7FE9"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[T]he assumption doctrine </w:t>
      </w:r>
      <w:r w:rsidR="00B05F31">
        <w:rPr>
          <w:rFonts w:ascii="Times New Roman" w:eastAsia="Times New Roman" w:hAnsi="Times New Roman" w:cs="Times New Roman"/>
        </w:rPr>
        <w:t>“</w:t>
      </w:r>
      <w:r w:rsidRPr="750671CE">
        <w:rPr>
          <w:rFonts w:ascii="Times New Roman" w:eastAsia="Times New Roman" w:hAnsi="Times New Roman" w:cs="Times New Roman"/>
        </w:rPr>
        <w:t>applies to any facet of the activity inherent in it and to any open and obvious condition of the place where it is carried on</w:t>
      </w:r>
      <w:r w:rsidR="00B05F31">
        <w:rPr>
          <w:rFonts w:ascii="Times New Roman" w:eastAsia="Times New Roman" w:hAnsi="Times New Roman" w:cs="Times New Roman"/>
        </w:rPr>
        <w:t>”</w:t>
      </w:r>
      <w:r w:rsidR="004B7FE9">
        <w:rPr>
          <w:rFonts w:ascii="Times New Roman" w:eastAsia="Times New Roman" w:hAnsi="Times New Roman" w:cs="Times New Roman"/>
        </w:rPr>
        <w:t>. . . .</w:t>
      </w:r>
    </w:p>
    <w:p w14:paraId="11FF100E"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117990B" w14:textId="2850F85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effort to separate the wetness of the field, which he testified was above the grass line, from the mud beneath it in which his foot became lodged must be rejected for not only was he aware that there was </w:t>
      </w:r>
      <w:r w:rsidR="00B05F31">
        <w:rPr>
          <w:rFonts w:ascii="Times New Roman" w:eastAsia="Times New Roman" w:hAnsi="Times New Roman" w:cs="Times New Roman"/>
        </w:rPr>
        <w:t>“</w:t>
      </w:r>
      <w:r w:rsidRPr="750671CE">
        <w:rPr>
          <w:rFonts w:ascii="Times New Roman" w:eastAsia="Times New Roman" w:hAnsi="Times New Roman" w:cs="Times New Roman"/>
        </w:rPr>
        <w:t>some mud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centerfield area, but also it is a matter of common experience that water of sufficient depth to cover grass may result in the earth beneath being turned to mud. We do not deal here </w:t>
      </w:r>
      <w:r w:rsidR="004B7FE9">
        <w:rPr>
          <w:rFonts w:ascii="Times New Roman" w:eastAsia="Times New Roman" w:hAnsi="Times New Roman" w:cs="Times New Roman"/>
        </w:rPr>
        <w:t>. . .</w:t>
      </w:r>
      <w:r w:rsidRPr="750671CE">
        <w:rPr>
          <w:rFonts w:ascii="Times New Roman" w:eastAsia="Times New Roman" w:hAnsi="Times New Roman" w:cs="Times New Roman"/>
        </w:rPr>
        <w:t xml:space="preserve"> with a hole in the playing field hidden by grass, 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0775915" w14:textId="4555213D"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deposition above set forth, the defense of assumption of risk was clearly established, and plaintiff has not, as it was his burden to do </w:t>
      </w:r>
      <w:r w:rsidR="004B7FE9">
        <w:rPr>
          <w:rFonts w:ascii="Times New Roman" w:eastAsia="Times New Roman" w:hAnsi="Times New Roman" w:cs="Times New Roman"/>
        </w:rPr>
        <w:t>. . .</w:t>
      </w:r>
      <w:r w:rsidRPr="750671CE">
        <w:rPr>
          <w:rFonts w:ascii="Times New Roman" w:eastAsia="Times New Roman" w:hAnsi="Times New Roman" w:cs="Times New Roman"/>
        </w:rPr>
        <w:t xml:space="preserve"> present[ed] evidence in admissible form that he had no choice in the matter but to obey a superior</w:t>
      </w:r>
      <w:r w:rsidR="00B05F31">
        <w:rPr>
          <w:rFonts w:ascii="Times New Roman" w:eastAsia="Times New Roman" w:hAnsi="Times New Roman" w:cs="Times New Roman"/>
        </w:rPr>
        <w:t>’</w:t>
      </w:r>
      <w:r w:rsidRPr="750671CE">
        <w:rPr>
          <w:rFonts w:ascii="Times New Roman" w:eastAsia="Times New Roman" w:hAnsi="Times New Roman" w:cs="Times New Roman"/>
        </w:rPr>
        <w:t>s direction to continue notwithstanding the danger. Indeed, nothing in plaintiff</w:t>
      </w:r>
      <w:r w:rsidR="00B05F31">
        <w:rPr>
          <w:rFonts w:ascii="Times New Roman" w:eastAsia="Times New Roman" w:hAnsi="Times New Roman" w:cs="Times New Roman"/>
        </w:rPr>
        <w:t>’</w:t>
      </w:r>
      <w:r w:rsidRPr="750671CE">
        <w:rPr>
          <w:rFonts w:ascii="Times New Roman" w:eastAsia="Times New Roman" w:hAnsi="Times New Roman" w:cs="Times New Roman"/>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28CAAB13"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Accordingly, the order of the Appellate Division should be affirmed, with costs.</w:t>
      </w:r>
    </w:p>
    <w:p w14:paraId="0211B439" w14:textId="77777777" w:rsidR="004709CA" w:rsidRPr="004709CA" w:rsidRDefault="004709CA" w:rsidP="004709CA">
      <w:pPr>
        <w:rPr>
          <w:rFonts w:ascii="Times New Roman" w:hAnsi="Times New Roman" w:cs="Times New Roman"/>
        </w:rPr>
      </w:pPr>
    </w:p>
    <w:p w14:paraId="7C3BAAA5" w14:textId="6810A006" w:rsidR="004709CA" w:rsidRPr="004709CA" w:rsidRDefault="004B7FE9" w:rsidP="750671CE">
      <w:pPr>
        <w:rPr>
          <w:rFonts w:ascii="Times New Roman" w:eastAsia="Times New Roman" w:hAnsi="Times New Roman" w:cs="Times New Roman"/>
        </w:rPr>
      </w:pPr>
      <w:r w:rsidRPr="00F94B7E">
        <w:rPr>
          <w:rFonts w:ascii="Times New Roman" w:eastAsia="Times New Roman" w:hAnsi="Times New Roman" w:cs="Times New Roman"/>
          <w:smallCaps/>
        </w:rPr>
        <w:t>Wachtler</w:t>
      </w:r>
      <w:r w:rsidR="750671CE" w:rsidRPr="750671CE">
        <w:rPr>
          <w:rFonts w:ascii="Times New Roman" w:eastAsia="Times New Roman" w:hAnsi="Times New Roman" w:cs="Times New Roman"/>
        </w:rPr>
        <w:t xml:space="preserve">, C.J., and </w:t>
      </w:r>
      <w:r w:rsidRPr="00F94B7E">
        <w:rPr>
          <w:rFonts w:ascii="Times New Roman" w:eastAsia="Times New Roman" w:hAnsi="Times New Roman" w:cs="Times New Roman"/>
          <w:smallCaps/>
        </w:rPr>
        <w:t>Jasen, Simons, Kaye</w:t>
      </w:r>
      <w:r w:rsidR="750671CE" w:rsidRPr="750671CE">
        <w:rPr>
          <w:rFonts w:ascii="Times New Roman" w:eastAsia="Times New Roman" w:hAnsi="Times New Roman" w:cs="Times New Roman"/>
        </w:rPr>
        <w:t xml:space="preserve"> and </w:t>
      </w:r>
      <w:r w:rsidRPr="00F94B7E">
        <w:rPr>
          <w:rFonts w:ascii="Times New Roman" w:eastAsia="Times New Roman" w:hAnsi="Times New Roman" w:cs="Times New Roman"/>
          <w:smallCaps/>
        </w:rPr>
        <w:t>Alexander</w:t>
      </w:r>
      <w:r w:rsidR="750671CE" w:rsidRPr="750671CE">
        <w:rPr>
          <w:rFonts w:ascii="Times New Roman" w:eastAsia="Times New Roman" w:hAnsi="Times New Roman" w:cs="Times New Roman"/>
        </w:rPr>
        <w:t>, JJ., concur.</w:t>
      </w:r>
    </w:p>
    <w:p w14:paraId="180E8823" w14:textId="77777777" w:rsidR="004709CA" w:rsidRPr="004709CA" w:rsidRDefault="004709CA" w:rsidP="004709CA">
      <w:pPr>
        <w:rPr>
          <w:rFonts w:ascii="Times New Roman" w:hAnsi="Times New Roman" w:cs="Times New Roman"/>
        </w:rPr>
      </w:pPr>
    </w:p>
    <w:p w14:paraId="00896B6E" w14:textId="60D7E257" w:rsidR="004709CA" w:rsidRDefault="750671CE" w:rsidP="005D42D9">
      <w:pPr>
        <w:rPr>
          <w:rFonts w:ascii="Times New Roman" w:eastAsia="Times New Roman" w:hAnsi="Times New Roman" w:cs="Times New Roman"/>
        </w:rPr>
      </w:pPr>
      <w:r w:rsidRPr="00F94B7E">
        <w:rPr>
          <w:rFonts w:ascii="Times New Roman" w:eastAsia="Times New Roman" w:hAnsi="Times New Roman" w:cs="Times New Roman"/>
          <w:smallCaps/>
        </w:rPr>
        <w:t>T</w:t>
      </w:r>
      <w:r w:rsidR="004B7FE9" w:rsidRPr="00F94B7E">
        <w:rPr>
          <w:rFonts w:ascii="Times New Roman" w:eastAsia="Times New Roman" w:hAnsi="Times New Roman" w:cs="Times New Roman"/>
          <w:smallCaps/>
        </w:rPr>
        <w:t>itone</w:t>
      </w:r>
      <w:r w:rsidRPr="750671CE">
        <w:rPr>
          <w:rFonts w:ascii="Times New Roman" w:eastAsia="Times New Roman" w:hAnsi="Times New Roman" w:cs="Times New Roman"/>
        </w:rPr>
        <w:t>, J., taking no part.</w:t>
      </w:r>
    </w:p>
    <w:p w14:paraId="64EC283D" w14:textId="77777777" w:rsidR="005D42D9" w:rsidRDefault="005D42D9" w:rsidP="005D42D9">
      <w:pPr>
        <w:rPr>
          <w:rFonts w:ascii="Times New Roman" w:eastAsia="Times New Roman" w:hAnsi="Times New Roman" w:cs="Times New Roman"/>
        </w:rPr>
      </w:pPr>
    </w:p>
    <w:p w14:paraId="52D09330" w14:textId="77777777" w:rsidR="005D42D9" w:rsidRPr="004709CA" w:rsidRDefault="005D42D9" w:rsidP="005D42D9">
      <w:pPr>
        <w:rPr>
          <w:rFonts w:ascii="Times New Roman" w:eastAsia="Times New Roman" w:hAnsi="Times New Roman" w:cs="Times New Roman"/>
        </w:rPr>
      </w:pPr>
    </w:p>
    <w:p w14:paraId="7C14AD32" w14:textId="77777777" w:rsidR="004709CA" w:rsidRPr="004709CA" w:rsidRDefault="004709CA" w:rsidP="002502CC">
      <w:pPr>
        <w:pStyle w:val="Heading4"/>
      </w:pPr>
      <w:bookmarkStart w:id="398" w:name="_Toc364636155"/>
      <w:bookmarkStart w:id="399" w:name="_Toc518323372"/>
      <w:r w:rsidRPr="004709CA">
        <w:t>Notes</w:t>
      </w:r>
      <w:bookmarkEnd w:id="398"/>
      <w:bookmarkEnd w:id="399"/>
    </w:p>
    <w:p w14:paraId="404560B2" w14:textId="77777777" w:rsidR="004709CA" w:rsidRDefault="004709CA">
      <w:pPr>
        <w:rPr>
          <w:rFonts w:ascii="Times New Roman" w:hAnsi="Times New Roman" w:cs="Times New Roman"/>
        </w:rPr>
      </w:pPr>
    </w:p>
    <w:p w14:paraId="26AB68EA" w14:textId="77777777" w:rsidR="005D42D9" w:rsidRPr="004709CA" w:rsidRDefault="005D42D9" w:rsidP="005D42D9">
      <w:pPr>
        <w:rPr>
          <w:rFonts w:ascii="Times New Roman" w:hAnsi="Times New Roman" w:cs="Times New Roman"/>
        </w:rPr>
      </w:pPr>
    </w:p>
    <w:p w14:paraId="409B62C2" w14:textId="55130D7A" w:rsidR="004709CA" w:rsidRPr="00F94B7E" w:rsidRDefault="750671CE" w:rsidP="00F94B7E">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Elliot Maddox</w:t>
      </w:r>
      <w:r w:rsidRPr="00F94B7E">
        <w:rPr>
          <w:rFonts w:ascii="Times New Roman" w:eastAsia="Times New Roman" w:hAnsi="Times New Roman" w:cs="Times New Roman"/>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Pr>
          <w:rFonts w:ascii="Times New Roman" w:eastAsia="Times New Roman" w:hAnsi="Times New Roman" w:cs="Times New Roman"/>
        </w:rPr>
        <w:t>’</w:t>
      </w:r>
      <w:r w:rsidRPr="00F94B7E">
        <w:rPr>
          <w:rFonts w:ascii="Times New Roman" w:eastAsia="Times New Roman" w:hAnsi="Times New Roman" w:cs="Times New Roman"/>
        </w:rPr>
        <w:t>s employer, the Yankees were immune from suit in tort, though they were responsible for any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benefits.  Maddox</w:t>
      </w:r>
      <w:r w:rsidR="00B05F31">
        <w:rPr>
          <w:rFonts w:ascii="Times New Roman" w:eastAsia="Times New Roman" w:hAnsi="Times New Roman" w:cs="Times New Roman"/>
        </w:rPr>
        <w:t>’</w:t>
      </w:r>
      <w:r w:rsidRPr="00F94B7E">
        <w:rPr>
          <w:rFonts w:ascii="Times New Roman" w:eastAsia="Times New Roman" w:hAnsi="Times New Roman" w:cs="Times New Roman"/>
        </w:rPr>
        <w:t>s action against the city as owner of Shea Stadium and against the Mets as the stadium</w:t>
      </w:r>
      <w:r w:rsidR="00B05F31">
        <w:rPr>
          <w:rFonts w:ascii="Times New Roman" w:eastAsia="Times New Roman" w:hAnsi="Times New Roman" w:cs="Times New Roman"/>
        </w:rPr>
        <w:t>’</w:t>
      </w:r>
      <w:r w:rsidRPr="00F94B7E">
        <w:rPr>
          <w:rFonts w:ascii="Times New Roman" w:eastAsia="Times New Roman" w:hAnsi="Times New Roman" w:cs="Times New Roman"/>
        </w:rPr>
        <w:t>s lessee is emblematic of the way in which employers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workers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compensation immunity has generated pressure to bring tort actions against more distant tort defendants.</w:t>
      </w:r>
    </w:p>
    <w:p w14:paraId="24287B01" w14:textId="77777777" w:rsidR="004709CA" w:rsidRPr="004709CA" w:rsidRDefault="004709CA" w:rsidP="004709CA">
      <w:pPr>
        <w:rPr>
          <w:rFonts w:ascii="Times New Roman" w:hAnsi="Times New Roman" w:cs="Times New Roman"/>
        </w:rPr>
      </w:pPr>
    </w:p>
    <w:p w14:paraId="1643104D" w14:textId="36B85D1F" w:rsidR="00AE2AA4"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Note that fifteen years after the New York Court of Appeals decided his tort claim, Maddox was back in the news, this time for fraudulent worker</w:t>
      </w:r>
      <w:r w:rsidR="00B05F31">
        <w:rPr>
          <w:rFonts w:ascii="Times New Roman" w:eastAsia="Times New Roman" w:hAnsi="Times New Roman" w:cs="Times New Roman"/>
        </w:rPr>
        <w:t>’</w:t>
      </w:r>
      <w:r w:rsidRPr="750671CE">
        <w:rPr>
          <w:rFonts w:ascii="Times New Roman" w:eastAsia="Times New Roman" w:hAnsi="Times New Roman" w:cs="Times New Roman"/>
        </w:rPr>
        <w:t>s compensation claims.  After getting work as a counselor in Florida</w:t>
      </w:r>
      <w:r w:rsidR="00B05F31">
        <w:rPr>
          <w:rFonts w:ascii="Times New Roman" w:eastAsia="Times New Roman" w:hAnsi="Times New Roman" w:cs="Times New Roman"/>
        </w:rPr>
        <w:t>’</w:t>
      </w:r>
      <w:r w:rsidRPr="750671CE">
        <w:rPr>
          <w:rFonts w:ascii="Times New Roman" w:eastAsia="Times New Roman" w:hAnsi="Times New Roman" w:cs="Times New Roman"/>
        </w:rPr>
        <w:t>s Division of Children and Families, Maddox filed a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claim based on the knee injury he suffered in Shea Stadium in 1975.  Now 51 years old, Maddox claimed that he was </w:t>
      </w:r>
      <w:r w:rsidR="00B05F31">
        <w:rPr>
          <w:rFonts w:ascii="Times New Roman" w:eastAsia="Times New Roman" w:hAnsi="Times New Roman" w:cs="Times New Roman"/>
        </w:rPr>
        <w:t>“</w:t>
      </w:r>
      <w:r w:rsidRPr="750671CE">
        <w:rPr>
          <w:rFonts w:ascii="Times New Roman" w:eastAsia="Times New Roman" w:hAnsi="Times New Roman" w:cs="Times New Roman"/>
        </w:rPr>
        <w:t>at home in Coral Springs and too hobbled to work.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Tuscaloosa News, however, reported that in fact Maddox was running baseball camps</w:t>
      </w:r>
      <w:r w:rsidR="00A4579E">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25D52128" w14:textId="77777777" w:rsidR="00AE2AA4" w:rsidRPr="004709CA" w:rsidRDefault="00AE2AA4" w:rsidP="00AE2AA4">
      <w:pPr>
        <w:rPr>
          <w:rFonts w:ascii="Times New Roman" w:hAnsi="Times New Roman" w:cs="Times New Roman"/>
        </w:rPr>
      </w:pPr>
    </w:p>
    <w:p w14:paraId="42A6D491" w14:textId="27C539FC" w:rsidR="004709CA" w:rsidRPr="004709CA" w:rsidRDefault="750671CE" w:rsidP="0080795D">
      <w:pPr>
        <w:ind w:left="720" w:right="720"/>
        <w:rPr>
          <w:rFonts w:ascii="Times New Roman" w:eastAsia="Times New Roman" w:hAnsi="Times New Roman" w:cs="Times New Roman"/>
        </w:rPr>
      </w:pPr>
      <w:r w:rsidRPr="750671CE">
        <w:rPr>
          <w:rFonts w:ascii="Times New Roman" w:eastAsia="Times New Roman" w:hAnsi="Times New Roman" w:cs="Times New Roman"/>
        </w:rPr>
        <w:t xml:space="preserve">Investigators with the Florida Division of Risk Management say they videotaped Maddox </w:t>
      </w:r>
      <w:r w:rsidR="00B05F31">
        <w:rPr>
          <w:rFonts w:ascii="Times New Roman" w:eastAsia="Times New Roman" w:hAnsi="Times New Roman" w:cs="Times New Roman"/>
        </w:rPr>
        <w:t>“</w:t>
      </w:r>
      <w:r w:rsidRPr="750671CE">
        <w:rPr>
          <w:rFonts w:ascii="Times New Roman" w:eastAsia="Times New Roman" w:hAnsi="Times New Roman" w:cs="Times New Roman"/>
        </w:rPr>
        <w:t>walking, running, bending both knees, performing pitching windups and carrying equipment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during the times he claimed to be too injured to report to work.</w:t>
      </w:r>
    </w:p>
    <w:p w14:paraId="1535851C" w14:textId="77777777" w:rsidR="004709CA" w:rsidRPr="004709CA" w:rsidRDefault="004709CA" w:rsidP="004709CA">
      <w:pPr>
        <w:rPr>
          <w:rFonts w:ascii="Times New Roman" w:hAnsi="Times New Roman" w:cs="Times New Roman"/>
        </w:rPr>
      </w:pPr>
    </w:p>
    <w:p w14:paraId="4140531F" w14:textId="59D941BB" w:rsidR="004709CA" w:rsidRPr="004709CA" w:rsidRDefault="009E672E" w:rsidP="750671CE">
      <w:pPr>
        <w:rPr>
          <w:rFonts w:ascii="Times New Roman" w:eastAsia="Times New Roman" w:hAnsi="Times New Roman" w:cs="Times New Roman"/>
        </w:rPr>
      </w:pPr>
      <w:r w:rsidRPr="0052625F">
        <w:rPr>
          <w:rFonts w:ascii="Times New Roman" w:eastAsia="Times New Roman" w:hAnsi="Times New Roman" w:cs="Times New Roman"/>
          <w:i/>
        </w:rPr>
        <w:t>Tuscaloosa News</w:t>
      </w:r>
      <w:r w:rsidRPr="750671CE">
        <w:rPr>
          <w:rFonts w:ascii="Times New Roman" w:eastAsia="Times New Roman" w:hAnsi="Times New Roman" w:cs="Times New Roman"/>
        </w:rPr>
        <w:t xml:space="preserve">, Jan. 25, 2000, p. 3B.  </w:t>
      </w:r>
      <w:r w:rsidR="750671CE" w:rsidRPr="750671CE">
        <w:rPr>
          <w:rFonts w:ascii="Times New Roman" w:eastAsia="Times New Roman" w:hAnsi="Times New Roman" w:cs="Times New Roman"/>
        </w:rPr>
        <w:t>Maddox was arrested on charges of workers</w:t>
      </w:r>
      <w:r w:rsidR="00B05F31">
        <w:rPr>
          <w:rFonts w:ascii="Times New Roman" w:eastAsia="Times New Roman" w:hAnsi="Times New Roman" w:cs="Times New Roman"/>
        </w:rPr>
        <w:t>’</w:t>
      </w:r>
      <w:r w:rsidR="750671CE" w:rsidRPr="750671CE">
        <w:rPr>
          <w:rFonts w:ascii="Times New Roman" w:eastAsia="Times New Roman" w:hAnsi="Times New Roman" w:cs="Times New Roman"/>
        </w:rPr>
        <w:t xml:space="preserve"> compensation fraud, grand theft, and perjury in official proceedings. He was eventually acquitted by a jury on all charges.  </w:t>
      </w:r>
    </w:p>
    <w:p w14:paraId="5BC19ED5" w14:textId="77777777" w:rsidR="004709CA" w:rsidRPr="004709CA" w:rsidRDefault="004709CA" w:rsidP="004709CA">
      <w:pPr>
        <w:rPr>
          <w:rFonts w:ascii="Times New Roman" w:hAnsi="Times New Roman" w:cs="Times New Roman"/>
        </w:rPr>
      </w:pPr>
    </w:p>
    <w:p w14:paraId="2DF731AA" w14:textId="77777777" w:rsidR="004709CA" w:rsidRPr="004709CA" w:rsidRDefault="004709CA" w:rsidP="004709CA">
      <w:pPr>
        <w:rPr>
          <w:rFonts w:ascii="Times New Roman" w:hAnsi="Times New Roman" w:cs="Times New Roman"/>
        </w:rPr>
      </w:pPr>
    </w:p>
    <w:p w14:paraId="7F3909E4" w14:textId="5A821FBB" w:rsidR="004709CA" w:rsidRPr="00F94B7E" w:rsidRDefault="00B05F31" w:rsidP="00F94B7E">
      <w:pPr>
        <w:pStyle w:val="ListParagraph"/>
        <w:numPr>
          <w:ilvl w:val="0"/>
          <w:numId w:val="15"/>
        </w:numPr>
        <w:ind w:left="0" w:firstLine="360"/>
        <w:rPr>
          <w:rFonts w:ascii="Times New Roman" w:eastAsia="Times New Roman" w:hAnsi="Times New Roman" w:cs="Times New Roman"/>
        </w:rPr>
      </w:pPr>
      <w:r>
        <w:rPr>
          <w:rFonts w:ascii="Times New Roman" w:eastAsia="Times New Roman" w:hAnsi="Times New Roman" w:cs="Times New Roman"/>
          <w:i/>
          <w:iCs/>
        </w:rPr>
        <w:t>“</w:t>
      </w:r>
      <w:r w:rsidR="750671CE" w:rsidRPr="00F94B7E">
        <w:rPr>
          <w:rFonts w:ascii="Times New Roman" w:eastAsia="Times New Roman" w:hAnsi="Times New Roman" w:cs="Times New Roman"/>
          <w:i/>
          <w:iCs/>
        </w:rPr>
        <w:t>The Baseball Rule.</w:t>
      </w:r>
      <w:r>
        <w:rPr>
          <w:rFonts w:ascii="Times New Roman" w:eastAsia="Times New Roman" w:hAnsi="Times New Roman" w:cs="Times New Roman"/>
          <w:i/>
          <w:iCs/>
        </w:rPr>
        <w:t>”</w:t>
      </w:r>
      <w:r w:rsidR="750671CE" w:rsidRPr="00F94B7E">
        <w:rPr>
          <w:rFonts w:ascii="Times New Roman" w:eastAsia="Times New Roman" w:hAnsi="Times New Roman" w:cs="Times New Roman"/>
        </w:rPr>
        <w:t xml:space="preserve">  Primary assumption of the risk also finds application in the class of cases brought by spectators at professional sporting events.  The Missouri Supreme Court recently had occasion to set forth the so-called </w:t>
      </w:r>
      <w:r>
        <w:rPr>
          <w:rFonts w:ascii="Times New Roman" w:eastAsia="Times New Roman" w:hAnsi="Times New Roman" w:cs="Times New Roman"/>
        </w:rPr>
        <w:t>“</w:t>
      </w:r>
      <w:r w:rsidR="750671CE" w:rsidRPr="00F94B7E">
        <w:rPr>
          <w:rFonts w:ascii="Times New Roman" w:eastAsia="Times New Roman" w:hAnsi="Times New Roman" w:cs="Times New Roman"/>
        </w:rPr>
        <w:t>Baseball Rule</w:t>
      </w:r>
      <w:r>
        <w:rPr>
          <w:rFonts w:ascii="Times New Roman" w:eastAsia="Times New Roman" w:hAnsi="Times New Roman" w:cs="Times New Roman"/>
        </w:rPr>
        <w:t>”</w:t>
      </w:r>
      <w:r w:rsidR="750671CE" w:rsidRPr="00F94B7E">
        <w:rPr>
          <w:rFonts w:ascii="Times New Roman" w:eastAsia="Times New Roman" w:hAnsi="Times New Roman" w:cs="Times New Roman"/>
        </w:rPr>
        <w:t>:</w:t>
      </w:r>
    </w:p>
    <w:p w14:paraId="4A3D6670" w14:textId="77777777" w:rsidR="004709CA" w:rsidRPr="004709CA" w:rsidRDefault="004709CA" w:rsidP="004709CA">
      <w:pPr>
        <w:rPr>
          <w:rFonts w:ascii="Times New Roman" w:hAnsi="Times New Roman" w:cs="Times New Roman"/>
        </w:rPr>
      </w:pPr>
    </w:p>
    <w:p w14:paraId="308FC535"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4709CA" w:rsidRDefault="004709CA" w:rsidP="00F94B7E">
      <w:pPr>
        <w:ind w:left="720" w:right="720"/>
        <w:jc w:val="both"/>
        <w:rPr>
          <w:rFonts w:ascii="Times New Roman" w:hAnsi="Times New Roman" w:cs="Times New Roman"/>
        </w:rPr>
      </w:pPr>
    </w:p>
    <w:p w14:paraId="479CFBB1" w14:textId="076033C9"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Baseball Rule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6C709E33" w14:textId="77777777" w:rsidR="004709CA" w:rsidRPr="004709CA" w:rsidRDefault="004709CA" w:rsidP="00F94B7E">
      <w:pPr>
        <w:ind w:left="720" w:right="720"/>
        <w:jc w:val="both"/>
        <w:rPr>
          <w:rFonts w:ascii="Times New Roman" w:hAnsi="Times New Roman" w:cs="Times New Roman"/>
        </w:rPr>
      </w:pPr>
    </w:p>
    <w:p w14:paraId="3771EFC2"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4709CA" w:rsidRDefault="004709CA" w:rsidP="00F94B7E">
      <w:pPr>
        <w:ind w:left="720" w:right="720"/>
        <w:jc w:val="both"/>
        <w:rPr>
          <w:rFonts w:ascii="Times New Roman" w:hAnsi="Times New Roman" w:cs="Times New Roman"/>
        </w:rPr>
      </w:pPr>
    </w:p>
    <w:p w14:paraId="25CDFFEF" w14:textId="4D083D86"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 .</w:t>
      </w:r>
    </w:p>
    <w:p w14:paraId="6AE02A25" w14:textId="77777777" w:rsidR="004709CA" w:rsidRPr="004709CA" w:rsidRDefault="004709CA" w:rsidP="00F94B7E">
      <w:pPr>
        <w:ind w:left="720" w:right="720"/>
        <w:jc w:val="both"/>
        <w:rPr>
          <w:rFonts w:ascii="Times New Roman" w:hAnsi="Times New Roman" w:cs="Times New Roman"/>
        </w:rPr>
      </w:pPr>
    </w:p>
    <w:p w14:paraId="34BDC1BB"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4709CA" w:rsidRDefault="004709CA" w:rsidP="00F94B7E">
      <w:pPr>
        <w:ind w:left="720" w:right="720"/>
        <w:jc w:val="both"/>
        <w:rPr>
          <w:rFonts w:ascii="Times New Roman" w:hAnsi="Times New Roman" w:cs="Times New Roman"/>
        </w:rPr>
      </w:pPr>
    </w:p>
    <w:p w14:paraId="090D0FD0" w14:textId="0625BD9C"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[M]any dozens of cases around the country hold[] that, as long as some seats directly behind home plate are protected, the team owes </w:t>
      </w:r>
      <w:r w:rsidR="00B05F31">
        <w:rPr>
          <w:rFonts w:ascii="Times New Roman" w:eastAsia="Times New Roman" w:hAnsi="Times New Roman" w:cs="Times New Roman"/>
        </w:rPr>
        <w:t>“</w:t>
      </w:r>
      <w:r w:rsidRPr="750671CE">
        <w:rPr>
          <w:rFonts w:ascii="Times New Roman" w:eastAsia="Times New Roman" w:hAnsi="Times New Roman" w:cs="Times New Roman"/>
        </w:rPr>
        <w:t>no duty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spectators outside that area who are injured by a ball or bat while watching a baseball game.</w:t>
      </w:r>
    </w:p>
    <w:p w14:paraId="552457BB" w14:textId="77777777" w:rsidR="004709CA" w:rsidRPr="004709CA" w:rsidRDefault="004709CA" w:rsidP="004709CA">
      <w:pPr>
        <w:rPr>
          <w:rFonts w:ascii="Times New Roman" w:hAnsi="Times New Roman" w:cs="Times New Roman"/>
        </w:rPr>
      </w:pPr>
    </w:p>
    <w:p w14:paraId="6E469179"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Coomer v. Kansas City Royals Baseball Corp</w:t>
      </w:r>
      <w:r w:rsidRPr="750671CE">
        <w:rPr>
          <w:rFonts w:ascii="Times New Roman" w:eastAsia="Times New Roman" w:hAnsi="Times New Roman" w:cs="Times New Roman"/>
        </w:rPr>
        <w:t xml:space="preserve">., 437 S.W.3d 184 (Mo. 2014).  </w:t>
      </w:r>
    </w:p>
    <w:p w14:paraId="2447C86B" w14:textId="77777777" w:rsidR="004709CA" w:rsidRPr="004709CA" w:rsidRDefault="004709CA" w:rsidP="004709CA">
      <w:pPr>
        <w:rPr>
          <w:rFonts w:ascii="Times New Roman" w:hAnsi="Times New Roman" w:cs="Times New Roman"/>
        </w:rPr>
      </w:pPr>
    </w:p>
    <w:p w14:paraId="70E07547" w14:textId="582AAE34"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 xml:space="preserve">But the baseball rule notwithstanding, courts have been unwilling to allow the baseball rule to defeat all the tort claims that arise in this context. For instance, in </w:t>
      </w:r>
      <w:r w:rsidRPr="750671CE">
        <w:rPr>
          <w:rFonts w:ascii="Times New Roman" w:eastAsia="Times New Roman" w:hAnsi="Times New Roman" w:cs="Times New Roman"/>
          <w:i/>
          <w:iCs/>
        </w:rPr>
        <w:t>Maytnier v. Rush</w:t>
      </w:r>
      <w:r w:rsidRPr="750671CE">
        <w:rPr>
          <w:rFonts w:ascii="Times New Roman" w:eastAsia="Times New Roman" w:hAnsi="Times New Roman" w:cs="Times New Roman"/>
        </w:rPr>
        <w:t>, 225 N.E.2d 83 (</w:t>
      </w:r>
      <w:r w:rsidR="00AE2AA4">
        <w:rPr>
          <w:rFonts w:ascii="Times New Roman" w:eastAsia="Times New Roman" w:hAnsi="Times New Roman" w:cs="Times New Roman"/>
        </w:rPr>
        <w:t xml:space="preserve">Ill. App. </w:t>
      </w:r>
      <w:r w:rsidRPr="750671CE">
        <w:rPr>
          <w:rFonts w:ascii="Times New Roman" w:eastAsia="Times New Roman" w:hAnsi="Times New Roman" w:cs="Times New Roman"/>
        </w:rPr>
        <w:t>1967), an Illinois appellate court held that where the plaintiff was struck by an errant ball coming from the bullpen in Chicago</w:t>
      </w:r>
      <w:r w:rsidR="00B05F31">
        <w:rPr>
          <w:rFonts w:ascii="Times New Roman" w:eastAsia="Times New Roman" w:hAnsi="Times New Roman" w:cs="Times New Roman"/>
        </w:rPr>
        <w:t>’</w:t>
      </w:r>
      <w:r w:rsidRPr="750671CE">
        <w:rPr>
          <w:rFonts w:ascii="Times New Roman" w:eastAsia="Times New Roman" w:hAnsi="Times New Roman" w:cs="Times New Roman"/>
        </w:rPr>
        <w:t>s Wrigley Field, rather than by a ball coming from the field, the baseball rule did not apply.  Similarly, where the antics of the mascot at a minor league game distracted the plaintiff from the progress of the game, the court held that the baseball rule</w:t>
      </w:r>
      <w:r w:rsidR="00B05F31">
        <w:rPr>
          <w:rFonts w:ascii="Times New Roman" w:eastAsia="Times New Roman" w:hAnsi="Times New Roman" w:cs="Times New Roman"/>
        </w:rPr>
        <w:t>’</w:t>
      </w:r>
      <w:r w:rsidRPr="750671CE">
        <w:rPr>
          <w:rFonts w:ascii="Times New Roman" w:eastAsia="Times New Roman" w:hAnsi="Times New Roman" w:cs="Times New Roman"/>
        </w:rPr>
        <w:t>s assumption of the risk argument did not defeat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suit for injuries. </w:t>
      </w:r>
      <w:r w:rsidRPr="750671CE">
        <w:rPr>
          <w:rFonts w:ascii="Times New Roman" w:eastAsia="Times New Roman" w:hAnsi="Times New Roman" w:cs="Times New Roman"/>
          <w:i/>
          <w:iCs/>
        </w:rPr>
        <w:t>Lowe v. Cal. League of Prof</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l Baseball</w:t>
      </w:r>
      <w:r w:rsidRPr="750671CE">
        <w:rPr>
          <w:rFonts w:ascii="Times New Roman" w:eastAsia="Times New Roman" w:hAnsi="Times New Roman" w:cs="Times New Roman"/>
        </w:rPr>
        <w:t>, 65 Cal.</w:t>
      </w:r>
      <w:r w:rsidR="00AE2AA4">
        <w:rPr>
          <w:rFonts w:ascii="Times New Roman" w:eastAsia="Times New Roman" w:hAnsi="Times New Roman" w:cs="Times New Roman"/>
        </w:rPr>
        <w:t xml:space="preserve"> </w:t>
      </w:r>
      <w:r w:rsidRPr="750671CE">
        <w:rPr>
          <w:rFonts w:ascii="Times New Roman" w:eastAsia="Times New Roman" w:hAnsi="Times New Roman" w:cs="Times New Roman"/>
        </w:rPr>
        <w:t>Rptr.</w:t>
      </w:r>
      <w:r w:rsidR="00AE2AA4">
        <w:rPr>
          <w:rFonts w:ascii="Times New Roman" w:eastAsia="Times New Roman" w:hAnsi="Times New Roman" w:cs="Times New Roman"/>
        </w:rPr>
        <w:t xml:space="preserve"> </w:t>
      </w:r>
      <w:r w:rsidRPr="750671CE">
        <w:rPr>
          <w:rFonts w:ascii="Times New Roman" w:eastAsia="Times New Roman" w:hAnsi="Times New Roman" w:cs="Times New Roman"/>
        </w:rPr>
        <w:t>2d 105 (Cal. Ct. App. 1997). Most recently, the Missouri Supreme Court held that the baseball rule of primary assumption of the risk did not apply where a hot</w:t>
      </w:r>
      <w:r w:rsidR="004A5BC8">
        <w:rPr>
          <w:rFonts w:ascii="Times New Roman" w:eastAsia="Times New Roman" w:hAnsi="Times New Roman" w:cs="Times New Roman"/>
        </w:rPr>
        <w:t xml:space="preserve"> </w:t>
      </w:r>
      <w:r w:rsidRPr="750671CE">
        <w:rPr>
          <w:rFonts w:ascii="Times New Roman" w:eastAsia="Times New Roman" w:hAnsi="Times New Roman" w:cs="Times New Roman"/>
        </w:rPr>
        <w:t>dog thrown by the Kansas City Royals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mascot between innings struck the plaintiff in the eye and detached his retina.  </w:t>
      </w:r>
      <w:r w:rsidRPr="750671CE">
        <w:rPr>
          <w:rFonts w:ascii="Times New Roman" w:eastAsia="Times New Roman" w:hAnsi="Times New Roman" w:cs="Times New Roman"/>
          <w:i/>
          <w:iCs/>
        </w:rPr>
        <w:t>Coomer</w:t>
      </w:r>
      <w:r w:rsidRPr="750671CE">
        <w:rPr>
          <w:rFonts w:ascii="Times New Roman" w:eastAsia="Times New Roman" w:hAnsi="Times New Roman" w:cs="Times New Roman"/>
        </w:rPr>
        <w:t xml:space="preserve">, 437 S.W.3d at 184.   </w:t>
      </w:r>
    </w:p>
    <w:p w14:paraId="6E001EC6" w14:textId="77777777" w:rsidR="004709CA" w:rsidRPr="004709CA" w:rsidRDefault="004709CA" w:rsidP="004709CA">
      <w:pPr>
        <w:rPr>
          <w:rFonts w:ascii="Times New Roman" w:hAnsi="Times New Roman" w:cs="Times New Roman"/>
        </w:rPr>
      </w:pPr>
    </w:p>
    <w:p w14:paraId="15A9870C" w14:textId="502D096E"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Note also that courts are not the only institution involved in fashioning the baseball rule. In </w:t>
      </w:r>
      <w:r w:rsidRPr="750671CE">
        <w:rPr>
          <w:rFonts w:ascii="Times New Roman" w:eastAsia="Times New Roman" w:hAnsi="Times New Roman" w:cs="Times New Roman"/>
          <w:i/>
          <w:iCs/>
        </w:rPr>
        <w:t>Maisonave v. Newark Bears</w:t>
      </w:r>
      <w:r w:rsidRPr="750671CE">
        <w:rPr>
          <w:rFonts w:ascii="Times New Roman" w:eastAsia="Times New Roman" w:hAnsi="Times New Roman" w:cs="Times New Roman"/>
        </w:rPr>
        <w:t>, 881 A.2d 700 (</w:t>
      </w:r>
      <w:r w:rsidR="00AE2AA4">
        <w:rPr>
          <w:rFonts w:ascii="Times New Roman" w:eastAsia="Times New Roman" w:hAnsi="Times New Roman" w:cs="Times New Roman"/>
        </w:rPr>
        <w:t xml:space="preserve">N.J. </w:t>
      </w:r>
      <w:r w:rsidRPr="750671CE">
        <w:rPr>
          <w:rFonts w:ascii="Times New Roman" w:eastAsia="Times New Roman" w:hAnsi="Times New Roman" w:cs="Times New Roman"/>
        </w:rPr>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rPr>
          <w:rFonts w:ascii="Times New Roman" w:eastAsia="Times New Roman" w:hAnsi="Times New Roman" w:cs="Times New Roman"/>
        </w:rPr>
        <w:t>“</w:t>
      </w:r>
      <w:r w:rsidRPr="750671CE">
        <w:rPr>
          <w:rFonts w:ascii="Times New Roman" w:eastAsia="Times New Roman" w:hAnsi="Times New Roman" w:cs="Times New Roman"/>
        </w:rPr>
        <w:t>injuries which result from being struck by a baseball or a baseball bat anywhere on the premises during a professional baseball game.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N.J. </w:t>
      </w:r>
      <w:r w:rsidR="00583CF7" w:rsidRPr="00F94B7E">
        <w:rPr>
          <w:rFonts w:ascii="Times New Roman" w:eastAsia="Times New Roman" w:hAnsi="Times New Roman" w:cs="Times New Roman"/>
          <w:smallCaps/>
        </w:rPr>
        <w:t>Stat. Ann.</w:t>
      </w:r>
      <w:r w:rsidR="00583CF7">
        <w:rPr>
          <w:rFonts w:ascii="Times New Roman" w:eastAsia="Times New Roman" w:hAnsi="Times New Roman" w:cs="Times New Roman"/>
        </w:rPr>
        <w:t xml:space="preserve"> </w:t>
      </w:r>
      <w:r w:rsidRPr="750671CE">
        <w:rPr>
          <w:rFonts w:ascii="Times New Roman" w:eastAsia="Times New Roman" w:hAnsi="Times New Roman" w:cs="Times New Roman"/>
        </w:rPr>
        <w:t>§ 2A53A-46 (2006).</w:t>
      </w:r>
    </w:p>
    <w:p w14:paraId="23AE873E" w14:textId="77777777" w:rsidR="004709CA" w:rsidRPr="004709CA" w:rsidRDefault="004709CA" w:rsidP="004709CA">
      <w:pPr>
        <w:rPr>
          <w:rFonts w:ascii="Times New Roman" w:hAnsi="Times New Roman" w:cs="Times New Roman"/>
        </w:rPr>
      </w:pPr>
    </w:p>
    <w:p w14:paraId="79870B9E" w14:textId="77777777" w:rsidR="004709CA" w:rsidRPr="004709CA" w:rsidRDefault="004709CA" w:rsidP="004709CA">
      <w:pPr>
        <w:rPr>
          <w:rFonts w:ascii="Times New Roman" w:hAnsi="Times New Roman" w:cs="Times New Roman"/>
        </w:rPr>
      </w:pPr>
    </w:p>
    <w:p w14:paraId="4CD5B225" w14:textId="069FBBC8" w:rsidR="004709CA" w:rsidRPr="00F94B7E" w:rsidRDefault="750671CE" w:rsidP="00F94B7E">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Amateur or </w:t>
      </w:r>
      <w:r w:rsidR="00B05F31">
        <w:rPr>
          <w:rFonts w:ascii="Times New Roman" w:eastAsia="Times New Roman" w:hAnsi="Times New Roman" w:cs="Times New Roman"/>
          <w:i/>
          <w:iCs/>
        </w:rPr>
        <w:t>“</w:t>
      </w:r>
      <w:r w:rsidR="00341BD0">
        <w:rPr>
          <w:rFonts w:ascii="Times New Roman" w:eastAsia="Times New Roman" w:hAnsi="Times New Roman" w:cs="Times New Roman"/>
          <w:i/>
          <w:iCs/>
        </w:rPr>
        <w:t>p</w:t>
      </w:r>
      <w:r w:rsidRPr="00F94B7E">
        <w:rPr>
          <w:rFonts w:ascii="Times New Roman" w:eastAsia="Times New Roman" w:hAnsi="Times New Roman" w:cs="Times New Roman"/>
          <w:i/>
          <w:iCs/>
        </w:rPr>
        <w:t>ick-</w:t>
      </w:r>
      <w:r w:rsidR="00341BD0">
        <w:rPr>
          <w:rFonts w:ascii="Times New Roman" w:eastAsia="Times New Roman" w:hAnsi="Times New Roman" w:cs="Times New Roman"/>
          <w:i/>
          <w:iCs/>
        </w:rPr>
        <w:t>u</w:t>
      </w:r>
      <w:r w:rsidRPr="00F94B7E">
        <w:rPr>
          <w:rFonts w:ascii="Times New Roman" w:eastAsia="Times New Roman" w:hAnsi="Times New Roman" w:cs="Times New Roman"/>
          <w:i/>
          <w:iCs/>
        </w:rPr>
        <w:t>p</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 </w:t>
      </w:r>
      <w:r w:rsidR="00341BD0">
        <w:rPr>
          <w:rFonts w:ascii="Times New Roman" w:eastAsia="Times New Roman" w:hAnsi="Times New Roman" w:cs="Times New Roman"/>
          <w:i/>
          <w:iCs/>
        </w:rPr>
        <w:t>s</w:t>
      </w:r>
      <w:r w:rsidRPr="00F94B7E">
        <w:rPr>
          <w:rFonts w:ascii="Times New Roman" w:eastAsia="Times New Roman" w:hAnsi="Times New Roman" w:cs="Times New Roman"/>
          <w:i/>
          <w:iCs/>
        </w:rPr>
        <w:t>ports</w:t>
      </w:r>
      <w:r w:rsidRPr="00F94B7E">
        <w:rPr>
          <w:rFonts w:ascii="Times New Roman" w:eastAsia="Times New Roman" w:hAnsi="Times New Roman" w:cs="Times New Roman"/>
        </w:rPr>
        <w:t xml:space="preserve">. Primary assumption of risk is a comprehensive doctrine that applies not only to spectators at professional sporting events, but also to players in amateur or even </w:t>
      </w:r>
      <w:r w:rsidR="00B05F31">
        <w:rPr>
          <w:rFonts w:ascii="Times New Roman" w:eastAsia="Times New Roman" w:hAnsi="Times New Roman" w:cs="Times New Roman"/>
        </w:rPr>
        <w:t>“</w:t>
      </w:r>
      <w:r w:rsidRPr="00F94B7E">
        <w:rPr>
          <w:rFonts w:ascii="Times New Roman" w:eastAsia="Times New Roman" w:hAnsi="Times New Roman" w:cs="Times New Roman"/>
        </w:rPr>
        <w:t>pick-up</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games. The Indiana Court of Appeals recently stated the doctrine as follows:</w:t>
      </w:r>
    </w:p>
    <w:p w14:paraId="3D20181F" w14:textId="77777777" w:rsidR="004709CA" w:rsidRPr="004709CA" w:rsidRDefault="004709CA" w:rsidP="004709CA">
      <w:pPr>
        <w:rPr>
          <w:rFonts w:ascii="Times New Roman" w:hAnsi="Times New Roman" w:cs="Times New Roman"/>
        </w:rPr>
      </w:pPr>
    </w:p>
    <w:p w14:paraId="134A3F92"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A participant in a sporting event, including any person who is part of the sporting event or practice involved such as players and coaches, does not have a duty to fellow participants to refrain from conduct which is </w:t>
      </w:r>
      <w:r w:rsidRPr="750671CE">
        <w:rPr>
          <w:rFonts w:ascii="Times New Roman" w:eastAsia="Times New Roman" w:hAnsi="Times New Roman" w:cs="Times New Roman"/>
          <w:i/>
          <w:iCs/>
        </w:rPr>
        <w:t>inherent and foreseeable in the play of the game</w:t>
      </w:r>
      <w:r w:rsidRPr="750671CE">
        <w:rPr>
          <w:rFonts w:ascii="Times New Roman" w:eastAsia="Times New Roman" w:hAnsi="Times New Roman" w:cs="Times New Roman"/>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4709CA" w:rsidRDefault="004709CA" w:rsidP="004709CA">
      <w:pPr>
        <w:rPr>
          <w:rFonts w:ascii="Times New Roman" w:hAnsi="Times New Roman" w:cs="Times New Roman"/>
        </w:rPr>
      </w:pPr>
    </w:p>
    <w:p w14:paraId="1142BFF0" w14:textId="38F3AE9D"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Geiersbach v. Frieje</w:t>
      </w:r>
      <w:r w:rsidRPr="750671CE">
        <w:rPr>
          <w:rFonts w:ascii="Times New Roman" w:eastAsia="Times New Roman" w:hAnsi="Times New Roman" w:cs="Times New Roman"/>
        </w:rPr>
        <w:t>, 807 N.E.2d 114 (Ind. Ct. App. 2004) (emphas</w:t>
      </w:r>
      <w:r w:rsidR="004A5BC8">
        <w:rPr>
          <w:rFonts w:ascii="Times New Roman" w:eastAsia="Times New Roman" w:hAnsi="Times New Roman" w:cs="Times New Roman"/>
        </w:rPr>
        <w:t>i</w:t>
      </w:r>
      <w:r w:rsidRPr="750671CE">
        <w:rPr>
          <w:rFonts w:ascii="Times New Roman" w:eastAsia="Times New Roman" w:hAnsi="Times New Roman" w:cs="Times New Roman"/>
        </w:rPr>
        <w:t>s added).</w:t>
      </w:r>
    </w:p>
    <w:p w14:paraId="48CA0605" w14:textId="77777777" w:rsidR="004709CA" w:rsidRPr="004709CA" w:rsidRDefault="004709CA" w:rsidP="004709CA">
      <w:pPr>
        <w:rPr>
          <w:rFonts w:ascii="Times New Roman" w:hAnsi="Times New Roman" w:cs="Times New Roman"/>
        </w:rPr>
      </w:pPr>
    </w:p>
    <w:p w14:paraId="0955D1A0" w14:textId="135A42AE"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         In </w:t>
      </w:r>
      <w:r w:rsidRPr="750671CE">
        <w:rPr>
          <w:rFonts w:ascii="Times New Roman" w:eastAsia="Times New Roman" w:hAnsi="Times New Roman" w:cs="Times New Roman"/>
          <w:i/>
          <w:iCs/>
        </w:rPr>
        <w:t>Maddox</w:t>
      </w:r>
      <w:r w:rsidR="004A5BC8">
        <w:rPr>
          <w:rFonts w:ascii="Times New Roman" w:eastAsia="Times New Roman" w:hAnsi="Times New Roman" w:cs="Times New Roman"/>
          <w:iCs/>
        </w:rPr>
        <w:t>,</w:t>
      </w:r>
      <w:r w:rsidRPr="750671CE">
        <w:rPr>
          <w:rFonts w:ascii="Times New Roman" w:eastAsia="Times New Roman" w:hAnsi="Times New Roman" w:cs="Times New Roman"/>
        </w:rPr>
        <w:t xml:space="preserve"> the court reasoned that </w:t>
      </w:r>
      <w:r w:rsidR="00B05F31">
        <w:rPr>
          <w:rFonts w:ascii="Times New Roman" w:eastAsia="Times New Roman" w:hAnsi="Times New Roman" w:cs="Times New Roman"/>
        </w:rPr>
        <w:t>“</w:t>
      </w:r>
      <w:r w:rsidRPr="750671CE">
        <w:rPr>
          <w:rFonts w:ascii="Times New Roman" w:eastAsia="Times New Roman" w:hAnsi="Times New Roman" w:cs="Times New Roman"/>
        </w:rPr>
        <w:t>a higher degree of awareness will be imputed to a professional than to one with less than professional experience in the particular sport.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But the </w:t>
      </w:r>
      <w:r w:rsidRPr="750671CE">
        <w:rPr>
          <w:rFonts w:ascii="Times New Roman" w:eastAsia="Times New Roman" w:hAnsi="Times New Roman" w:cs="Times New Roman"/>
          <w:i/>
          <w:iCs/>
        </w:rPr>
        <w:t>Geiersbach</w:t>
      </w:r>
      <w:r w:rsidRPr="750671CE">
        <w:rPr>
          <w:rFonts w:ascii="Times New Roman" w:eastAsia="Times New Roman" w:hAnsi="Times New Roman" w:cs="Times New Roman"/>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4709CA" w:rsidRDefault="004709CA" w:rsidP="004709CA">
      <w:pPr>
        <w:rPr>
          <w:rFonts w:ascii="Times New Roman" w:hAnsi="Times New Roman" w:cs="Times New Roman"/>
        </w:rPr>
      </w:pPr>
    </w:p>
    <w:p w14:paraId="07825B3E" w14:textId="77777777" w:rsidR="004709CA" w:rsidRPr="004709CA" w:rsidRDefault="004709CA" w:rsidP="004709CA">
      <w:pPr>
        <w:rPr>
          <w:rFonts w:ascii="Times New Roman" w:hAnsi="Times New Roman" w:cs="Times New Roman"/>
        </w:rPr>
      </w:pPr>
    </w:p>
    <w:p w14:paraId="2EF30CDA" w14:textId="777E9765" w:rsidR="004709CA" w:rsidRPr="00F94B7E" w:rsidRDefault="750671CE" w:rsidP="00F94B7E">
      <w:pPr>
        <w:pStyle w:val="ListParagraph"/>
        <w:numPr>
          <w:ilvl w:val="0"/>
          <w:numId w:val="15"/>
        </w:numPr>
        <w:ind w:left="0" w:firstLine="360"/>
        <w:rPr>
          <w:rFonts w:ascii="Times New Roman" w:eastAsia="Times New Roman" w:hAnsi="Times New Roman" w:cs="Times New Roman"/>
        </w:rPr>
      </w:pPr>
      <w:r w:rsidRPr="00F94B7E">
        <w:rPr>
          <w:rFonts w:ascii="Times New Roman" w:eastAsia="Times New Roman" w:hAnsi="Times New Roman" w:cs="Times New Roman"/>
        </w:rPr>
        <w:t>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Or is this a case about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behavior creating a defense for a defendant whose conduct might have made it liable under other circumstances?  </w:t>
      </w:r>
    </w:p>
    <w:p w14:paraId="3D40CAEE" w14:textId="77777777" w:rsidR="004709CA" w:rsidRPr="004709CA" w:rsidRDefault="004709CA" w:rsidP="004709CA">
      <w:pPr>
        <w:rPr>
          <w:rFonts w:ascii="Times New Roman" w:hAnsi="Times New Roman" w:cs="Times New Roman"/>
        </w:rPr>
      </w:pPr>
    </w:p>
    <w:p w14:paraId="537BDC32" w14:textId="77777777" w:rsidR="004709CA" w:rsidRPr="004709CA" w:rsidRDefault="004709CA" w:rsidP="004709CA">
      <w:pPr>
        <w:rPr>
          <w:rFonts w:ascii="Times New Roman" w:hAnsi="Times New Roman" w:cs="Times New Roman"/>
        </w:rPr>
      </w:pPr>
    </w:p>
    <w:p w14:paraId="51BB3D1C" w14:textId="77777777" w:rsidR="004709CA" w:rsidRPr="00692B55" w:rsidRDefault="004709CA" w:rsidP="750671CE">
      <w:pPr>
        <w:rPr>
          <w:rFonts w:ascii="Times New Roman" w:eastAsia="Times New Roman" w:hAnsi="Times New Roman" w:cs="Times New Roman"/>
          <w:b/>
          <w:bCs/>
        </w:rPr>
      </w:pPr>
      <w:bookmarkStart w:id="400" w:name="_Toc518323373"/>
      <w:r w:rsidRPr="00F94B7E">
        <w:rPr>
          <w:rStyle w:val="Heading4Char"/>
          <w:rFonts w:eastAsiaTheme="minorEastAsia"/>
        </w:rPr>
        <w:t>Landings Association, Inc. v. Williams</w:t>
      </w:r>
      <w:bookmarkEnd w:id="400"/>
      <w:r w:rsidRPr="750671CE">
        <w:rPr>
          <w:rFonts w:ascii="Times New Roman" w:eastAsia="Times New Roman" w:hAnsi="Times New Roman" w:cs="Times New Roman"/>
          <w:b/>
          <w:bCs/>
        </w:rPr>
        <w:t>, 728 S.E.2d 577 (Ga. 2012)</w:t>
      </w:r>
    </w:p>
    <w:p w14:paraId="172437F0" w14:textId="77777777" w:rsidR="004709CA" w:rsidRPr="004709CA" w:rsidRDefault="004709CA" w:rsidP="004709CA">
      <w:pPr>
        <w:rPr>
          <w:rFonts w:ascii="Times New Roman" w:hAnsi="Times New Roman" w:cs="Times New Roman"/>
        </w:rPr>
      </w:pPr>
    </w:p>
    <w:p w14:paraId="6382A0B7" w14:textId="12A94810"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M</w:t>
      </w:r>
      <w:r w:rsidR="00187BDC" w:rsidRPr="00F94B7E">
        <w:rPr>
          <w:rFonts w:ascii="Times New Roman" w:eastAsia="Times New Roman" w:hAnsi="Times New Roman" w:cs="Times New Roman"/>
          <w:smallCaps/>
        </w:rPr>
        <w:t>elton</w:t>
      </w:r>
      <w:r w:rsidR="00187BDC">
        <w:rPr>
          <w:rFonts w:ascii="Times New Roman" w:eastAsia="Times New Roman" w:hAnsi="Times New Roman" w:cs="Times New Roman"/>
        </w:rPr>
        <w:t>,</w:t>
      </w:r>
      <w:r w:rsidRPr="750671CE">
        <w:rPr>
          <w:rFonts w:ascii="Times New Roman" w:eastAsia="Times New Roman" w:hAnsi="Times New Roman" w:cs="Times New Roman"/>
        </w:rPr>
        <w:t xml:space="preserve"> J.</w:t>
      </w:r>
    </w:p>
    <w:p w14:paraId="255C84F8" w14:textId="77777777" w:rsidR="004709CA" w:rsidRPr="004709CA" w:rsidRDefault="004709CA" w:rsidP="004709CA">
      <w:pPr>
        <w:rPr>
          <w:rFonts w:ascii="Times New Roman" w:hAnsi="Times New Roman" w:cs="Times New Roman"/>
        </w:rPr>
      </w:pPr>
    </w:p>
    <w:p w14:paraId="6965D490"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4709CA" w:rsidRDefault="004709CA" w:rsidP="004709CA">
      <w:pPr>
        <w:rPr>
          <w:rFonts w:ascii="Times New Roman" w:hAnsi="Times New Roman" w:cs="Times New Roman"/>
        </w:rPr>
      </w:pPr>
    </w:p>
    <w:p w14:paraId="336D6E22"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4709CA" w:rsidRDefault="004709CA" w:rsidP="004709CA">
      <w:pPr>
        <w:rPr>
          <w:rFonts w:ascii="Times New Roman" w:hAnsi="Times New Roman" w:cs="Times New Roman"/>
        </w:rPr>
      </w:pPr>
    </w:p>
    <w:p w14:paraId="5827E2A8" w14:textId="50BF9D6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Pr>
          <w:rFonts w:ascii="Times New Roman" w:eastAsia="Times New Roman" w:hAnsi="Times New Roman" w:cs="Times New Roman"/>
        </w:rPr>
        <w:t>’</w:t>
      </w:r>
      <w:r w:rsidRPr="750671CE">
        <w:rPr>
          <w:rFonts w:ascii="Times New Roman" w:eastAsia="Times New Roman" w:hAnsi="Times New Roman" w:cs="Times New Roman"/>
        </w:rPr>
        <w:t>s home some time after 6:00 p.m. The following morning, Williams</w:t>
      </w:r>
      <w:r w:rsidR="00B05F31">
        <w:rPr>
          <w:rFonts w:ascii="Times New Roman" w:eastAsia="Times New Roman" w:hAnsi="Times New Roman" w:cs="Times New Roman"/>
        </w:rPr>
        <w:t>’</w:t>
      </w:r>
      <w:r w:rsidRPr="750671CE">
        <w:rPr>
          <w:rFonts w:ascii="Times New Roman" w:eastAsia="Times New Roman" w:hAnsi="Times New Roman" w:cs="Times New Roman"/>
        </w:rPr>
        <w:t>s body was found floating in the lagoon. Williams</w:t>
      </w:r>
      <w:r w:rsidR="00B05F31">
        <w:rPr>
          <w:rFonts w:ascii="Times New Roman" w:eastAsia="Times New Roman" w:hAnsi="Times New Roman" w:cs="Times New Roman"/>
        </w:rPr>
        <w:t>’</w:t>
      </w:r>
      <w:r w:rsidRPr="750671CE">
        <w:rPr>
          <w:rFonts w:ascii="Times New Roman" w:eastAsia="Times New Roman" w:hAnsi="Times New Roman" w:cs="Times New Roman"/>
        </w:rPr>
        <w:t>s right foot and both forearms had been bitten off. Later, an eight-foot alligator was caught in the same lagoon, and, after the alligator was killed, parts of Williams</w:t>
      </w:r>
      <w:r w:rsidR="00B05F31">
        <w:rPr>
          <w:rFonts w:ascii="Times New Roman" w:eastAsia="Times New Roman" w:hAnsi="Times New Roman" w:cs="Times New Roman"/>
        </w:rPr>
        <w:t>’</w:t>
      </w:r>
      <w:r w:rsidRPr="750671CE">
        <w:rPr>
          <w:rFonts w:ascii="Times New Roman" w:eastAsia="Times New Roman" w:hAnsi="Times New Roman" w:cs="Times New Roman"/>
        </w:rPr>
        <w:t>s body were found in its stomach.</w:t>
      </w:r>
    </w:p>
    <w:p w14:paraId="0D2F1DBA" w14:textId="77777777" w:rsidR="004709CA" w:rsidRPr="004709CA" w:rsidRDefault="004709CA" w:rsidP="004709CA">
      <w:pPr>
        <w:rPr>
          <w:rFonts w:ascii="Times New Roman" w:hAnsi="Times New Roman" w:cs="Times New Roman"/>
        </w:rPr>
      </w:pPr>
    </w:p>
    <w:p w14:paraId="6394221D" w14:textId="1527E186"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record shows that, prior to the attack, Williams was aware that the property was inhabited by alligators. Williams</w:t>
      </w:r>
      <w:r w:rsidR="00B05F31">
        <w:rPr>
          <w:rFonts w:ascii="Times New Roman" w:eastAsia="Times New Roman" w:hAnsi="Times New Roman" w:cs="Times New Roman"/>
        </w:rPr>
        <w:t>’</w:t>
      </w:r>
      <w:r w:rsidRPr="750671CE">
        <w:rPr>
          <w:rFonts w:ascii="Times New Roman" w:eastAsia="Times New Roman" w:hAnsi="Times New Roman" w:cs="Times New Roman"/>
        </w:rPr>
        <w:t>s son-in-law testified that, on at least one occasion, he was driving with Williams on property in The Landings when he stopped the car to allow Williams to look at an alligator. Williams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son-in-law also testified that Williams was, in fact, aware that there were alligators in the lagoons at The Landings and that he believed that Williams had a </w:t>
      </w:r>
      <w:r w:rsidR="00B05F31">
        <w:rPr>
          <w:rFonts w:ascii="Times New Roman" w:eastAsia="Times New Roman" w:hAnsi="Times New Roman" w:cs="Times New Roman"/>
        </w:rPr>
        <w:t>“</w:t>
      </w:r>
      <w:r w:rsidRPr="750671CE">
        <w:rPr>
          <w:rFonts w:ascii="Times New Roman" w:eastAsia="Times New Roman" w:hAnsi="Times New Roman" w:cs="Times New Roman"/>
        </w:rPr>
        <w:t>normal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respect for wild animals. When asked whether he had ever discussed how to behave around wild alligators with Williams, her son-in-law responded: </w:t>
      </w:r>
      <w:r w:rsidR="00B05F31">
        <w:rPr>
          <w:rFonts w:ascii="Times New Roman" w:eastAsia="Times New Roman" w:hAnsi="Times New Roman" w:cs="Times New Roman"/>
        </w:rPr>
        <w:t>“</w:t>
      </w:r>
      <w:r w:rsidRPr="750671CE">
        <w:rPr>
          <w:rFonts w:ascii="Times New Roman" w:eastAsia="Times New Roman" w:hAnsi="Times New Roman" w:cs="Times New Roman"/>
        </w:rPr>
        <w:t>No. There was never—quite frankly, there was never any reason to. I mean she was an intelligent person. She would—there was no question in my mind that—I guess I have to answer that as it</w:t>
      </w:r>
      <w:r w:rsidR="00B05F31">
        <w:rPr>
          <w:rFonts w:ascii="Times New Roman" w:eastAsia="Times New Roman" w:hAnsi="Times New Roman" w:cs="Times New Roman"/>
        </w:rPr>
        <w:t>’</w:t>
      </w:r>
      <w:r w:rsidRPr="750671CE">
        <w:rPr>
          <w:rFonts w:ascii="Times New Roman" w:eastAsia="Times New Roman" w:hAnsi="Times New Roman" w:cs="Times New Roman"/>
        </w:rPr>
        <w:t>s not like talking to a five year old child . . . stay away from alligators.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addition, Williams</w:t>
      </w:r>
      <w:r w:rsidR="00B05F31">
        <w:rPr>
          <w:rFonts w:ascii="Times New Roman" w:eastAsia="Times New Roman" w:hAnsi="Times New Roman" w:cs="Times New Roman"/>
        </w:rPr>
        <w:t>’</w:t>
      </w:r>
      <w:r w:rsidRPr="750671CE">
        <w:rPr>
          <w:rFonts w:ascii="Times New Roman" w:eastAsia="Times New Roman" w:hAnsi="Times New Roman" w:cs="Times New Roman"/>
        </w:rPr>
        <w:t>s son recalled a similar instance when he stopped the car to allow his mother to look at an alligator. At that time Williams mentioned that she did not like alligators and did not want to go anywhere near them.</w:t>
      </w:r>
    </w:p>
    <w:p w14:paraId="44ED9F8E" w14:textId="77777777" w:rsidR="004709CA" w:rsidRPr="004709CA" w:rsidRDefault="004709CA" w:rsidP="004709CA">
      <w:pPr>
        <w:rPr>
          <w:rFonts w:ascii="Times New Roman" w:hAnsi="Times New Roman" w:cs="Times New Roman"/>
        </w:rPr>
      </w:pPr>
    </w:p>
    <w:p w14:paraId="6B0EEF70" w14:textId="4EC33DE6"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Generally, in premises liability cases, . . . . </w:t>
      </w:r>
      <w:r w:rsidR="00B05F31">
        <w:rPr>
          <w:rFonts w:ascii="Times New Roman" w:eastAsia="Times New Roman" w:hAnsi="Times New Roman" w:cs="Times New Roman"/>
        </w:rPr>
        <w:t>“‘</w:t>
      </w:r>
      <w:r w:rsidRPr="750671CE">
        <w:rPr>
          <w:rFonts w:ascii="Times New Roman" w:eastAsia="Times New Roman" w:hAnsi="Times New Roman" w:cs="Times New Roman"/>
        </w:rPr>
        <w:t>[t]he true ground of liability is the proprietor</w:t>
      </w:r>
      <w:r w:rsidR="00B05F31">
        <w:rPr>
          <w:rFonts w:ascii="Times New Roman" w:eastAsia="Times New Roman" w:hAnsi="Times New Roman" w:cs="Times New Roman"/>
        </w:rPr>
        <w:t>’</w:t>
      </w:r>
      <w:r w:rsidRPr="750671CE">
        <w:rPr>
          <w:rFonts w:ascii="Times New Roman" w:eastAsia="Times New Roman" w:hAnsi="Times New Roman" w:cs="Times New Roman"/>
        </w:rPr>
        <w:t>s superior knowledge of the perilous instrumentality and the danger therefrom to persons going upon the property. It is when the perilous instrumentality is known to the owner or occupant and not known to the person injured that a recovery is permitted.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37048842" w14:textId="77777777" w:rsidR="004709CA" w:rsidRPr="004709CA" w:rsidRDefault="004709CA" w:rsidP="004709CA">
      <w:pPr>
        <w:rPr>
          <w:rFonts w:ascii="Times New Roman" w:hAnsi="Times New Roman" w:cs="Times New Roman"/>
        </w:rPr>
      </w:pPr>
    </w:p>
    <w:p w14:paraId="43EC2D75"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4709CA" w:rsidRDefault="004709CA" w:rsidP="004709CA">
      <w:pPr>
        <w:rPr>
          <w:rFonts w:ascii="Times New Roman" w:hAnsi="Times New Roman" w:cs="Times New Roman"/>
        </w:rPr>
      </w:pPr>
    </w:p>
    <w:p w14:paraId="3E26BBD2" w14:textId="2AE3D089"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dissent, like the Court of Appeals, attempts to avoid this conclusion by arguing that summary judgment for The Landings is precluded because there is no </w:t>
      </w:r>
      <w:r w:rsidR="00B05F31">
        <w:rPr>
          <w:rFonts w:ascii="Times New Roman" w:eastAsia="Times New Roman" w:hAnsi="Times New Roman" w:cs="Times New Roman"/>
        </w:rPr>
        <w:t>“</w:t>
      </w:r>
      <w:r w:rsidRPr="750671CE">
        <w:rPr>
          <w:rFonts w:ascii="Times New Roman" w:eastAsia="Times New Roman" w:hAnsi="Times New Roman" w:cs="Times New Roman"/>
        </w:rPr>
        <w:t>competent evidence that the decedent knew there were alligators over seven feet in size living in the community or living in the lagoon in which [Williams</w:t>
      </w:r>
      <w:r w:rsidR="00B05F31">
        <w:rPr>
          <w:rFonts w:ascii="Times New Roman" w:eastAsia="Times New Roman" w:hAnsi="Times New Roman" w:cs="Times New Roman"/>
        </w:rPr>
        <w:t>’</w:t>
      </w:r>
      <w:r w:rsidRPr="750671CE">
        <w:rPr>
          <w:rFonts w:ascii="Times New Roman" w:eastAsia="Times New Roman" w:hAnsi="Times New Roman" w:cs="Times New Roman"/>
        </w:rPr>
        <w:t>s] body was found.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While there is no doubt that Williams</w:t>
      </w:r>
      <w:r w:rsidR="00B05F31">
        <w:rPr>
          <w:rFonts w:ascii="Times New Roman" w:eastAsia="Times New Roman" w:hAnsi="Times New Roman" w:cs="Times New Roman"/>
        </w:rPr>
        <w:t>’</w:t>
      </w:r>
      <w:r w:rsidRPr="750671CE">
        <w:rPr>
          <w:rFonts w:ascii="Times New Roman" w:eastAsia="Times New Roman" w:hAnsi="Times New Roman" w:cs="Times New Roman"/>
        </w:rPr>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4709CA" w:rsidRDefault="004709CA" w:rsidP="004709CA">
      <w:pPr>
        <w:rPr>
          <w:rFonts w:ascii="Times New Roman" w:hAnsi="Times New Roman" w:cs="Times New Roman"/>
        </w:rPr>
      </w:pPr>
    </w:p>
    <w:p w14:paraId="760C14F6"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Judgment reversed.</w:t>
      </w:r>
    </w:p>
    <w:p w14:paraId="488D1C06" w14:textId="77777777" w:rsidR="004709CA" w:rsidRPr="004709CA" w:rsidRDefault="004709CA" w:rsidP="004709CA">
      <w:pPr>
        <w:rPr>
          <w:rFonts w:ascii="Times New Roman" w:hAnsi="Times New Roman" w:cs="Times New Roman"/>
        </w:rPr>
      </w:pPr>
    </w:p>
    <w:p w14:paraId="6878F95B" w14:textId="060DE90D" w:rsidR="004709CA" w:rsidRPr="004709CA" w:rsidRDefault="00C53001" w:rsidP="750671CE">
      <w:pPr>
        <w:rPr>
          <w:rFonts w:ascii="Times New Roman" w:eastAsia="Times New Roman" w:hAnsi="Times New Roman" w:cs="Times New Roman"/>
        </w:rPr>
      </w:pPr>
      <w:r w:rsidRPr="00F94B7E">
        <w:rPr>
          <w:rFonts w:ascii="Times New Roman" w:eastAsia="Times New Roman" w:hAnsi="Times New Roman" w:cs="Times New Roman"/>
          <w:smallCaps/>
        </w:rPr>
        <w:t>Benham</w:t>
      </w:r>
      <w:r w:rsidR="750671CE" w:rsidRPr="750671CE">
        <w:rPr>
          <w:rFonts w:ascii="Times New Roman" w:eastAsia="Times New Roman" w:hAnsi="Times New Roman" w:cs="Times New Roman"/>
        </w:rPr>
        <w:t>, J</w:t>
      </w:r>
      <w:r w:rsidR="000457CB">
        <w:rPr>
          <w:rFonts w:ascii="Times New Roman" w:eastAsia="Times New Roman" w:hAnsi="Times New Roman" w:cs="Times New Roman"/>
        </w:rPr>
        <w:t>.</w:t>
      </w:r>
      <w:r w:rsidR="750671CE" w:rsidRPr="750671CE">
        <w:rPr>
          <w:rFonts w:ascii="Times New Roman" w:eastAsia="Times New Roman" w:hAnsi="Times New Roman" w:cs="Times New Roman"/>
        </w:rPr>
        <w:t>, dissenting.</w:t>
      </w:r>
    </w:p>
    <w:p w14:paraId="0402F679" w14:textId="77777777" w:rsidR="004709CA" w:rsidRPr="004709CA" w:rsidRDefault="004709CA" w:rsidP="004709CA">
      <w:pPr>
        <w:rPr>
          <w:rFonts w:ascii="Times New Roman" w:hAnsi="Times New Roman" w:cs="Times New Roman"/>
        </w:rPr>
      </w:pPr>
    </w:p>
    <w:p w14:paraId="00B62E58" w14:textId="105E417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 write because I respectfully disagree with the majority</w:t>
      </w:r>
      <w:r w:rsidR="00B05F31">
        <w:rPr>
          <w:rFonts w:ascii="Times New Roman" w:eastAsia="Times New Roman" w:hAnsi="Times New Roman" w:cs="Times New Roman"/>
        </w:rPr>
        <w:t>’</w:t>
      </w:r>
      <w:r w:rsidRPr="750671CE">
        <w:rPr>
          <w:rFonts w:ascii="Times New Roman" w:eastAsia="Times New Roman" w:hAnsi="Times New Roman" w:cs="Times New Roman"/>
        </w:rPr>
        <w:t>s opinion reversing the decision of the Court of Appeals to allow this premises liability case to go to a jury. . . .</w:t>
      </w:r>
    </w:p>
    <w:p w14:paraId="681C83CA" w14:textId="77777777" w:rsidR="004709CA" w:rsidRPr="004709CA" w:rsidRDefault="004709CA" w:rsidP="004709CA">
      <w:pPr>
        <w:rPr>
          <w:rFonts w:ascii="Times New Roman" w:hAnsi="Times New Roman" w:cs="Times New Roman"/>
        </w:rPr>
      </w:pPr>
    </w:p>
    <w:p w14:paraId="28F8C177" w14:textId="1FCFEFF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Notably absent from the majority</w:t>
      </w:r>
      <w:r w:rsidR="00B05F31">
        <w:rPr>
          <w:rFonts w:ascii="Times New Roman" w:eastAsia="Times New Roman" w:hAnsi="Times New Roman" w:cs="Times New Roman"/>
        </w:rPr>
        <w:t>’</w:t>
      </w:r>
      <w:r w:rsidRPr="750671CE">
        <w:rPr>
          <w:rFonts w:ascii="Times New Roman" w:eastAsia="Times New Roman" w:hAnsi="Times New Roman" w:cs="Times New Roman"/>
        </w:rPr>
        <w:t>s opinion are facts which, if construed in appellees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favor, require the denial of appellants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rPr>
          <w:rFonts w:ascii="Times New Roman" w:eastAsia="Times New Roman" w:hAnsi="Times New Roman" w:cs="Times New Roman"/>
        </w:rPr>
        <w:t>’</w:t>
      </w:r>
      <w:r w:rsidRPr="750671CE">
        <w:rPr>
          <w:rFonts w:ascii="Times New Roman" w:eastAsia="Times New Roman" w:hAnsi="Times New Roman" w:cs="Times New Roman"/>
        </w:rPr>
        <w:t>s body was found for some time because such mature alligators tend to be territorial and nest. There was also evidence in the record that the decedent called for help during the attack, but that appellants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4709CA" w:rsidRDefault="004709CA" w:rsidP="004709CA">
      <w:pPr>
        <w:rPr>
          <w:rFonts w:ascii="Times New Roman" w:hAnsi="Times New Roman" w:cs="Times New Roman"/>
        </w:rPr>
      </w:pPr>
    </w:p>
    <w:p w14:paraId="50248C71" w14:textId="5D04308C" w:rsidR="004709CA" w:rsidRPr="004709CA"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rPr>
        <w:t>Based on the facts presented at the time of summary judgment in this case, reasonable minds could differ as to the essential elements of appellees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premises liability claim.</w:t>
      </w:r>
    </w:p>
    <w:p w14:paraId="252C9A67" w14:textId="77777777" w:rsidR="004709CA" w:rsidRPr="004709CA" w:rsidRDefault="004709CA">
      <w:pPr>
        <w:rPr>
          <w:rFonts w:ascii="Times New Roman" w:hAnsi="Times New Roman" w:cs="Times New Roman"/>
        </w:rPr>
      </w:pPr>
    </w:p>
    <w:p w14:paraId="3B2C229B" w14:textId="77777777" w:rsidR="004709CA" w:rsidRPr="004709CA" w:rsidRDefault="004709CA">
      <w:pPr>
        <w:rPr>
          <w:rFonts w:ascii="Times New Roman" w:hAnsi="Times New Roman" w:cs="Times New Roman"/>
        </w:rPr>
      </w:pPr>
    </w:p>
    <w:p w14:paraId="27386F33" w14:textId="77777777" w:rsidR="004709CA" w:rsidRPr="004709CA" w:rsidRDefault="004709CA" w:rsidP="002502CC">
      <w:pPr>
        <w:pStyle w:val="Heading4"/>
      </w:pPr>
      <w:bookmarkStart w:id="401" w:name="_Toc364636156"/>
      <w:bookmarkStart w:id="402" w:name="_Toc518323374"/>
      <w:r w:rsidRPr="004709CA">
        <w:t>Notes</w:t>
      </w:r>
      <w:bookmarkEnd w:id="401"/>
      <w:bookmarkEnd w:id="402"/>
    </w:p>
    <w:p w14:paraId="3B0EB7AB" w14:textId="77777777" w:rsidR="004709CA" w:rsidRDefault="004709CA" w:rsidP="005D42D9">
      <w:pPr>
        <w:rPr>
          <w:rFonts w:ascii="Times New Roman" w:hAnsi="Times New Roman" w:cs="Times New Roman"/>
        </w:rPr>
      </w:pPr>
    </w:p>
    <w:p w14:paraId="26A9DAC6" w14:textId="77777777" w:rsidR="005D42D9" w:rsidRPr="004709CA" w:rsidRDefault="005D42D9" w:rsidP="005D42D9">
      <w:pPr>
        <w:rPr>
          <w:rFonts w:ascii="Times New Roman" w:hAnsi="Times New Roman" w:cs="Times New Roman"/>
        </w:rPr>
      </w:pPr>
    </w:p>
    <w:p w14:paraId="3EA8E12E" w14:textId="5EB246EE" w:rsidR="004709CA" w:rsidRPr="00F94B7E" w:rsidRDefault="750671CE" w:rsidP="00F94B7E">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Oral argument</w:t>
      </w:r>
      <w:r w:rsidRPr="00F94B7E">
        <w:rPr>
          <w:rFonts w:ascii="Times New Roman" w:eastAsia="Times New Roman" w:hAnsi="Times New Roman" w:cs="Times New Roman"/>
        </w:rPr>
        <w:t xml:space="preserve">.  You can watch the oral arguments in </w:t>
      </w:r>
      <w:r w:rsidRPr="00F94B7E">
        <w:rPr>
          <w:rFonts w:ascii="Times New Roman" w:eastAsia="Times New Roman" w:hAnsi="Times New Roman" w:cs="Times New Roman"/>
          <w:i/>
        </w:rPr>
        <w:t>Landings Association, Inc. v. Williams</w:t>
      </w:r>
      <w:r w:rsidRPr="00F94B7E">
        <w:rPr>
          <w:rFonts w:ascii="Times New Roman" w:eastAsia="Times New Roman" w:hAnsi="Times New Roman" w:cs="Times New Roman"/>
        </w:rPr>
        <w:t xml:space="preserve"> at http://multimedia.dailyreportonline.com/2012/02/the-landings-association-inc-v-williams-et-al-the-landings-club-inc-v-williams-et-al/ (last visited July 10, 2014).</w:t>
      </w:r>
    </w:p>
    <w:p w14:paraId="6FD3752E" w14:textId="77777777" w:rsidR="004709CA" w:rsidRPr="004709CA" w:rsidRDefault="004709CA" w:rsidP="004709CA">
      <w:pPr>
        <w:rPr>
          <w:rFonts w:ascii="Times New Roman" w:hAnsi="Times New Roman" w:cs="Times New Roman"/>
        </w:rPr>
      </w:pPr>
    </w:p>
    <w:p w14:paraId="1E434CE4" w14:textId="77777777" w:rsidR="004709CA" w:rsidRPr="004709CA" w:rsidRDefault="004709CA" w:rsidP="004709CA">
      <w:pPr>
        <w:rPr>
          <w:rFonts w:ascii="Times New Roman" w:hAnsi="Times New Roman" w:cs="Times New Roman"/>
        </w:rPr>
      </w:pPr>
    </w:p>
    <w:p w14:paraId="16E97EF4" w14:textId="7857F390" w:rsidR="004709CA" w:rsidRPr="00F94B7E" w:rsidRDefault="750671CE" w:rsidP="00F94B7E">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Secondary assumption of the risk</w:t>
      </w:r>
      <w:r w:rsidRPr="00F94B7E">
        <w:rPr>
          <w:rFonts w:ascii="Times New Roman" w:eastAsia="Times New Roman" w:hAnsi="Times New Roman" w:cs="Times New Roman"/>
        </w:rPr>
        <w:t xml:space="preserve">.  In the Flopper case and in </w:t>
      </w:r>
      <w:r w:rsidRPr="00F94B7E">
        <w:rPr>
          <w:rFonts w:ascii="Times New Roman" w:eastAsia="Times New Roman" w:hAnsi="Times New Roman" w:cs="Times New Roman"/>
          <w:i/>
          <w:iCs/>
        </w:rPr>
        <w:t>Maddox</w:t>
      </w:r>
      <w:r w:rsidRPr="00F94B7E">
        <w:rPr>
          <w:rFonts w:ascii="Times New Roman" w:eastAsia="Times New Roman" w:hAnsi="Times New Roman" w:cs="Times New Roman"/>
        </w:rPr>
        <w:t>,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own conduct as the grounds for its conclusion that the defendant is not liable.  </w:t>
      </w:r>
    </w:p>
    <w:p w14:paraId="16B80BFE" w14:textId="77777777" w:rsidR="004709CA" w:rsidRPr="004709CA" w:rsidRDefault="004709CA" w:rsidP="004709CA">
      <w:pPr>
        <w:rPr>
          <w:rFonts w:ascii="Times New Roman" w:hAnsi="Times New Roman" w:cs="Times New Roman"/>
        </w:rPr>
      </w:pPr>
    </w:p>
    <w:p w14:paraId="2DB0CF57" w14:textId="7A07C19A"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This feature of the decision makes Landings Association a case of what commentators call </w:t>
      </w:r>
      <w:r w:rsidR="00B05F31">
        <w:rPr>
          <w:rFonts w:ascii="Times New Roman" w:eastAsia="Times New Roman" w:hAnsi="Times New Roman" w:cs="Times New Roman"/>
        </w:rPr>
        <w:t>“</w:t>
      </w:r>
      <w:r w:rsidRPr="750671CE">
        <w:rPr>
          <w:rFonts w:ascii="Times New Roman" w:eastAsia="Times New Roman" w:hAnsi="Times New Roman" w:cs="Times New Roman"/>
        </w:rPr>
        <w:t>secondary assumption of the risk.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the California Supreme Court has put it, secondary assumption of the risk cases comprise </w:t>
      </w:r>
      <w:r w:rsidR="00B05F31">
        <w:rPr>
          <w:rFonts w:ascii="Times New Roman" w:eastAsia="Times New Roman" w:hAnsi="Times New Roman" w:cs="Times New Roman"/>
        </w:rPr>
        <w:t>“</w:t>
      </w:r>
      <w:r w:rsidRPr="750671CE">
        <w:rPr>
          <w:rFonts w:ascii="Times New Roman" w:eastAsia="Times New Roman" w:hAnsi="Times New Roman" w:cs="Times New Roman"/>
        </w:rPr>
        <w:t>those instances in which the defendant does owe a duty of care to the plaintiff but the plaintiff knowingly encounters a risk of injury caused by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breach of that duty.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Knight v. Jewett</w:t>
      </w:r>
      <w:r w:rsidRPr="750671CE">
        <w:rPr>
          <w:rFonts w:ascii="Times New Roman" w:eastAsia="Times New Roman" w:hAnsi="Times New Roman" w:cs="Times New Roman"/>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4709CA" w:rsidRDefault="004709CA" w:rsidP="004709CA">
      <w:pPr>
        <w:rPr>
          <w:rFonts w:ascii="Times New Roman" w:hAnsi="Times New Roman" w:cs="Times New Roman"/>
        </w:rPr>
      </w:pPr>
    </w:p>
    <w:p w14:paraId="20DAB342" w14:textId="5C851F8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cases involving </w:t>
      </w:r>
      <w:r w:rsidR="00B05F31">
        <w:rPr>
          <w:rFonts w:ascii="Times New Roman" w:eastAsia="Times New Roman" w:hAnsi="Times New Roman" w:cs="Times New Roman"/>
        </w:rPr>
        <w:t>‘</w:t>
      </w:r>
      <w:r w:rsidRPr="750671CE">
        <w:rPr>
          <w:rFonts w:ascii="Times New Roman" w:eastAsia="Times New Roman" w:hAnsi="Times New Roman" w:cs="Times New Roman"/>
        </w:rPr>
        <w:t>secondary assumption of risk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have simply been </w:t>
      </w:r>
      <w:r w:rsidR="00B05F31">
        <w:rPr>
          <w:rFonts w:ascii="Times New Roman" w:eastAsia="Times New Roman" w:hAnsi="Times New Roman" w:cs="Times New Roman"/>
        </w:rPr>
        <w:t>“</w:t>
      </w:r>
      <w:r w:rsidRPr="750671CE">
        <w:rPr>
          <w:rFonts w:ascii="Times New Roman" w:eastAsia="Times New Roman" w:hAnsi="Times New Roman" w:cs="Times New Roman"/>
        </w:rPr>
        <w:t>merged into [a] comprehensive comparative fault system.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Knight</w:t>
      </w:r>
      <w:r w:rsidRPr="750671CE">
        <w:rPr>
          <w:rFonts w:ascii="Times New Roman" w:eastAsia="Times New Roman" w:hAnsi="Times New Roman" w:cs="Times New Roman"/>
        </w:rPr>
        <w:t>, 834 P.2d at 701.</w:t>
      </w:r>
    </w:p>
    <w:p w14:paraId="011BAB7E" w14:textId="77777777" w:rsidR="004709CA" w:rsidRPr="004709CA" w:rsidRDefault="004709CA" w:rsidP="004709CA">
      <w:pPr>
        <w:rPr>
          <w:rFonts w:ascii="Times New Roman" w:hAnsi="Times New Roman" w:cs="Times New Roman"/>
        </w:rPr>
      </w:pPr>
    </w:p>
    <w:p w14:paraId="1D8EC350" w14:textId="7B12EF54"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If primary assumption of the risk and secondary assumption of the risk are both different doctrines in disguise, perhaps we should not have them at all.  For much of the twentieth century, leading jurists thought so.  In a Federal Employers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Act case from 1943, Associate Justice Felix Frankfurter put it this way:</w:t>
      </w:r>
    </w:p>
    <w:p w14:paraId="08E792EF" w14:textId="77777777" w:rsidR="004709CA" w:rsidRPr="004709CA" w:rsidRDefault="004709CA" w:rsidP="004709CA">
      <w:pPr>
        <w:rPr>
          <w:rFonts w:ascii="Times New Roman" w:hAnsi="Times New Roman" w:cs="Times New Roman"/>
        </w:rPr>
      </w:pPr>
    </w:p>
    <w:p w14:paraId="36FC82A6" w14:textId="44087DBF"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The phrase </w:t>
      </w:r>
      <w:r w:rsidR="00B05F31">
        <w:rPr>
          <w:rFonts w:ascii="Times New Roman" w:eastAsia="Times New Roman" w:hAnsi="Times New Roman" w:cs="Times New Roman"/>
        </w:rPr>
        <w:t>“</w:t>
      </w:r>
      <w:r w:rsidRPr="750671CE">
        <w:rPr>
          <w:rFonts w:ascii="Times New Roman" w:eastAsia="Times New Roman" w:hAnsi="Times New Roman" w:cs="Times New Roman"/>
        </w:rPr>
        <w:t>assumption of risk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4709CA" w:rsidRDefault="004709CA" w:rsidP="004709CA">
      <w:pPr>
        <w:rPr>
          <w:rFonts w:ascii="Times New Roman" w:hAnsi="Times New Roman" w:cs="Times New Roman"/>
        </w:rPr>
      </w:pPr>
    </w:p>
    <w:p w14:paraId="27DCCE5F" w14:textId="4E1ACB5C"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Tiller v. Atlantic Coast Line R. Co</w:t>
      </w:r>
      <w:r w:rsidRPr="750671CE">
        <w:rPr>
          <w:rFonts w:ascii="Times New Roman" w:eastAsia="Times New Roman" w:hAnsi="Times New Roman" w:cs="Times New Roman"/>
        </w:rPr>
        <w:t xml:space="preserve">., 318 U.S. 54 (1943) (Frankfurter, J., concurring).  As Justice Frankfurter saw it,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phrase </w:t>
      </w:r>
      <w:r w:rsidR="00B05F31">
        <w:rPr>
          <w:rFonts w:ascii="Times New Roman" w:eastAsia="Times New Roman" w:hAnsi="Times New Roman" w:cs="Times New Roman"/>
        </w:rPr>
        <w:t>‘</w:t>
      </w:r>
      <w:r w:rsidRPr="750671CE">
        <w:rPr>
          <w:rFonts w:ascii="Times New Roman" w:eastAsia="Times New Roman" w:hAnsi="Times New Roman" w:cs="Times New Roman"/>
        </w:rPr>
        <w:t>assumption of risk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gave judicial expression to a social policy that entailed much human misery.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i/>
        </w:rPr>
        <w:t>Id</w:t>
      </w:r>
      <w:r w:rsidRPr="750671CE">
        <w:rPr>
          <w:rFonts w:ascii="Times New Roman" w:eastAsia="Times New Roman" w:hAnsi="Times New Roman" w:cs="Times New Roman"/>
        </w:rPr>
        <w:t>.  Indeed, some commentators sympathetic to Frankfurter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view took him a step further and concluded that the </w:t>
      </w:r>
      <w:r w:rsidR="00B05F31">
        <w:rPr>
          <w:rFonts w:ascii="Times New Roman" w:eastAsia="Times New Roman" w:hAnsi="Times New Roman" w:cs="Times New Roman"/>
        </w:rPr>
        <w:t>“</w:t>
      </w:r>
      <w:r w:rsidRPr="750671CE">
        <w:rPr>
          <w:rFonts w:ascii="Times New Roman" w:eastAsia="Times New Roman" w:hAnsi="Times New Roman" w:cs="Times New Roman"/>
        </w:rPr>
        <w:t>doctrine [of implied assumption of risk] deserves no separate existence . . . and is simply a confusing way of stating certain no-duty rules.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Fleming James, Jr., </w:t>
      </w:r>
      <w:r w:rsidRPr="00F94B7E">
        <w:rPr>
          <w:rFonts w:ascii="Times New Roman" w:eastAsia="Times New Roman" w:hAnsi="Times New Roman" w:cs="Times New Roman"/>
          <w:i/>
        </w:rPr>
        <w:t>Assumption of Risk: Unhappy Reincarnation</w:t>
      </w:r>
      <w:r w:rsidRPr="750671CE">
        <w:rPr>
          <w:rFonts w:ascii="Times New Roman" w:eastAsia="Times New Roman" w:hAnsi="Times New Roman" w:cs="Times New Roman"/>
        </w:rPr>
        <w:t xml:space="preserve">, 78 </w:t>
      </w:r>
      <w:r w:rsidRPr="00F94B7E">
        <w:rPr>
          <w:rFonts w:ascii="Times New Roman" w:eastAsia="Times New Roman" w:hAnsi="Times New Roman" w:cs="Times New Roman"/>
          <w:smallCaps/>
        </w:rPr>
        <w:t>Y</w:t>
      </w:r>
      <w:r w:rsidR="003F54EA" w:rsidRPr="00F94B7E">
        <w:rPr>
          <w:rFonts w:ascii="Times New Roman" w:eastAsia="Times New Roman" w:hAnsi="Times New Roman" w:cs="Times New Roman"/>
          <w:smallCaps/>
        </w:rPr>
        <w:t xml:space="preserve">ale </w:t>
      </w:r>
      <w:r w:rsidRPr="750671CE">
        <w:rPr>
          <w:rFonts w:ascii="Times New Roman" w:eastAsia="Times New Roman" w:hAnsi="Times New Roman" w:cs="Times New Roman"/>
        </w:rPr>
        <w:t xml:space="preserve">L.J. 185, 187–188 (1968); </w:t>
      </w:r>
      <w:r w:rsidRPr="00F94B7E">
        <w:rPr>
          <w:rFonts w:ascii="Times New Roman" w:eastAsia="Times New Roman" w:hAnsi="Times New Roman" w:cs="Times New Roman"/>
          <w:i/>
        </w:rPr>
        <w:t>see also</w:t>
      </w:r>
      <w:r w:rsidRPr="750671CE">
        <w:rPr>
          <w:rFonts w:ascii="Times New Roman" w:eastAsia="Times New Roman" w:hAnsi="Times New Roman" w:cs="Times New Roman"/>
        </w:rPr>
        <w:t xml:space="preserve"> Bohlen, </w:t>
      </w:r>
      <w:r w:rsidRPr="00F94B7E">
        <w:rPr>
          <w:rFonts w:ascii="Times New Roman" w:eastAsia="Times New Roman" w:hAnsi="Times New Roman" w:cs="Times New Roman"/>
          <w:i/>
        </w:rPr>
        <w:t>Voluntary Assumption of Risk</w:t>
      </w:r>
      <w:r w:rsidRPr="750671CE">
        <w:rPr>
          <w:rFonts w:ascii="Times New Roman" w:eastAsia="Times New Roman" w:hAnsi="Times New Roman" w:cs="Times New Roman"/>
        </w:rPr>
        <w:t xml:space="preserve">, 20 </w:t>
      </w:r>
      <w:r w:rsidR="003F54EA" w:rsidRPr="00F94B7E">
        <w:rPr>
          <w:rFonts w:ascii="Times New Roman" w:eastAsia="Times New Roman" w:hAnsi="Times New Roman" w:cs="Times New Roman"/>
          <w:smallCaps/>
        </w:rPr>
        <w:t>Harv. L. Rev.</w:t>
      </w:r>
      <w:r w:rsidR="003F54EA">
        <w:rPr>
          <w:rFonts w:ascii="Times New Roman" w:eastAsia="Times New Roman" w:hAnsi="Times New Roman" w:cs="Times New Roman"/>
        </w:rPr>
        <w:t xml:space="preserve"> </w:t>
      </w:r>
      <w:r w:rsidRPr="750671CE">
        <w:rPr>
          <w:rFonts w:ascii="Times New Roman" w:eastAsia="Times New Roman" w:hAnsi="Times New Roman" w:cs="Times New Roman"/>
        </w:rPr>
        <w:t>14 (1906).</w:t>
      </w:r>
    </w:p>
    <w:p w14:paraId="5CE5E382" w14:textId="77777777" w:rsidR="004709CA" w:rsidRPr="004709CA" w:rsidRDefault="004709CA" w:rsidP="004709CA">
      <w:pPr>
        <w:rPr>
          <w:rFonts w:ascii="Times New Roman" w:hAnsi="Times New Roman" w:cs="Times New Roman"/>
        </w:rPr>
      </w:pPr>
    </w:p>
    <w:p w14:paraId="7A55D9A0" w14:textId="77777777" w:rsidR="004709CA" w:rsidRPr="004709CA" w:rsidRDefault="004709CA" w:rsidP="004709CA">
      <w:pPr>
        <w:rPr>
          <w:rFonts w:ascii="Times New Roman" w:hAnsi="Times New Roman" w:cs="Times New Roman"/>
        </w:rPr>
      </w:pPr>
    </w:p>
    <w:p w14:paraId="4A8AC270" w14:textId="74F860AF" w:rsidR="004709CA" w:rsidRPr="00F94B7E" w:rsidRDefault="750671CE" w:rsidP="00F94B7E">
      <w:pPr>
        <w:pStyle w:val="ListParagraph"/>
        <w:numPr>
          <w:ilvl w:val="0"/>
          <w:numId w:val="16"/>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durability of assumption of the risk</w:t>
      </w:r>
      <w:r w:rsidRPr="00F94B7E">
        <w:rPr>
          <w:rFonts w:ascii="Times New Roman" w:eastAsia="Times New Roman" w:hAnsi="Times New Roman" w:cs="Times New Roman"/>
        </w:rPr>
        <w:t xml:space="preserve">.  Notwithstanding the withering critique in the middle of the last century, the doctrinal label </w:t>
      </w:r>
      <w:r w:rsidR="00B05F31">
        <w:rPr>
          <w:rFonts w:ascii="Times New Roman" w:eastAsia="Times New Roman" w:hAnsi="Times New Roman" w:cs="Times New Roman"/>
        </w:rPr>
        <w:t>“</w:t>
      </w:r>
      <w:r w:rsidRPr="00F94B7E">
        <w:rPr>
          <w:rFonts w:ascii="Times New Roman" w:eastAsia="Times New Roman" w:hAnsi="Times New Roman" w:cs="Times New Roman"/>
        </w:rPr>
        <w:t>assumption of the risk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has proven exceedingly durable.  The </w:t>
      </w:r>
      <w:r w:rsidRPr="00F94B7E">
        <w:rPr>
          <w:rFonts w:ascii="Times New Roman" w:eastAsia="Times New Roman" w:hAnsi="Times New Roman" w:cs="Times New Roman"/>
          <w:i/>
        </w:rPr>
        <w:t>Restatement (Second) of Torts</w:t>
      </w:r>
      <w:r w:rsidRPr="00F94B7E">
        <w:rPr>
          <w:rFonts w:ascii="Times New Roman" w:eastAsia="Times New Roman" w:hAnsi="Times New Roman" w:cs="Times New Roman"/>
        </w:rPr>
        <w:t xml:space="preserve"> retained the language, despite criticism.  And in some jurisdictions, assumption of the risk in the secondary sense has neither been done away with, nor treated as a mere subcategory of comparative negligence.  That is the lesson of the </w:t>
      </w:r>
      <w:r w:rsidRPr="00F94B7E">
        <w:rPr>
          <w:rFonts w:ascii="Times New Roman" w:eastAsia="Times New Roman" w:hAnsi="Times New Roman" w:cs="Times New Roman"/>
          <w:i/>
        </w:rPr>
        <w:t>Landings Association</w:t>
      </w:r>
      <w:r w:rsidRPr="00F94B7E">
        <w:rPr>
          <w:rFonts w:ascii="Times New Roman" w:eastAsia="Times New Roman" w:hAnsi="Times New Roman" w:cs="Times New Roman"/>
        </w:rPr>
        <w:t xml:space="preserve"> case: Georgia is a comparative fault state, but the Georgia Supreme Court treated Mrs. Williams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F94B7E">
        <w:rPr>
          <w:rFonts w:ascii="Times New Roman" w:eastAsia="Times New Roman" w:hAnsi="Times New Roman" w:cs="Times New Roman"/>
          <w:i/>
        </w:rPr>
        <w:t>Knight v. Jewett</w:t>
      </w:r>
      <w:r w:rsidRPr="00F94B7E">
        <w:rPr>
          <w:rFonts w:ascii="Times New Roman" w:eastAsia="Times New Roman" w:hAnsi="Times New Roman" w:cs="Times New Roman"/>
        </w:rPr>
        <w:t xml:space="preserve"> would require.  To the contrary, the court treated her conscious decision to walk as grounds for holding the Landings Association not liable at all. </w:t>
      </w:r>
    </w:p>
    <w:p w14:paraId="48523182" w14:textId="77777777" w:rsidR="004709CA" w:rsidRPr="004709CA" w:rsidRDefault="004709CA" w:rsidP="004709CA">
      <w:pPr>
        <w:rPr>
          <w:rFonts w:ascii="Times New Roman" w:hAnsi="Times New Roman" w:cs="Times New Roman"/>
        </w:rPr>
      </w:pPr>
    </w:p>
    <w:p w14:paraId="14421482" w14:textId="74F52D1B"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observer views Landings Association and similar cases as indicating that </w:t>
      </w:r>
      <w:r w:rsidR="00B05F31">
        <w:rPr>
          <w:rFonts w:ascii="Times New Roman" w:eastAsia="Times New Roman" w:hAnsi="Times New Roman" w:cs="Times New Roman"/>
        </w:rPr>
        <w:t>“</w:t>
      </w:r>
      <w:r w:rsidRPr="750671CE">
        <w:rPr>
          <w:rFonts w:ascii="Times New Roman" w:eastAsia="Times New Roman" w:hAnsi="Times New Roman" w:cs="Times New Roman"/>
        </w:rPr>
        <w:t>[r]eports of the death of assumption of risk are slightly exaggerated.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Professor Rosenfeld acknowledges that the majority of states have folding secondary assumption of risk into their comparative negligence regimes, but she suggests that the doctrine</w:t>
      </w:r>
      <w:r w:rsidR="00B05F31">
        <w:rPr>
          <w:rFonts w:ascii="Times New Roman" w:eastAsia="Times New Roman" w:hAnsi="Times New Roman" w:cs="Times New Roman"/>
        </w:rPr>
        <w:t>’</w:t>
      </w:r>
      <w:r w:rsidRPr="750671CE">
        <w:rPr>
          <w:rFonts w:ascii="Times New Roman" w:eastAsia="Times New Roman" w:hAnsi="Times New Roman" w:cs="Times New Roman"/>
        </w:rPr>
        <w:t>s legacy lives on, especially in courts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duty analyses:</w:t>
      </w:r>
    </w:p>
    <w:p w14:paraId="46196F41" w14:textId="77777777" w:rsidR="004709CA" w:rsidRPr="004709CA" w:rsidRDefault="004709CA" w:rsidP="004709CA">
      <w:pPr>
        <w:rPr>
          <w:rFonts w:ascii="Times New Roman" w:hAnsi="Times New Roman" w:cs="Times New Roman"/>
        </w:rPr>
      </w:pPr>
    </w:p>
    <w:p w14:paraId="58CDFB03" w14:textId="239D1B69"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[T]he supposed legal irrelevance of </w:t>
      </w:r>
      <w:r w:rsidR="00B05F31">
        <w:rPr>
          <w:rFonts w:ascii="Times New Roman" w:eastAsia="Times New Roman" w:hAnsi="Times New Roman" w:cs="Times New Roman"/>
        </w:rPr>
        <w:t>“</w:t>
      </w:r>
      <w:r w:rsidRPr="750671CE">
        <w:rPr>
          <w:rFonts w:ascii="Times New Roman" w:eastAsia="Times New Roman" w:hAnsi="Times New Roman" w:cs="Times New Roman"/>
        </w:rPr>
        <w:t>consent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a risk of harm, celebrated by the modern </w:t>
      </w:r>
      <w:r w:rsidR="00B05F31">
        <w:rPr>
          <w:rFonts w:ascii="Times New Roman" w:eastAsia="Times New Roman" w:hAnsi="Times New Roman" w:cs="Times New Roman"/>
        </w:rPr>
        <w:t>“</w:t>
      </w:r>
      <w:r w:rsidRPr="750671CE">
        <w:rPr>
          <w:rFonts w:ascii="Times New Roman" w:eastAsia="Times New Roman" w:hAnsi="Times New Roman" w:cs="Times New Roman"/>
        </w:rPr>
        <w:t>merger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4709CA" w:rsidRDefault="004709CA" w:rsidP="004709CA">
      <w:pPr>
        <w:rPr>
          <w:rFonts w:ascii="Times New Roman" w:hAnsi="Times New Roman" w:cs="Times New Roman"/>
        </w:rPr>
      </w:pPr>
    </w:p>
    <w:p w14:paraId="77DAACD3" w14:textId="49F3751E" w:rsidR="004709CA" w:rsidRPr="004709CA" w:rsidRDefault="00251A97" w:rsidP="750671CE">
      <w:pPr>
        <w:rPr>
          <w:rFonts w:ascii="Times New Roman" w:eastAsia="Times New Roman" w:hAnsi="Times New Roman" w:cs="Times New Roman"/>
        </w:rPr>
      </w:pPr>
      <w:r>
        <w:rPr>
          <w:rFonts w:ascii="Times New Roman" w:eastAsia="Times New Roman" w:hAnsi="Times New Roman" w:cs="Times New Roman"/>
        </w:rPr>
        <w:t>Kenneth W. Simons</w:t>
      </w:r>
      <w:r w:rsidR="750671CE" w:rsidRPr="750671CE">
        <w:rPr>
          <w:rFonts w:ascii="Times New Roman" w:eastAsia="Times New Roman" w:hAnsi="Times New Roman" w:cs="Times New Roman"/>
        </w:rPr>
        <w:t xml:space="preserve">, </w:t>
      </w:r>
      <w:r w:rsidR="750671CE" w:rsidRPr="00F94B7E">
        <w:rPr>
          <w:rFonts w:ascii="Times New Roman" w:eastAsia="Times New Roman" w:hAnsi="Times New Roman" w:cs="Times New Roman"/>
          <w:i/>
        </w:rPr>
        <w:t>Reflections on Assumption of Risk</w:t>
      </w:r>
      <w:r w:rsidR="750671CE" w:rsidRPr="750671CE">
        <w:rPr>
          <w:rFonts w:ascii="Times New Roman" w:eastAsia="Times New Roman" w:hAnsi="Times New Roman" w:cs="Times New Roman"/>
        </w:rPr>
        <w:t xml:space="preserve">, 50 </w:t>
      </w:r>
      <w:r w:rsidR="003F54EA" w:rsidRPr="00F94B7E">
        <w:rPr>
          <w:rFonts w:ascii="Times New Roman" w:eastAsia="Times New Roman" w:hAnsi="Times New Roman" w:cs="Times New Roman"/>
          <w:smallCaps/>
        </w:rPr>
        <w:t>U.C.L.A. L. Rev.</w:t>
      </w:r>
      <w:r w:rsidR="003F54EA">
        <w:rPr>
          <w:rFonts w:ascii="Times New Roman" w:eastAsia="Times New Roman" w:hAnsi="Times New Roman" w:cs="Times New Roman"/>
        </w:rPr>
        <w:t xml:space="preserve"> </w:t>
      </w:r>
      <w:r w:rsidR="750671CE" w:rsidRPr="750671CE">
        <w:rPr>
          <w:rFonts w:ascii="Times New Roman" w:eastAsia="Times New Roman" w:hAnsi="Times New Roman" w:cs="Times New Roman"/>
        </w:rPr>
        <w:t xml:space="preserve">481 (2002). </w:t>
      </w:r>
    </w:p>
    <w:p w14:paraId="1B250FC5" w14:textId="77777777" w:rsidR="004709CA" w:rsidRPr="004709CA" w:rsidRDefault="004709CA" w:rsidP="004709CA">
      <w:pPr>
        <w:rPr>
          <w:rFonts w:ascii="Times New Roman" w:hAnsi="Times New Roman" w:cs="Times New Roman"/>
        </w:rPr>
      </w:pPr>
    </w:p>
    <w:p w14:paraId="77DAA871"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one sense, secondary assumption of the risk in jurisdictions like Florida may function as a kind of holdover of contributory negligence doctrine in the era of comparative fault.  But Professor Rosenfeld offers an intriguing defense of the continued use of the assumption of the risk doctrine in the secondary sense:</w:t>
      </w:r>
    </w:p>
    <w:p w14:paraId="1A7CF9E1" w14:textId="77777777" w:rsidR="004709CA" w:rsidRPr="004709CA" w:rsidRDefault="004709CA" w:rsidP="004709CA">
      <w:pPr>
        <w:rPr>
          <w:rFonts w:ascii="Times New Roman" w:hAnsi="Times New Roman" w:cs="Times New Roman"/>
        </w:rPr>
      </w:pPr>
    </w:p>
    <w:p w14:paraId="478AE5E9" w14:textId="04C776EA"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[I]t is firmly established that consent to an intentional tort precludes liability, yet this doctrine appears to rest, not on whether the consenting victim acted </w:t>
      </w:r>
      <w:r w:rsidR="004A5BC8">
        <w:rPr>
          <w:rFonts w:ascii="Times New Roman" w:eastAsia="Times New Roman" w:hAnsi="Times New Roman" w:cs="Times New Roman"/>
        </w:rPr>
        <w:t>“</w:t>
      </w:r>
      <w:r w:rsidRPr="750671CE">
        <w:rPr>
          <w:rFonts w:ascii="Times New Roman" w:eastAsia="Times New Roman" w:hAnsi="Times New Roman" w:cs="Times New Roman"/>
        </w:rPr>
        <w:t>reasonably</w:t>
      </w:r>
      <w:r w:rsidR="004A5BC8">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4A5BC8">
        <w:rPr>
          <w:rFonts w:ascii="Times New Roman" w:eastAsia="Times New Roman" w:hAnsi="Times New Roman" w:cs="Times New Roman"/>
        </w:rPr>
        <w:t>“</w:t>
      </w:r>
      <w:r w:rsidRPr="750671CE">
        <w:rPr>
          <w:rFonts w:ascii="Times New Roman" w:eastAsia="Times New Roman" w:hAnsi="Times New Roman" w:cs="Times New Roman"/>
        </w:rPr>
        <w:t>unreasonably</w:t>
      </w:r>
      <w:r w:rsidR="004A5BC8">
        <w:rPr>
          <w:rFonts w:ascii="Times New Roman" w:eastAsia="Times New Roman" w:hAnsi="Times New Roman" w:cs="Times New Roman"/>
        </w:rPr>
        <w:t>”</w:t>
      </w:r>
      <w:r w:rsidRPr="750671CE">
        <w:rPr>
          <w:rFonts w:ascii="Times New Roman" w:eastAsia="Times New Roman" w:hAnsi="Times New Roman" w:cs="Times New Roman"/>
        </w:rPr>
        <w:t xml:space="preserve"> in choosing to consent, but instead on precisely the type of consensual rationale that many traditional courts emphasized in recognizing assumption of a risk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Why should the reasonableness of the victim</w:t>
      </w:r>
      <w:r w:rsidR="00B05F31">
        <w:rPr>
          <w:rFonts w:ascii="Times New Roman" w:eastAsia="Times New Roman" w:hAnsi="Times New Roman" w:cs="Times New Roman"/>
        </w:rPr>
        <w:t>’</w:t>
      </w:r>
      <w:r w:rsidRPr="750671CE">
        <w:rPr>
          <w:rFonts w:ascii="Times New Roman" w:eastAsia="Times New Roman" w:hAnsi="Times New Roman" w:cs="Times New Roman"/>
        </w:rPr>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4709CA" w:rsidRDefault="004709CA" w:rsidP="004709CA">
      <w:pPr>
        <w:rPr>
          <w:rFonts w:ascii="Times New Roman" w:hAnsi="Times New Roman" w:cs="Times New Roman"/>
        </w:rPr>
      </w:pPr>
    </w:p>
    <w:p w14:paraId="2257A2C0" w14:textId="072D52A6"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Id</w:t>
      </w:r>
      <w:r w:rsidRPr="750671CE">
        <w:rPr>
          <w:rFonts w:ascii="Times New Roman" w:eastAsia="Times New Roman" w:hAnsi="Times New Roman" w:cs="Times New Roman"/>
        </w:rPr>
        <w:t>. at 483.  Is Rosenfeld</w:t>
      </w:r>
      <w:r w:rsidR="00B05F31">
        <w:rPr>
          <w:rFonts w:ascii="Times New Roman" w:eastAsia="Times New Roman" w:hAnsi="Times New Roman" w:cs="Times New Roman"/>
        </w:rPr>
        <w:t>’</w:t>
      </w:r>
      <w:r w:rsidRPr="750671CE">
        <w:rPr>
          <w:rFonts w:ascii="Times New Roman" w:eastAsia="Times New Roman" w:hAnsi="Times New Roman" w:cs="Times New Roman"/>
        </w:rPr>
        <w:t>s analogy to consent in intentional torts persuasive?</w:t>
      </w:r>
    </w:p>
    <w:p w14:paraId="170B6416" w14:textId="77777777" w:rsidR="004709CA" w:rsidRPr="004709CA" w:rsidRDefault="004709CA" w:rsidP="004709CA">
      <w:pPr>
        <w:rPr>
          <w:rFonts w:ascii="Times New Roman" w:hAnsi="Times New Roman" w:cs="Times New Roman"/>
        </w:rPr>
      </w:pPr>
    </w:p>
    <w:p w14:paraId="7053C8CF" w14:textId="77777777" w:rsidR="004709CA" w:rsidRPr="004709CA" w:rsidRDefault="004709CA" w:rsidP="004709CA">
      <w:pPr>
        <w:rPr>
          <w:rFonts w:ascii="Times New Roman" w:hAnsi="Times New Roman" w:cs="Times New Roman"/>
        </w:rPr>
      </w:pPr>
    </w:p>
    <w:p w14:paraId="594BA95B" w14:textId="77777777" w:rsidR="004709CA" w:rsidRPr="004709CA" w:rsidRDefault="004709CA" w:rsidP="00322687">
      <w:pPr>
        <w:pStyle w:val="Heading3"/>
      </w:pPr>
      <w:bookmarkStart w:id="403" w:name="_Toc364636157"/>
      <w:bookmarkStart w:id="404" w:name="_Toc518323375"/>
      <w:r w:rsidRPr="004709CA">
        <w:t>2.  Express Assumption of the Risk</w:t>
      </w:r>
      <w:bookmarkEnd w:id="403"/>
      <w:bookmarkEnd w:id="404"/>
    </w:p>
    <w:p w14:paraId="46ACE126" w14:textId="77777777" w:rsidR="004709CA" w:rsidRPr="004709CA" w:rsidRDefault="004709CA" w:rsidP="004709CA">
      <w:pPr>
        <w:rPr>
          <w:rFonts w:ascii="Times New Roman" w:hAnsi="Times New Roman" w:cs="Times New Roman"/>
        </w:rPr>
      </w:pPr>
    </w:p>
    <w:p w14:paraId="71464784" w14:textId="77777777" w:rsidR="004709CA" w:rsidRPr="004709CA"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The controversy over express assumption of the risk is of a different order.  No one thinks that the doctrine of assumption of the risk makes no sense as a conceptual matter where there is an express agreement to assume the relevant risk in question.  But many worry that allowing express agreements to displace the common law of torts is a bad idea.  The risk here is that the law of contracts will displace the law of torts, for better (as some insist) or for worse (as others worry).  Consider the next case:</w:t>
      </w:r>
    </w:p>
    <w:p w14:paraId="3032958E" w14:textId="4576FB76" w:rsidR="00117D32" w:rsidRDefault="00117D32">
      <w:pPr>
        <w:rPr>
          <w:rFonts w:ascii="Times New Roman" w:hAnsi="Times New Roman" w:cs="Times New Roman"/>
        </w:rPr>
      </w:pPr>
      <w:r>
        <w:rPr>
          <w:rFonts w:ascii="Times New Roman" w:hAnsi="Times New Roman" w:cs="Times New Roman"/>
        </w:rPr>
        <w:br w:type="page"/>
      </w:r>
    </w:p>
    <w:p w14:paraId="5FD6BBA6" w14:textId="732996CB" w:rsidR="004709CA" w:rsidRPr="004709CA" w:rsidRDefault="004709CA" w:rsidP="750671CE">
      <w:pPr>
        <w:rPr>
          <w:rFonts w:ascii="Times New Roman" w:eastAsia="Times New Roman" w:hAnsi="Times New Roman" w:cs="Times New Roman"/>
        </w:rPr>
      </w:pPr>
      <w:bookmarkStart w:id="405" w:name="_Toc518323376"/>
      <w:r w:rsidRPr="00F94B7E">
        <w:rPr>
          <w:rStyle w:val="Heading4Char"/>
          <w:rFonts w:eastAsiaTheme="minorEastAsia"/>
        </w:rPr>
        <w:t>D</w:t>
      </w:r>
      <w:r w:rsidR="00692B55" w:rsidRPr="00F94B7E">
        <w:rPr>
          <w:rStyle w:val="Heading4Char"/>
          <w:rFonts w:eastAsiaTheme="minorEastAsia"/>
        </w:rPr>
        <w:t xml:space="preserve">alury </w:t>
      </w:r>
      <w:r w:rsidRPr="00F94B7E">
        <w:rPr>
          <w:rStyle w:val="Heading4Char"/>
          <w:rFonts w:eastAsiaTheme="minorEastAsia"/>
        </w:rPr>
        <w:t>v. S-K-I, L</w:t>
      </w:r>
      <w:r w:rsidR="00692B55" w:rsidRPr="00F94B7E">
        <w:rPr>
          <w:rStyle w:val="Heading4Char"/>
          <w:rFonts w:eastAsiaTheme="minorEastAsia"/>
        </w:rPr>
        <w:t>td</w:t>
      </w:r>
      <w:bookmarkEnd w:id="405"/>
      <w:r w:rsidRPr="00F94B7E">
        <w:rPr>
          <w:rFonts w:ascii="Times New Roman" w:eastAsia="Times New Roman" w:hAnsi="Times New Roman" w:cs="Times New Roman"/>
          <w:b/>
          <w:bCs/>
          <w:i/>
        </w:rPr>
        <w:t>.</w:t>
      </w:r>
      <w:r w:rsidRPr="750671CE">
        <w:rPr>
          <w:rFonts w:ascii="Times New Roman" w:eastAsia="Times New Roman" w:hAnsi="Times New Roman" w:cs="Times New Roman"/>
          <w:b/>
          <w:bCs/>
        </w:rPr>
        <w:t xml:space="preserve">, </w:t>
      </w:r>
      <w:r w:rsidR="007E5CF8">
        <w:rPr>
          <w:rFonts w:ascii="Times New Roman" w:eastAsia="Times New Roman" w:hAnsi="Times New Roman" w:cs="Times New Roman"/>
          <w:b/>
          <w:bCs/>
        </w:rPr>
        <w:t>670 A.2d 795 (Vt. 1995)</w:t>
      </w:r>
    </w:p>
    <w:p w14:paraId="4BE9CBC3" w14:textId="77777777" w:rsidR="004709CA" w:rsidRPr="004709CA" w:rsidRDefault="004709CA" w:rsidP="004709CA">
      <w:pPr>
        <w:rPr>
          <w:rFonts w:ascii="Times New Roman" w:hAnsi="Times New Roman" w:cs="Times New Roman"/>
        </w:rPr>
      </w:pPr>
    </w:p>
    <w:p w14:paraId="633AC65D" w14:textId="72162570" w:rsidR="004709CA" w:rsidRPr="004709CA"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J</w:t>
      </w:r>
      <w:r w:rsidR="007E5CF8" w:rsidRPr="00F94B7E">
        <w:rPr>
          <w:rFonts w:ascii="Times New Roman" w:eastAsia="Times New Roman" w:hAnsi="Times New Roman" w:cs="Times New Roman"/>
          <w:smallCaps/>
        </w:rPr>
        <w:t>ohnson</w:t>
      </w:r>
      <w:r w:rsidRPr="750671CE">
        <w:rPr>
          <w:rFonts w:ascii="Times New Roman" w:eastAsia="Times New Roman" w:hAnsi="Times New Roman" w:cs="Times New Roman"/>
        </w:rPr>
        <w:t xml:space="preserve">, J. </w:t>
      </w:r>
    </w:p>
    <w:p w14:paraId="60D8C569" w14:textId="77777777" w:rsidR="004709CA" w:rsidRPr="004709CA" w:rsidRDefault="004709CA" w:rsidP="004709CA">
      <w:pPr>
        <w:rPr>
          <w:rFonts w:ascii="Times New Roman" w:hAnsi="Times New Roman" w:cs="Times New Roman"/>
        </w:rPr>
      </w:pPr>
    </w:p>
    <w:p w14:paraId="771A2EFF"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4709CA" w:rsidRDefault="004709CA" w:rsidP="004709CA">
      <w:pPr>
        <w:rPr>
          <w:rFonts w:ascii="Times New Roman" w:hAnsi="Times New Roman" w:cs="Times New Roman"/>
        </w:rPr>
      </w:pPr>
    </w:p>
    <w:p w14:paraId="4197771C"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RELEASE FROM LIABILITY AND CONDITIONS OF USE</w:t>
      </w:r>
    </w:p>
    <w:p w14:paraId="6AC14416"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1685637F" w14:textId="56A72821"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contention that the release was contrary to public policy, found that the language of the release clearly absolved defendants of liability for their own negligenc</w:t>
      </w:r>
      <w:r w:rsidR="007E5CF8">
        <w:rPr>
          <w:rFonts w:ascii="Times New Roman" w:eastAsia="Times New Roman" w:hAnsi="Times New Roman" w:cs="Times New Roman"/>
        </w:rPr>
        <w:t>e . . . .</w:t>
      </w:r>
    </w:p>
    <w:p w14:paraId="1646BEC1"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310ADC2"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agree with defendants that the release was quite clear in its terms. Because we hold the agreement is unenforceable, we proceed to a discussion of the public policy that supports our holding.</w:t>
      </w:r>
    </w:p>
    <w:p w14:paraId="21E6B56F" w14:textId="77777777" w:rsidR="004709CA" w:rsidRPr="004709CA" w:rsidRDefault="004709CA" w:rsidP="004709CA">
      <w:pPr>
        <w:rPr>
          <w:rFonts w:ascii="Times New Roman" w:hAnsi="Times New Roman" w:cs="Times New Roman"/>
        </w:rPr>
      </w:pPr>
    </w:p>
    <w:p w14:paraId="2ACB2184"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w:t>
      </w:r>
    </w:p>
    <w:p w14:paraId="4DD195A6" w14:textId="77777777" w:rsidR="004709CA" w:rsidRPr="004709CA" w:rsidRDefault="004709CA" w:rsidP="004709CA">
      <w:pPr>
        <w:rPr>
          <w:rFonts w:ascii="Times New Roman" w:hAnsi="Times New Roman" w:cs="Times New Roman"/>
        </w:rPr>
      </w:pPr>
    </w:p>
    <w:p w14:paraId="7C66F331" w14:textId="198315A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intent.</w:t>
      </w:r>
    </w:p>
    <w:p w14:paraId="148CA29A"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246B4E6" w14:textId="65BB704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rPr>
          <w:rFonts w:ascii="Times New Roman" w:eastAsia="Times New Roman" w:hAnsi="Times New Roman" w:cs="Times New Roman"/>
        </w:rPr>
        <w:t xml:space="preserve"> . . . .</w:t>
      </w:r>
    </w:p>
    <w:p w14:paraId="1D96DC49"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F8D9265"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leading judicial formula for determining whether an exculpatory agreement violates public policy was set forth by Justice Tobriner of the California Supreme Court [in </w:t>
      </w:r>
      <w:r w:rsidRPr="750671CE">
        <w:rPr>
          <w:rFonts w:ascii="Times New Roman" w:eastAsia="Times New Roman" w:hAnsi="Times New Roman" w:cs="Times New Roman"/>
          <w:i/>
          <w:iCs/>
        </w:rPr>
        <w:t>Tunkl v. Regents of Univ. of Cal.</w:t>
      </w:r>
      <w:r w:rsidRPr="750671CE">
        <w:rPr>
          <w:rFonts w:ascii="Times New Roman" w:eastAsia="Times New Roman" w:hAnsi="Times New Roman" w:cs="Times New Roman"/>
        </w:rPr>
        <w:t>, 383 P.2d 441 (Cal. 1963)]. An agreement is invalid if it exhibits some or all of the following characteristics:</w:t>
      </w:r>
    </w:p>
    <w:p w14:paraId="3535F72C" w14:textId="77777777" w:rsidR="004709CA" w:rsidRPr="004709CA" w:rsidRDefault="004709CA" w:rsidP="004709CA">
      <w:pPr>
        <w:rPr>
          <w:rFonts w:ascii="Times New Roman" w:hAnsi="Times New Roman" w:cs="Times New Roman"/>
        </w:rPr>
      </w:pPr>
    </w:p>
    <w:p w14:paraId="72581B96" w14:textId="73BD670C" w:rsidR="004709CA" w:rsidRPr="004709CA" w:rsidRDefault="750671CE" w:rsidP="007E5CF8">
      <w:pPr>
        <w:ind w:left="720" w:right="720"/>
        <w:rPr>
          <w:rFonts w:ascii="Times New Roman" w:eastAsia="Times New Roman" w:hAnsi="Times New Roman" w:cs="Times New Roman"/>
        </w:rPr>
      </w:pPr>
      <w:r w:rsidRPr="750671CE">
        <w:rPr>
          <w:rFonts w:ascii="Times New Roman" w:eastAsia="Times New Roman" w:hAnsi="Times New Roman" w:cs="Times New Roman"/>
        </w:rPr>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rPr>
          <w:rFonts w:ascii="Times New Roman" w:eastAsia="Times New Roman" w:hAnsi="Times New Roman" w:cs="Times New Roman"/>
        </w:rPr>
        <w:t>’</w:t>
      </w:r>
      <w:r w:rsidRPr="750671CE">
        <w:rPr>
          <w:rFonts w:ascii="Times New Roman" w:eastAsia="Times New Roman" w:hAnsi="Times New Roman" w:cs="Times New Roman"/>
        </w:rPr>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rPr>
          <w:rFonts w:ascii="Times New Roman" w:eastAsia="Times New Roman" w:hAnsi="Times New Roman" w:cs="Times New Roman"/>
        </w:rPr>
        <w:t>’</w:t>
      </w:r>
      <w:r w:rsidRPr="750671CE">
        <w:rPr>
          <w:rFonts w:ascii="Times New Roman" w:eastAsia="Times New Roman" w:hAnsi="Times New Roman" w:cs="Times New Roman"/>
        </w:rPr>
        <w:t>s] agents.</w:t>
      </w:r>
    </w:p>
    <w:p w14:paraId="39274A1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335162B1"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445-46.  Applying these factors, the court concluded that a release from liability for future negligence imposed as a condition for admission to a charitable research hospital was invalid. Numerous courts have adopted and applied the </w:t>
      </w:r>
      <w:r w:rsidRPr="750671CE">
        <w:rPr>
          <w:rFonts w:ascii="Times New Roman" w:eastAsia="Times New Roman" w:hAnsi="Times New Roman" w:cs="Times New Roman"/>
          <w:i/>
          <w:iCs/>
        </w:rPr>
        <w:t>Tunkl</w:t>
      </w:r>
      <w:r w:rsidRPr="750671CE">
        <w:rPr>
          <w:rFonts w:ascii="Times New Roman" w:eastAsia="Times New Roman" w:hAnsi="Times New Roman" w:cs="Times New Roman"/>
        </w:rPr>
        <w:t xml:space="preserve"> factors. </w:t>
      </w:r>
    </w:p>
    <w:p w14:paraId="5443E516"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78724BDC" w14:textId="627E10C7" w:rsidR="004709CA" w:rsidRPr="004709CA" w:rsidRDefault="750671CE" w:rsidP="00F94B7E">
      <w:pPr>
        <w:ind w:firstLine="720"/>
        <w:rPr>
          <w:rFonts w:ascii="Times New Roman" w:hAnsi="Times New Roman" w:cs="Times New Roman"/>
        </w:rPr>
      </w:pPr>
      <w:r w:rsidRPr="750671CE">
        <w:rPr>
          <w:rFonts w:ascii="Times New Roman" w:eastAsia="Times New Roman" w:hAnsi="Times New Roman" w:cs="Times New Roman"/>
        </w:rPr>
        <w:t>We recognize that no single formula will reach the relevant public policy issues in every factual context</w:t>
      </w:r>
      <w:r w:rsidR="004A5BC8">
        <w:rPr>
          <w:rFonts w:ascii="Times New Roman" w:eastAsia="Times New Roman" w:hAnsi="Times New Roman" w:cs="Times New Roman"/>
        </w:rPr>
        <w:t xml:space="preserve">. . . . </w:t>
      </w:r>
      <w:r w:rsidRPr="750671CE">
        <w:rPr>
          <w:rFonts w:ascii="Times New Roman" w:eastAsia="Times New Roman" w:hAnsi="Times New Roman" w:cs="Times New Roman"/>
        </w:rPr>
        <w:t xml:space="preserve">[W]e conclude that ultimately the </w:t>
      </w:r>
      <w:r w:rsidR="00B05F31">
        <w:rPr>
          <w:rFonts w:ascii="Times New Roman" w:eastAsia="Times New Roman" w:hAnsi="Times New Roman" w:cs="Times New Roman"/>
        </w:rPr>
        <w:t>“</w:t>
      </w:r>
      <w:r w:rsidRPr="750671CE">
        <w:rPr>
          <w:rFonts w:ascii="Times New Roman" w:eastAsia="Times New Roman" w:hAnsi="Times New Roman" w:cs="Times New Roman"/>
        </w:rPr>
        <w:t>determination of what constitutes the public interest must be made considering the totality of the circumstances of any given case against the backdrop of current societal expectations</w:t>
      </w:r>
      <w:r w:rsidR="007E5CF8">
        <w:rPr>
          <w:rFonts w:ascii="Times New Roman" w:eastAsia="Times New Roman" w:hAnsi="Times New Roman" w:cs="Times New Roman"/>
        </w:rPr>
        <w: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[quoting </w:t>
      </w:r>
      <w:r w:rsidRPr="750671CE">
        <w:rPr>
          <w:rFonts w:ascii="Times New Roman" w:eastAsia="Times New Roman" w:hAnsi="Times New Roman" w:cs="Times New Roman"/>
          <w:i/>
          <w:iCs/>
        </w:rPr>
        <w:t>Wolf v. Ford</w:t>
      </w:r>
      <w:r w:rsidRPr="750671CE">
        <w:rPr>
          <w:rFonts w:ascii="Times New Roman" w:eastAsia="Times New Roman" w:hAnsi="Times New Roman" w:cs="Times New Roman"/>
        </w:rPr>
        <w:t>, 644 A.2d 522, 527 (Md. 1994)].</w:t>
      </w:r>
    </w:p>
    <w:p w14:paraId="53D53553" w14:textId="77777777" w:rsidR="004709CA" w:rsidRPr="004709CA" w:rsidRDefault="004709CA" w:rsidP="004709CA">
      <w:pPr>
        <w:rPr>
          <w:rFonts w:ascii="Times New Roman" w:hAnsi="Times New Roman" w:cs="Times New Roman"/>
        </w:rPr>
      </w:pPr>
    </w:p>
    <w:p w14:paraId="356B9B7A"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II.</w:t>
      </w:r>
    </w:p>
    <w:p w14:paraId="7C38677E" w14:textId="77777777" w:rsidR="004709CA" w:rsidRPr="004709CA" w:rsidRDefault="004709CA" w:rsidP="004709CA">
      <w:pPr>
        <w:rPr>
          <w:rFonts w:ascii="Times New Roman" w:hAnsi="Times New Roman" w:cs="Times New Roman"/>
        </w:rPr>
      </w:pPr>
    </w:p>
    <w:p w14:paraId="1AE73441" w14:textId="7777777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6308EF1D" w14:textId="283DBAF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Whether or not defendants provide an essential public service does not resolve the public policy question in the recreational sports context.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area is a facility open to the public. They advertise and invite skiers and nonskiers of every level of skiing ability to their premises for the price of a ticket</w:t>
      </w:r>
      <w:r w:rsidR="007E5CF8">
        <w:rPr>
          <w:rFonts w:ascii="Times New Roman" w:eastAsia="Times New Roman" w:hAnsi="Times New Roman" w:cs="Times New Roman"/>
        </w:rPr>
        <w:t xml:space="preserve"> . . . .</w:t>
      </w:r>
      <w:r w:rsidRPr="750671CE">
        <w:rPr>
          <w:rFonts w:ascii="Times New Roman" w:eastAsia="Times New Roman" w:hAnsi="Times New Roman" w:cs="Times New Roman"/>
        </w:rPr>
        <w:t>Thousands of people ride lifts, buy services, and ski the trails. Each ticket sale may be, for some purposes, a purely private transaction. But when a substantial number of such sales take place as a result of the seller</w:t>
      </w:r>
      <w:r w:rsidR="00B05F31">
        <w:rPr>
          <w:rFonts w:ascii="Times New Roman" w:eastAsia="Times New Roman" w:hAnsi="Times New Roman" w:cs="Times New Roman"/>
        </w:rPr>
        <w:t>’</w:t>
      </w:r>
      <w:r w:rsidRPr="750671CE">
        <w:rPr>
          <w:rFonts w:ascii="Times New Roman" w:eastAsia="Times New Roman" w:hAnsi="Times New Roman" w:cs="Times New Roman"/>
        </w:rPr>
        <w:t>s general invitation to the public to utilize the facilities and services in question, a legitimate public interest arise</w:t>
      </w:r>
      <w:r w:rsidR="004A5BC8">
        <w:rPr>
          <w:rFonts w:ascii="Times New Roman" w:eastAsia="Times New Roman" w:hAnsi="Times New Roman" w:cs="Times New Roman"/>
        </w:rPr>
        <w:t>s. . . .</w:t>
      </w:r>
    </w:p>
    <w:p w14:paraId="68CA1375" w14:textId="38894B18" w:rsidR="004709CA" w:rsidRPr="004709CA" w:rsidRDefault="004709CA" w:rsidP="004709CA">
      <w:pPr>
        <w:rPr>
          <w:rFonts w:ascii="Times New Roman" w:hAnsi="Times New Roman" w:cs="Times New Roman"/>
        </w:rPr>
      </w:pPr>
    </w:p>
    <w:p w14:paraId="2B596D3C" w14:textId="4EA2AB8A"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rPr>
          <w:rFonts w:ascii="Times New Roman" w:eastAsia="Times New Roman" w:hAnsi="Times New Roman" w:cs="Times New Roman"/>
        </w:rPr>
        <w:t>’</w:t>
      </w:r>
      <w:r w:rsidRPr="750671CE">
        <w:rPr>
          <w:rFonts w:ascii="Times New Roman" w:eastAsia="Times New Roman" w:hAnsi="Times New Roman" w:cs="Times New Roman"/>
        </w:rPr>
        <w:t>s negligence.</w:t>
      </w:r>
    </w:p>
    <w:p w14:paraId="20C068B2" w14:textId="0612A0B4" w:rsidR="004709CA" w:rsidRPr="004709CA" w:rsidRDefault="004709CA" w:rsidP="004709CA">
      <w:pPr>
        <w:rPr>
          <w:rFonts w:ascii="Times New Roman" w:hAnsi="Times New Roman" w:cs="Times New Roman"/>
        </w:rPr>
      </w:pPr>
    </w:p>
    <w:p w14:paraId="107D3C99" w14:textId="633B90B7"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r w:rsidR="00414F79">
        <w:rPr>
          <w:rFonts w:ascii="Times New Roman" w:eastAsia="Times New Roman" w:hAnsi="Times New Roman" w:cs="Times New Roman"/>
        </w:rPr>
        <w:t xml:space="preserve">. . . </w:t>
      </w:r>
      <w:r w:rsidRPr="750671CE">
        <w:rPr>
          <w:rFonts w:ascii="Times New Roman" w:eastAsia="Times New Roman" w:hAnsi="Times New Roman" w:cs="Times New Roman"/>
        </w:rPr>
        <w:t>.</w:t>
      </w:r>
    </w:p>
    <w:p w14:paraId="2F8A7B72" w14:textId="360CEDC6" w:rsidR="004709CA" w:rsidRPr="004709CA" w:rsidRDefault="004709CA" w:rsidP="004709CA">
      <w:pPr>
        <w:rPr>
          <w:rFonts w:ascii="Times New Roman" w:hAnsi="Times New Roman" w:cs="Times New Roman"/>
        </w:rPr>
      </w:pPr>
    </w:p>
    <w:p w14:paraId="13608C72" w14:textId="7F2BB2A4" w:rsidR="003F53FC"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Defendants argue that the public policy of the state, as expressed in the </w:t>
      </w:r>
      <w:r w:rsidR="00B05F31">
        <w:rPr>
          <w:rFonts w:ascii="Times New Roman" w:eastAsia="Times New Roman" w:hAnsi="Times New Roman" w:cs="Times New Roman"/>
        </w:rPr>
        <w:t>“</w:t>
      </w:r>
      <w:r w:rsidRPr="750671CE">
        <w:rPr>
          <w:rFonts w:ascii="Times New Roman" w:eastAsia="Times New Roman" w:hAnsi="Times New Roman" w:cs="Times New Roman"/>
        </w:rPr>
        <w:t>Acceptance of inherent risks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statute, indicates a willingness on the part of the Legislature to limit ski area liability. Therefore, they contend that public policy favors the use of express releases such as the one signed by plaintiff. On the contrary,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allocation of responsibility for skiers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injuries is at odds with the statute. The statute places responsibility for the </w:t>
      </w:r>
      <w:r w:rsidR="00B05F31">
        <w:rPr>
          <w:rFonts w:ascii="Times New Roman" w:eastAsia="Times New Roman" w:hAnsi="Times New Roman" w:cs="Times New Roman"/>
        </w:rPr>
        <w:t>“</w:t>
      </w:r>
      <w:r w:rsidRPr="750671CE">
        <w:rPr>
          <w:rFonts w:ascii="Times New Roman" w:eastAsia="Times New Roman" w:hAnsi="Times New Roman" w:cs="Times New Roman"/>
        </w:rPr>
        <w:t>inherent risks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any sport on the participant, insofar as </w:t>
      </w:r>
    </w:p>
    <w:p w14:paraId="6EAE914A" w14:textId="63BA0B5D"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such risks are obvious and necessary. A ski area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own negligence, however, is neither an inherent risk nor an obvious and necessary one in the sport of skiing. . . . </w:t>
      </w:r>
    </w:p>
    <w:p w14:paraId="3A08ABA9" w14:textId="77777777" w:rsidR="004709CA" w:rsidRPr="004709CA" w:rsidRDefault="004709CA" w:rsidP="004709CA">
      <w:pPr>
        <w:rPr>
          <w:rFonts w:ascii="Times New Roman" w:hAnsi="Times New Roman" w:cs="Times New Roman"/>
        </w:rPr>
      </w:pPr>
    </w:p>
    <w:p w14:paraId="79AE3BE5" w14:textId="27AE1EEC"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Reversed and remanded.</w:t>
      </w:r>
    </w:p>
    <w:p w14:paraId="2C3CC7AA" w14:textId="77777777" w:rsidR="004709CA" w:rsidRPr="004709CA" w:rsidRDefault="004709CA">
      <w:pPr>
        <w:rPr>
          <w:rFonts w:ascii="Times New Roman" w:hAnsi="Times New Roman" w:cs="Times New Roman"/>
        </w:rPr>
      </w:pPr>
    </w:p>
    <w:p w14:paraId="32C487D2" w14:textId="77777777" w:rsidR="004709CA" w:rsidRPr="004709CA" w:rsidRDefault="004709CA">
      <w:pPr>
        <w:rPr>
          <w:rFonts w:ascii="Times New Roman" w:hAnsi="Times New Roman" w:cs="Times New Roman"/>
        </w:rPr>
      </w:pPr>
    </w:p>
    <w:p w14:paraId="389B4C92" w14:textId="77777777" w:rsidR="004709CA" w:rsidRPr="004709CA" w:rsidRDefault="004709CA" w:rsidP="002502CC">
      <w:pPr>
        <w:pStyle w:val="Heading4"/>
      </w:pPr>
      <w:bookmarkStart w:id="406" w:name="_Toc364636158"/>
      <w:bookmarkStart w:id="407" w:name="_Toc518323377"/>
      <w:r w:rsidRPr="004709CA">
        <w:t>Notes</w:t>
      </w:r>
      <w:bookmarkEnd w:id="406"/>
      <w:bookmarkEnd w:id="407"/>
    </w:p>
    <w:p w14:paraId="38D5493E" w14:textId="77777777" w:rsidR="004709CA" w:rsidRDefault="004709CA" w:rsidP="00414F79">
      <w:pPr>
        <w:rPr>
          <w:rFonts w:ascii="Times New Roman" w:hAnsi="Times New Roman" w:cs="Times New Roman"/>
        </w:rPr>
      </w:pPr>
    </w:p>
    <w:p w14:paraId="047578F4" w14:textId="77777777" w:rsidR="00414F79" w:rsidRPr="004709CA" w:rsidRDefault="00414F79" w:rsidP="00414F79">
      <w:pPr>
        <w:rPr>
          <w:rFonts w:ascii="Times New Roman" w:hAnsi="Times New Roman" w:cs="Times New Roman"/>
        </w:rPr>
      </w:pPr>
    </w:p>
    <w:p w14:paraId="69679EF2" w14:textId="722E77ED" w:rsidR="004709CA" w:rsidRPr="00F94B7E" w:rsidRDefault="750671CE" w:rsidP="00F94B7E">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Tunkl factors</w:t>
      </w:r>
      <w:r w:rsidRPr="00F94B7E">
        <w:rPr>
          <w:rFonts w:ascii="Times New Roman" w:eastAsia="Times New Roman" w:hAnsi="Times New Roman" w:cs="Times New Roman"/>
        </w:rPr>
        <w:t xml:space="preserve">.  Why single out the factors listed in the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case rather than others?  How sound is the argument that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court makes about a tipping point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s incentives to maintain a safe ski area?</w:t>
      </w:r>
    </w:p>
    <w:p w14:paraId="4749986F" w14:textId="77777777" w:rsidR="004709CA" w:rsidRPr="004709CA" w:rsidRDefault="004709CA" w:rsidP="004709CA">
      <w:pPr>
        <w:rPr>
          <w:rFonts w:ascii="Times New Roman" w:hAnsi="Times New Roman" w:cs="Times New Roman"/>
        </w:rPr>
      </w:pPr>
    </w:p>
    <w:p w14:paraId="6D69B117" w14:textId="77777777" w:rsidR="004709CA" w:rsidRPr="004709CA" w:rsidRDefault="004709CA" w:rsidP="004709CA">
      <w:pPr>
        <w:rPr>
          <w:rFonts w:ascii="Times New Roman" w:hAnsi="Times New Roman" w:cs="Times New Roman"/>
        </w:rPr>
      </w:pPr>
    </w:p>
    <w:p w14:paraId="0ABBA63C" w14:textId="24803DF3" w:rsidR="004709CA" w:rsidRPr="00F94B7E" w:rsidRDefault="750671CE" w:rsidP="00F94B7E">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Divergent caselaw</w:t>
      </w:r>
      <w:r w:rsidRPr="00F94B7E">
        <w:rPr>
          <w:rFonts w:ascii="Times New Roman" w:eastAsia="Times New Roman" w:hAnsi="Times New Roman" w:cs="Times New Roman"/>
        </w:rPr>
        <w:t xml:space="preserve">.  While the broad version of the proposition at the core of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has gained wide acceptance,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xml:space="preserve"> itself has proven susceptible to a range of interpretations. Substantial disagreement persists on when it is properly invoked and how it should be applied. Take, for instance, the issue front and center in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the enforceability of ski waivers. While some courts (as in </w:t>
      </w:r>
      <w:r w:rsidRPr="00F94B7E">
        <w:rPr>
          <w:rFonts w:ascii="Times New Roman" w:eastAsia="Times New Roman" w:hAnsi="Times New Roman" w:cs="Times New Roman"/>
          <w:i/>
          <w:iCs/>
        </w:rPr>
        <w:t>Hanks v. Powder Ridge Restaurant</w:t>
      </w:r>
      <w:r w:rsidRPr="00F94B7E">
        <w:rPr>
          <w:rFonts w:ascii="Times New Roman" w:eastAsia="Times New Roman" w:hAnsi="Times New Roman" w:cs="Times New Roman"/>
        </w:rPr>
        <w:t xml:space="preserve">, 885 A.2d 734 (Conn. 2005)) have adopted the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analysis wholesale, others (like the court in </w:t>
      </w:r>
      <w:r w:rsidRPr="00F94B7E">
        <w:rPr>
          <w:rFonts w:ascii="Times New Roman" w:eastAsia="Times New Roman" w:hAnsi="Times New Roman" w:cs="Times New Roman"/>
          <w:i/>
          <w:iCs/>
        </w:rPr>
        <w:t>Platzer v. Mammoth Mountain</w:t>
      </w:r>
      <w:r w:rsidRPr="00F94B7E">
        <w:rPr>
          <w:rFonts w:ascii="Times New Roman" w:eastAsia="Times New Roman" w:hAnsi="Times New Roman" w:cs="Times New Roman"/>
        </w:rPr>
        <w:t>, 128 Cal.</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Rptr.</w:t>
      </w:r>
      <w:r w:rsidR="007E5CF8">
        <w:rPr>
          <w:rFonts w:ascii="Times New Roman" w:eastAsia="Times New Roman" w:hAnsi="Times New Roman" w:cs="Times New Roman"/>
        </w:rPr>
        <w:t xml:space="preserve"> </w:t>
      </w:r>
      <w:r w:rsidRPr="00F94B7E">
        <w:rPr>
          <w:rFonts w:ascii="Times New Roman" w:eastAsia="Times New Roman" w:hAnsi="Times New Roman" w:cs="Times New Roman"/>
        </w:rPr>
        <w:t>2d 885 (C</w:t>
      </w:r>
      <w:r w:rsidR="003300C9">
        <w:rPr>
          <w:rFonts w:ascii="Times New Roman" w:eastAsia="Times New Roman" w:hAnsi="Times New Roman" w:cs="Times New Roman"/>
        </w:rPr>
        <w:t>al</w:t>
      </w:r>
      <w:r w:rsidRPr="00F94B7E">
        <w:rPr>
          <w:rFonts w:ascii="Times New Roman" w:eastAsia="Times New Roman" w:hAnsi="Times New Roman" w:cs="Times New Roman"/>
        </w:rPr>
        <w:t xml:space="preserve">. App. 2002)) have rejected its central contention that there is a legitimate public policy rationale for voiding these waivers. </w:t>
      </w:r>
    </w:p>
    <w:p w14:paraId="5BE50E68" w14:textId="77777777" w:rsidR="004709CA" w:rsidRPr="004709CA" w:rsidRDefault="004709CA" w:rsidP="004709CA">
      <w:pPr>
        <w:rPr>
          <w:rFonts w:ascii="Times New Roman" w:hAnsi="Times New Roman" w:cs="Times New Roman"/>
        </w:rPr>
      </w:pPr>
    </w:p>
    <w:p w14:paraId="7D6697F9" w14:textId="2C98D46E"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More generally, the question of whether to permit ex ante waivers of tortfeasors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for negligence is answered in widely divergent ways in different states and by different courts. For instance, in </w:t>
      </w:r>
      <w:r w:rsidRPr="750671CE">
        <w:rPr>
          <w:rFonts w:ascii="Times New Roman" w:eastAsia="Times New Roman" w:hAnsi="Times New Roman" w:cs="Times New Roman"/>
          <w:i/>
          <w:iCs/>
        </w:rPr>
        <w:t>Schrier v. Beltway Alarm</w:t>
      </w:r>
      <w:r w:rsidRPr="750671CE">
        <w:rPr>
          <w:rFonts w:ascii="Times New Roman" w:eastAsia="Times New Roman" w:hAnsi="Times New Roman" w:cs="Times New Roman"/>
        </w:rPr>
        <w:t>, 553 A.2d 1316 (Md. Ct. Spec. App. 1987), a decision later cited approvingly by that state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In a case nearly at the other extreme, the New Mexico Supreme Court held in </w:t>
      </w:r>
      <w:r w:rsidRPr="750671CE">
        <w:rPr>
          <w:rFonts w:ascii="Times New Roman" w:eastAsia="Times New Roman" w:hAnsi="Times New Roman" w:cs="Times New Roman"/>
          <w:i/>
          <w:iCs/>
        </w:rPr>
        <w:t>Berlangieri v. Running Elk</w:t>
      </w:r>
      <w:r w:rsidRPr="750671CE">
        <w:rPr>
          <w:rFonts w:ascii="Times New Roman" w:eastAsia="Times New Roman" w:hAnsi="Times New Roman" w:cs="Times New Roman"/>
        </w:rPr>
        <w:t>, 76 P.3d 1098 (</w:t>
      </w:r>
      <w:r w:rsidR="007E5CF8">
        <w:rPr>
          <w:rFonts w:ascii="Times New Roman" w:eastAsia="Times New Roman" w:hAnsi="Times New Roman" w:cs="Times New Roman"/>
        </w:rPr>
        <w:t xml:space="preserve">N.M. </w:t>
      </w:r>
      <w:r w:rsidRPr="750671CE">
        <w:rPr>
          <w:rFonts w:ascii="Times New Roman" w:eastAsia="Times New Roman" w:hAnsi="Times New Roman" w:cs="Times New Roman"/>
        </w:rPr>
        <w:t xml:space="preserve">2003), that a waiver the defendant sought to apply to bar recovery for injuries the plaintiff had suffered while horseback riding was unenforceable as against public policy. </w:t>
      </w:r>
    </w:p>
    <w:p w14:paraId="63E136BF" w14:textId="77777777" w:rsidR="004709CA" w:rsidRDefault="004709CA" w:rsidP="004709CA">
      <w:pPr>
        <w:rPr>
          <w:rFonts w:ascii="Times New Roman" w:hAnsi="Times New Roman" w:cs="Times New Roman"/>
        </w:rPr>
      </w:pPr>
    </w:p>
    <w:p w14:paraId="59BF5E29" w14:textId="288BE261" w:rsidR="00C24D13" w:rsidRDefault="00C24D13" w:rsidP="004709CA">
      <w:pPr>
        <w:rPr>
          <w:rFonts w:ascii="Times New Roman" w:hAnsi="Times New Roman" w:cs="Times New Roman"/>
        </w:rPr>
      </w:pPr>
      <w:r>
        <w:rPr>
          <w:rFonts w:ascii="Times New Roman" w:hAnsi="Times New Roman" w:cs="Times New Roman"/>
        </w:rPr>
        <w:tab/>
        <w:t>The following chart conveys some sense of the state-by-state variability in this area:</w:t>
      </w:r>
    </w:p>
    <w:p w14:paraId="1D8C404F" w14:textId="77777777" w:rsidR="00C24D13" w:rsidRDefault="00C24D13" w:rsidP="004709CA">
      <w:pPr>
        <w:rPr>
          <w:rFonts w:ascii="Times New Roman" w:hAnsi="Times New Roman" w:cs="Times New Roman"/>
        </w:rPr>
      </w:pPr>
    </w:p>
    <w:p w14:paraId="19786840" w14:textId="3F3B87F9" w:rsidR="00C24D13" w:rsidRDefault="00C24D13" w:rsidP="004709CA">
      <w:pPr>
        <w:rPr>
          <w:rFonts w:ascii="Times New Roman" w:hAnsi="Times New Roman" w:cs="Times New Roman"/>
        </w:rPr>
      </w:pPr>
      <w:r>
        <w:rPr>
          <w:rFonts w:ascii="Times New Roman" w:hAnsi="Times New Roman" w:cs="Times New Roman"/>
          <w:noProof/>
          <w:lang w:eastAsia="en-US"/>
        </w:rPr>
        <w:drawing>
          <wp:inline distT="0" distB="0" distL="0" distR="0" wp14:anchorId="69DC349F" wp14:editId="6F02ACD3">
            <wp:extent cx="3889723" cy="48979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aiver_chart.pdf"/>
                    <pic:cNvPicPr/>
                  </pic:nvPicPr>
                  <pic:blipFill>
                    <a:blip r:embed="rId54">
                      <a:extLst>
                        <a:ext uri="{28A0092B-C50C-407E-A947-70E740481C1C}">
                          <a14:useLocalDpi xmlns:a14="http://schemas.microsoft.com/office/drawing/2010/main" val="0"/>
                        </a:ext>
                      </a:extLst>
                    </a:blip>
                    <a:stretch>
                      <a:fillRect/>
                    </a:stretch>
                  </pic:blipFill>
                  <pic:spPr>
                    <a:xfrm>
                      <a:off x="0" y="0"/>
                      <a:ext cx="3973501" cy="5003419"/>
                    </a:xfrm>
                    <a:prstGeom prst="rect">
                      <a:avLst/>
                    </a:prstGeom>
                  </pic:spPr>
                </pic:pic>
              </a:graphicData>
            </a:graphic>
          </wp:inline>
        </w:drawing>
      </w:r>
    </w:p>
    <w:p w14:paraId="51FE3100" w14:textId="7362EFC8"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What the </w:t>
      </w:r>
      <w:r w:rsidRPr="750671CE">
        <w:rPr>
          <w:rFonts w:ascii="Times New Roman" w:eastAsia="Times New Roman" w:hAnsi="Times New Roman" w:cs="Times New Roman"/>
          <w:i/>
          <w:iCs/>
        </w:rPr>
        <w:t xml:space="preserve">Tunkl </w:t>
      </w:r>
      <w:r w:rsidRPr="750671CE">
        <w:rPr>
          <w:rFonts w:ascii="Times New Roman" w:eastAsia="Times New Roman" w:hAnsi="Times New Roman" w:cs="Times New Roman"/>
        </w:rPr>
        <w:t xml:space="preserve">court itself observed still apparently holds true: </w:t>
      </w:r>
      <w:r w:rsidR="00B05F31">
        <w:rPr>
          <w:rFonts w:ascii="Times New Roman" w:eastAsia="Times New Roman" w:hAnsi="Times New Roman" w:cs="Times New Roman"/>
        </w:rPr>
        <w:t>“</w:t>
      </w:r>
      <w:r w:rsidRPr="750671CE">
        <w:rPr>
          <w:rFonts w:ascii="Times New Roman" w:eastAsia="Times New Roman" w:hAnsi="Times New Roman" w:cs="Times New Roman"/>
        </w:rPr>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383 P.2d at 444.</w:t>
      </w:r>
    </w:p>
    <w:p w14:paraId="1FAAB142" w14:textId="77777777" w:rsidR="004709CA" w:rsidRPr="004709CA" w:rsidRDefault="004709CA" w:rsidP="004709CA">
      <w:pPr>
        <w:rPr>
          <w:rFonts w:ascii="Times New Roman" w:hAnsi="Times New Roman" w:cs="Times New Roman"/>
        </w:rPr>
      </w:pPr>
    </w:p>
    <w:p w14:paraId="725EE5CC" w14:textId="77777777" w:rsidR="004709CA" w:rsidRPr="004709CA" w:rsidRDefault="004709CA" w:rsidP="004709CA">
      <w:pPr>
        <w:rPr>
          <w:rFonts w:ascii="Times New Roman" w:hAnsi="Times New Roman" w:cs="Times New Roman"/>
        </w:rPr>
      </w:pPr>
    </w:p>
    <w:p w14:paraId="3DA2C57C" w14:textId="0B04C44B" w:rsidR="004709CA" w:rsidRPr="00F94B7E" w:rsidRDefault="750671CE" w:rsidP="00F94B7E">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Bargaining power?</w:t>
      </w:r>
      <w:r w:rsidRPr="00F94B7E">
        <w:rPr>
          <w:rFonts w:ascii="Times New Roman" w:eastAsia="Times New Roman" w:hAnsi="Times New Roman" w:cs="Times New Roman"/>
        </w:rPr>
        <w:t xml:space="preserve">  One of the factors that the Restatement, </w:t>
      </w:r>
      <w:r w:rsidRPr="00F94B7E">
        <w:rPr>
          <w:rFonts w:ascii="Times New Roman" w:eastAsia="Times New Roman" w:hAnsi="Times New Roman" w:cs="Times New Roman"/>
          <w:i/>
          <w:iCs/>
        </w:rPr>
        <w:t>Tunkl</w:t>
      </w:r>
      <w:r w:rsidRPr="00F94B7E">
        <w:rPr>
          <w:rFonts w:ascii="Times New Roman" w:eastAsia="Times New Roman" w:hAnsi="Times New Roman" w:cs="Times New Roman"/>
        </w:rPr>
        <w:t>, and Justice Johnson of Vermont all seem to think important is the superior bargaining power of the party requiring the waiver.  But does superior bargaining power explain such waivers of liability?  Professor Duncan Kennedy, long one of American law</w:t>
      </w:r>
      <w:r w:rsidR="00B05F31">
        <w:rPr>
          <w:rFonts w:ascii="Times New Roman" w:eastAsia="Times New Roman" w:hAnsi="Times New Roman" w:cs="Times New Roman"/>
        </w:rPr>
        <w:t>’</w:t>
      </w:r>
      <w:r w:rsidRPr="00F94B7E">
        <w:rPr>
          <w:rFonts w:ascii="Times New Roman" w:eastAsia="Times New Roman" w:hAnsi="Times New Roman" w:cs="Times New Roman"/>
        </w:rPr>
        <w:t>s most outspoken critics from the left and a leader of the Critical Legal Studies movement of the 1970s and 1980s, famously argued against the invocation of the bargaining power rationale.  Consider Kennedy</w:t>
      </w:r>
      <w:r w:rsidR="00B05F31">
        <w:rPr>
          <w:rFonts w:ascii="Times New Roman" w:eastAsia="Times New Roman" w:hAnsi="Times New Roman" w:cs="Times New Roman"/>
        </w:rPr>
        <w:t>’</w:t>
      </w:r>
      <w:r w:rsidRPr="00F94B7E">
        <w:rPr>
          <w:rFonts w:ascii="Times New Roman" w:eastAsia="Times New Roman" w:hAnsi="Times New Roman" w:cs="Times New Roman"/>
        </w:rPr>
        <w:t>s criticism of the bargaining power rationale.</w:t>
      </w:r>
    </w:p>
    <w:p w14:paraId="287F01FC" w14:textId="77777777" w:rsidR="004709CA" w:rsidRPr="004709CA" w:rsidRDefault="004709CA" w:rsidP="004709CA">
      <w:pPr>
        <w:rPr>
          <w:rFonts w:ascii="Times New Roman" w:hAnsi="Times New Roman" w:cs="Times New Roman"/>
        </w:rPr>
      </w:pPr>
    </w:p>
    <w:p w14:paraId="2B7BF584" w14:textId="188893DD" w:rsidR="004709CA" w:rsidRPr="004709CA" w:rsidRDefault="004709CA" w:rsidP="750671CE">
      <w:pPr>
        <w:rPr>
          <w:rFonts w:ascii="Times New Roman" w:eastAsia="Times New Roman" w:hAnsi="Times New Roman" w:cs="Times New Roman"/>
        </w:rPr>
      </w:pPr>
      <w:r w:rsidRPr="004709CA">
        <w:rPr>
          <w:rFonts w:ascii="Times New Roman" w:hAnsi="Times New Roman" w:cs="Times New Roman"/>
        </w:rPr>
        <w:tab/>
      </w:r>
      <w:r w:rsidRPr="750671CE">
        <w:rPr>
          <w:rFonts w:ascii="Times New Roman" w:eastAsia="Times New Roman" w:hAnsi="Times New Roman" w:cs="Times New Roman"/>
        </w:rPr>
        <w:t xml:space="preserve">Kennedy observes that a common criticism of consumer contracts is that </w:t>
      </w:r>
      <w:r w:rsidR="00B05F31">
        <w:rPr>
          <w:rFonts w:ascii="Times New Roman" w:eastAsia="Times New Roman" w:hAnsi="Times New Roman" w:cs="Times New Roman"/>
        </w:rPr>
        <w:t>“</w:t>
      </w:r>
      <w:r w:rsidRPr="750671CE">
        <w:rPr>
          <w:rFonts w:ascii="Times New Roman" w:eastAsia="Times New Roman" w:hAnsi="Times New Roman" w:cs="Times New Roman"/>
        </w:rPr>
        <w:t>buyers as a group lacked enough bargaining power to force sellers to agree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the buyers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preferred terms. The basic theory is that groups such as tenants of consumers </w:t>
      </w:r>
      <w:r w:rsidR="00B05F31">
        <w:rPr>
          <w:rFonts w:ascii="Times New Roman" w:eastAsia="Times New Roman" w:hAnsi="Times New Roman" w:cs="Times New Roman"/>
        </w:rPr>
        <w:t>“</w:t>
      </w:r>
      <w:r w:rsidRPr="750671CE">
        <w:rPr>
          <w:rFonts w:ascii="Times New Roman" w:eastAsia="Times New Roman" w:hAnsi="Times New Roman" w:cs="Times New Roman"/>
        </w:rPr>
        <w:t>lack[] the bargaining power necessary to impose it on oligopolistic sellers.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But as Kennedy sees it, this argument cannot explain the terms in any particular contract:</w:t>
      </w:r>
    </w:p>
    <w:p w14:paraId="4D86A20B" w14:textId="77777777" w:rsidR="004709CA" w:rsidRPr="004709CA" w:rsidRDefault="004709CA" w:rsidP="004709CA">
      <w:pPr>
        <w:rPr>
          <w:rFonts w:ascii="Times New Roman" w:hAnsi="Times New Roman" w:cs="Times New Roman"/>
        </w:rPr>
      </w:pPr>
    </w:p>
    <w:p w14:paraId="410358B6" w14:textId="7EC8FD44"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Pr>
          <w:rFonts w:ascii="Times New Roman" w:eastAsia="Times New Roman" w:hAnsi="Times New Roman" w:cs="Times New Roman"/>
        </w:rPr>
        <w:t>“</w:t>
      </w:r>
      <w:r w:rsidRPr="750671CE">
        <w:rPr>
          <w:rFonts w:ascii="Times New Roman" w:eastAsia="Times New Roman" w:hAnsi="Times New Roman" w:cs="Times New Roman"/>
        </w:rPr>
        <w:t>normal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profit). Under these circumstances, the decision maker makes the duties compulsory or non-waivable precisely because he believes that people value them so little they won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buy them of their own accord. </w:t>
      </w:r>
    </w:p>
    <w:p w14:paraId="386F1A5B" w14:textId="77777777" w:rsidR="004709CA" w:rsidRPr="004709CA" w:rsidRDefault="004709CA" w:rsidP="004709CA">
      <w:pPr>
        <w:rPr>
          <w:rFonts w:ascii="Times New Roman" w:hAnsi="Times New Roman" w:cs="Times New Roman"/>
        </w:rPr>
      </w:pPr>
    </w:p>
    <w:p w14:paraId="1952DF8A"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Duncan Kennedy, </w:t>
      </w:r>
      <w:r w:rsidRPr="00F94B7E">
        <w:rPr>
          <w:rFonts w:ascii="Times New Roman" w:eastAsia="Times New Roman" w:hAnsi="Times New Roman" w:cs="Times New Roman"/>
          <w:i/>
        </w:rPr>
        <w:t>Distributive and Paternalist Motives in Contract and Tort Law</w:t>
      </w:r>
      <w:r w:rsidRPr="750671CE">
        <w:rPr>
          <w:rFonts w:ascii="Times New Roman" w:eastAsia="Times New Roman" w:hAnsi="Times New Roman" w:cs="Times New Roman"/>
        </w:rPr>
        <w:t>,</w:t>
      </w:r>
    </w:p>
    <w:p w14:paraId="1B5679BE" w14:textId="03338763"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41 </w:t>
      </w:r>
      <w:r w:rsidRPr="00F94B7E">
        <w:rPr>
          <w:rFonts w:ascii="Times New Roman" w:eastAsia="Times New Roman" w:hAnsi="Times New Roman" w:cs="Times New Roman"/>
          <w:smallCaps/>
        </w:rPr>
        <w:t>M</w:t>
      </w:r>
      <w:r w:rsidR="00763401" w:rsidRPr="00F94B7E">
        <w:rPr>
          <w:rFonts w:ascii="Times New Roman" w:eastAsia="Times New Roman" w:hAnsi="Times New Roman" w:cs="Times New Roman"/>
          <w:smallCaps/>
        </w:rPr>
        <w:t>d</w:t>
      </w:r>
      <w:r w:rsidRPr="00F94B7E">
        <w:rPr>
          <w:rFonts w:ascii="Times New Roman" w:eastAsia="Times New Roman" w:hAnsi="Times New Roman" w:cs="Times New Roman"/>
          <w:smallCaps/>
        </w:rPr>
        <w:t xml:space="preserve">. L. </w:t>
      </w:r>
      <w:r w:rsidR="00763401" w:rsidRPr="00F94B7E">
        <w:rPr>
          <w:rFonts w:ascii="Times New Roman" w:eastAsia="Times New Roman" w:hAnsi="Times New Roman" w:cs="Times New Roman"/>
          <w:smallCaps/>
        </w:rPr>
        <w:t>Rev</w:t>
      </w:r>
      <w:r w:rsidRPr="00F94B7E">
        <w:rPr>
          <w:rFonts w:ascii="Times New Roman" w:eastAsia="Times New Roman" w:hAnsi="Times New Roman" w:cs="Times New Roman"/>
          <w:smallCaps/>
        </w:rPr>
        <w:t>.</w:t>
      </w:r>
      <w:r w:rsidRPr="750671CE">
        <w:rPr>
          <w:rFonts w:ascii="Times New Roman" w:eastAsia="Times New Roman" w:hAnsi="Times New Roman" w:cs="Times New Roman"/>
        </w:rPr>
        <w:t xml:space="preserve"> 563, 608-09 (1982).</w:t>
      </w:r>
    </w:p>
    <w:p w14:paraId="5F8921DF" w14:textId="77777777" w:rsidR="004709CA" w:rsidRPr="004709CA" w:rsidRDefault="004709CA" w:rsidP="004709CA">
      <w:pPr>
        <w:rPr>
          <w:rFonts w:ascii="Times New Roman" w:hAnsi="Times New Roman" w:cs="Times New Roman"/>
        </w:rPr>
      </w:pPr>
    </w:p>
    <w:p w14:paraId="2AE55C87" w14:textId="1E4889CF"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rPr>
          <w:rFonts w:ascii="Times New Roman" w:eastAsia="Times New Roman" w:hAnsi="Times New Roman" w:cs="Times New Roman"/>
        </w:rPr>
        <w:t>“</w:t>
      </w:r>
      <w:r w:rsidRPr="750671CE">
        <w:rPr>
          <w:rFonts w:ascii="Times New Roman" w:eastAsia="Times New Roman" w:hAnsi="Times New Roman" w:cs="Times New Roman"/>
        </w:rPr>
        <w:t>even a monopolist has an interest in providing contract terms if buyers will pay him their cost, plus as much in profit as he can make for alternate uses of his capital.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3843B7">
        <w:rPr>
          <w:rFonts w:ascii="Times New Roman" w:eastAsia="Times New Roman" w:hAnsi="Times New Roman" w:cs="Times New Roman"/>
        </w:rPr>
        <w:t xml:space="preserve"> </w:t>
      </w:r>
      <w:r w:rsidRPr="750671CE">
        <w:rPr>
          <w:rFonts w:ascii="Times New Roman" w:eastAsia="Times New Roman" w:hAnsi="Times New Roman" w:cs="Times New Roman"/>
        </w:rPr>
        <w:t xml:space="preserve">In the </w:t>
      </w:r>
      <w:r w:rsidRPr="00F94B7E">
        <w:rPr>
          <w:rFonts w:ascii="Times New Roman" w:eastAsia="Times New Roman" w:hAnsi="Times New Roman" w:cs="Times New Roman"/>
          <w:i/>
        </w:rPr>
        <w:t>Dalury</w:t>
      </w:r>
      <w:r w:rsidRPr="750671CE">
        <w:rPr>
          <w:rFonts w:ascii="Times New Roman" w:eastAsia="Times New Roman" w:hAnsi="Times New Roman" w:cs="Times New Roman"/>
        </w:rPr>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rPr>
          <w:rFonts w:ascii="Times New Roman" w:eastAsia="Times New Roman" w:hAnsi="Times New Roman" w:cs="Times New Roman"/>
          <w:lang w:eastAsia="en-US"/>
        </w:rPr>
        <w:t>—i</w:t>
      </w:r>
      <w:r w:rsidRPr="750671CE">
        <w:rPr>
          <w:rFonts w:ascii="Times New Roman" w:eastAsia="Times New Roman" w:hAnsi="Times New Roman" w:cs="Times New Roman"/>
        </w:rPr>
        <w:t>f they prefer the cash to the insurance, despite the risks entailed</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rPr>
          <w:rFonts w:ascii="Times New Roman" w:eastAsia="Times New Roman" w:hAnsi="Times New Roman" w:cs="Times New Roman"/>
        </w:rPr>
        <w:t>“</w:t>
      </w:r>
      <w:r w:rsidRPr="750671CE">
        <w:rPr>
          <w:rFonts w:ascii="Times New Roman" w:eastAsia="Times New Roman" w:hAnsi="Times New Roman" w:cs="Times New Roman"/>
        </w:rPr>
        <w:t>only question,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Kennedy insists, is whether the consumer or the tenant is willing to pay for terms that are favorable to them. </w:t>
      </w:r>
    </w:p>
    <w:p w14:paraId="3C1B6BD4" w14:textId="77777777" w:rsidR="004709CA" w:rsidRPr="004709CA" w:rsidRDefault="004709CA" w:rsidP="004709CA">
      <w:pPr>
        <w:rPr>
          <w:rFonts w:ascii="Times New Roman" w:hAnsi="Times New Roman" w:cs="Times New Roman"/>
        </w:rPr>
      </w:pPr>
    </w:p>
    <w:p w14:paraId="0304741E" w14:textId="28A836AA"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basic point is that if both sides have good information, it makes no difference that consumers can</w:t>
      </w:r>
      <w:r w:rsidR="00B05F31">
        <w:rPr>
          <w:rFonts w:ascii="Times New Roman" w:eastAsia="Times New Roman" w:hAnsi="Times New Roman" w:cs="Times New Roman"/>
        </w:rPr>
        <w:t>’</w:t>
      </w:r>
      <w:r w:rsidRPr="750671CE">
        <w:rPr>
          <w:rFonts w:ascii="Times New Roman" w:eastAsia="Times New Roman" w:hAnsi="Times New Roman" w:cs="Times New Roman"/>
        </w:rPr>
        <w:t>t haggle in particular transactions, and it makes no difference that the sellers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5CE75D0B" w14:textId="77777777" w:rsidR="004709CA" w:rsidRPr="004709CA" w:rsidRDefault="004709CA" w:rsidP="004709CA">
      <w:pPr>
        <w:rPr>
          <w:rFonts w:ascii="Times New Roman" w:hAnsi="Times New Roman" w:cs="Times New Roman"/>
        </w:rPr>
      </w:pPr>
    </w:p>
    <w:p w14:paraId="32E9470A"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4709CA" w:rsidRDefault="004709CA" w:rsidP="004709CA">
      <w:pPr>
        <w:rPr>
          <w:rFonts w:ascii="Times New Roman" w:hAnsi="Times New Roman" w:cs="Times New Roman"/>
        </w:rPr>
      </w:pPr>
    </w:p>
    <w:p w14:paraId="3C4745D2" w14:textId="77777777"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4709CA" w:rsidRDefault="004709CA" w:rsidP="004709CA">
      <w:pPr>
        <w:rPr>
          <w:rFonts w:ascii="Times New Roman" w:hAnsi="Times New Roman" w:cs="Times New Roman"/>
        </w:rPr>
      </w:pPr>
    </w:p>
    <w:p w14:paraId="7846DCCD" w14:textId="77777777" w:rsidR="004709CA" w:rsidRP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Id</w:t>
      </w:r>
      <w:r w:rsidRPr="750671CE">
        <w:rPr>
          <w:rFonts w:ascii="Times New Roman" w:eastAsia="Times New Roman" w:hAnsi="Times New Roman" w:cs="Times New Roman"/>
        </w:rPr>
        <w:t>.</w:t>
      </w:r>
    </w:p>
    <w:p w14:paraId="51918BA6" w14:textId="77777777" w:rsidR="004709CA" w:rsidRPr="004709CA" w:rsidRDefault="004709CA" w:rsidP="004709CA">
      <w:pPr>
        <w:rPr>
          <w:rFonts w:ascii="Times New Roman" w:hAnsi="Times New Roman" w:cs="Times New Roman"/>
        </w:rPr>
      </w:pPr>
    </w:p>
    <w:p w14:paraId="57A73DCA" w14:textId="77777777" w:rsidR="004709CA" w:rsidRPr="004709CA" w:rsidRDefault="004709CA" w:rsidP="004709CA">
      <w:pPr>
        <w:rPr>
          <w:rFonts w:ascii="Times New Roman" w:hAnsi="Times New Roman" w:cs="Times New Roman"/>
        </w:rPr>
      </w:pPr>
    </w:p>
    <w:p w14:paraId="45FA4A18" w14:textId="5FDB7CD9" w:rsidR="004709CA" w:rsidRPr="00F94B7E" w:rsidRDefault="750671CE" w:rsidP="00F94B7E">
      <w:pPr>
        <w:pStyle w:val="ListParagraph"/>
        <w:numPr>
          <w:ilvl w:val="0"/>
          <w:numId w:val="1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Poverty</w:t>
      </w:r>
      <w:r w:rsidRPr="00F94B7E">
        <w:rPr>
          <w:rFonts w:ascii="Times New Roman" w:eastAsia="Times New Roman" w:hAnsi="Times New Roman" w:cs="Times New Roman"/>
        </w:rPr>
        <w:t xml:space="preserve">.  What arguments (if any) remain against enforcing the terms of the contract struck between </w:t>
      </w:r>
      <w:r w:rsidRPr="00F94B7E">
        <w:rPr>
          <w:rFonts w:ascii="Times New Roman" w:eastAsia="Times New Roman" w:hAnsi="Times New Roman" w:cs="Times New Roman"/>
          <w:i/>
          <w:iCs/>
        </w:rPr>
        <w:t>Dalury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S-K-I</w:t>
      </w:r>
      <w:r w:rsidRPr="00F94B7E">
        <w:rPr>
          <w:rFonts w:ascii="Times New Roman" w:eastAsia="Times New Roman" w:hAnsi="Times New Roman" w:cs="Times New Roman"/>
        </w:rPr>
        <w:t>?  Professor Kennedy does note at least one limit on his analysis:</w:t>
      </w:r>
    </w:p>
    <w:p w14:paraId="2DF96126" w14:textId="77777777" w:rsidR="004709CA" w:rsidRPr="004709CA" w:rsidRDefault="004709CA" w:rsidP="004709CA">
      <w:pPr>
        <w:rPr>
          <w:rFonts w:ascii="Times New Roman" w:hAnsi="Times New Roman" w:cs="Times New Roman"/>
        </w:rPr>
      </w:pPr>
    </w:p>
    <w:p w14:paraId="5310ADE5" w14:textId="09FF9E0C" w:rsidR="004709CA" w:rsidRPr="004709CA"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rPr>
          <w:rFonts w:ascii="Times New Roman" w:eastAsia="Times New Roman" w:hAnsi="Times New Roman" w:cs="Times New Roman"/>
        </w:rPr>
        <w:t>’</w:t>
      </w:r>
      <w:r w:rsidRPr="750671CE">
        <w:rPr>
          <w:rFonts w:ascii="Times New Roman" w:eastAsia="Times New Roman" w:hAnsi="Times New Roman" w:cs="Times New Roman"/>
        </w:rPr>
        <w:t>t have to provide unless the price is right.</w:t>
      </w:r>
    </w:p>
    <w:p w14:paraId="41EC01C8" w14:textId="77777777" w:rsidR="004709CA" w:rsidRPr="004709CA" w:rsidRDefault="004709CA" w:rsidP="004709CA">
      <w:pPr>
        <w:rPr>
          <w:rFonts w:ascii="Times New Roman" w:hAnsi="Times New Roman" w:cs="Times New Roman"/>
        </w:rPr>
      </w:pPr>
    </w:p>
    <w:p w14:paraId="2F82E30A" w14:textId="77777777" w:rsidR="006B3A73"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Kennedy, </w:t>
      </w:r>
      <w:r w:rsidRPr="00F94B7E">
        <w:rPr>
          <w:rFonts w:ascii="Times New Roman" w:eastAsia="Times New Roman" w:hAnsi="Times New Roman" w:cs="Times New Roman"/>
          <w:i/>
        </w:rPr>
        <w:t>Distributive and Paternalist Motives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supra</w:t>
      </w:r>
      <w:r w:rsidRPr="750671CE">
        <w:rPr>
          <w:rFonts w:ascii="Times New Roman" w:eastAsia="Times New Roman" w:hAnsi="Times New Roman" w:cs="Times New Roman"/>
        </w:rPr>
        <w:t xml:space="preserve">. If Kennedy is right that poverty rather than unequal bargaining power explains the substantive terms of consumer contracts, what is the implication for adjudication?  Should pro-consumer terms be compulsory, as the </w:t>
      </w:r>
      <w:r w:rsidRPr="750671CE">
        <w:rPr>
          <w:rFonts w:ascii="Times New Roman" w:eastAsia="Times New Roman" w:hAnsi="Times New Roman" w:cs="Times New Roman"/>
          <w:i/>
          <w:iCs/>
        </w:rPr>
        <w:t>Dalury</w:t>
      </w:r>
      <w:r w:rsidRPr="750671CE">
        <w:rPr>
          <w:rFonts w:ascii="Times New Roman" w:eastAsia="Times New Roman" w:hAnsi="Times New Roman" w:cs="Times New Roman"/>
        </w:rPr>
        <w:t xml:space="preserve"> court concluded?  Or are compulsory terms counterproductive from the perspective of the poor consumer</w:t>
      </w:r>
      <w:r w:rsidR="00B05F31">
        <w:rPr>
          <w:rFonts w:ascii="Times New Roman" w:eastAsia="Times New Roman" w:hAnsi="Times New Roman" w:cs="Times New Roman"/>
        </w:rPr>
        <w:t>’</w:t>
      </w:r>
      <w:r w:rsidRPr="750671CE">
        <w:rPr>
          <w:rFonts w:ascii="Times New Roman" w:eastAsia="Times New Roman" w:hAnsi="Times New Roman" w:cs="Times New Roman"/>
        </w:rPr>
        <w:t>s welfare?</w:t>
      </w:r>
    </w:p>
    <w:p w14:paraId="58E451CC" w14:textId="77777777" w:rsidR="006B3A73" w:rsidRDefault="006B3A73" w:rsidP="750671CE">
      <w:pPr>
        <w:rPr>
          <w:rFonts w:ascii="Times New Roman" w:eastAsia="Times New Roman" w:hAnsi="Times New Roman" w:cs="Times New Roman"/>
        </w:rPr>
      </w:pPr>
    </w:p>
    <w:p w14:paraId="160D3C76" w14:textId="03B1CA59" w:rsidR="004709CA" w:rsidRDefault="006B3A73" w:rsidP="750671CE">
      <w:pPr>
        <w:rPr>
          <w:rFonts w:ascii="Times New Roman" w:eastAsia="Times New Roman" w:hAnsi="Times New Roman" w:cs="Times New Roman"/>
        </w:rPr>
      </w:pPr>
      <w:r>
        <w:rPr>
          <w:rFonts w:ascii="Times New Roman" w:eastAsia="Times New Roman" w:hAnsi="Times New Roman" w:cs="Times New Roman"/>
        </w:rPr>
        <w:tab/>
        <w:t xml:space="preserve">5. </w:t>
      </w:r>
      <w:r w:rsidRPr="006B3A73">
        <w:rPr>
          <w:rFonts w:ascii="Times New Roman" w:eastAsia="Times New Roman" w:hAnsi="Times New Roman" w:cs="Times New Roman"/>
          <w:i/>
        </w:rPr>
        <w:t xml:space="preserve"> Arbitration</w:t>
      </w:r>
      <w:r>
        <w:rPr>
          <w:rFonts w:ascii="Times New Roman" w:eastAsia="Times New Roman" w:hAnsi="Times New Roman" w:cs="Times New Roman"/>
        </w:rPr>
        <w:t xml:space="preserve">.  One striking feature of </w:t>
      </w:r>
      <w:r w:rsidR="00B86D81">
        <w:rPr>
          <w:rFonts w:ascii="Times New Roman" w:eastAsia="Times New Roman" w:hAnsi="Times New Roman" w:cs="Times New Roman"/>
        </w:rPr>
        <w:t xml:space="preserve">the world of </w:t>
      </w:r>
      <w:r>
        <w:rPr>
          <w:rFonts w:ascii="Times New Roman" w:eastAsia="Times New Roman" w:hAnsi="Times New Roman" w:cs="Times New Roman"/>
        </w:rPr>
        <w:t xml:space="preserve">tort waivers is </w:t>
      </w:r>
      <w:r w:rsidR="00B86D81">
        <w:rPr>
          <w:rFonts w:ascii="Times New Roman" w:eastAsia="Times New Roman" w:hAnsi="Times New Roman" w:cs="Times New Roman"/>
        </w:rPr>
        <w:t xml:space="preserve">that consumers are typically </w:t>
      </w:r>
      <w:r w:rsidR="00B86D81" w:rsidRPr="00B86D81">
        <w:rPr>
          <w:rFonts w:ascii="Times New Roman" w:eastAsia="Times New Roman" w:hAnsi="Times New Roman" w:cs="Times New Roman"/>
          <w:i/>
        </w:rPr>
        <w:t>not</w:t>
      </w:r>
      <w:r w:rsidR="00B86D81">
        <w:rPr>
          <w:rFonts w:ascii="Times New Roman" w:eastAsia="Times New Roman" w:hAnsi="Times New Roman" w:cs="Times New Roman"/>
        </w:rPr>
        <w:t xml:space="preserve"> asked to agree to arbitrate tort claims.  They are more typically asked to waive those claims altogether.  Why</w:t>
      </w:r>
      <w:r w:rsidR="750671CE" w:rsidRPr="750671CE">
        <w:rPr>
          <w:rFonts w:ascii="Times New Roman" w:eastAsia="Times New Roman" w:hAnsi="Times New Roman" w:cs="Times New Roman"/>
        </w:rPr>
        <w:t xml:space="preserve"> </w:t>
      </w:r>
      <w:r w:rsidR="00B86D81">
        <w:rPr>
          <w:rFonts w:ascii="Times New Roman" w:eastAsia="Times New Roman" w:hAnsi="Times New Roman" w:cs="Times New Roman"/>
        </w:rPr>
        <w:t xml:space="preserve">would that be?  Note that some medical care providers such as Kaiser Permanente ask their patients to agree up front to binding arbitration in the event of a medical malpractice claim.  In some states, the enforceability of such agreements has been called into doubt. </w:t>
      </w:r>
      <w:r w:rsidR="750671CE" w:rsidRPr="750671CE">
        <w:rPr>
          <w:rFonts w:ascii="Times New Roman" w:eastAsia="Times New Roman" w:hAnsi="Times New Roman" w:cs="Times New Roman"/>
        </w:rPr>
        <w:t xml:space="preserve"> </w:t>
      </w:r>
      <w:r w:rsidR="00B86D81" w:rsidRPr="00B86D81">
        <w:rPr>
          <w:rFonts w:ascii="Times New Roman" w:eastAsia="Times New Roman" w:hAnsi="Times New Roman" w:cs="Times New Roman"/>
          <w:i/>
        </w:rPr>
        <w:t>See</w:t>
      </w:r>
      <w:r w:rsidR="00B86D81" w:rsidRPr="00B86D81">
        <w:rPr>
          <w:rFonts w:ascii="Times New Roman" w:eastAsia="Times New Roman" w:hAnsi="Times New Roman" w:cs="Times New Roman"/>
        </w:rPr>
        <w:t>,</w:t>
      </w:r>
      <w:r w:rsidR="00B86D81" w:rsidRPr="00B86D81">
        <w:rPr>
          <w:rFonts w:ascii="Times New Roman" w:eastAsia="Times New Roman" w:hAnsi="Times New Roman" w:cs="Times New Roman"/>
          <w:i/>
        </w:rPr>
        <w:t xml:space="preserve"> e.g</w:t>
      </w:r>
      <w:r w:rsidR="00B86D81">
        <w:rPr>
          <w:rFonts w:ascii="Times New Roman" w:eastAsia="Times New Roman" w:hAnsi="Times New Roman" w:cs="Times New Roman"/>
        </w:rPr>
        <w:t xml:space="preserve">., </w:t>
      </w:r>
      <w:r w:rsidR="00B86D81" w:rsidRPr="00B86D81">
        <w:rPr>
          <w:rFonts w:ascii="Times New Roman" w:eastAsia="Times New Roman" w:hAnsi="Times New Roman" w:cs="Times New Roman"/>
          <w:i/>
        </w:rPr>
        <w:t>Hernandez v. Crespo</w:t>
      </w:r>
      <w:r w:rsidR="00B86D81">
        <w:rPr>
          <w:rFonts w:ascii="Times New Roman" w:eastAsia="Times New Roman" w:hAnsi="Times New Roman" w:cs="Times New Roman"/>
        </w:rPr>
        <w:t>, 211 So.3d 19 (Fl. 2016).</w:t>
      </w:r>
    </w:p>
    <w:p w14:paraId="304D517A" w14:textId="77777777" w:rsidR="00205CC8" w:rsidRDefault="00205CC8" w:rsidP="750671CE">
      <w:pPr>
        <w:rPr>
          <w:rFonts w:ascii="Times New Roman" w:eastAsia="Times New Roman" w:hAnsi="Times New Roman" w:cs="Times New Roman"/>
        </w:rPr>
      </w:pPr>
    </w:p>
    <w:p w14:paraId="4DBCE16E" w14:textId="1BFC8FAE" w:rsidR="00205CC8" w:rsidRDefault="00205CC8" w:rsidP="750671CE">
      <w:pPr>
        <w:rPr>
          <w:rFonts w:ascii="Times New Roman" w:eastAsia="Times New Roman" w:hAnsi="Times New Roman" w:cs="Times New Roman"/>
        </w:rPr>
      </w:pPr>
      <w:r>
        <w:rPr>
          <w:rFonts w:ascii="Times New Roman" w:eastAsia="Times New Roman" w:hAnsi="Times New Roman" w:cs="Times New Roman"/>
        </w:rPr>
        <w:tab/>
        <w:t xml:space="preserve">6.  </w:t>
      </w:r>
      <w:r w:rsidRPr="00205CC8">
        <w:rPr>
          <w:rFonts w:ascii="Times New Roman" w:eastAsia="Times New Roman" w:hAnsi="Times New Roman" w:cs="Times New Roman"/>
          <w:i/>
        </w:rPr>
        <w:t>Waivers in popular culture</w:t>
      </w:r>
      <w:r>
        <w:rPr>
          <w:rFonts w:ascii="Times New Roman" w:eastAsia="Times New Roman" w:hAnsi="Times New Roman" w:cs="Times New Roman"/>
        </w:rPr>
        <w:t xml:space="preserve">.  Don’t miss Donald Glover’s </w:t>
      </w:r>
      <w:r w:rsidRPr="00205CC8">
        <w:rPr>
          <w:rFonts w:ascii="Times New Roman" w:eastAsia="Times New Roman" w:hAnsi="Times New Roman" w:cs="Times New Roman"/>
          <w:i/>
        </w:rPr>
        <w:t>Saturday Night Live</w:t>
      </w:r>
      <w:r>
        <w:rPr>
          <w:rFonts w:ascii="Times New Roman" w:eastAsia="Times New Roman" w:hAnsi="Times New Roman" w:cs="Times New Roman"/>
        </w:rPr>
        <w:t xml:space="preserve"> send-up of modern waiver practice.  Begin at the 1:05 mark.  </w:t>
      </w:r>
      <w:hyperlink r:id="rId55" w:history="1">
        <w:r w:rsidRPr="007941D2">
          <w:rPr>
            <w:rStyle w:val="Hyperlink"/>
            <w:rFonts w:ascii="Times New Roman" w:eastAsia="Times New Roman" w:hAnsi="Times New Roman" w:cs="Times New Roman"/>
          </w:rPr>
          <w:t>https://www.youtube.com/watch?v=6F8mJZkP-Hg</w:t>
        </w:r>
      </w:hyperlink>
    </w:p>
    <w:p w14:paraId="213B8E90" w14:textId="62210696" w:rsidR="00205CC8" w:rsidRDefault="00205CC8" w:rsidP="750671CE">
      <w:pPr>
        <w:rPr>
          <w:rFonts w:ascii="Times New Roman" w:eastAsia="Times New Roman" w:hAnsi="Times New Roman" w:cs="Times New Roman"/>
        </w:rPr>
      </w:pPr>
      <w:r>
        <w:rPr>
          <w:rFonts w:ascii="Times New Roman" w:eastAsia="Times New Roman" w:hAnsi="Times New Roman" w:cs="Times New Roman"/>
        </w:rPr>
        <w:t xml:space="preserve"> </w:t>
      </w:r>
    </w:p>
    <w:p w14:paraId="03292DC5" w14:textId="77777777" w:rsidR="006B3A73" w:rsidRDefault="006B3A73" w:rsidP="750671CE">
      <w:pPr>
        <w:rPr>
          <w:rFonts w:ascii="Times New Roman" w:eastAsia="Times New Roman" w:hAnsi="Times New Roman" w:cs="Times New Roman"/>
        </w:rPr>
      </w:pPr>
    </w:p>
    <w:p w14:paraId="5DCD7EB6" w14:textId="77777777" w:rsidR="006B3A73" w:rsidRPr="004709CA" w:rsidRDefault="006B3A73" w:rsidP="750671CE">
      <w:pPr>
        <w:rPr>
          <w:rFonts w:ascii="Times New Roman" w:eastAsia="Times New Roman" w:hAnsi="Times New Roman" w:cs="Times New Roman"/>
        </w:rPr>
      </w:pPr>
    </w:p>
    <w:p w14:paraId="14D53670" w14:textId="77777777" w:rsidR="004709CA" w:rsidRDefault="004709CA" w:rsidP="00414F79">
      <w:pPr>
        <w:rPr>
          <w:rFonts w:ascii="Times New Roman" w:hAnsi="Times New Roman" w:cs="Times New Roman"/>
        </w:rPr>
      </w:pPr>
    </w:p>
    <w:p w14:paraId="07278781" w14:textId="77777777" w:rsidR="00414F79" w:rsidRPr="004709CA" w:rsidRDefault="00414F79" w:rsidP="00414F79">
      <w:pPr>
        <w:rPr>
          <w:rFonts w:ascii="Times New Roman" w:hAnsi="Times New Roman" w:cs="Times New Roman"/>
        </w:rPr>
      </w:pPr>
    </w:p>
    <w:p w14:paraId="65C99428" w14:textId="20BC5CAC" w:rsidR="004709CA" w:rsidRPr="004709CA" w:rsidRDefault="004709CA" w:rsidP="002502CC">
      <w:pPr>
        <w:pStyle w:val="Heading4"/>
      </w:pPr>
      <w:bookmarkStart w:id="408" w:name="_Toc364636159"/>
      <w:bookmarkStart w:id="409" w:name="_Toc518323378"/>
      <w:r w:rsidRPr="004709CA">
        <w:t>Waivers in Modern Life: One Professor</w:t>
      </w:r>
      <w:r w:rsidR="00B05F31">
        <w:t>’</w:t>
      </w:r>
      <w:r w:rsidRPr="004709CA">
        <w:t>s Waivers</w:t>
      </w:r>
      <w:bookmarkEnd w:id="408"/>
      <w:bookmarkEnd w:id="409"/>
    </w:p>
    <w:p w14:paraId="0145B939" w14:textId="77777777" w:rsidR="004709CA" w:rsidRPr="004709CA" w:rsidRDefault="004709CA">
      <w:pPr>
        <w:rPr>
          <w:rFonts w:ascii="Times New Roman" w:hAnsi="Times New Roman" w:cs="Times New Roman"/>
        </w:rPr>
      </w:pPr>
    </w:p>
    <w:p w14:paraId="6ADF6864" w14:textId="0B59097C" w:rsidR="004709CA" w:rsidRPr="004709CA" w:rsidRDefault="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Reviewing the following waivers, which do you think are enforceable and which are not?  Note that the first waiver comes right on the heels of </w:t>
      </w:r>
      <w:r w:rsidRPr="750671CE">
        <w:rPr>
          <w:rFonts w:ascii="Times New Roman" w:eastAsia="Times New Roman" w:hAnsi="Times New Roman" w:cs="Times New Roman"/>
          <w:i/>
          <w:iCs/>
        </w:rPr>
        <w:t>Dalury</w:t>
      </w:r>
      <w:r w:rsidRPr="750671CE">
        <w:rPr>
          <w:rFonts w:ascii="Times New Roman" w:eastAsia="Times New Roman" w:hAnsi="Times New Roman" w:cs="Times New Roman"/>
        </w:rPr>
        <w:t xml:space="preserve"> in Vermont.</w:t>
      </w:r>
    </w:p>
    <w:p w14:paraId="17B4B65F" w14:textId="77777777" w:rsidR="004709CA" w:rsidRPr="004709CA" w:rsidRDefault="004709CA">
      <w:pPr>
        <w:rPr>
          <w:rFonts w:ascii="Times New Roman" w:hAnsi="Times New Roman" w:cs="Times New Roman"/>
        </w:rPr>
      </w:pPr>
    </w:p>
    <w:p w14:paraId="0AC52B10" w14:textId="7FF12FFC"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r w:rsidR="008B54F1">
        <w:rPr>
          <w:rFonts w:ascii="Times New Roman" w:hAnsi="Times New Roman" w:cs="Times New Roman"/>
          <w:noProof/>
          <w:lang w:eastAsia="en-US"/>
        </w:rPr>
        <w:drawing>
          <wp:inline distT="0" distB="0" distL="0" distR="0" wp14:anchorId="62CACD4E" wp14:editId="0AE05DB2">
            <wp:extent cx="5486400" cy="7546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7546975"/>
                    </a:xfrm>
                    <a:prstGeom prst="rect">
                      <a:avLst/>
                    </a:prstGeom>
                  </pic:spPr>
                </pic:pic>
              </a:graphicData>
            </a:graphic>
          </wp:inline>
        </w:drawing>
      </w:r>
    </w:p>
    <w:p w14:paraId="4911C267"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495BCF18" w14:textId="77777777" w:rsidR="004709CA" w:rsidRPr="004709CA" w:rsidRDefault="004709CA" w:rsidP="004709CA">
      <w:pPr>
        <w:rPr>
          <w:rFonts w:ascii="Times New Roman" w:hAnsi="Times New Roman" w:cs="Times New Roman"/>
        </w:rPr>
      </w:pPr>
    </w:p>
    <w:p w14:paraId="6224B837" w14:textId="6BC3BC76" w:rsidR="004709CA" w:rsidRPr="004709CA" w:rsidRDefault="00E5565A" w:rsidP="004709CA">
      <w:pPr>
        <w:rPr>
          <w:rFonts w:ascii="Times New Roman" w:hAnsi="Times New Roman" w:cs="Times New Roman"/>
        </w:rPr>
      </w:pPr>
      <w:r>
        <w:rPr>
          <w:rFonts w:ascii="Times New Roman" w:hAnsi="Times New Roman" w:cs="Times New Roman"/>
          <w:noProof/>
          <w:lang w:eastAsia="en-US"/>
        </w:rPr>
        <w:drawing>
          <wp:inline distT="0" distB="0" distL="0" distR="0" wp14:anchorId="4F21E21E" wp14:editId="481BB336">
            <wp:extent cx="54864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ttBounce.jpg"/>
                    <pic:cNvPicPr/>
                  </pic:nvPicPr>
                  <pic:blipFill>
                    <a:blip r:embed="rId57">
                      <a:extLst>
                        <a:ext uri="{28A0092B-C50C-407E-A947-70E740481C1C}">
                          <a14:useLocalDpi xmlns:a14="http://schemas.microsoft.com/office/drawing/2010/main" val="0"/>
                        </a:ext>
                      </a:extLst>
                    </a:blip>
                    <a:stretch>
                      <a:fillRect/>
                    </a:stretch>
                  </pic:blipFill>
                  <pic:spPr>
                    <a:xfrm>
                      <a:off x="0" y="0"/>
                      <a:ext cx="5486400" cy="6858000"/>
                    </a:xfrm>
                    <a:prstGeom prst="rect">
                      <a:avLst/>
                    </a:prstGeom>
                  </pic:spPr>
                </pic:pic>
              </a:graphicData>
            </a:graphic>
          </wp:inline>
        </w:drawing>
      </w:r>
    </w:p>
    <w:p w14:paraId="35BBF06B"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06031BEE" w14:textId="77777777" w:rsidR="004709CA" w:rsidRPr="004709CA" w:rsidRDefault="004709CA" w:rsidP="004709CA">
      <w:pPr>
        <w:rPr>
          <w:rFonts w:ascii="Times New Roman" w:hAnsi="Times New Roman" w:cs="Times New Roman"/>
        </w:rPr>
      </w:pPr>
    </w:p>
    <w:p w14:paraId="405331E2" w14:textId="77777777"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2AD7C53" w14:textId="77777777" w:rsidR="004709CA" w:rsidRPr="004709CA" w:rsidRDefault="004709CA" w:rsidP="004709CA">
      <w:pPr>
        <w:rPr>
          <w:rFonts w:ascii="Times New Roman" w:hAnsi="Times New Roman" w:cs="Times New Roman"/>
        </w:rPr>
      </w:pPr>
    </w:p>
    <w:p w14:paraId="64875218" w14:textId="77777777" w:rsidR="004709CA" w:rsidRPr="004709CA" w:rsidRDefault="004709CA" w:rsidP="004709CA">
      <w:pPr>
        <w:rPr>
          <w:rFonts w:ascii="Times New Roman" w:hAnsi="Times New Roman" w:cs="Times New Roman"/>
        </w:rPr>
      </w:pPr>
    </w:p>
    <w:p w14:paraId="366549AC" w14:textId="77777777" w:rsidR="004709CA" w:rsidRPr="004709CA" w:rsidRDefault="004709CA" w:rsidP="004709CA">
      <w:pPr>
        <w:rPr>
          <w:rFonts w:ascii="Times New Roman" w:hAnsi="Times New Roman" w:cs="Times New Roman"/>
        </w:rPr>
      </w:pPr>
    </w:p>
    <w:p w14:paraId="66C814FD" w14:textId="77777777" w:rsidR="004709CA" w:rsidRPr="004709CA" w:rsidRDefault="004709CA" w:rsidP="004709CA">
      <w:pPr>
        <w:rPr>
          <w:rFonts w:ascii="Times New Roman" w:hAnsi="Times New Roman" w:cs="Times New Roman"/>
        </w:rPr>
      </w:pPr>
    </w:p>
    <w:p w14:paraId="24DA0F05" w14:textId="360A9370" w:rsidR="004709CA" w:rsidRPr="004709CA" w:rsidRDefault="004709CA" w:rsidP="004709CA">
      <w:pPr>
        <w:rPr>
          <w:rFonts w:ascii="Times New Roman" w:hAnsi="Times New Roman" w:cs="Times New Roman"/>
        </w:rPr>
      </w:pPr>
      <w:r w:rsidRPr="004709CA">
        <w:rPr>
          <w:rFonts w:ascii="Times New Roman" w:hAnsi="Times New Roman" w:cs="Times New Roman"/>
        </w:rPr>
        <w:t xml:space="preserve"> </w:t>
      </w:r>
    </w:p>
    <w:p w14:paraId="5C7EF5E0" w14:textId="77777777" w:rsidR="004709CA" w:rsidRPr="004709CA" w:rsidRDefault="004709CA" w:rsidP="004709CA">
      <w:pPr>
        <w:rPr>
          <w:rFonts w:ascii="Times New Roman" w:hAnsi="Times New Roman" w:cs="Times New Roman"/>
        </w:rPr>
      </w:pPr>
    </w:p>
    <w:p w14:paraId="0DAB8206" w14:textId="77777777" w:rsidR="004709CA" w:rsidRPr="004709CA" w:rsidRDefault="004709CA" w:rsidP="004709CA">
      <w:pPr>
        <w:rPr>
          <w:rFonts w:ascii="Times New Roman" w:hAnsi="Times New Roman" w:cs="Times New Roman"/>
        </w:rPr>
      </w:pPr>
    </w:p>
    <w:p w14:paraId="07A7C606" w14:textId="77777777" w:rsidR="004709CA" w:rsidRPr="004709CA" w:rsidRDefault="004709CA" w:rsidP="004709CA">
      <w:pPr>
        <w:rPr>
          <w:rFonts w:ascii="Times New Roman" w:hAnsi="Times New Roman" w:cs="Times New Roman"/>
        </w:rPr>
      </w:pPr>
    </w:p>
    <w:p w14:paraId="4A647D3D" w14:textId="77777777" w:rsidR="004709CA" w:rsidRPr="004709CA" w:rsidRDefault="004709CA" w:rsidP="004709CA">
      <w:pPr>
        <w:rPr>
          <w:rFonts w:ascii="Times New Roman" w:hAnsi="Times New Roman" w:cs="Times New Roman"/>
        </w:rPr>
      </w:pPr>
    </w:p>
    <w:p w14:paraId="0C257BAF" w14:textId="77777777" w:rsidR="004709CA" w:rsidRPr="004709CA" w:rsidRDefault="004709CA" w:rsidP="004709CA">
      <w:pPr>
        <w:rPr>
          <w:rFonts w:ascii="Times New Roman" w:hAnsi="Times New Roman" w:cs="Times New Roman"/>
        </w:rPr>
      </w:pPr>
    </w:p>
    <w:p w14:paraId="150698FB" w14:textId="46D5E2CE" w:rsidR="004709CA" w:rsidRPr="004709CA" w:rsidRDefault="00C24D13" w:rsidP="004709CA">
      <w:pPr>
        <w:rPr>
          <w:rFonts w:ascii="Times New Roman" w:hAnsi="Times New Roman" w:cs="Times New Roman"/>
        </w:rPr>
      </w:pPr>
      <w:r>
        <w:rPr>
          <w:rFonts w:ascii="Times New Roman" w:hAnsi="Times New Roman" w:cs="Times New Roman"/>
          <w:noProof/>
          <w:lang w:eastAsia="en-US"/>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58">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92795B3" w14:textId="727BD833" w:rsidR="004709CA" w:rsidRDefault="00CF1C5D" w:rsidP="004709CA">
      <w:pPr>
        <w:rPr>
          <w:rFonts w:ascii="Times New Roman" w:hAnsi="Times New Roman" w:cs="Times New Roman"/>
        </w:rPr>
      </w:pPr>
      <w:r>
        <w:rPr>
          <w:rFonts w:ascii="Times New Roman" w:hAnsi="Times New Roman" w:cs="Times New Roman"/>
          <w:noProof/>
          <w:lang w:eastAsia="en-US"/>
        </w:rPr>
        <w:drawing>
          <wp:inline distT="0" distB="0" distL="0" distR="0" wp14:anchorId="14221970" wp14:editId="264A0C27">
            <wp:extent cx="5486400" cy="68573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ittSportsCamp.jpg"/>
                    <pic:cNvPicPr/>
                  </pic:nvPicPr>
                  <pic:blipFill>
                    <a:blip r:embed="rId59">
                      <a:extLst>
                        <a:ext uri="{28A0092B-C50C-407E-A947-70E740481C1C}">
                          <a14:useLocalDpi xmlns:a14="http://schemas.microsoft.com/office/drawing/2010/main" val="0"/>
                        </a:ext>
                      </a:extLst>
                    </a:blip>
                    <a:stretch>
                      <a:fillRect/>
                    </a:stretch>
                  </pic:blipFill>
                  <pic:spPr>
                    <a:xfrm>
                      <a:off x="0" y="0"/>
                      <a:ext cx="5486400" cy="6857365"/>
                    </a:xfrm>
                    <a:prstGeom prst="rect">
                      <a:avLst/>
                    </a:prstGeom>
                  </pic:spPr>
                </pic:pic>
              </a:graphicData>
            </a:graphic>
          </wp:inline>
        </w:drawing>
      </w:r>
    </w:p>
    <w:p w14:paraId="6B457959" w14:textId="77777777" w:rsidR="00342F79" w:rsidRPr="004709CA" w:rsidRDefault="00342F79" w:rsidP="004709CA">
      <w:pPr>
        <w:rPr>
          <w:rFonts w:ascii="Times New Roman" w:hAnsi="Times New Roman" w:cs="Times New Roman"/>
        </w:rPr>
      </w:pPr>
    </w:p>
    <w:p w14:paraId="3EA6B690" w14:textId="77777777" w:rsidR="004709CA" w:rsidRPr="004709CA" w:rsidRDefault="004709CA" w:rsidP="002502CC">
      <w:pPr>
        <w:pStyle w:val="Heading4"/>
      </w:pPr>
      <w:bookmarkStart w:id="410" w:name="_Toc364636160"/>
      <w:bookmarkStart w:id="411" w:name="_Toc518323379"/>
      <w:r w:rsidRPr="004709CA">
        <w:t>Note</w:t>
      </w:r>
      <w:bookmarkEnd w:id="410"/>
      <w:bookmarkEnd w:id="411"/>
    </w:p>
    <w:p w14:paraId="1CB6978B" w14:textId="77777777" w:rsidR="004709CA" w:rsidRPr="004709CA" w:rsidRDefault="004709CA" w:rsidP="004709CA">
      <w:pPr>
        <w:rPr>
          <w:rFonts w:ascii="Times New Roman" w:hAnsi="Times New Roman" w:cs="Times New Roman"/>
        </w:rPr>
      </w:pPr>
    </w:p>
    <w:p w14:paraId="23E0722F" w14:textId="56CCCA5D" w:rsidR="004709CA" w:rsidRPr="00F94B7E" w:rsidRDefault="750671CE" w:rsidP="00F94B7E">
      <w:pPr>
        <w:pStyle w:val="ListParagraph"/>
        <w:numPr>
          <w:ilvl w:val="0"/>
          <w:numId w:val="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Parental Waivers</w:t>
      </w:r>
      <w:r w:rsidRPr="00F94B7E">
        <w:rPr>
          <w:rFonts w:ascii="Times New Roman" w:eastAsia="Times New Roman" w:hAnsi="Times New Roman" w:cs="Times New Roman"/>
        </w:rPr>
        <w:t>.  Does your assessment of the considerations underlying the assumption of the risk doctrine change when the person who signed a waiver promising to assume the risk is not the injured party, but a parent or guardian? Should a parent</w:t>
      </w:r>
      <w:r w:rsidR="00B05F31">
        <w:rPr>
          <w:rFonts w:ascii="Times New Roman" w:eastAsia="Times New Roman" w:hAnsi="Times New Roman" w:cs="Times New Roman"/>
        </w:rPr>
        <w:t>’</w:t>
      </w:r>
      <w:r w:rsidRPr="00F94B7E">
        <w:rPr>
          <w:rFonts w:ascii="Times New Roman" w:eastAsia="Times New Roman" w:hAnsi="Times New Roman" w:cs="Times New Roman"/>
        </w:rPr>
        <w:t>s assumption of the risk via waiver agreement be effective when they are claiming to assume the risk for their child?</w:t>
      </w:r>
    </w:p>
    <w:p w14:paraId="748941DF" w14:textId="77777777" w:rsidR="004709CA" w:rsidRPr="004709CA" w:rsidRDefault="004709CA" w:rsidP="004709CA">
      <w:pPr>
        <w:rPr>
          <w:rFonts w:ascii="Times New Roman" w:hAnsi="Times New Roman" w:cs="Times New Roman"/>
        </w:rPr>
      </w:pPr>
    </w:p>
    <w:p w14:paraId="50B10F2F" w14:textId="025188F2"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When presented with these questions, most states void the agreement as being against public policy</w:t>
      </w:r>
      <w:r w:rsidR="005B3D19">
        <w:rPr>
          <w:rFonts w:ascii="Times New Roman" w:eastAsia="Times New Roman" w:hAnsi="Times New Roman" w:cs="Times New Roman"/>
        </w:rPr>
        <w:sym w:font="Symbol" w:char="F0BE"/>
      </w:r>
      <w:r w:rsidRPr="750671CE">
        <w:rPr>
          <w:rFonts w:ascii="Times New Roman" w:eastAsia="Times New Roman" w:hAnsi="Times New Roman" w:cs="Times New Roman"/>
        </w:rPr>
        <w:t xml:space="preserve">either by applying the </w:t>
      </w:r>
      <w:r w:rsidRPr="750671CE">
        <w:rPr>
          <w:rFonts w:ascii="Times New Roman" w:eastAsia="Times New Roman" w:hAnsi="Times New Roman" w:cs="Times New Roman"/>
          <w:i/>
          <w:iCs/>
        </w:rPr>
        <w:t>Tunkl</w:t>
      </w:r>
      <w:r w:rsidRPr="750671CE">
        <w:rPr>
          <w:rFonts w:ascii="Times New Roman" w:eastAsia="Times New Roman" w:hAnsi="Times New Roman" w:cs="Times New Roman"/>
        </w:rPr>
        <w:t xml:space="preserve"> factors laid out in </w:t>
      </w:r>
      <w:r w:rsidRPr="750671CE">
        <w:rPr>
          <w:rFonts w:ascii="Times New Roman" w:eastAsia="Times New Roman" w:hAnsi="Times New Roman" w:cs="Times New Roman"/>
          <w:i/>
          <w:iCs/>
        </w:rPr>
        <w:t>Dalury</w:t>
      </w:r>
      <w:r w:rsidRPr="750671CE">
        <w:rPr>
          <w:rFonts w:ascii="Times New Roman" w:eastAsia="Times New Roman" w:hAnsi="Times New Roman" w:cs="Times New Roman"/>
        </w:rPr>
        <w:t xml:space="preserve">, or by noting the special interests of the state in protecting minors. In </w:t>
      </w:r>
      <w:r w:rsidRPr="750671CE">
        <w:rPr>
          <w:rFonts w:ascii="Times New Roman" w:eastAsia="Times New Roman" w:hAnsi="Times New Roman" w:cs="Times New Roman"/>
          <w:i/>
          <w:iCs/>
        </w:rPr>
        <w:t>Cooper v. Aspen Skiing</w:t>
      </w:r>
      <w:r w:rsidRPr="750671CE">
        <w:rPr>
          <w:rFonts w:ascii="Times New Roman" w:eastAsia="Times New Roman" w:hAnsi="Times New Roman" w:cs="Times New Roman"/>
        </w:rPr>
        <w:t>, 48 P.3d 1229 (</w:t>
      </w:r>
      <w:r w:rsidR="005B3D19">
        <w:rPr>
          <w:rFonts w:ascii="Times New Roman" w:eastAsia="Times New Roman" w:hAnsi="Times New Roman" w:cs="Times New Roman"/>
        </w:rPr>
        <w:t xml:space="preserve">Colo. </w:t>
      </w:r>
      <w:r w:rsidRPr="750671CE">
        <w:rPr>
          <w:rFonts w:ascii="Times New Roman" w:eastAsia="Times New Roman" w:hAnsi="Times New Roman" w:cs="Times New Roman"/>
        </w:rPr>
        <w:t xml:space="preserve">2002), for example, the Colorado Supreme Court held that a waiver signed by a parent when signing her 17-year old son up for ski racing instruction was void as against public policy. </w:t>
      </w:r>
      <w:r w:rsidR="00B05F31">
        <w:rPr>
          <w:rFonts w:ascii="Times New Roman" w:eastAsia="Times New Roman" w:hAnsi="Times New Roman" w:cs="Times New Roman"/>
        </w:rPr>
        <w:t>“</w:t>
      </w:r>
      <w:r w:rsidRPr="750671CE">
        <w:rPr>
          <w:rFonts w:ascii="Times New Roman" w:eastAsia="Times New Roman" w:hAnsi="Times New Roman" w:cs="Times New Roman"/>
        </w:rPr>
        <w:t>In the tort context especially,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court said, </w:t>
      </w:r>
      <w:r w:rsidR="00B05F31">
        <w:rPr>
          <w:rFonts w:ascii="Times New Roman" w:eastAsia="Times New Roman" w:hAnsi="Times New Roman" w:cs="Times New Roman"/>
        </w:rPr>
        <w:t>“</w:t>
      </w:r>
      <w:r w:rsidRPr="750671CE">
        <w:rPr>
          <w:rFonts w:ascii="Times New Roman" w:eastAsia="Times New Roman" w:hAnsi="Times New Roman" w:cs="Times New Roman"/>
        </w:rPr>
        <w:t>a minor should be afforded protection not only from his own improvident decision to release his possible prospective claims . . . but also from unwise decisions made on his behalf by parents who are routinely asked to release their child</w:t>
      </w:r>
      <w:r w:rsidR="00B05F31">
        <w:rPr>
          <w:rFonts w:ascii="Times New Roman" w:eastAsia="Times New Roman" w:hAnsi="Times New Roman" w:cs="Times New Roman"/>
        </w:rPr>
        <w:t>’</w:t>
      </w:r>
      <w:r w:rsidRPr="750671CE">
        <w:rPr>
          <w:rFonts w:ascii="Times New Roman" w:eastAsia="Times New Roman" w:hAnsi="Times New Roman" w:cs="Times New Roman"/>
        </w:rPr>
        <w:t>s claims for liability.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Id</w:t>
      </w:r>
      <w:r w:rsidRPr="750671CE">
        <w:rPr>
          <w:rFonts w:ascii="Times New Roman" w:eastAsia="Times New Roman" w:hAnsi="Times New Roman" w:cs="Times New Roman"/>
        </w:rPr>
        <w:t xml:space="preserve">. at 1234. </w:t>
      </w:r>
    </w:p>
    <w:p w14:paraId="33A04BA0" w14:textId="77777777" w:rsidR="004709CA" w:rsidRPr="004709CA" w:rsidRDefault="004709CA" w:rsidP="004709CA">
      <w:pPr>
        <w:rPr>
          <w:rFonts w:ascii="Times New Roman" w:hAnsi="Times New Roman" w:cs="Times New Roman"/>
        </w:rPr>
      </w:pPr>
    </w:p>
    <w:p w14:paraId="278212E4" w14:textId="0B7D967C" w:rsidR="004709CA" w:rsidRP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few states permit parental waivers. The Maryland Court of Appeals (that state</w:t>
      </w:r>
      <w:r w:rsidR="00B05F31">
        <w:rPr>
          <w:rFonts w:ascii="Times New Roman" w:eastAsia="Times New Roman" w:hAnsi="Times New Roman" w:cs="Times New Roman"/>
        </w:rPr>
        <w:t>’</w:t>
      </w:r>
      <w:r w:rsidRPr="750671CE">
        <w:rPr>
          <w:rFonts w:ascii="Times New Roman" w:eastAsia="Times New Roman" w:hAnsi="Times New Roman" w:cs="Times New Roman"/>
        </w:rPr>
        <w:t>s highest court), for instance, held a parent</w:t>
      </w:r>
      <w:r w:rsidR="00B05F31">
        <w:rPr>
          <w:rFonts w:ascii="Times New Roman" w:eastAsia="Times New Roman" w:hAnsi="Times New Roman" w:cs="Times New Roman"/>
        </w:rPr>
        <w:t>’</w:t>
      </w:r>
      <w:r w:rsidRPr="750671CE">
        <w:rPr>
          <w:rFonts w:ascii="Times New Roman" w:eastAsia="Times New Roman" w:hAnsi="Times New Roman" w:cs="Times New Roman"/>
        </w:rPr>
        <w:t>s waiver of their child</w:t>
      </w:r>
      <w:r w:rsidR="00B05F31">
        <w:rPr>
          <w:rFonts w:ascii="Times New Roman" w:eastAsia="Times New Roman" w:hAnsi="Times New Roman" w:cs="Times New Roman"/>
        </w:rPr>
        <w:t>’</w:t>
      </w:r>
      <w:r w:rsidRPr="750671CE">
        <w:rPr>
          <w:rFonts w:ascii="Times New Roman" w:eastAsia="Times New Roman" w:hAnsi="Times New Roman" w:cs="Times New Roman"/>
        </w:rPr>
        <w:t>s right to sue enforceable, noting that parents are entrusted with a wide range of decisions touching directly on their child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safety. </w:t>
      </w:r>
      <w:r w:rsidRPr="750671CE">
        <w:rPr>
          <w:rFonts w:ascii="Times New Roman" w:eastAsia="Times New Roman" w:hAnsi="Times New Roman" w:cs="Times New Roman"/>
          <w:i/>
          <w:iCs/>
        </w:rPr>
        <w:t>BJ</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s Wholesale Club v. Rosen</w:t>
      </w:r>
      <w:r w:rsidRPr="750671CE">
        <w:rPr>
          <w:rFonts w:ascii="Times New Roman" w:eastAsia="Times New Roman" w:hAnsi="Times New Roman" w:cs="Times New Roman"/>
        </w:rPr>
        <w:t>, 80 A.3d 345 (</w:t>
      </w:r>
      <w:r w:rsidR="005B3D19">
        <w:rPr>
          <w:rFonts w:ascii="Times New Roman" w:eastAsia="Times New Roman" w:hAnsi="Times New Roman" w:cs="Times New Roman"/>
        </w:rPr>
        <w:t xml:space="preserve">Md. </w:t>
      </w:r>
      <w:r w:rsidRPr="750671CE">
        <w:rPr>
          <w:rFonts w:ascii="Times New Roman" w:eastAsia="Times New Roman" w:hAnsi="Times New Roman" w:cs="Times New Roman"/>
        </w:rPr>
        <w:t>2013). And in 2003</w:t>
      </w:r>
      <w:r w:rsidR="005B3D19">
        <w:rPr>
          <w:rFonts w:ascii="Times New Roman" w:eastAsia="Times New Roman" w:hAnsi="Times New Roman" w:cs="Times New Roman"/>
        </w:rPr>
        <w:sym w:font="Symbol" w:char="F0BE"/>
      </w:r>
      <w:r w:rsidRPr="750671CE">
        <w:rPr>
          <w:rFonts w:ascii="Times New Roman" w:eastAsia="Times New Roman" w:hAnsi="Times New Roman" w:cs="Times New Roman"/>
        </w:rPr>
        <w:t xml:space="preserve">the year after the Colorado Supreme Court had held such waivers unenforceable in </w:t>
      </w:r>
      <w:r w:rsidRPr="750671CE">
        <w:rPr>
          <w:rFonts w:ascii="Times New Roman" w:eastAsia="Times New Roman" w:hAnsi="Times New Roman" w:cs="Times New Roman"/>
          <w:i/>
          <w:iCs/>
        </w:rPr>
        <w:t>Aspen Skiing</w:t>
      </w:r>
      <w:r w:rsidR="005B3D19">
        <w:rPr>
          <w:rFonts w:ascii="Times New Roman" w:eastAsia="Times New Roman" w:hAnsi="Times New Roman" w:cs="Times New Roman"/>
        </w:rPr>
        <w:sym w:font="Symbol" w:char="F0BE"/>
      </w:r>
      <w:r w:rsidRPr="750671CE">
        <w:rPr>
          <w:rFonts w:ascii="Times New Roman" w:eastAsia="Times New Roman" w:hAnsi="Times New Roman" w:cs="Times New Roman"/>
        </w:rPr>
        <w:t>the Colorado legislature passed a law permitting parents to waive their child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right to sue. </w:t>
      </w:r>
      <w:r w:rsidR="005B3D19" w:rsidRPr="00F94B7E">
        <w:rPr>
          <w:rFonts w:ascii="Times New Roman" w:eastAsia="Times New Roman" w:hAnsi="Times New Roman" w:cs="Times New Roman"/>
          <w:smallCaps/>
        </w:rPr>
        <w:t xml:space="preserve">Colo. Rev. Stat. Ann. </w:t>
      </w:r>
      <w:r w:rsidRPr="750671CE">
        <w:rPr>
          <w:rFonts w:ascii="Times New Roman" w:eastAsia="Times New Roman" w:hAnsi="Times New Roman" w:cs="Times New Roman"/>
        </w:rPr>
        <w:t xml:space="preserve">§ 12-22-107. </w:t>
      </w:r>
    </w:p>
    <w:p w14:paraId="441B7F88" w14:textId="77777777" w:rsidR="004709CA" w:rsidRPr="004709CA" w:rsidRDefault="004709CA" w:rsidP="004709CA">
      <w:pPr>
        <w:rPr>
          <w:rFonts w:ascii="Times New Roman" w:hAnsi="Times New Roman" w:cs="Times New Roman"/>
        </w:rPr>
      </w:pPr>
    </w:p>
    <w:p w14:paraId="01D10A63" w14:textId="3AD4ED4B" w:rsidR="004709CA" w:rsidRDefault="004709CA">
      <w:pPr>
        <w:rPr>
          <w:rFonts w:ascii="Times New Roman" w:hAnsi="Times New Roman" w:cs="Times New Roman"/>
        </w:rPr>
      </w:pPr>
      <w:r>
        <w:rPr>
          <w:rFonts w:ascii="Times New Roman" w:hAnsi="Times New Roman" w:cs="Times New Roman"/>
        </w:rPr>
        <w:br w:type="page"/>
      </w:r>
    </w:p>
    <w:p w14:paraId="2FB9B6E8" w14:textId="77777777" w:rsidR="00FF20BE" w:rsidRDefault="00FF20BE" w:rsidP="00296689">
      <w:pPr>
        <w:pStyle w:val="Heading1"/>
        <w:sectPr w:rsidR="00FF20BE" w:rsidSect="00080A6E">
          <w:headerReference w:type="default" r:id="rId60"/>
          <w:pgSz w:w="12240" w:h="15840"/>
          <w:pgMar w:top="1440" w:right="1800" w:bottom="1440" w:left="1800" w:header="720" w:footer="720" w:gutter="0"/>
          <w:cols w:space="720"/>
          <w:noEndnote/>
          <w:titlePg/>
        </w:sectPr>
      </w:pPr>
    </w:p>
    <w:p w14:paraId="1A2A7225" w14:textId="5D2A02C9" w:rsidR="004709CA" w:rsidRPr="00CF5A3A" w:rsidRDefault="750671CE" w:rsidP="00296689">
      <w:pPr>
        <w:pStyle w:val="Heading1"/>
      </w:pPr>
      <w:bookmarkStart w:id="412" w:name="_Toc364636161"/>
      <w:bookmarkStart w:id="413" w:name="_Toc518323380"/>
      <w:r>
        <w:t>CHAPTER 6.  CAUSATION</w:t>
      </w:r>
      <w:bookmarkEnd w:id="412"/>
      <w:bookmarkEnd w:id="413"/>
    </w:p>
    <w:p w14:paraId="573F8328" w14:textId="77777777" w:rsidR="00DE5656" w:rsidRDefault="00DE5656" w:rsidP="004709CA">
      <w:pPr>
        <w:rPr>
          <w:rFonts w:ascii="Times New Roman" w:hAnsi="Times New Roman" w:cs="Times New Roman"/>
        </w:rPr>
      </w:pPr>
    </w:p>
    <w:p w14:paraId="4A620620" w14:textId="78BFC411" w:rsidR="001401D0" w:rsidRDefault="00B05F31" w:rsidP="750671CE">
      <w:pPr>
        <w:ind w:left="720" w:right="720"/>
        <w:rPr>
          <w:rFonts w:ascii="Times New Roman" w:eastAsia="Times New Roman" w:hAnsi="Times New Roman" w:cs="Times New Roman"/>
        </w:rPr>
      </w:pPr>
      <w:r>
        <w:rPr>
          <w:rFonts w:ascii="Times New Roman" w:eastAsia="Times New Roman" w:hAnsi="Times New Roman" w:cs="Times New Roman"/>
        </w:rPr>
        <w:t>“</w:t>
      </w:r>
      <w:r w:rsidR="750671CE" w:rsidRPr="750671CE">
        <w:rPr>
          <w:rFonts w:ascii="Times New Roman" w:eastAsia="Times New Roman" w:hAnsi="Times New Roman" w:cs="Times New Roman"/>
        </w:rPr>
        <w:t xml:space="preserve">The word </w:t>
      </w:r>
      <w:r>
        <w:rPr>
          <w:rFonts w:ascii="Times New Roman" w:eastAsia="Times New Roman" w:hAnsi="Times New Roman" w:cs="Times New Roman"/>
        </w:rPr>
        <w:t>‘</w:t>
      </w:r>
      <w:r w:rsidR="750671CE" w:rsidRPr="750671CE">
        <w:rPr>
          <w:rFonts w:ascii="Times New Roman" w:eastAsia="Times New Roman" w:hAnsi="Times New Roman" w:cs="Times New Roman"/>
        </w:rPr>
        <w:t>cause</w:t>
      </w:r>
      <w:r>
        <w:rPr>
          <w:rFonts w:ascii="Times New Roman" w:eastAsia="Times New Roman" w:hAnsi="Times New Roman" w:cs="Times New Roman"/>
        </w:rPr>
        <w:t>’</w:t>
      </w:r>
      <w:r w:rsidR="750671CE" w:rsidRPr="750671CE">
        <w:rPr>
          <w:rFonts w:ascii="Times New Roman" w:eastAsia="Times New Roman" w:hAnsi="Times New Roman" w:cs="Times New Roman"/>
        </w:rPr>
        <w:t xml:space="preserve"> is</w:t>
      </w:r>
      <w:r w:rsidR="003B64DC">
        <w:rPr>
          <w:rFonts w:ascii="Times New Roman" w:eastAsia="Times New Roman" w:hAnsi="Times New Roman" w:cs="Times New Roman"/>
        </w:rPr>
        <w:t xml:space="preserve"> . . .</w:t>
      </w:r>
      <w:r w:rsidR="750671CE" w:rsidRPr="750671CE">
        <w:rPr>
          <w:rFonts w:ascii="Times New Roman" w:eastAsia="Times New Roman" w:hAnsi="Times New Roman" w:cs="Times New Roman"/>
        </w:rPr>
        <w:t xml:space="preserve"> an altar to an unknown God</w:t>
      </w:r>
      <w:r w:rsidR="003B64DC">
        <w:rPr>
          <w:rFonts w:ascii="Times New Roman" w:eastAsia="Times New Roman" w:hAnsi="Times New Roman" w:cs="Times New Roman"/>
        </w:rPr>
        <w:t>.”</w:t>
      </w:r>
    </w:p>
    <w:p w14:paraId="1B68B44A" w14:textId="77777777" w:rsidR="00DE5656" w:rsidRPr="00DE5656" w:rsidRDefault="00DE5656" w:rsidP="00DE5656">
      <w:pPr>
        <w:ind w:left="720" w:right="720"/>
        <w:rPr>
          <w:rFonts w:ascii="Times New Roman" w:hAnsi="Times New Roman" w:cs="Times New Roman"/>
        </w:rPr>
      </w:pPr>
    </w:p>
    <w:p w14:paraId="45AD2922" w14:textId="6FD1B908" w:rsidR="001401D0" w:rsidRPr="00DE5656" w:rsidRDefault="003B64DC" w:rsidP="750671CE">
      <w:pPr>
        <w:ind w:left="720" w:right="720" w:firstLine="720"/>
        <w:rPr>
          <w:rFonts w:ascii="Times New Roman" w:eastAsia="Times New Roman" w:hAnsi="Times New Roman" w:cs="Times New Roman"/>
        </w:rPr>
      </w:pPr>
      <w:r w:rsidRPr="003B64DC">
        <w:rPr>
          <w:rFonts w:ascii="Times New Roman" w:eastAsia="Times New Roman" w:hAnsi="Times New Roman" w:cs="Times New Roman"/>
        </w:rPr>
        <w:t>—</w:t>
      </w:r>
      <w:r w:rsidR="750671CE" w:rsidRPr="750671CE">
        <w:rPr>
          <w:rFonts w:ascii="Times New Roman" w:eastAsia="Times New Roman" w:hAnsi="Times New Roman" w:cs="Times New Roman"/>
        </w:rPr>
        <w:t xml:space="preserve">William James, </w:t>
      </w:r>
      <w:r w:rsidR="750671CE" w:rsidRPr="750671CE">
        <w:rPr>
          <w:rFonts w:ascii="Times New Roman" w:eastAsia="Times New Roman" w:hAnsi="Times New Roman" w:cs="Times New Roman"/>
          <w:i/>
          <w:iCs/>
        </w:rPr>
        <w:t>The Principles of Psychology</w:t>
      </w:r>
      <w:r w:rsidR="750671CE" w:rsidRPr="750671CE">
        <w:rPr>
          <w:rFonts w:ascii="Times New Roman" w:eastAsia="Times New Roman" w:hAnsi="Times New Roman" w:cs="Times New Roman"/>
        </w:rPr>
        <w:t xml:space="preserve"> (1891)</w:t>
      </w:r>
    </w:p>
    <w:p w14:paraId="2D91DF4E" w14:textId="77777777" w:rsidR="001401D0" w:rsidRPr="00DE5656" w:rsidRDefault="001401D0" w:rsidP="00DE5656">
      <w:pPr>
        <w:ind w:left="720" w:right="720"/>
        <w:rPr>
          <w:rFonts w:ascii="Times New Roman" w:hAnsi="Times New Roman" w:cs="Times New Roman"/>
        </w:rPr>
      </w:pPr>
    </w:p>
    <w:p w14:paraId="50307978" w14:textId="77777777" w:rsidR="001401D0" w:rsidRPr="00DE5656" w:rsidRDefault="001401D0" w:rsidP="00DE5656">
      <w:pPr>
        <w:ind w:left="720" w:right="720"/>
        <w:rPr>
          <w:rFonts w:ascii="Times New Roman" w:hAnsi="Times New Roman" w:cs="Times New Roman"/>
        </w:rPr>
      </w:pPr>
    </w:p>
    <w:p w14:paraId="19AF60F0" w14:textId="1A75CEA8"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Default="004709CA" w:rsidP="004709CA">
      <w:pPr>
        <w:ind w:firstLine="720"/>
        <w:rPr>
          <w:rFonts w:ascii="Times New Roman" w:hAnsi="Times New Roman" w:cs="Times New Roman"/>
        </w:rPr>
      </w:pPr>
    </w:p>
    <w:p w14:paraId="79CAAB9E" w14:textId="0AC329FA"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causation requirement is famously puzzling.  Why do we even have a causation requirement?  If our exclusive goal were compensation, for example, a causation requirement might be perverse.  Why not call on </w:t>
      </w:r>
      <w:r w:rsidR="001337B6">
        <w:rPr>
          <w:rFonts w:ascii="Times New Roman" w:eastAsia="Times New Roman" w:hAnsi="Times New Roman" w:cs="Times New Roman"/>
        </w:rPr>
        <w:t xml:space="preserve">Jeff Bezos or </w:t>
      </w:r>
      <w:r w:rsidRPr="750671CE">
        <w:rPr>
          <w:rFonts w:ascii="Times New Roman" w:eastAsia="Times New Roman" w:hAnsi="Times New Roman" w:cs="Times New Roman"/>
        </w:rPr>
        <w:t xml:space="preserve">Mark Zuckerberg to provide the compensation, regardless of </w:t>
      </w:r>
      <w:r w:rsidR="001337B6">
        <w:rPr>
          <w:rFonts w:ascii="Times New Roman" w:eastAsia="Times New Roman" w:hAnsi="Times New Roman" w:cs="Times New Roman"/>
        </w:rPr>
        <w:t>any causal connection to</w:t>
      </w:r>
      <w:r w:rsidRPr="750671CE">
        <w:rPr>
          <w:rFonts w:ascii="Times New Roman" w:eastAsia="Times New Roman" w:hAnsi="Times New Roman" w:cs="Times New Roman"/>
        </w:rPr>
        <w:t xml:space="preserve"> the </w:t>
      </w:r>
      <w:r w:rsidR="001337B6">
        <w:rPr>
          <w:rFonts w:ascii="Times New Roman" w:eastAsia="Times New Roman" w:hAnsi="Times New Roman" w:cs="Times New Roman"/>
        </w:rPr>
        <w:t>injury in question</w:t>
      </w:r>
      <w:r w:rsidRPr="750671CE">
        <w:rPr>
          <w:rFonts w:ascii="Times New Roman" w:eastAsia="Times New Roman" w:hAnsi="Times New Roman" w:cs="Times New Roman"/>
        </w:rPr>
        <w:t>?  Moreover, causal reasoning is notoriously complex.  When we label something a cause of something else, when we reason in terms of cause and effect, we are doing more than describing an objective state of affairs.  We are telling deeply value</w:t>
      </w:r>
      <w:r w:rsidR="003843B7">
        <w:rPr>
          <w:rFonts w:ascii="Times New Roman" w:eastAsia="Times New Roman" w:hAnsi="Times New Roman" w:cs="Times New Roman"/>
        </w:rPr>
        <w:t>-</w:t>
      </w:r>
      <w:r w:rsidRPr="750671CE">
        <w:rPr>
          <w:rFonts w:ascii="Times New Roman" w:eastAsia="Times New Roman" w:hAnsi="Times New Roman" w:cs="Times New Roman"/>
        </w:rPr>
        <w:t xml:space="preserve">laden stories about the world.  To talk in terms of causation is very often to smuggle normative premises into an inquiry ostensibly designed to help guide us toward normative conclusions.  </w:t>
      </w:r>
    </w:p>
    <w:p w14:paraId="6F26B8D1" w14:textId="77777777" w:rsidR="004709CA" w:rsidRDefault="004709CA" w:rsidP="004709CA">
      <w:pPr>
        <w:rPr>
          <w:rFonts w:ascii="Times New Roman" w:hAnsi="Times New Roman" w:cs="Times New Roman"/>
        </w:rPr>
      </w:pPr>
    </w:p>
    <w:p w14:paraId="7A7FA7DD" w14:textId="77777777" w:rsidR="00B71846" w:rsidRPr="00FA4733" w:rsidRDefault="00B71846" w:rsidP="004709CA">
      <w:pPr>
        <w:rPr>
          <w:rFonts w:ascii="Times New Roman" w:hAnsi="Times New Roman" w:cs="Times New Roman"/>
        </w:rPr>
      </w:pPr>
    </w:p>
    <w:p w14:paraId="3B8D23D6" w14:textId="77777777" w:rsidR="004709CA" w:rsidRDefault="004709CA" w:rsidP="00112E41">
      <w:pPr>
        <w:pStyle w:val="Heading2"/>
      </w:pPr>
      <w:bookmarkStart w:id="414" w:name="_Toc364636162"/>
      <w:bookmarkStart w:id="415" w:name="_Toc518323381"/>
      <w:r w:rsidRPr="00FA4733">
        <w:t>A. Causation: An Introduction</w:t>
      </w:r>
      <w:bookmarkEnd w:id="414"/>
      <w:bookmarkEnd w:id="415"/>
      <w:r w:rsidRPr="00FA4733">
        <w:t xml:space="preserve"> </w:t>
      </w:r>
    </w:p>
    <w:p w14:paraId="30A4909A" w14:textId="77777777" w:rsidR="004709CA" w:rsidRPr="00FA4733" w:rsidRDefault="004709CA" w:rsidP="004709CA">
      <w:pPr>
        <w:rPr>
          <w:rFonts w:ascii="Times New Roman" w:hAnsi="Times New Roman" w:cs="Times New Roman"/>
          <w:b/>
          <w:i/>
        </w:rPr>
      </w:pPr>
    </w:p>
    <w:p w14:paraId="344C1ED7" w14:textId="32F98CB2"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What do we mean when we say that someone caused injury to another?  Even this simple formulation turns out not to be so simple after closer examination.  A century ago, </w:t>
      </w:r>
      <w:r w:rsidR="00B32121">
        <w:rPr>
          <w:rFonts w:ascii="Times New Roman" w:eastAsia="Times New Roman" w:hAnsi="Times New Roman" w:cs="Times New Roman"/>
        </w:rPr>
        <w:t>j</w:t>
      </w:r>
      <w:r w:rsidRPr="750671CE">
        <w:rPr>
          <w:rFonts w:ascii="Times New Roman" w:eastAsia="Times New Roman" w:hAnsi="Times New Roman" w:cs="Times New Roman"/>
        </w:rPr>
        <w:t>ustices McKenna and Holmes found themselves working through some of the intricacies of this seemingly simple idea:</w:t>
      </w:r>
    </w:p>
    <w:p w14:paraId="6747EF1A" w14:textId="77777777" w:rsidR="004709CA" w:rsidRDefault="004709CA" w:rsidP="004709CA">
      <w:pPr>
        <w:rPr>
          <w:rFonts w:ascii="Times New Roman" w:hAnsi="Times New Roman" w:cs="Times New Roman"/>
        </w:rPr>
      </w:pPr>
    </w:p>
    <w:p w14:paraId="3FDC8644" w14:textId="77777777" w:rsidR="00330E2F" w:rsidRDefault="00330E2F" w:rsidP="004709CA">
      <w:pPr>
        <w:rPr>
          <w:rFonts w:ascii="Times New Roman" w:hAnsi="Times New Roman" w:cs="Times New Roman"/>
        </w:rPr>
      </w:pPr>
    </w:p>
    <w:p w14:paraId="4DAC9FD9" w14:textId="77777777" w:rsidR="004709CA" w:rsidRDefault="004709CA" w:rsidP="750671CE">
      <w:pPr>
        <w:tabs>
          <w:tab w:val="left" w:pos="0"/>
          <w:tab w:val="left" w:pos="180"/>
        </w:tabs>
        <w:rPr>
          <w:rFonts w:ascii="Times New Roman" w:eastAsia="Times New Roman" w:hAnsi="Times New Roman" w:cs="Times New Roman"/>
          <w:b/>
          <w:bCs/>
        </w:rPr>
      </w:pPr>
      <w:bookmarkStart w:id="416" w:name="_Toc518323382"/>
      <w:r w:rsidRPr="00213F5C">
        <w:rPr>
          <w:rStyle w:val="Heading4Char"/>
        </w:rPr>
        <w:t>LeRoy Fibre Co. v. Chicago, M. &amp; S. P. Railway</w:t>
      </w:r>
      <w:bookmarkEnd w:id="416"/>
      <w:r w:rsidRPr="750671CE">
        <w:rPr>
          <w:rFonts w:ascii="Times New Roman" w:eastAsia="Times New Roman" w:hAnsi="Times New Roman" w:cs="Times New Roman"/>
          <w:b/>
          <w:bCs/>
        </w:rPr>
        <w:t>, 232 U.S. 340 (1914)</w:t>
      </w:r>
    </w:p>
    <w:p w14:paraId="727D14C8" w14:textId="77777777" w:rsidR="004709CA" w:rsidRDefault="004709CA" w:rsidP="004709CA">
      <w:pPr>
        <w:tabs>
          <w:tab w:val="left" w:pos="0"/>
          <w:tab w:val="left" w:pos="180"/>
        </w:tabs>
        <w:rPr>
          <w:rFonts w:ascii="Times New Roman" w:hAnsi="Times New Roman" w:cs="Times New Roman"/>
        </w:rPr>
      </w:pPr>
    </w:p>
    <w:p w14:paraId="43932B66" w14:textId="2A975B63" w:rsidR="004709CA" w:rsidRPr="00596D7D" w:rsidRDefault="00156BD9" w:rsidP="750671CE">
      <w:pPr>
        <w:tabs>
          <w:tab w:val="left" w:pos="0"/>
          <w:tab w:val="left" w:pos="180"/>
        </w:tabs>
        <w:rPr>
          <w:rFonts w:ascii="Times New Roman" w:eastAsia="Times New Roman" w:hAnsi="Times New Roman" w:cs="Times New Roman"/>
        </w:rPr>
      </w:pPr>
      <w:r>
        <w:rPr>
          <w:rFonts w:ascii="Times New Roman" w:hAnsi="Times New Roman" w:cs="Times New Roman"/>
        </w:rPr>
        <w:tab/>
      </w:r>
      <w:r w:rsidR="004709CA" w:rsidRPr="750671CE">
        <w:rPr>
          <w:rFonts w:ascii="Times New Roman" w:eastAsia="Times New Roman" w:hAnsi="Times New Roman" w:cs="Times New Roman"/>
        </w:rPr>
        <w:t>[Plaintiff LeRoy Fibre Co. was in the business of producing tow from flax straw, a raw material in textile manufacturing, that it stored in rows of stacks in a lot adjacent to a railroad right-of-way.  The lot</w:t>
      </w:r>
      <w:r w:rsidR="00B05F31">
        <w:rPr>
          <w:rFonts w:ascii="Times New Roman" w:eastAsia="Times New Roman" w:hAnsi="Times New Roman" w:cs="Times New Roman"/>
        </w:rPr>
        <w:t>’</w:t>
      </w:r>
      <w:r w:rsidR="004709CA" w:rsidRPr="750671CE">
        <w:rPr>
          <w:rFonts w:ascii="Times New Roman" w:eastAsia="Times New Roman" w:hAnsi="Times New Roman" w:cs="Times New Roman"/>
        </w:rPr>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rPr>
          <w:rFonts w:ascii="Times New Roman" w:eastAsia="Times New Roman" w:hAnsi="Times New Roman" w:cs="Times New Roman"/>
        </w:rPr>
        <w:t>“</w:t>
      </w:r>
      <w:r w:rsidR="004709CA" w:rsidRPr="00C84830">
        <w:rPr>
          <w:rFonts w:ascii="Times New Roman" w:eastAsia="Times New Roman" w:hAnsi="Times New Roman" w:cs="Times New Roman"/>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4709CA" w:rsidRPr="750671CE">
        <w:rPr>
          <w:rFonts w:ascii="Times New Roman" w:eastAsia="Times New Roman" w:hAnsi="Times New Roman" w:cs="Times New Roman"/>
        </w:rPr>
        <w:t>.</w:t>
      </w:r>
      <w:r w:rsidR="00B05F31">
        <w:rPr>
          <w:rFonts w:ascii="Times New Roman" w:eastAsia="Times New Roman" w:hAnsi="Times New Roman" w:cs="Times New Roman"/>
        </w:rPr>
        <w:t>”</w:t>
      </w:r>
      <w:r w:rsidR="004709CA" w:rsidRPr="750671CE">
        <w:rPr>
          <w:rFonts w:ascii="Times New Roman" w:eastAsia="Times New Roman" w:hAnsi="Times New Roman" w:cs="Times New Roman"/>
        </w:rPr>
        <w:t>]</w:t>
      </w:r>
    </w:p>
    <w:p w14:paraId="7FF4D3DF" w14:textId="77777777" w:rsidR="004709CA" w:rsidRPr="001E127F" w:rsidRDefault="004709CA" w:rsidP="004709CA">
      <w:pPr>
        <w:tabs>
          <w:tab w:val="left" w:pos="0"/>
          <w:tab w:val="left" w:pos="180"/>
        </w:tabs>
        <w:rPr>
          <w:rFonts w:ascii="Times New Roman" w:hAnsi="Times New Roman" w:cs="Times New Roman"/>
        </w:rPr>
      </w:pPr>
    </w:p>
    <w:p w14:paraId="6E7120D3" w14:textId="2187D58C" w:rsidR="004709CA" w:rsidRPr="00E37189"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McKenna</w:t>
      </w:r>
      <w:r w:rsidR="00B978E6">
        <w:rPr>
          <w:rFonts w:ascii="Times New Roman" w:eastAsia="Times New Roman" w:hAnsi="Times New Roman" w:cs="Times New Roman"/>
        </w:rPr>
        <w:t>, J.</w:t>
      </w:r>
    </w:p>
    <w:p w14:paraId="05052096" w14:textId="77777777" w:rsidR="004709CA" w:rsidRPr="00741130" w:rsidRDefault="004709CA" w:rsidP="004709CA">
      <w:pPr>
        <w:rPr>
          <w:rFonts w:ascii="Times New Roman" w:hAnsi="Times New Roman" w:cs="Times New Roman"/>
        </w:rPr>
      </w:pPr>
    </w:p>
    <w:p w14:paraId="30BFDD8E" w14:textId="73182CDB"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questions certified present two facts</w:t>
      </w:r>
      <w:r w:rsidR="0028252C" w:rsidRPr="0028252C">
        <w:rPr>
          <w:rFonts w:ascii="Times New Roman" w:eastAsia="Times New Roman" w:hAnsi="Times New Roman" w:cs="Times New Roman"/>
        </w:rPr>
        <w:t>—</w:t>
      </w:r>
      <w:r w:rsidR="0028252C" w:rsidRPr="0028252C" w:rsidDel="0028252C">
        <w:rPr>
          <w:rFonts w:ascii="Times New Roman" w:eastAsia="Times New Roman" w:hAnsi="Times New Roman" w:cs="Times New Roman"/>
        </w:rPr>
        <w:t xml:space="preserve"> </w:t>
      </w:r>
      <w:r w:rsidRPr="750671CE">
        <w:rPr>
          <w:rFonts w:ascii="Times New Roman" w:eastAsia="Times New Roman" w:hAnsi="Times New Roman" w:cs="Times New Roman"/>
        </w:rPr>
        <w:t>1) The negligence of the railroad was the immediate cause of the destruction of the property. (2) The property was placed by its owner near the right of way of the railroad, but on the owner</w:t>
      </w:r>
      <w:r w:rsidR="00B05F31">
        <w:rPr>
          <w:rFonts w:ascii="Times New Roman" w:eastAsia="Times New Roman" w:hAnsi="Times New Roman" w:cs="Times New Roman"/>
        </w:rPr>
        <w:t>’</w:t>
      </w:r>
      <w:r w:rsidRPr="750671CE">
        <w:rPr>
          <w:rFonts w:ascii="Times New Roman" w:eastAsia="Times New Roman" w:hAnsi="Times New Roman" w:cs="Times New Roman"/>
        </w:rPr>
        <w:t>s own land.</w:t>
      </w:r>
    </w:p>
    <w:p w14:paraId="4BA359DE" w14:textId="77777777" w:rsidR="004709CA" w:rsidRPr="00741130" w:rsidRDefault="004709CA" w:rsidP="004709CA">
      <w:pPr>
        <w:ind w:firstLine="720"/>
        <w:rPr>
          <w:rFonts w:ascii="Times New Roman" w:hAnsi="Times New Roman" w:cs="Times New Roman"/>
        </w:rPr>
      </w:pPr>
    </w:p>
    <w:p w14:paraId="54BB65D9" w14:textId="017DB4F7" w:rsidR="004709CA" w:rsidRPr="00741130"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will be observed, the use of the land was of itself a proper use</w:t>
      </w:r>
      <w:r w:rsidR="006252EE" w:rsidRPr="006252EE">
        <w:rPr>
          <w:rFonts w:ascii="Times New Roman" w:eastAsia="Times New Roman" w:hAnsi="Times New Roman" w:cs="Times New Roman"/>
        </w:rPr>
        <w:t>—</w:t>
      </w:r>
      <w:r w:rsidRPr="750671CE">
        <w:rPr>
          <w:rFonts w:ascii="Times New Roman" w:eastAsia="Times New Roman" w:hAnsi="Times New Roman" w:cs="Times New Roman"/>
        </w:rPr>
        <w:t>it did not interfere with nor embarrass the rightful operation of the railroad. . . .  [T]he questions certified . . . are but phases of the broader one, whether one is limited in the use of one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property by its proximity to a railroad; or, to limit the proposition to the case under review, whether one is subject in its use to the careless as well as to the careful operation of the road . . . </w:t>
      </w:r>
      <w:r w:rsidR="003843B7">
        <w:rPr>
          <w:rFonts w:ascii="Times New Roman" w:eastAsia="Times New Roman" w:hAnsi="Times New Roman" w:cs="Times New Roman"/>
        </w:rPr>
        <w:t xml:space="preserve">. </w:t>
      </w:r>
      <w:r w:rsidRPr="750671CE">
        <w:rPr>
          <w:rFonts w:ascii="Times New Roman" w:eastAsia="Times New Roman" w:hAnsi="Times New Roman" w:cs="Times New Roman"/>
        </w:rPr>
        <w:t>That one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rPr>
          <w:rFonts w:ascii="Times New Roman" w:eastAsia="Times New Roman" w:hAnsi="Times New Roman" w:cs="Times New Roman"/>
        </w:rPr>
        <w:t>“</w:t>
      </w:r>
      <w:r w:rsidRPr="750671CE">
        <w:rPr>
          <w:rFonts w:ascii="Times New Roman" w:eastAsia="Times New Roman" w:hAnsi="Times New Roman" w:cs="Times New Roman"/>
        </w:rPr>
        <w:t>live cinders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Default="004709CA" w:rsidP="004709CA">
      <w:pPr>
        <w:ind w:firstLine="720"/>
        <w:rPr>
          <w:rFonts w:ascii="Times New Roman" w:eastAsia="Times New Roman" w:hAnsi="Times New Roman" w:cs="Times New Roman"/>
        </w:rPr>
      </w:pPr>
    </w:p>
    <w:p w14:paraId="76793AEA"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6FCCE26C" w:rsidR="00213F5C" w:rsidRDefault="00213F5C">
      <w:pPr>
        <w:rPr>
          <w:rFonts w:ascii="Times New Roman" w:hAnsi="Times New Roman" w:cs="Times New Roman"/>
          <w:b/>
        </w:rPr>
      </w:pPr>
      <w:r>
        <w:rPr>
          <w:rFonts w:ascii="Times New Roman" w:hAnsi="Times New Roman" w:cs="Times New Roman"/>
          <w:b/>
        </w:rPr>
        <w:br w:type="page"/>
      </w:r>
    </w:p>
    <w:p w14:paraId="689BC5BD" w14:textId="66499D57"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smallCaps/>
        </w:rPr>
        <w:t>Holmes</w:t>
      </w:r>
      <w:r w:rsidRPr="750671CE">
        <w:rPr>
          <w:rFonts w:ascii="Times New Roman" w:eastAsia="Times New Roman" w:hAnsi="Times New Roman" w:cs="Times New Roman"/>
        </w:rPr>
        <w:t xml:space="preserve">, </w:t>
      </w:r>
      <w:r w:rsidR="0045096C">
        <w:rPr>
          <w:rFonts w:ascii="Times New Roman" w:eastAsia="Times New Roman" w:hAnsi="Times New Roman" w:cs="Times New Roman"/>
        </w:rPr>
        <w:t xml:space="preserve">J., </w:t>
      </w:r>
      <w:r w:rsidRPr="750671CE">
        <w:rPr>
          <w:rFonts w:ascii="Times New Roman" w:eastAsia="Times New Roman" w:hAnsi="Times New Roman" w:cs="Times New Roman"/>
        </w:rPr>
        <w:t>partially concurring:</w:t>
      </w:r>
    </w:p>
    <w:p w14:paraId="3AFDDA7F" w14:textId="77777777" w:rsidR="004709CA" w:rsidRPr="00741130" w:rsidRDefault="004709CA" w:rsidP="004709CA">
      <w:pPr>
        <w:rPr>
          <w:rFonts w:ascii="Times New Roman" w:hAnsi="Times New Roman" w:cs="Times New Roman"/>
        </w:rPr>
      </w:pPr>
    </w:p>
    <w:p w14:paraId="37B41720" w14:textId="0B121A25"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741130" w:rsidRDefault="004709CA" w:rsidP="004709CA">
      <w:pPr>
        <w:tabs>
          <w:tab w:val="left" w:pos="1440"/>
          <w:tab w:val="left" w:pos="7920"/>
        </w:tabs>
        <w:rPr>
          <w:rFonts w:ascii="Times New Roman" w:hAnsi="Times New Roman" w:cs="Times New Roman"/>
        </w:rPr>
      </w:pPr>
    </w:p>
    <w:p w14:paraId="660B2D92" w14:textId="77777777" w:rsidR="004709CA" w:rsidRPr="00C84830" w:rsidRDefault="750671CE" w:rsidP="750671CE">
      <w:pPr>
        <w:tabs>
          <w:tab w:val="left" w:pos="1440"/>
          <w:tab w:val="left" w:pos="7920"/>
        </w:tabs>
        <w:ind w:firstLine="720"/>
        <w:rPr>
          <w:rFonts w:ascii="Times New Roman" w:eastAsia="Times New Roman" w:hAnsi="Times New Roman" w:cs="Times New Roman"/>
        </w:rPr>
      </w:pPr>
      <w:r w:rsidRPr="750671CE">
        <w:rPr>
          <w:rFonts w:ascii="Times New Roman" w:eastAsia="Times New Roman" w:hAnsi="Times New Roman" w:cs="Times New Roman"/>
        </w:rPr>
        <w:t>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Therefore, while the majority answer the first question, No, on the ground that the railroad is liable upon the facts stated as matter of law, I should answer it Yes, with the proviso that it was to be answered No, in case the jury found that the flax, although near, was not near enough to the trains to endanger it if the engines were prudently managed, or else I should decline to answer the question because it fails to state the distance of the stacks.</w:t>
      </w:r>
    </w:p>
    <w:p w14:paraId="55E01800" w14:textId="77777777" w:rsidR="004709CA" w:rsidRPr="00596D7D" w:rsidRDefault="004709CA" w:rsidP="004709CA">
      <w:pPr>
        <w:tabs>
          <w:tab w:val="left" w:pos="1440"/>
          <w:tab w:val="left" w:pos="7920"/>
        </w:tabs>
        <w:ind w:firstLine="720"/>
        <w:rPr>
          <w:rFonts w:ascii="Times New Roman" w:hAnsi="Times New Roman" w:cs="Times New Roman"/>
        </w:rPr>
      </w:pPr>
    </w:p>
    <w:p w14:paraId="1105894D" w14:textId="373D79B9" w:rsidR="004709CA" w:rsidRDefault="004709CA" w:rsidP="750671CE">
      <w:pPr>
        <w:tabs>
          <w:tab w:val="left" w:pos="1440"/>
          <w:tab w:val="left" w:pos="7920"/>
        </w:tabs>
        <w:ind w:firstLine="720"/>
        <w:rPr>
          <w:rFonts w:ascii="Times New Roman" w:eastAsia="Times New Roman" w:hAnsi="Times New Roman" w:cs="Times New Roman"/>
        </w:rPr>
      </w:pPr>
      <w:r w:rsidRPr="750671CE">
        <w:rPr>
          <w:rFonts w:ascii="Times New Roman" w:eastAsia="Times New Roman" w:hAnsi="Times New Roman" w:cs="Times New Roman"/>
        </w:rPr>
        <w:t xml:space="preserve">I do not think we need trouble ourselves with the thought that my view depends upon differences of degree. The whole law does so as soon as it is civilized.  </w:t>
      </w:r>
      <w:r w:rsidRPr="00587B63">
        <w:rPr>
          <w:rFonts w:ascii="Times New Roman" w:eastAsia="Times New Roman" w:hAnsi="Times New Roman" w:cs="Times New Roman"/>
        </w:rPr>
        <w:t>Negligence is all degree,</w:t>
      </w:r>
      <w:r w:rsidR="006252EE" w:rsidRPr="006252EE">
        <w:t xml:space="preserve"> </w:t>
      </w:r>
      <w:r w:rsidR="006252EE" w:rsidRPr="006252EE">
        <w:rPr>
          <w:rFonts w:ascii="Times New Roman" w:eastAsia="Times New Roman" w:hAnsi="Times New Roman" w:cs="Times New Roman"/>
        </w:rPr>
        <w:t>—</w:t>
      </w:r>
      <w:r w:rsidRPr="00587B63">
        <w:rPr>
          <w:rFonts w:ascii="Times New Roman" w:eastAsia="Times New Roman" w:hAnsi="Times New Roman" w:cs="Times New Roman"/>
        </w:rPr>
        <w:t xml:space="preserve">that of the defendant here degree of the nicest sort; and between the variations according to distance that I suppose to exist, and the simple universality of the rules in the Twelve Tables, or the Leges Barbarorum, </w:t>
      </w:r>
      <w:bookmarkStart w:id="417" w:name="sp_708_419"/>
      <w:bookmarkStart w:id="418" w:name="SDU_419"/>
      <w:bookmarkEnd w:id="417"/>
      <w:bookmarkEnd w:id="418"/>
      <w:r w:rsidRPr="00587B63">
        <w:rPr>
          <w:rFonts w:ascii="Times New Roman" w:eastAsia="Times New Roman" w:hAnsi="Times New Roman" w:cs="Times New Roman"/>
        </w:rPr>
        <w:t>there lies the culture of two thousand years</w:t>
      </w:r>
      <w:r w:rsidR="00CD71A3">
        <w:rPr>
          <w:rFonts w:ascii="Times New Roman" w:eastAsia="Times New Roman" w:hAnsi="Times New Roman" w:cs="Times New Roman"/>
        </w:rPr>
        <w:t>.</w:t>
      </w:r>
    </w:p>
    <w:p w14:paraId="1C710586" w14:textId="77777777" w:rsidR="004709CA" w:rsidRDefault="004709CA" w:rsidP="003A781F">
      <w:pPr>
        <w:tabs>
          <w:tab w:val="left" w:pos="1440"/>
          <w:tab w:val="left" w:pos="7920"/>
        </w:tabs>
        <w:rPr>
          <w:rFonts w:ascii="Times New Roman" w:eastAsia="Times New Roman" w:hAnsi="Times New Roman" w:cs="Times New Roman"/>
        </w:rPr>
      </w:pPr>
    </w:p>
    <w:p w14:paraId="36EDA226" w14:textId="77777777" w:rsidR="004709CA" w:rsidRDefault="004709CA" w:rsidP="003A781F">
      <w:pPr>
        <w:tabs>
          <w:tab w:val="left" w:pos="1440"/>
          <w:tab w:val="left" w:pos="7920"/>
        </w:tabs>
        <w:rPr>
          <w:rFonts w:ascii="Times New Roman" w:hAnsi="Times New Roman" w:cs="Times New Roman"/>
          <w:b/>
        </w:rPr>
      </w:pPr>
    </w:p>
    <w:p w14:paraId="557255AF" w14:textId="77777777" w:rsidR="004709CA" w:rsidRDefault="004709CA" w:rsidP="002502CC">
      <w:pPr>
        <w:pStyle w:val="Heading4"/>
      </w:pPr>
      <w:bookmarkStart w:id="419" w:name="_Toc364636163"/>
      <w:bookmarkStart w:id="420" w:name="_Toc518323383"/>
      <w:r w:rsidRPr="00FA4733">
        <w:t>Notes</w:t>
      </w:r>
      <w:bookmarkEnd w:id="419"/>
      <w:bookmarkEnd w:id="420"/>
    </w:p>
    <w:p w14:paraId="1E4DF829" w14:textId="77777777" w:rsidR="004709CA" w:rsidRDefault="004709CA" w:rsidP="004709CA">
      <w:pPr>
        <w:rPr>
          <w:rFonts w:ascii="Times New Roman" w:hAnsi="Times New Roman" w:cs="Times New Roman"/>
          <w:b/>
          <w:i/>
        </w:rPr>
      </w:pPr>
    </w:p>
    <w:p w14:paraId="0A17B70C" w14:textId="77777777" w:rsidR="00330E2F" w:rsidRPr="00F94B7E" w:rsidRDefault="00330E2F" w:rsidP="004709CA">
      <w:pPr>
        <w:rPr>
          <w:rFonts w:ascii="Times New Roman" w:hAnsi="Times New Roman" w:cs="Times New Roman"/>
          <w:b/>
        </w:rPr>
      </w:pPr>
    </w:p>
    <w:p w14:paraId="255264A3" w14:textId="1E6FF0C2" w:rsidR="004709CA" w:rsidRDefault="750671CE" w:rsidP="00F94B7E">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Holmes and McKenna.</w:t>
      </w:r>
      <w:r w:rsidRPr="00F94B7E">
        <w:rPr>
          <w:rFonts w:ascii="Times New Roman" w:eastAsia="Times New Roman" w:hAnsi="Times New Roman" w:cs="Times New Roman"/>
        </w:rPr>
        <w:t xml:space="preserve">  Justice Holmes remains one of the most well-respected jurists and scholars to have served on the Court.  He is known, in particular, for his criticisms of legal reasoning based on formal concepts such as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rights.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opinions, including his dissent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anticipated much of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realist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F94B7E">
        <w:rPr>
          <w:rFonts w:ascii="Times New Roman" w:eastAsia="Times New Roman" w:hAnsi="Times New Roman" w:cs="Times New Roman"/>
          <w:i/>
          <w:iCs/>
        </w:rPr>
        <w:t>LeRoy Fibre</w:t>
      </w:r>
      <w:r w:rsidRPr="00F94B7E">
        <w:rPr>
          <w:rFonts w:ascii="Times New Roman" w:eastAsia="Times New Roman" w:hAnsi="Times New Roman" w:cs="Times New Roman"/>
        </w:rPr>
        <w:t xml:space="preserve">, he found McKenna to be (in his words)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worst and most embarrassing member of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often unable to draft opinions without substantial guidance from others.</w:t>
      </w:r>
    </w:p>
    <w:p w14:paraId="0983A067" w14:textId="77777777" w:rsidR="00B2052E" w:rsidRPr="0080795D" w:rsidRDefault="00B2052E" w:rsidP="0080795D">
      <w:pPr>
        <w:rPr>
          <w:rFonts w:ascii="Times New Roman" w:eastAsia="Times New Roman" w:hAnsi="Times New Roman" w:cs="Times New Roman"/>
        </w:rPr>
      </w:pPr>
    </w:p>
    <w:p w14:paraId="64EB7BCF" w14:textId="714C8348" w:rsidR="004709CA" w:rsidRDefault="750671CE" w:rsidP="750671CE">
      <w:pPr>
        <w:tabs>
          <w:tab w:val="left" w:pos="9360"/>
        </w:tabs>
        <w:ind w:firstLine="720"/>
        <w:rPr>
          <w:rFonts w:ascii="Times New Roman" w:eastAsia="Times New Roman" w:hAnsi="Times New Roman" w:cs="Times New Roman"/>
        </w:rPr>
      </w:pPr>
      <w:r w:rsidRPr="750671CE">
        <w:rPr>
          <w:rFonts w:ascii="Times New Roman" w:eastAsia="Times New Roman" w:hAnsi="Times New Roman" w:cs="Times New Roman"/>
        </w:rPr>
        <w:t xml:space="preserve">Which jurist gets the better of the argument in </w:t>
      </w:r>
      <w:r w:rsidRPr="750671CE">
        <w:rPr>
          <w:rFonts w:ascii="Times New Roman" w:eastAsia="Times New Roman" w:hAnsi="Times New Roman" w:cs="Times New Roman"/>
          <w:i/>
          <w:iCs/>
        </w:rPr>
        <w:t>LeRoy Fibre</w:t>
      </w:r>
      <w:r w:rsidRPr="750671CE">
        <w:rPr>
          <w:rFonts w:ascii="Times New Roman" w:eastAsia="Times New Roman" w:hAnsi="Times New Roman" w:cs="Times New Roman"/>
        </w:rPr>
        <w:t>?  What is the difference between McKenna</w:t>
      </w:r>
      <w:r w:rsidR="00B05F31">
        <w:rPr>
          <w:rFonts w:ascii="Times New Roman" w:eastAsia="Times New Roman" w:hAnsi="Times New Roman" w:cs="Times New Roman"/>
        </w:rPr>
        <w:t>’</w:t>
      </w:r>
      <w:r w:rsidRPr="750671CE">
        <w:rPr>
          <w:rFonts w:ascii="Times New Roman" w:eastAsia="Times New Roman" w:hAnsi="Times New Roman" w:cs="Times New Roman"/>
        </w:rPr>
        <w:t>s and Holmes</w:t>
      </w:r>
      <w:r w:rsidR="00B05F31">
        <w:rPr>
          <w:rFonts w:ascii="Times New Roman" w:eastAsia="Times New Roman" w:hAnsi="Times New Roman" w:cs="Times New Roman"/>
        </w:rPr>
        <w:t>’</w:t>
      </w:r>
      <w:r w:rsidRPr="750671CE">
        <w:rPr>
          <w:rFonts w:ascii="Times New Roman" w:eastAsia="Times New Roman" w:hAnsi="Times New Roman" w:cs="Times New Roman"/>
        </w:rPr>
        <w:t>s conception of causation in the case? Is McKenna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method one that can easily be applied to other cases? Does it avoid the difficulty of </w:t>
      </w:r>
      <w:r w:rsidR="00B05F31">
        <w:rPr>
          <w:rFonts w:ascii="Times New Roman" w:eastAsia="Times New Roman" w:hAnsi="Times New Roman" w:cs="Times New Roman"/>
        </w:rPr>
        <w:t>“</w:t>
      </w:r>
      <w:r w:rsidRPr="750671CE">
        <w:rPr>
          <w:rFonts w:ascii="Times New Roman" w:eastAsia="Times New Roman" w:hAnsi="Times New Roman" w:cs="Times New Roman"/>
        </w:rPr>
        <w:t>refinements and confusing considerations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Holmes seems to admit his own approach necessarily entails?</w:t>
      </w:r>
    </w:p>
    <w:p w14:paraId="38F98FB0" w14:textId="77777777" w:rsidR="004709CA" w:rsidRDefault="004709CA" w:rsidP="004709CA">
      <w:pPr>
        <w:tabs>
          <w:tab w:val="left" w:pos="9360"/>
        </w:tabs>
        <w:ind w:firstLine="720"/>
        <w:rPr>
          <w:rFonts w:ascii="Times New Roman" w:hAnsi="Times New Roman" w:cs="Times New Roman"/>
        </w:rPr>
      </w:pPr>
    </w:p>
    <w:p w14:paraId="590A2475" w14:textId="77777777" w:rsidR="004709CA" w:rsidRPr="00770C63" w:rsidRDefault="004709CA" w:rsidP="004709CA">
      <w:pPr>
        <w:tabs>
          <w:tab w:val="left" w:pos="9360"/>
        </w:tabs>
        <w:ind w:firstLine="720"/>
        <w:rPr>
          <w:rFonts w:ascii="Times New Roman" w:hAnsi="Times New Roman" w:cs="Times New Roman"/>
        </w:rPr>
      </w:pPr>
    </w:p>
    <w:p w14:paraId="75258E51" w14:textId="4B556DC5" w:rsidR="004709CA" w:rsidRPr="00F94B7E" w:rsidRDefault="750671CE" w:rsidP="00F94B7E">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Coase on causation.</w:t>
      </w:r>
      <w:r w:rsidRPr="00F94B7E">
        <w:rPr>
          <w:rFonts w:ascii="Times New Roman" w:eastAsia="Times New Roman" w:hAnsi="Times New Roman" w:cs="Times New Roman"/>
        </w:rPr>
        <w:t xml:space="preserve">  In thinking about these questions, consider Ronald Coase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view of causation, which many commentators see as parallel to Holmes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from a half-century before. </w:t>
      </w:r>
    </w:p>
    <w:p w14:paraId="3CD1B642" w14:textId="77777777" w:rsidR="004709CA" w:rsidRPr="00587B63" w:rsidRDefault="004709CA" w:rsidP="004709CA">
      <w:pPr>
        <w:rPr>
          <w:rFonts w:ascii="Times New Roman" w:hAnsi="Times New Roman" w:cs="Times New Roman"/>
        </w:rPr>
      </w:pPr>
    </w:p>
    <w:p w14:paraId="5449CD21" w14:textId="71A60112" w:rsidR="004709CA" w:rsidRDefault="004709CA" w:rsidP="00F94B7E">
      <w:pPr>
        <w:pStyle w:val="blockquote"/>
      </w:pPr>
      <w:r w:rsidRPr="750671CE">
        <w:t>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allowed to harm B or should B be allowed to harm A? The problem is to avoid the more serious harm. [Take,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t>’</w:t>
      </w:r>
      <w:r w:rsidRPr="750671CE">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tab/>
      </w:r>
    </w:p>
    <w:p w14:paraId="2E4F4BF2" w14:textId="77777777" w:rsidR="004709CA" w:rsidRDefault="004709CA" w:rsidP="004709CA">
      <w:pPr>
        <w:ind w:left="720" w:right="720"/>
        <w:rPr>
          <w:rFonts w:ascii="Times New Roman" w:hAnsi="Times New Roman" w:cs="Times New Roman"/>
        </w:rPr>
      </w:pPr>
    </w:p>
    <w:p w14:paraId="33215E67" w14:textId="2000FBBB"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R. H. Coase, </w:t>
      </w:r>
      <w:r w:rsidRPr="750671CE">
        <w:rPr>
          <w:rFonts w:ascii="Times New Roman" w:eastAsia="Times New Roman" w:hAnsi="Times New Roman" w:cs="Times New Roman"/>
          <w:i/>
          <w:iCs/>
        </w:rPr>
        <w:t>The Problem of Social Cost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3 J. L. &amp; Econ 1</w:t>
      </w:r>
      <w:r w:rsidRPr="750671CE">
        <w:rPr>
          <w:rFonts w:ascii="Times New Roman" w:eastAsia="Times New Roman" w:hAnsi="Times New Roman" w:cs="Times New Roman"/>
        </w:rPr>
        <w:t xml:space="preserve"> (1960).  Coase</w:t>
      </w:r>
      <w:r w:rsidR="00B05F31">
        <w:rPr>
          <w:rFonts w:ascii="Times New Roman" w:eastAsia="Times New Roman" w:hAnsi="Times New Roman" w:cs="Times New Roman"/>
        </w:rPr>
        <w:t>’</w:t>
      </w:r>
      <w:r w:rsidRPr="750671CE">
        <w:rPr>
          <w:rFonts w:ascii="Times New Roman" w:eastAsia="Times New Roman" w:hAnsi="Times New Roman" w:cs="Times New Roman"/>
        </w:rPr>
        <w:t>s criticism of causal reasoning as a way of allocating moral responsibility implicitly challenges Justice McKenna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decision in </w:t>
      </w:r>
      <w:r w:rsidRPr="750671CE">
        <w:rPr>
          <w:rFonts w:ascii="Times New Roman" w:eastAsia="Times New Roman" w:hAnsi="Times New Roman" w:cs="Times New Roman"/>
          <w:i/>
          <w:iCs/>
        </w:rPr>
        <w:t>LeRoy Fibre</w:t>
      </w:r>
      <w:r w:rsidRPr="750671CE">
        <w:rPr>
          <w:rFonts w:ascii="Times New Roman" w:eastAsia="Times New Roman" w:hAnsi="Times New Roman" w:cs="Times New Roman"/>
        </w:rPr>
        <w:t xml:space="preserve">.  Coase insists that it is the height of foolishness to insist that the railroad </w:t>
      </w:r>
      <w:r w:rsidR="00B05F31">
        <w:rPr>
          <w:rFonts w:ascii="Times New Roman" w:eastAsia="Times New Roman" w:hAnsi="Times New Roman" w:cs="Times New Roman"/>
        </w:rPr>
        <w:t>“</w:t>
      </w:r>
      <w:r w:rsidRPr="750671CE">
        <w:rPr>
          <w:rFonts w:ascii="Times New Roman" w:eastAsia="Times New Roman" w:hAnsi="Times New Roman" w:cs="Times New Roman"/>
        </w:rPr>
        <w:t>caused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injury to the flax manufacturer.  If the flax manufacturer plaintiff is able to recover damages from the railroad, or obtain an order that the railroad cease its dangerous operations, then it would be just as true to say that the flax manufacturer </w:t>
      </w:r>
      <w:r w:rsidR="00B05F31">
        <w:rPr>
          <w:rFonts w:ascii="Times New Roman" w:eastAsia="Times New Roman" w:hAnsi="Times New Roman" w:cs="Times New Roman"/>
        </w:rPr>
        <w:t>“</w:t>
      </w:r>
      <w:r w:rsidRPr="750671CE">
        <w:rPr>
          <w:rFonts w:ascii="Times New Roman" w:eastAsia="Times New Roman" w:hAnsi="Times New Roman" w:cs="Times New Roman"/>
        </w:rPr>
        <w:t>caused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injury to the railroad.  </w:t>
      </w:r>
    </w:p>
    <w:p w14:paraId="222F66F1" w14:textId="77777777" w:rsidR="004709CA" w:rsidRDefault="004709CA" w:rsidP="004709CA">
      <w:pPr>
        <w:rPr>
          <w:rFonts w:ascii="Times New Roman" w:hAnsi="Times New Roman" w:cs="Times New Roman"/>
        </w:rPr>
      </w:pPr>
    </w:p>
    <w:p w14:paraId="0F8CF702" w14:textId="43FFE39B"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rPr>
          <w:rFonts w:ascii="Times New Roman" w:eastAsia="Times New Roman" w:hAnsi="Times New Roman" w:cs="Times New Roman"/>
        </w:rPr>
        <w:t>“</w:t>
      </w:r>
      <w:r w:rsidRPr="750671CE">
        <w:rPr>
          <w:rFonts w:ascii="Times New Roman" w:eastAsia="Times New Roman" w:hAnsi="Times New Roman" w:cs="Times New Roman"/>
        </w:rPr>
        <w:t>A hit B</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because we have decided that A is properly thought of as responsible for the collision of A</w:t>
      </w:r>
      <w:r w:rsidR="00B05F31">
        <w:rPr>
          <w:rFonts w:ascii="Times New Roman" w:eastAsia="Times New Roman" w:hAnsi="Times New Roman" w:cs="Times New Roman"/>
        </w:rPr>
        <w:t>’</w:t>
      </w:r>
      <w:r w:rsidRPr="750671CE">
        <w:rPr>
          <w:rFonts w:ascii="Times New Roman" w:eastAsia="Times New Roman" w:hAnsi="Times New Roman" w:cs="Times New Roman"/>
        </w:rPr>
        <w:t>s hand with B</w:t>
      </w:r>
      <w:r w:rsidR="00B05F31">
        <w:rPr>
          <w:rFonts w:ascii="Times New Roman" w:eastAsia="Times New Roman" w:hAnsi="Times New Roman" w:cs="Times New Roman"/>
        </w:rPr>
        <w:t>’</w:t>
      </w:r>
      <w:r w:rsidRPr="750671CE">
        <w:rPr>
          <w:rFonts w:ascii="Times New Roman" w:eastAsia="Times New Roman" w:hAnsi="Times New Roman" w:cs="Times New Roman"/>
        </w:rPr>
        <w:t>s nose.  It would be just as true to say that B hit A, since if it weren</w:t>
      </w:r>
      <w:r w:rsidR="00B05F31">
        <w:rPr>
          <w:rFonts w:ascii="Times New Roman" w:eastAsia="Times New Roman" w:hAnsi="Times New Roman" w:cs="Times New Roman"/>
        </w:rPr>
        <w:t>’</w:t>
      </w:r>
      <w:r w:rsidRPr="750671CE">
        <w:rPr>
          <w:rFonts w:ascii="Times New Roman" w:eastAsia="Times New Roman" w:hAnsi="Times New Roman" w:cs="Times New Roman"/>
        </w:rPr>
        <w:t>t for B</w:t>
      </w:r>
      <w:r w:rsidR="00B05F31">
        <w:rPr>
          <w:rFonts w:ascii="Times New Roman" w:eastAsia="Times New Roman" w:hAnsi="Times New Roman" w:cs="Times New Roman"/>
        </w:rPr>
        <w:t>’</w:t>
      </w:r>
      <w:r w:rsidRPr="750671CE">
        <w:rPr>
          <w:rFonts w:ascii="Times New Roman" w:eastAsia="Times New Roman" w:hAnsi="Times New Roman" w:cs="Times New Roman"/>
        </w:rPr>
        <w:t>s nose being where it was at the crucial moment, A</w:t>
      </w:r>
      <w:r w:rsidR="00B05F31">
        <w:rPr>
          <w:rFonts w:ascii="Times New Roman" w:eastAsia="Times New Roman" w:hAnsi="Times New Roman" w:cs="Times New Roman"/>
        </w:rPr>
        <w:t>’</w:t>
      </w:r>
      <w:r w:rsidRPr="750671CE">
        <w:rPr>
          <w:rFonts w:ascii="Times New Roman" w:eastAsia="Times New Roman" w:hAnsi="Times New Roman" w:cs="Times New Roman"/>
        </w:rPr>
        <w:t>s fist would have passed harmlessly through the air.  Of course, it sounds silly to say any such thing. But that is because our causal conventions embody the normative judgments we have already made about the situation in question.  That being the case, Coase and Holmes seem to say, the only reasonable way to think about the question is to decide which allocation of the harm best embodies a society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preferred policy goals.  </w:t>
      </w:r>
    </w:p>
    <w:p w14:paraId="2DECB7D5" w14:textId="77777777" w:rsidR="004709CA" w:rsidRDefault="004709CA" w:rsidP="004709CA">
      <w:pPr>
        <w:rPr>
          <w:rFonts w:ascii="Times New Roman" w:hAnsi="Times New Roman" w:cs="Times New Roman"/>
        </w:rPr>
      </w:pPr>
    </w:p>
    <w:p w14:paraId="6D553161" w14:textId="651B13AF"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Much of twentieth- and twenty-first-century social policy starts from the clear-headed vantage point that jurists like Holmes and economists like Coase afford.  But is McKenna</w:t>
      </w:r>
      <w:r w:rsidR="00B05F31">
        <w:rPr>
          <w:rFonts w:ascii="Times New Roman" w:eastAsia="Times New Roman" w:hAnsi="Times New Roman" w:cs="Times New Roman"/>
        </w:rPr>
        <w:t>’</w:t>
      </w:r>
      <w:r w:rsidRPr="750671CE">
        <w:rPr>
          <w:rFonts w:ascii="Times New Roman" w:eastAsia="Times New Roman" w:hAnsi="Times New Roman" w:cs="Times New Roman"/>
        </w:rPr>
        <w:t>s alternative really so misbegotten?  Note, for one thing, that McKenna offers jurists a clean and easy way to measure causation, one pegged to crossings of real property borders.  Holmes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alternative seems awfully fuzzy by contrast.  Is this one of those instances in which, moving forward, all we really need is a clear rule that the parties can deal with as they see fit?  </w:t>
      </w:r>
    </w:p>
    <w:p w14:paraId="78544F9E" w14:textId="77777777" w:rsidR="004709CA" w:rsidRDefault="004709CA" w:rsidP="004709CA">
      <w:pPr>
        <w:rPr>
          <w:rFonts w:ascii="Times New Roman" w:hAnsi="Times New Roman" w:cs="Times New Roman"/>
        </w:rPr>
      </w:pPr>
    </w:p>
    <w:p w14:paraId="557F6A7E" w14:textId="77777777" w:rsidR="004709CA" w:rsidRDefault="004709CA" w:rsidP="004709CA">
      <w:pPr>
        <w:rPr>
          <w:rFonts w:ascii="Times New Roman" w:hAnsi="Times New Roman" w:cs="Times New Roman"/>
        </w:rPr>
      </w:pPr>
    </w:p>
    <w:p w14:paraId="142534A0" w14:textId="511D5D4F" w:rsidR="004709CA" w:rsidRPr="00F94B7E" w:rsidRDefault="750671CE" w:rsidP="00F94B7E">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Calabresi on causation.</w:t>
      </w:r>
      <w:r w:rsidRPr="00F94B7E">
        <w:rPr>
          <w:rFonts w:ascii="Times New Roman" w:eastAsia="Times New Roman" w:hAnsi="Times New Roman" w:cs="Times New Roman"/>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formalist approach, though it undoubtedly takes that approach in directions that McKenna probably never anticipated:</w:t>
      </w:r>
    </w:p>
    <w:p w14:paraId="72609139" w14:textId="77777777" w:rsidR="004709CA" w:rsidRDefault="004709CA" w:rsidP="004709CA">
      <w:pPr>
        <w:rPr>
          <w:rFonts w:ascii="Times New Roman" w:hAnsi="Times New Roman" w:cs="Times New Roman"/>
        </w:rPr>
      </w:pPr>
    </w:p>
    <w:p w14:paraId="7DB03343" w14:textId="351A0047" w:rsidR="004709CA" w:rsidRDefault="750671CE" w:rsidP="00F94B7E">
      <w:pPr>
        <w:pStyle w:val="blockquote"/>
      </w:pPr>
      <w:r w:rsidRPr="750671CE">
        <w:t>[T]he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w:t>
      </w:r>
      <w:r w:rsidR="00B05F31">
        <w:t>’</w:t>
      </w:r>
      <w:r w:rsidRPr="750671CE">
        <w:t xml:space="preserve">s analysis, they enable us to resist political pressures that would, if a more </w:t>
      </w:r>
      <w:r w:rsidR="00B05F31">
        <w:t>“</w:t>
      </w:r>
      <w:r w:rsidRPr="750671CE">
        <w:t>goal conscious,</w:t>
      </w:r>
      <w:r w:rsidR="00B05F31">
        <w:t>”</w:t>
      </w:r>
      <w:r w:rsidRPr="750671CE">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t>“</w:t>
      </w:r>
      <w:r w:rsidRPr="750671CE">
        <w:t>justice.</w:t>
      </w:r>
      <w:r w:rsidR="00B05F31">
        <w:t>”</w:t>
      </w:r>
    </w:p>
    <w:p w14:paraId="156B4E7E" w14:textId="77777777" w:rsidR="00EE1884" w:rsidRDefault="00EE1884" w:rsidP="00F94B7E">
      <w:pPr>
        <w:pStyle w:val="blockquote"/>
      </w:pPr>
    </w:p>
    <w:p w14:paraId="6BAB7F68" w14:textId="6E9191AA" w:rsidR="004709CA" w:rsidRDefault="750671CE" w:rsidP="00F94B7E">
      <w:pPr>
        <w:pStyle w:val="blockquote"/>
      </w:pPr>
      <w:r w:rsidRPr="750671CE">
        <w:t>. . .</w:t>
      </w:r>
    </w:p>
    <w:p w14:paraId="2D43B28B" w14:textId="77777777" w:rsidR="004709CA" w:rsidRPr="00A35CD1" w:rsidRDefault="004709CA" w:rsidP="00F94B7E">
      <w:pPr>
        <w:pStyle w:val="blockquote"/>
      </w:pPr>
    </w:p>
    <w:p w14:paraId="1925386B" w14:textId="77777777" w:rsidR="004709CA" w:rsidRDefault="750671CE" w:rsidP="00F94B7E">
      <w:pPr>
        <w:pStyle w:val="blockquote"/>
      </w:pPr>
      <w:r w:rsidRPr="750671CE">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Default="004709CA" w:rsidP="004709CA">
      <w:pPr>
        <w:ind w:left="720" w:right="720"/>
        <w:rPr>
          <w:rFonts w:ascii="Times New Roman" w:hAnsi="Times New Roman" w:cs="Times New Roman"/>
          <w:b/>
        </w:rPr>
      </w:pPr>
    </w:p>
    <w:p w14:paraId="3B5C30FA" w14:textId="77777777"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Guido Calabresi, </w:t>
      </w:r>
      <w:r w:rsidRPr="750671CE">
        <w:rPr>
          <w:rFonts w:ascii="Times New Roman" w:eastAsia="Times New Roman" w:hAnsi="Times New Roman" w:cs="Times New Roman"/>
          <w:i/>
          <w:iCs/>
        </w:rPr>
        <w:t>Concerning Cause and the Law of Torts: An Essay for Harry Kalven, Jr.</w:t>
      </w:r>
      <w:r w:rsidRPr="750671CE">
        <w:rPr>
          <w:rFonts w:ascii="Times New Roman" w:eastAsia="Times New Roman" w:hAnsi="Times New Roman" w:cs="Times New Roman"/>
        </w:rPr>
        <w:t xml:space="preserve">, 43 U. </w:t>
      </w:r>
      <w:r w:rsidRPr="750671CE">
        <w:rPr>
          <w:rFonts w:ascii="Times New Roman" w:eastAsia="Times New Roman" w:hAnsi="Times New Roman" w:cs="Times New Roman"/>
          <w:smallCaps/>
        </w:rPr>
        <w:t>Chi. L. Rev. 69</w:t>
      </w:r>
      <w:r w:rsidRPr="750671CE">
        <w:rPr>
          <w:rFonts w:ascii="Times New Roman" w:eastAsia="Times New Roman" w:hAnsi="Times New Roman" w:cs="Times New Roman"/>
        </w:rPr>
        <w:t xml:space="preserve"> (1975). </w:t>
      </w:r>
    </w:p>
    <w:p w14:paraId="5ACFAEE6" w14:textId="77777777" w:rsidR="004709CA" w:rsidRDefault="004709CA" w:rsidP="004709CA">
      <w:pPr>
        <w:rPr>
          <w:rFonts w:ascii="Times New Roman" w:hAnsi="Times New Roman" w:cs="Times New Roman"/>
        </w:rPr>
      </w:pPr>
    </w:p>
    <w:p w14:paraId="6C75A3B7" w14:textId="77777777" w:rsidR="004709CA" w:rsidRDefault="004709CA" w:rsidP="004709CA">
      <w:pPr>
        <w:rPr>
          <w:rFonts w:ascii="Times New Roman" w:hAnsi="Times New Roman" w:cs="Times New Roman"/>
        </w:rPr>
      </w:pPr>
    </w:p>
    <w:p w14:paraId="78168E7A" w14:textId="17969855" w:rsidR="004709CA" w:rsidRPr="00F94B7E" w:rsidRDefault="750671CE" w:rsidP="00F94B7E">
      <w:pPr>
        <w:pStyle w:val="ListParagraph"/>
        <w:numPr>
          <w:ilvl w:val="0"/>
          <w:numId w:val="10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Hart and Honoré on </w:t>
      </w:r>
      <w:r w:rsidR="00787BF5">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w:t>
      </w:r>
      <w:r w:rsidRPr="00F94B7E">
        <w:rPr>
          <w:rFonts w:ascii="Times New Roman" w:eastAsia="Times New Roman" w:hAnsi="Times New Roman" w:cs="Times New Roman"/>
        </w:rPr>
        <w:t>Some leading authorities on the common law of causation have pushed back against the functionalist turn in causation.   In the mid-20</w:t>
      </w:r>
      <w:r w:rsidR="0039795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century, H. L. A. Hart and Anthony Honoré bemoaned the Legal Realists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transition from the exhilarating discovery that complex words like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cause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cannot be simply defined and have no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one true meaning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the mistaken conclusion that they have no meaning worth bothering about at all, but are used as a mere disguise for arbitrary decision or judicial policy.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H.L.A. Hart &amp; Anthony Honoré, </w:t>
      </w:r>
      <w:r w:rsidRPr="00F94B7E">
        <w:rPr>
          <w:rFonts w:ascii="Times New Roman" w:eastAsia="Times New Roman" w:hAnsi="Times New Roman" w:cs="Times New Roman"/>
          <w:iCs/>
          <w:smallCaps/>
        </w:rPr>
        <w:t>Causation in the Law</w:t>
      </w:r>
      <w:r w:rsidRPr="00F94B7E">
        <w:rPr>
          <w:rFonts w:ascii="Times New Roman" w:eastAsia="Times New Roman" w:hAnsi="Times New Roman" w:cs="Times New Roman"/>
        </w:rPr>
        <w:t xml:space="preserve"> 3 (1959). Hart and Honoré argue that courts are not surreptitiously insinuating policy into their decisions, but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plain man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causal notions function as a species of basic model in the light of which the courts see the issues before them, and to which they seek analogies . . .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at 1.  Objecting to the </w:t>
      </w:r>
      <w:r w:rsidR="005773D3" w:rsidRPr="00F94B7E">
        <w:rPr>
          <w:rFonts w:ascii="Times New Roman" w:eastAsia="Times New Roman" w:hAnsi="Times New Roman" w:cs="Times New Roman"/>
        </w:rPr>
        <w:t>l</w:t>
      </w:r>
      <w:r w:rsidRPr="00F94B7E">
        <w:rPr>
          <w:rFonts w:ascii="Times New Roman" w:eastAsia="Times New Roman" w:hAnsi="Times New Roman" w:cs="Times New Roman"/>
        </w:rPr>
        <w:t xml:space="preserve">egal </w:t>
      </w:r>
      <w:r w:rsidR="005773D3" w:rsidRPr="00F94B7E">
        <w:rPr>
          <w:rFonts w:ascii="Times New Roman" w:eastAsia="Times New Roman" w:hAnsi="Times New Roman" w:cs="Times New Roman"/>
        </w:rPr>
        <w:t>r</w:t>
      </w:r>
      <w:r w:rsidRPr="00F94B7E">
        <w:rPr>
          <w:rFonts w:ascii="Times New Roman" w:eastAsia="Times New Roman" w:hAnsi="Times New Roman" w:cs="Times New Roman"/>
        </w:rPr>
        <w:t xml:space="preserve">ealist view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the distinction between causes and mere conditions is </w:t>
      </w:r>
      <w:r w:rsidRPr="00F94B7E">
        <w:rPr>
          <w:rFonts w:ascii="Times New Roman" w:eastAsia="Times New Roman" w:hAnsi="Times New Roman" w:cs="Times New Roman"/>
          <w:i/>
          <w:iCs/>
        </w:rPr>
        <w:t>wholly</w:t>
      </w:r>
      <w:r w:rsidRPr="00F94B7E">
        <w:rPr>
          <w:rFonts w:ascii="Times New Roman" w:eastAsia="Times New Roman" w:hAnsi="Times New Roman" w:cs="Times New Roman"/>
        </w:rPr>
        <w:t xml:space="preserve"> without objective or factual warrant,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 xml:space="preserve">at 29, Hart and Honoré appeal to a shared understanding of causation, arguing that cultural conventions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draw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line between cause and mere condition.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Id. </w:t>
      </w:r>
      <w:r w:rsidRPr="00F94B7E">
        <w:rPr>
          <w:rFonts w:ascii="Times New Roman" w:eastAsia="Times New Roman" w:hAnsi="Times New Roman" w:cs="Times New Roman"/>
        </w:rPr>
        <w:t>at 31.</w:t>
      </w:r>
    </w:p>
    <w:p w14:paraId="1464C6D9" w14:textId="77777777" w:rsidR="004709CA" w:rsidRPr="00C27928" w:rsidRDefault="004709CA" w:rsidP="004709CA">
      <w:pPr>
        <w:ind w:firstLine="720"/>
        <w:rPr>
          <w:rFonts w:ascii="Times New Roman" w:hAnsi="Times New Roman" w:cs="Times New Roman"/>
        </w:rPr>
      </w:pPr>
    </w:p>
    <w:p w14:paraId="792D354A" w14:textId="77777777" w:rsidR="004709CA" w:rsidRPr="00C27928" w:rsidRDefault="004709CA" w:rsidP="750671CE">
      <w:pPr>
        <w:rPr>
          <w:rFonts w:ascii="Times New Roman" w:eastAsia="Times New Roman" w:hAnsi="Times New Roman" w:cs="Times New Roman"/>
        </w:rPr>
      </w:pPr>
      <w:r w:rsidRPr="00C27928">
        <w:rPr>
          <w:rFonts w:ascii="Times New Roman" w:hAnsi="Times New Roman" w:cs="Times New Roman"/>
        </w:rPr>
        <w:tab/>
      </w:r>
      <w:r w:rsidRPr="750671CE">
        <w:rPr>
          <w:rFonts w:ascii="Times New Roman" w:eastAsia="Times New Roman" w:hAnsi="Times New Roman" w:cs="Times New Roman"/>
        </w:rPr>
        <w:t>In addition to the appeal to common sense, Hart and Honoré stress the human element of causation in the law. They present the example of someone who has died with high levels of arsenic in his blood:</w:t>
      </w:r>
    </w:p>
    <w:p w14:paraId="56625C81" w14:textId="77777777" w:rsidR="004709CA" w:rsidRPr="00C27928" w:rsidRDefault="004709CA" w:rsidP="004709CA">
      <w:pPr>
        <w:rPr>
          <w:rFonts w:ascii="Times New Roman" w:hAnsi="Times New Roman" w:cs="Times New Roman"/>
        </w:rPr>
      </w:pPr>
    </w:p>
    <w:p w14:paraId="1683AE30" w14:textId="1F250CBA" w:rsidR="004709CA" w:rsidRPr="00C27928" w:rsidRDefault="750671CE" w:rsidP="00F94B7E">
      <w:pPr>
        <w:pStyle w:val="blockquote"/>
      </w:pPr>
      <w:r w:rsidRPr="750671CE">
        <w:t>. . . this is up to a point an explanation of his death and so the cause of it: but we usually press for a further and more satisfying explanation and may find that someone deliberately put arsenic in the victim</w:t>
      </w:r>
      <w:r w:rsidR="00B05F31">
        <w:t>’</w:t>
      </w:r>
      <w:r w:rsidRPr="750671CE">
        <w:t>s food. This is a fuller explanation in terms of human agency; and of course we speak of the poisoner</w:t>
      </w:r>
      <w:r w:rsidR="00B05F31">
        <w:t>’</w:t>
      </w:r>
      <w:r w:rsidRPr="750671CE">
        <w:t xml:space="preserve">s action as the cause of the death; though we do not withdraw the title of cause from the presence of arsenic in the body—this is now thought of as an ancillary, the </w:t>
      </w:r>
      <w:r w:rsidR="00B05F31">
        <w:t>‘</w:t>
      </w:r>
      <w:r w:rsidRPr="750671CE">
        <w:t>mere way</w:t>
      </w:r>
      <w:r w:rsidR="00B05F31">
        <w:t>’</w:t>
      </w:r>
      <w:r w:rsidRPr="750671CE">
        <w:t xml:space="preserve"> in which the poisoner produced the effect. Once we have reached this point, however, we have something which has a special</w:t>
      </w:r>
      <w:r w:rsidRPr="750671CE">
        <w:rPr>
          <w:i/>
          <w:iCs/>
        </w:rPr>
        <w:t xml:space="preserve"> finality</w:t>
      </w:r>
      <w:r w:rsidRPr="750671CE">
        <w:t xml:space="preserve"> at the level of common sense . . .</w:t>
      </w:r>
    </w:p>
    <w:p w14:paraId="54BE1B70" w14:textId="77777777" w:rsidR="004709CA" w:rsidRPr="00C27928" w:rsidRDefault="004709CA" w:rsidP="004709CA">
      <w:pPr>
        <w:rPr>
          <w:rFonts w:ascii="Times New Roman" w:eastAsia="Times New Roman" w:hAnsi="Times New Roman" w:cs="Times New Roman"/>
        </w:rPr>
      </w:pPr>
    </w:p>
    <w:p w14:paraId="1C2F73C7" w14:textId="77777777" w:rsidR="004709CA" w:rsidRPr="00C27928"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 xml:space="preserve">Id. </w:t>
      </w:r>
      <w:r w:rsidRPr="750671CE">
        <w:rPr>
          <w:rFonts w:ascii="Times New Roman" w:eastAsia="Times New Roman" w:hAnsi="Times New Roman" w:cs="Times New Roman"/>
        </w:rPr>
        <w:t>at 39-40 (emphasis added).</w:t>
      </w:r>
    </w:p>
    <w:p w14:paraId="637955D5" w14:textId="77777777" w:rsidR="004709CA" w:rsidRPr="00C27928" w:rsidRDefault="004709CA" w:rsidP="004709CA">
      <w:pPr>
        <w:rPr>
          <w:rFonts w:ascii="Times New Roman" w:hAnsi="Times New Roman" w:cs="Times New Roman"/>
        </w:rPr>
      </w:pPr>
      <w:r w:rsidRPr="00C27928">
        <w:rPr>
          <w:rFonts w:ascii="Times New Roman" w:hAnsi="Times New Roman" w:cs="Times New Roman"/>
        </w:rPr>
        <w:tab/>
      </w:r>
    </w:p>
    <w:p w14:paraId="40DEC397" w14:textId="02D2513E" w:rsidR="004709CA" w:rsidRPr="00C27928"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clarifying their understanding liability-defeating coincidence, Hart and Honoré insist that we can usefully rely on standards of </w:t>
      </w:r>
      <w:r w:rsidR="00B05F31">
        <w:rPr>
          <w:rFonts w:ascii="Times New Roman" w:eastAsia="Times New Roman" w:hAnsi="Times New Roman" w:cs="Times New Roman"/>
        </w:rPr>
        <w:t>“</w:t>
      </w:r>
      <w:r w:rsidRPr="750671CE">
        <w:rPr>
          <w:rFonts w:ascii="Times New Roman" w:eastAsia="Times New Roman" w:hAnsi="Times New Roman" w:cs="Times New Roman"/>
        </w:rPr>
        <w:t>common knowledge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3D025152" w14:textId="77777777" w:rsidR="004709CA" w:rsidRPr="00C27928" w:rsidRDefault="004709CA" w:rsidP="004709CA">
      <w:pPr>
        <w:ind w:firstLine="720"/>
        <w:rPr>
          <w:rFonts w:ascii="Times New Roman" w:hAnsi="Times New Roman" w:cs="Times New Roman"/>
        </w:rPr>
      </w:pPr>
    </w:p>
    <w:p w14:paraId="1CF68BFC" w14:textId="03970EFB" w:rsidR="004709CA" w:rsidRDefault="004709CA" w:rsidP="00F94B7E">
      <w:pPr>
        <w:pStyle w:val="blockquote"/>
        <w:rPr>
          <w:color w:val="000000" w:themeColor="text1"/>
        </w:rPr>
      </w:pPr>
      <w:r w:rsidRPr="750671CE">
        <w:rPr>
          <w:shd w:val="clear" w:color="auto" w:fill="FFFFFF"/>
        </w:rPr>
        <w:t xml:space="preserve">Reference to </w:t>
      </w:r>
      <w:r w:rsidR="00B05F31">
        <w:rPr>
          <w:shd w:val="clear" w:color="auto" w:fill="FFFFFF"/>
        </w:rPr>
        <w:t>‘</w:t>
      </w:r>
      <w:r w:rsidRPr="750671CE">
        <w:rPr>
          <w:shd w:val="clear" w:color="auto" w:fill="FFFFFF"/>
        </w:rPr>
        <w:t>ordinary knowledge</w:t>
      </w:r>
      <w:r w:rsidR="00B05F31">
        <w:rPr>
          <w:shd w:val="clear" w:color="auto" w:fill="FFFFFF"/>
        </w:rPr>
        <w:t>’</w:t>
      </w:r>
      <w:r w:rsidRPr="750671CE">
        <w:rPr>
          <w:shd w:val="clear" w:color="auto" w:fill="FFFFFF"/>
        </w:rPr>
        <w:t xml:space="preserve">, what is </w:t>
      </w:r>
      <w:r w:rsidR="00B05F31">
        <w:rPr>
          <w:shd w:val="clear" w:color="auto" w:fill="FFFFFF"/>
        </w:rPr>
        <w:t>‘</w:t>
      </w:r>
      <w:r w:rsidRPr="750671CE">
        <w:rPr>
          <w:shd w:val="clear" w:color="auto" w:fill="FFFFFF"/>
        </w:rPr>
        <w:t>commonly known</w:t>
      </w:r>
      <w:r w:rsidR="00B05F31">
        <w:rPr>
          <w:shd w:val="clear" w:color="auto" w:fill="FFFFFF"/>
        </w:rPr>
        <w:t>’</w:t>
      </w:r>
      <w:r w:rsidRPr="750671CE">
        <w:rPr>
          <w:shd w:val="clear" w:color="auto" w:fill="FFFFFF"/>
        </w:rPr>
        <w:t xml:space="preserve">, and the </w:t>
      </w:r>
      <w:r w:rsidR="00B05F31">
        <w:rPr>
          <w:shd w:val="clear" w:color="auto" w:fill="FFFFFF"/>
        </w:rPr>
        <w:t>‘</w:t>
      </w:r>
      <w:r w:rsidRPr="750671CE">
        <w:rPr>
          <w:shd w:val="clear" w:color="auto" w:fill="FFFFFF"/>
        </w:rPr>
        <w:t>ordinary person</w:t>
      </w:r>
      <w:r w:rsidR="00B05F31">
        <w:rPr>
          <w:shd w:val="clear" w:color="auto" w:fill="FFFFFF"/>
        </w:rPr>
        <w:t>’</w:t>
      </w:r>
      <w:r w:rsidRPr="750671CE">
        <w:rPr>
          <w:shd w:val="clear" w:color="auto" w:fill="FFFFFF"/>
        </w:rPr>
        <w:t xml:space="preserve"> is vague. It will permit any tribunal a certain leeway in applying such notions; yet the principles are determinate enough not to be a simple verbal cloak for a court</w:t>
      </w:r>
      <w:r w:rsidR="00B05F31">
        <w:rPr>
          <w:shd w:val="clear" w:color="auto" w:fill="FFFFFF"/>
        </w:rPr>
        <w:t>’</w:t>
      </w:r>
      <w:r w:rsidRPr="750671CE">
        <w:rPr>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C27928" w:rsidRDefault="004709CA" w:rsidP="004709CA">
      <w:pPr>
        <w:rPr>
          <w:rFonts w:ascii="Times New Roman" w:hAnsi="Times New Roman" w:cs="Times New Roman"/>
          <w:color w:val="000000"/>
          <w:shd w:val="clear" w:color="auto" w:fill="FFFFFF"/>
        </w:rPr>
      </w:pPr>
    </w:p>
    <w:p w14:paraId="7C336A2B" w14:textId="075EA6DC" w:rsidR="004709CA" w:rsidRDefault="004709CA" w:rsidP="004709CA">
      <w:pPr>
        <w:rPr>
          <w:rFonts w:ascii="Times New Roman" w:hAnsi="Times New Roman" w:cs="Times New Roman"/>
        </w:rPr>
      </w:pPr>
      <w:r w:rsidRPr="750671CE">
        <w:rPr>
          <w:rFonts w:ascii="Times New Roman" w:eastAsia="Times New Roman" w:hAnsi="Times New Roman" w:cs="Times New Roman"/>
          <w:i/>
          <w:iCs/>
          <w:color w:val="000000"/>
          <w:shd w:val="clear" w:color="auto" w:fill="FFFFFF"/>
        </w:rPr>
        <w:t xml:space="preserve">Id. </w:t>
      </w:r>
      <w:r w:rsidRPr="750671CE">
        <w:rPr>
          <w:rFonts w:ascii="Times New Roman" w:eastAsia="Times New Roman" w:hAnsi="Times New Roman" w:cs="Times New Roman"/>
          <w:color w:val="000000"/>
          <w:shd w:val="clear" w:color="auto" w:fill="FFFFFF"/>
        </w:rPr>
        <w:t>at 154.</w:t>
      </w:r>
    </w:p>
    <w:p w14:paraId="5B7D0069" w14:textId="77777777" w:rsidR="004709CA" w:rsidRDefault="004709CA" w:rsidP="004709CA">
      <w:pPr>
        <w:rPr>
          <w:rFonts w:ascii="Times New Roman" w:hAnsi="Times New Roman" w:cs="Times New Roman"/>
        </w:rPr>
      </w:pPr>
    </w:p>
    <w:p w14:paraId="6585A1AC" w14:textId="77777777" w:rsidR="004709CA" w:rsidRPr="00F2627E" w:rsidRDefault="004709CA" w:rsidP="004709CA">
      <w:pPr>
        <w:rPr>
          <w:rFonts w:ascii="Times New Roman" w:hAnsi="Times New Roman" w:cs="Times New Roman"/>
        </w:rPr>
      </w:pPr>
    </w:p>
    <w:p w14:paraId="5298220B" w14:textId="77777777" w:rsidR="004709CA" w:rsidRDefault="004709CA" w:rsidP="00112E41">
      <w:pPr>
        <w:pStyle w:val="Heading2"/>
      </w:pPr>
      <w:bookmarkStart w:id="421" w:name="_Toc364636164"/>
      <w:bookmarkStart w:id="422" w:name="_Toc518323384"/>
      <w:r w:rsidRPr="00FA4733">
        <w:t>B. Causation-in-Fact</w:t>
      </w:r>
      <w:bookmarkEnd w:id="421"/>
      <w:bookmarkEnd w:id="422"/>
    </w:p>
    <w:p w14:paraId="315EE2AE" w14:textId="77777777" w:rsidR="004709CA" w:rsidRPr="00FA4733" w:rsidRDefault="004709CA" w:rsidP="004709CA">
      <w:pPr>
        <w:rPr>
          <w:rFonts w:ascii="Times New Roman" w:hAnsi="Times New Roman" w:cs="Times New Roman"/>
          <w:b/>
          <w:i/>
        </w:rPr>
      </w:pPr>
    </w:p>
    <w:p w14:paraId="202AE928"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587B63" w:rsidRDefault="004709CA" w:rsidP="004709CA">
      <w:pPr>
        <w:ind w:firstLine="720"/>
        <w:rPr>
          <w:rFonts w:ascii="Times New Roman" w:hAnsi="Times New Roman" w:cs="Times New Roman"/>
        </w:rPr>
      </w:pPr>
    </w:p>
    <w:p w14:paraId="7FC5A4B4" w14:textId="77777777" w:rsidR="004709CA" w:rsidRDefault="004709CA" w:rsidP="004709CA">
      <w:pPr>
        <w:rPr>
          <w:rFonts w:ascii="Times New Roman" w:hAnsi="Times New Roman" w:cs="Times New Roman"/>
          <w:b/>
        </w:rPr>
      </w:pPr>
    </w:p>
    <w:p w14:paraId="5C4C85F3" w14:textId="77777777" w:rsidR="004709CA" w:rsidRDefault="004709CA" w:rsidP="750671CE">
      <w:pPr>
        <w:rPr>
          <w:rFonts w:ascii="Times New Roman" w:eastAsia="Times New Roman" w:hAnsi="Times New Roman" w:cs="Times New Roman"/>
          <w:b/>
          <w:bCs/>
        </w:rPr>
      </w:pPr>
      <w:bookmarkStart w:id="423" w:name="_Toc518323385"/>
      <w:r w:rsidRPr="0045096C">
        <w:rPr>
          <w:rStyle w:val="Heading3Char"/>
          <w:i/>
        </w:rPr>
        <w:t>New York Central RR. Co. v. Grimstad</w:t>
      </w:r>
      <w:bookmarkEnd w:id="423"/>
      <w:r w:rsidRPr="750671CE">
        <w:rPr>
          <w:rFonts w:ascii="Times New Roman" w:eastAsia="Times New Roman" w:hAnsi="Times New Roman" w:cs="Times New Roman"/>
          <w:b/>
          <w:bCs/>
        </w:rPr>
        <w:t>, 264 F. 334 (2d Cir. 1920)</w:t>
      </w:r>
    </w:p>
    <w:p w14:paraId="7EBB9F27" w14:textId="77777777" w:rsidR="004709CA" w:rsidRDefault="004709CA" w:rsidP="004709CA">
      <w:pPr>
        <w:rPr>
          <w:rFonts w:ascii="Times New Roman" w:hAnsi="Times New Roman" w:cs="Times New Roman"/>
        </w:rPr>
      </w:pPr>
    </w:p>
    <w:p w14:paraId="33E4277B" w14:textId="5533FF51" w:rsidR="00787BF5" w:rsidRDefault="750671CE" w:rsidP="750671CE">
      <w:pPr>
        <w:shd w:val="clear" w:color="auto" w:fill="FFFFFF" w:themeFill="background1"/>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smallCaps/>
          <w:color w:val="000000" w:themeColor="text1"/>
        </w:rPr>
        <w:t>Ward</w:t>
      </w:r>
      <w:r w:rsidRPr="750671CE">
        <w:rPr>
          <w:rFonts w:ascii="Times New Roman" w:eastAsia="Times New Roman" w:hAnsi="Times New Roman" w:cs="Times New Roman"/>
          <w:color w:val="000000" w:themeColor="text1"/>
        </w:rPr>
        <w:t>,</w:t>
      </w:r>
      <w:r w:rsidRPr="750671CE">
        <w:rPr>
          <w:rFonts w:ascii="Times New Roman" w:eastAsia="Times New Roman" w:hAnsi="Times New Roman" w:cs="Times New Roman"/>
          <w:smallCaps/>
          <w:color w:val="000000" w:themeColor="text1"/>
        </w:rPr>
        <w:t xml:space="preserve"> </w:t>
      </w:r>
      <w:r w:rsidR="00787BF5">
        <w:rPr>
          <w:rFonts w:ascii="Times New Roman" w:eastAsia="Times New Roman" w:hAnsi="Times New Roman" w:cs="Times New Roman"/>
          <w:smallCaps/>
          <w:color w:val="000000" w:themeColor="text1"/>
        </w:rPr>
        <w:t>J</w:t>
      </w:r>
      <w:r w:rsidRPr="750671CE">
        <w:rPr>
          <w:rFonts w:ascii="Times New Roman" w:eastAsia="Times New Roman" w:hAnsi="Times New Roman" w:cs="Times New Roman"/>
          <w:color w:val="000000" w:themeColor="text1"/>
        </w:rPr>
        <w:t xml:space="preserve">. </w:t>
      </w:r>
    </w:p>
    <w:p w14:paraId="60D6E777" w14:textId="77777777" w:rsidR="00787BF5" w:rsidRDefault="00787BF5" w:rsidP="750671CE">
      <w:pPr>
        <w:shd w:val="clear" w:color="auto" w:fill="FFFFFF" w:themeFill="background1"/>
        <w:textAlignment w:val="baseline"/>
        <w:rPr>
          <w:rFonts w:ascii="Times New Roman" w:eastAsia="Times New Roman" w:hAnsi="Times New Roman" w:cs="Times New Roman"/>
          <w:color w:val="000000" w:themeColor="text1"/>
        </w:rPr>
      </w:pPr>
    </w:p>
    <w:p w14:paraId="7ED5A03D" w14:textId="46D6A582" w:rsidR="004709CA" w:rsidRDefault="750671CE" w:rsidP="00F94B7E">
      <w:pPr>
        <w:shd w:val="clear" w:color="auto" w:fill="FFFFFF" w:themeFill="background1"/>
        <w:ind w:firstLine="720"/>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This is an action </w:t>
      </w:r>
      <w:r w:rsidR="003843B7">
        <w:rPr>
          <w:rFonts w:ascii="Times New Roman" w:eastAsia="Times New Roman" w:hAnsi="Times New Roman" w:cs="Times New Roman"/>
          <w:color w:val="000000" w:themeColor="text1"/>
        </w:rPr>
        <w:t>. . .</w:t>
      </w:r>
      <w:r w:rsidR="003843B7"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587B63" w:rsidRDefault="004709CA" w:rsidP="004709CA">
      <w:pPr>
        <w:shd w:val="clear" w:color="auto" w:fill="FFFFFF"/>
        <w:textAlignment w:val="baseline"/>
        <w:rPr>
          <w:rFonts w:ascii="Times New Roman" w:hAnsi="Times New Roman" w:cs="Times New Roman"/>
          <w:color w:val="000000"/>
        </w:rPr>
      </w:pPr>
    </w:p>
    <w:p w14:paraId="6602906E" w14:textId="3A5D542D" w:rsidR="004709CA" w:rsidRDefault="750671CE" w:rsidP="750671CE">
      <w:pPr>
        <w:shd w:val="clear" w:color="auto" w:fill="FFFFFF" w:themeFill="background1"/>
        <w:ind w:firstLine="720"/>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barge was lying on the port side of the steamer Santa Clara, on the north side of Pier 2, Erie Basin, Brooklyn, loaded with sugar in transit from Havana to St. John, N. B. The tug Mary M, entering the slip between Piers 1 and 2, bumped against the barge. The decedent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587B63" w:rsidRDefault="004709CA" w:rsidP="004709CA">
      <w:pPr>
        <w:shd w:val="clear" w:color="auto" w:fill="FFFFFF"/>
        <w:textAlignment w:val="baseline"/>
        <w:rPr>
          <w:rFonts w:ascii="Times New Roman" w:hAnsi="Times New Roman" w:cs="Times New Roman"/>
          <w:color w:val="000000"/>
        </w:rPr>
      </w:pPr>
    </w:p>
    <w:p w14:paraId="3EB87922" w14:textId="77777777" w:rsidR="004709CA" w:rsidRDefault="750671CE" w:rsidP="750671CE">
      <w:pPr>
        <w:shd w:val="clear" w:color="auto" w:fill="FFFFFF" w:themeFill="background1"/>
        <w:ind w:firstLine="720"/>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460BDD13" w14:textId="77777777" w:rsidR="004709CA" w:rsidRPr="008F6324" w:rsidRDefault="004709CA" w:rsidP="004709CA">
      <w:pPr>
        <w:shd w:val="clear" w:color="auto" w:fill="FFFFFF"/>
        <w:ind w:firstLine="720"/>
        <w:textAlignment w:val="baseline"/>
        <w:rPr>
          <w:rFonts w:ascii="Times New Roman" w:hAnsi="Times New Roman" w:cs="Times New Roman"/>
          <w:color w:val="000000"/>
        </w:rPr>
      </w:pPr>
    </w:p>
    <w:p w14:paraId="502D05EE" w14:textId="059D93B3" w:rsidR="004709CA" w:rsidRDefault="750671CE" w:rsidP="750671CE">
      <w:pPr>
        <w:shd w:val="clear" w:color="auto" w:fill="FFFFFF" w:themeFill="background1"/>
        <w:ind w:firstLine="720"/>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On</w:t>
      </w:r>
      <w:r w:rsidRPr="750671CE">
        <w:rPr>
          <w:rFonts w:ascii="Times New Roman" w:eastAsia="Times New Roman" w:hAnsi="Times New Roman" w:cs="Times New Roman"/>
          <w:b/>
          <w:bCs/>
          <w:color w:val="000000" w:themeColor="text1"/>
        </w:rPr>
        <w:t xml:space="preserve"> </w:t>
      </w:r>
      <w:r w:rsidRPr="750671CE">
        <w:rPr>
          <w:rFonts w:ascii="Times New Roman" w:eastAsia="Times New Roman" w:hAnsi="Times New Roman" w:cs="Times New Roman"/>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deck would have prevented a person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587B63" w:rsidRDefault="004709CA" w:rsidP="004709CA">
      <w:pPr>
        <w:shd w:val="clear" w:color="auto" w:fill="FFFFFF"/>
        <w:ind w:firstLine="720"/>
        <w:textAlignment w:val="baseline"/>
        <w:rPr>
          <w:rFonts w:ascii="Times New Roman" w:hAnsi="Times New Roman" w:cs="Times New Roman"/>
          <w:color w:val="000000"/>
        </w:rPr>
      </w:pPr>
    </w:p>
    <w:p w14:paraId="1D2BBC30" w14:textId="42A1F3E5" w:rsidR="004709CA" w:rsidRDefault="750671CE" w:rsidP="750671CE">
      <w:pPr>
        <w:shd w:val="clear" w:color="auto" w:fill="FFFFFF" w:themeFill="background1"/>
        <w:ind w:firstLine="720"/>
        <w:textAlignment w:val="baseline"/>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court erred in denying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motion to dismiss the complaint at the end of the case.</w:t>
      </w:r>
    </w:p>
    <w:p w14:paraId="31DF31E3" w14:textId="77777777" w:rsidR="004709CA" w:rsidRPr="00587B63" w:rsidRDefault="004709CA" w:rsidP="004709CA">
      <w:pPr>
        <w:shd w:val="clear" w:color="auto" w:fill="FFFFFF"/>
        <w:ind w:firstLine="720"/>
        <w:textAlignment w:val="baseline"/>
        <w:rPr>
          <w:rFonts w:ascii="Times New Roman" w:hAnsi="Times New Roman" w:cs="Times New Roman"/>
          <w:color w:val="000000"/>
        </w:rPr>
      </w:pPr>
    </w:p>
    <w:p w14:paraId="5A89B0FF" w14:textId="77777777" w:rsidR="004709CA" w:rsidRPr="00917DE4" w:rsidRDefault="750671CE" w:rsidP="750671CE">
      <w:pPr>
        <w:shd w:val="clear" w:color="auto" w:fill="FFFFFF" w:themeFill="background1"/>
        <w:ind w:firstLine="720"/>
        <w:textAlignment w:val="baseline"/>
        <w:rPr>
          <w:rFonts w:ascii="Verdana,Times New Roman" w:eastAsia="Verdana,Times New Roman" w:hAnsi="Verdana,Times New Roman" w:cs="Verdana,Times New Roman"/>
          <w:color w:val="000000" w:themeColor="text1"/>
          <w:sz w:val="17"/>
          <w:szCs w:val="17"/>
        </w:rPr>
      </w:pPr>
      <w:r w:rsidRPr="750671CE">
        <w:rPr>
          <w:rFonts w:ascii="Times New Roman" w:eastAsia="Times New Roman" w:hAnsi="Times New Roman" w:cs="Times New Roman"/>
          <w:color w:val="000000" w:themeColor="text1"/>
        </w:rPr>
        <w:t>Judgment reversed.</w:t>
      </w:r>
    </w:p>
    <w:p w14:paraId="6F58172D" w14:textId="77777777" w:rsidR="004709CA" w:rsidRDefault="004709CA" w:rsidP="004709CA">
      <w:pPr>
        <w:rPr>
          <w:rFonts w:ascii="Times New Roman" w:hAnsi="Times New Roman" w:cs="Times New Roman"/>
        </w:rPr>
      </w:pPr>
    </w:p>
    <w:p w14:paraId="217E12CF" w14:textId="77777777" w:rsidR="004709CA" w:rsidRDefault="004709CA" w:rsidP="004709CA">
      <w:pPr>
        <w:rPr>
          <w:rFonts w:ascii="Times New Roman" w:hAnsi="Times New Roman" w:cs="Times New Roman"/>
        </w:rPr>
      </w:pPr>
    </w:p>
    <w:p w14:paraId="7CA4539B" w14:textId="77777777" w:rsidR="004709CA" w:rsidRDefault="004709CA" w:rsidP="002502CC">
      <w:pPr>
        <w:pStyle w:val="Heading4"/>
      </w:pPr>
      <w:bookmarkStart w:id="424" w:name="_Toc364636165"/>
      <w:bookmarkStart w:id="425" w:name="_Toc518323386"/>
      <w:r w:rsidRPr="00FA4733">
        <w:t>Notes</w:t>
      </w:r>
      <w:bookmarkEnd w:id="424"/>
      <w:bookmarkEnd w:id="425"/>
    </w:p>
    <w:p w14:paraId="47285B4B" w14:textId="77777777" w:rsidR="004709CA" w:rsidRDefault="004709CA" w:rsidP="004709CA">
      <w:pPr>
        <w:rPr>
          <w:rFonts w:ascii="Times New Roman" w:hAnsi="Times New Roman" w:cs="Times New Roman"/>
          <w:b/>
          <w:i/>
        </w:rPr>
      </w:pPr>
    </w:p>
    <w:p w14:paraId="6D6B2A42" w14:textId="77777777" w:rsidR="00330E2F" w:rsidRPr="00FA4733" w:rsidRDefault="00330E2F" w:rsidP="004709CA">
      <w:pPr>
        <w:rPr>
          <w:rFonts w:ascii="Times New Roman" w:hAnsi="Times New Roman" w:cs="Times New Roman"/>
          <w:b/>
          <w:i/>
        </w:rPr>
      </w:pPr>
    </w:p>
    <w:p w14:paraId="72431AFE" w14:textId="76A78A9C" w:rsidR="004709CA" w:rsidRPr="00F94B7E" w:rsidRDefault="750671CE" w:rsidP="00F94B7E">
      <w:pPr>
        <w:pStyle w:val="ListParagraph"/>
        <w:numPr>
          <w:ilvl w:val="0"/>
          <w:numId w:val="10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Loss causation.  </w:t>
      </w:r>
      <w:r w:rsidRPr="00F94B7E">
        <w:rPr>
          <w:rFonts w:ascii="Times New Roman" w:eastAsia="Times New Roman" w:hAnsi="Times New Roman" w:cs="Times New Roman"/>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The Massachusetts Supreme Court found that the plaintiff still needed to prove that he would not have had to jump out the window if he had been able to access those fire-fighting appliances. </w:t>
      </w:r>
      <w:r w:rsidRPr="00F94B7E">
        <w:rPr>
          <w:rFonts w:ascii="Times New Roman" w:eastAsia="Times New Roman" w:hAnsi="Times New Roman" w:cs="Times New Roman"/>
          <w:i/>
          <w:iCs/>
        </w:rPr>
        <w:t>Wainwright v. Jackson</w:t>
      </w:r>
      <w:r w:rsidRPr="00F94B7E">
        <w:rPr>
          <w:rFonts w:ascii="Times New Roman" w:eastAsia="Times New Roman" w:hAnsi="Times New Roman" w:cs="Times New Roman"/>
        </w:rPr>
        <w:t>, 291 Mass. 100 (1935).</w:t>
      </w:r>
    </w:p>
    <w:p w14:paraId="136F7ECF" w14:textId="77777777" w:rsidR="004709CA" w:rsidRDefault="004709CA" w:rsidP="004709CA">
      <w:pPr>
        <w:rPr>
          <w:rFonts w:ascii="Times New Roman" w:hAnsi="Times New Roman" w:cs="Times New Roman"/>
        </w:rPr>
      </w:pPr>
    </w:p>
    <w:p w14:paraId="37607A7B" w14:textId="1A103D21" w:rsidR="004709CA" w:rsidRDefault="004709CA" w:rsidP="750671CE">
      <w:pPr>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 xml:space="preserve">Loss causation is often especially salient in failure to warn cases, where the cost of a warning is particularly low compared to the possible harms. In </w:t>
      </w:r>
      <w:r w:rsidRPr="750671CE">
        <w:rPr>
          <w:rFonts w:ascii="Times New Roman" w:eastAsia="Times New Roman" w:hAnsi="Times New Roman" w:cs="Times New Roman"/>
          <w:i/>
          <w:iCs/>
        </w:rPr>
        <w:t>Willett v. Baxter Int</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l</w:t>
      </w:r>
      <w:r w:rsidRPr="750671CE">
        <w:rPr>
          <w:rFonts w:ascii="Times New Roman" w:eastAsia="Times New Roman" w:hAnsi="Times New Roman" w:cs="Times New Roman"/>
        </w:rPr>
        <w:t>, 929 F.2d 1094 (5th Cir. 1991), for example, the Fifth Circuit found a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decision to proceed with a medical procedure in the face of a known four percent risk strongly suggested that an additional 0.03 percent risk </w:t>
      </w:r>
      <w:r w:rsidR="00B05F31">
        <w:rPr>
          <w:rFonts w:ascii="Times New Roman" w:eastAsia="Times New Roman" w:hAnsi="Times New Roman" w:cs="Times New Roman"/>
        </w:rPr>
        <w:t>“</w:t>
      </w:r>
      <w:r w:rsidRPr="750671CE">
        <w:rPr>
          <w:rFonts w:ascii="Times New Roman" w:eastAsia="Times New Roman" w:hAnsi="Times New Roman" w:cs="Times New Roman"/>
        </w:rPr>
        <w:t>would not have changed his decision.</w:t>
      </w:r>
      <w:r w:rsidR="00B05F31">
        <w:rPr>
          <w:rFonts w:ascii="Times New Roman" w:eastAsia="Times New Roman" w:hAnsi="Times New Roman" w:cs="Times New Roman"/>
        </w:rPr>
        <w:t>”</w:t>
      </w:r>
    </w:p>
    <w:p w14:paraId="0B478BC4" w14:textId="77777777" w:rsidR="004709CA" w:rsidRDefault="004709CA" w:rsidP="004709CA">
      <w:pPr>
        <w:rPr>
          <w:rFonts w:ascii="Times New Roman" w:hAnsi="Times New Roman" w:cs="Times New Roman"/>
        </w:rPr>
      </w:pPr>
    </w:p>
    <w:p w14:paraId="52C991D4" w14:textId="77777777" w:rsidR="004709CA" w:rsidRDefault="004709CA" w:rsidP="004709CA">
      <w:pPr>
        <w:rPr>
          <w:rFonts w:ascii="Times New Roman" w:hAnsi="Times New Roman" w:cs="Times New Roman"/>
        </w:rPr>
      </w:pPr>
    </w:p>
    <w:p w14:paraId="19EC51A0" w14:textId="0DF44F27" w:rsidR="004709CA" w:rsidRPr="00F94B7E" w:rsidRDefault="750671CE" w:rsidP="00F94B7E">
      <w:pPr>
        <w:pStyle w:val="ListParagraph"/>
        <w:numPr>
          <w:ilvl w:val="0"/>
          <w:numId w:val="10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Insurance and causation.  </w:t>
      </w:r>
      <w:r w:rsidRPr="00F94B7E">
        <w:rPr>
          <w:rFonts w:ascii="Times New Roman" w:eastAsia="Times New Roman" w:hAnsi="Times New Roman" w:cs="Times New Roman"/>
        </w:rPr>
        <w:t>The law of insurance deals with loss causation very differently. 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failure to disclose did not cause the insurance company to pay out, the insurance company was still entitled to rescind coverage. Eleanor D. Kinney, </w:t>
      </w:r>
      <w:r w:rsidRPr="00F94B7E">
        <w:rPr>
          <w:rFonts w:ascii="Times New Roman" w:eastAsia="Times New Roman" w:hAnsi="Times New Roman" w:cs="Times New Roman"/>
          <w:i/>
          <w:iCs/>
        </w:rPr>
        <w:t>For Profit Enterprise in Health Care: Can It Contribute to Health Reform?</w:t>
      </w:r>
      <w:r w:rsidRPr="00F94B7E">
        <w:rPr>
          <w:rFonts w:ascii="Times New Roman" w:eastAsia="Times New Roman" w:hAnsi="Times New Roman" w:cs="Times New Roman"/>
        </w:rPr>
        <w:t xml:space="preserve">, 36 </w:t>
      </w:r>
      <w:r w:rsidRPr="00F94B7E">
        <w:rPr>
          <w:rFonts w:ascii="Times New Roman" w:eastAsia="Times New Roman" w:hAnsi="Times New Roman" w:cs="Times New Roman"/>
          <w:smallCaps/>
        </w:rPr>
        <w:t xml:space="preserve">Am. J. L. </w:t>
      </w:r>
      <w:r w:rsidR="000272FD" w:rsidRPr="00F94B7E">
        <w:rPr>
          <w:rFonts w:ascii="Times New Roman" w:eastAsia="Times New Roman" w:hAnsi="Times New Roman" w:cs="Times New Roman"/>
          <w:smallCaps/>
        </w:rPr>
        <w:t xml:space="preserve">&amp; </w:t>
      </w:r>
      <w:r w:rsidRPr="00F94B7E">
        <w:rPr>
          <w:rFonts w:ascii="Times New Roman" w:eastAsia="Times New Roman" w:hAnsi="Times New Roman" w:cs="Times New Roman"/>
          <w:smallCaps/>
        </w:rPr>
        <w:t>Med.</w:t>
      </w:r>
      <w:r w:rsidRPr="00F94B7E">
        <w:rPr>
          <w:rFonts w:ascii="Times New Roman" w:eastAsia="Times New Roman" w:hAnsi="Times New Roman" w:cs="Times New Roman"/>
        </w:rPr>
        <w:t xml:space="preserve"> 405 (2010). In other areas of insurance, such as life insurance, rescission is still generally permitted as a remedy for even innocent misrepresentations by the policyholder. Brian Barnes, </w:t>
      </w:r>
      <w:r w:rsidRPr="00F94B7E">
        <w:rPr>
          <w:rFonts w:ascii="Times New Roman" w:eastAsia="Times New Roman" w:hAnsi="Times New Roman" w:cs="Times New Roman"/>
          <w:i/>
          <w:iCs/>
        </w:rPr>
        <w:t>Against Insurance Rescission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120 Yale L.J.</w:t>
      </w:r>
      <w:r w:rsidRPr="00F94B7E">
        <w:rPr>
          <w:rFonts w:ascii="Times New Roman" w:eastAsia="Times New Roman" w:hAnsi="Times New Roman" w:cs="Times New Roman"/>
        </w:rPr>
        <w:t xml:space="preserve"> 328 (2010).  As Judge Calabresi puts it, insurance law substitutes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transaction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loss causation.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Guido Calabresi, </w:t>
      </w:r>
      <w:r w:rsidRPr="00F94B7E">
        <w:rPr>
          <w:rFonts w:ascii="Times New Roman" w:eastAsia="Times New Roman" w:hAnsi="Times New Roman" w:cs="Times New Roman"/>
          <w:i/>
          <w:iCs/>
        </w:rPr>
        <w:t>Civil Recourse Theory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Reductionism</w:t>
      </w:r>
      <w:r w:rsidRPr="00F94B7E">
        <w:rPr>
          <w:rFonts w:ascii="Times New Roman" w:eastAsia="Times New Roman" w:hAnsi="Times New Roman" w:cs="Times New Roman"/>
        </w:rPr>
        <w:t xml:space="preserve">, 88 </w:t>
      </w:r>
      <w:r w:rsidRPr="00F94B7E">
        <w:rPr>
          <w:rFonts w:ascii="Times New Roman" w:eastAsia="Times New Roman" w:hAnsi="Times New Roman" w:cs="Times New Roman"/>
          <w:smallCaps/>
        </w:rPr>
        <w:t>Ind. L.J.</w:t>
      </w:r>
      <w:r w:rsidRPr="00F94B7E">
        <w:rPr>
          <w:rFonts w:ascii="Times New Roman" w:eastAsia="Times New Roman" w:hAnsi="Times New Roman" w:cs="Times New Roman"/>
        </w:rPr>
        <w:t xml:space="preserve"> 449, 456 (2013).</w:t>
      </w:r>
    </w:p>
    <w:p w14:paraId="1A043846" w14:textId="77777777" w:rsidR="004709CA" w:rsidRPr="00E364E4" w:rsidRDefault="004709CA" w:rsidP="004709CA">
      <w:pPr>
        <w:rPr>
          <w:rFonts w:ascii="Times New Roman" w:hAnsi="Times New Roman" w:cs="Times New Roman"/>
        </w:rPr>
      </w:pPr>
    </w:p>
    <w:p w14:paraId="2EEFA468" w14:textId="77777777" w:rsidR="004709CA" w:rsidRDefault="004709CA" w:rsidP="750671CE">
      <w:pPr>
        <w:rPr>
          <w:rFonts w:ascii="Times New Roman" w:eastAsia="Times New Roman" w:hAnsi="Times New Roman" w:cs="Times New Roman"/>
        </w:rPr>
      </w:pPr>
      <w:r>
        <w:rPr>
          <w:rFonts w:ascii="Times New Roman" w:hAnsi="Times New Roman" w:cs="Times New Roman"/>
          <w:b/>
        </w:rPr>
        <w:tab/>
      </w:r>
      <w:r w:rsidRPr="750671CE">
        <w:rPr>
          <w:rFonts w:ascii="Times New Roman" w:eastAsia="Times New Roman" w:hAnsi="Times New Roman" w:cs="Times New Roman"/>
        </w:rPr>
        <w:t>So far we have proceeded as if causation is either on or off, yes or no.  But what happens when causation-in-fact can only be expressed in terms of probabilities?  The next case introduces the problem, which subsequent sections pursue further.</w:t>
      </w:r>
    </w:p>
    <w:p w14:paraId="3A82EE7E" w14:textId="77777777" w:rsidR="004709CA" w:rsidRDefault="004709CA" w:rsidP="004709CA">
      <w:pPr>
        <w:rPr>
          <w:rFonts w:ascii="Times New Roman" w:hAnsi="Times New Roman" w:cs="Times New Roman"/>
        </w:rPr>
      </w:pPr>
    </w:p>
    <w:p w14:paraId="4C0420E7" w14:textId="77777777" w:rsidR="004709CA" w:rsidRDefault="004709CA" w:rsidP="004709CA">
      <w:pPr>
        <w:rPr>
          <w:rFonts w:ascii="Times New Roman" w:hAnsi="Times New Roman" w:cs="Times New Roman"/>
        </w:rPr>
      </w:pPr>
    </w:p>
    <w:p w14:paraId="556F228C" w14:textId="4B105DDA" w:rsidR="004709CA" w:rsidRPr="008D4240" w:rsidRDefault="004709CA" w:rsidP="750671CE">
      <w:pPr>
        <w:jc w:val="both"/>
        <w:rPr>
          <w:rStyle w:val="st"/>
          <w:rFonts w:ascii="Times New Roman" w:eastAsia="Times New Roman" w:hAnsi="Times New Roman" w:cs="Times New Roman"/>
          <w:b/>
          <w:bCs/>
        </w:rPr>
      </w:pPr>
      <w:bookmarkStart w:id="426" w:name="_Toc518323387"/>
      <w:r w:rsidRPr="0045096C">
        <w:rPr>
          <w:rStyle w:val="Heading3Char"/>
          <w:i/>
        </w:rPr>
        <w:t>Stubbs v. City of Rochester</w:t>
      </w:r>
      <w:bookmarkEnd w:id="426"/>
      <w:r w:rsidRPr="750671CE">
        <w:rPr>
          <w:rFonts w:ascii="Times New Roman" w:eastAsia="Times New Roman" w:hAnsi="Times New Roman" w:cs="Times New Roman"/>
          <w:b/>
          <w:bCs/>
        </w:rPr>
        <w:t xml:space="preserve">, </w:t>
      </w:r>
      <w:r w:rsidRPr="750671CE">
        <w:rPr>
          <w:rStyle w:val="st"/>
          <w:rFonts w:ascii="Times New Roman" w:eastAsia="Times New Roman" w:hAnsi="Times New Roman" w:cs="Times New Roman"/>
          <w:b/>
          <w:bCs/>
        </w:rPr>
        <w:t>124 N.E. 137 (</w:t>
      </w:r>
      <w:r w:rsidR="00C01EDA" w:rsidRPr="750671CE">
        <w:rPr>
          <w:rStyle w:val="st"/>
          <w:rFonts w:ascii="Times New Roman" w:eastAsia="Times New Roman" w:hAnsi="Times New Roman" w:cs="Times New Roman"/>
          <w:b/>
          <w:bCs/>
        </w:rPr>
        <w:t xml:space="preserve">N.Y. </w:t>
      </w:r>
      <w:r w:rsidRPr="750671CE">
        <w:rPr>
          <w:rStyle w:val="st"/>
          <w:rFonts w:ascii="Times New Roman" w:eastAsia="Times New Roman" w:hAnsi="Times New Roman" w:cs="Times New Roman"/>
          <w:b/>
          <w:bCs/>
        </w:rPr>
        <w:t>1919)</w:t>
      </w:r>
    </w:p>
    <w:p w14:paraId="238D2C87" w14:textId="77777777" w:rsidR="004709CA" w:rsidRPr="00FA4733" w:rsidRDefault="004709CA" w:rsidP="004709CA">
      <w:pPr>
        <w:jc w:val="both"/>
        <w:rPr>
          <w:rFonts w:ascii="Times New Roman" w:hAnsi="Times New Roman" w:cs="Times New Roman"/>
          <w:b/>
        </w:rPr>
      </w:pPr>
    </w:p>
    <w:p w14:paraId="79F1FE72" w14:textId="0A520B91"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alleged that he contracted typhoid fever due to drinking contaminated water from the defendant city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water service.  Rochester had two systems of water supply: one for drinking, from Hemlock Lake, and another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Holley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system water) for fire purposes in the business district.  Holley water was pumped from the Genesee river near the center of the city.  In May 1910, the negligence of the city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employees caused Holley water to mix with Hemlock water.  In June, the city received </w:t>
      </w:r>
      <w:r w:rsidR="00B05F31">
        <w:rPr>
          <w:rFonts w:ascii="Times New Roman" w:eastAsia="Times New Roman" w:hAnsi="Times New Roman" w:cs="Times New Roman"/>
        </w:rPr>
        <w:t>“</w:t>
      </w:r>
      <w:r w:rsidRPr="750671CE">
        <w:rPr>
          <w:rFonts w:ascii="Times New Roman" w:eastAsia="Times New Roman" w:hAnsi="Times New Roman" w:cs="Times New Roman"/>
        </w:rPr>
        <w:t>numerous complaints . . . from inhabitants, consumers of the Hemlock water, residing or employed in the vicinity of Brown street bridge, in substance that the water was roily, dirty, and had an offensive odor.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After a delayed response, health officials notified the public in September </w:t>
      </w:r>
      <w:r w:rsidR="00B05F31">
        <w:rPr>
          <w:rFonts w:ascii="Times New Roman" w:eastAsia="Times New Roman" w:hAnsi="Times New Roman" w:cs="Times New Roman"/>
        </w:rPr>
        <w:t>“</w:t>
      </w:r>
      <w:r w:rsidRPr="750671CE">
        <w:rPr>
          <w:rFonts w:ascii="Times New Roman" w:eastAsia="Times New Roman" w:hAnsi="Times New Roman" w:cs="Times New Roman"/>
        </w:rPr>
        <w:t>through the newspapers not to drink the water without boiling it [and] thereupon notified the water department that the Hemlock water was contaminated.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Health Department investigated beginning in early October, </w:t>
      </w:r>
      <w:r w:rsidR="00B05F31">
        <w:rPr>
          <w:rFonts w:ascii="Times New Roman" w:eastAsia="Times New Roman" w:hAnsi="Times New Roman" w:cs="Times New Roman"/>
        </w:rPr>
        <w:t>“</w:t>
      </w:r>
      <w:r w:rsidRPr="750671CE">
        <w:rPr>
          <w:rFonts w:ascii="Times New Roman" w:eastAsia="Times New Roman" w:hAnsi="Times New Roman" w:cs="Times New Roman"/>
        </w:rPr>
        <w:t>upwards of three months after many complaints had been made to it.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conduct was the cause of his injuries.  Plaintiff appealed.]</w:t>
      </w:r>
    </w:p>
    <w:p w14:paraId="53BB5F96" w14:textId="77777777" w:rsidR="004709CA" w:rsidRPr="00FA4733" w:rsidRDefault="004709CA" w:rsidP="004709CA">
      <w:pPr>
        <w:rPr>
          <w:rFonts w:ascii="Times New Roman" w:hAnsi="Times New Roman" w:cs="Times New Roman"/>
        </w:rPr>
      </w:pPr>
    </w:p>
    <w:p w14:paraId="564EE737" w14:textId="77777777" w:rsidR="004709CA"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smallCaps/>
        </w:rPr>
        <w:t>Hogan,</w:t>
      </w:r>
      <w:r w:rsidRPr="750671CE">
        <w:rPr>
          <w:rFonts w:ascii="Times New Roman" w:eastAsia="Times New Roman" w:hAnsi="Times New Roman" w:cs="Times New Roman"/>
        </w:rPr>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disclose several causes of typhoid fever, which is a germ disease, the germ being known as the typhoid bacillus, which causes may be classified as follows:</w:t>
      </w:r>
    </w:p>
    <w:p w14:paraId="2C090E23" w14:textId="77777777" w:rsidR="004709CA" w:rsidRPr="00FA4733" w:rsidRDefault="004709CA" w:rsidP="004709CA">
      <w:pPr>
        <w:rPr>
          <w:rFonts w:ascii="Times New Roman" w:hAnsi="Times New Roman" w:cs="Times New Roman"/>
        </w:rPr>
      </w:pPr>
    </w:p>
    <w:p w14:paraId="7270106E"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Ninth. The medical authorities recognize that there are still other causes and means unknown. This fact was developed on cross-examination of physicians called by plaintiff.</w:t>
      </w:r>
    </w:p>
    <w:p w14:paraId="5033433F" w14:textId="77777777" w:rsidR="004709CA" w:rsidRPr="00FA4733" w:rsidRDefault="004709CA" w:rsidP="004709CA">
      <w:pPr>
        <w:ind w:firstLine="720"/>
        <w:rPr>
          <w:rFonts w:ascii="Times New Roman" w:hAnsi="Times New Roman" w:cs="Times New Roman"/>
        </w:rPr>
      </w:pPr>
    </w:p>
    <w:p w14:paraId="59A7A851"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Treating the suggestions of counsel in their order: (a) That the evidence fails to disclose that plaintiff contracted typhoid fever by drinking contaminated water. The plaintiff, having been nonsuited at the close of his case, is entitled to the most favorable inference deducible from the evidence. That plaintiff, on or about September 6th, 1910,</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FA4733" w:rsidRDefault="004709CA" w:rsidP="004709CA">
      <w:pPr>
        <w:ind w:firstLine="720"/>
        <w:rPr>
          <w:rFonts w:ascii="Times New Roman" w:hAnsi="Times New Roman" w:cs="Times New Roman"/>
        </w:rPr>
      </w:pPr>
    </w:p>
    <w:p w14:paraId="30D3404B" w14:textId="708D4D7A" w:rsidR="004709CA" w:rsidRPr="00FA4733" w:rsidRDefault="004709CA" w:rsidP="750671CE">
      <w:pPr>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Default="004709CA" w:rsidP="004709CA">
      <w:pPr>
        <w:rPr>
          <w:rFonts w:ascii="Times New Roman" w:hAnsi="Times New Roman" w:cs="Times New Roman"/>
        </w:rPr>
      </w:pPr>
      <w:r>
        <w:rPr>
          <w:rFonts w:ascii="Times New Roman" w:hAnsi="Times New Roman" w:cs="Times New Roman"/>
        </w:rPr>
        <w:tab/>
      </w:r>
    </w:p>
    <w:p w14:paraId="0FCB3606"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Dr. Dodge, of the faculty of the University of Rochester, a professor of biology, also bacteriologist of the city of Rochester, about October 1st made an analysis of samples of water . . . [and found] evidence of [colon bacillus]. Dr. Brady, the physician who attended the plaintiff, and Dr. Culkin both testified that in their opinion the plaintiff contracted typhoid fever from drinking polluted water.</w:t>
      </w:r>
    </w:p>
    <w:p w14:paraId="01E445F9" w14:textId="77777777" w:rsidR="004709CA" w:rsidRDefault="004709CA" w:rsidP="004709CA">
      <w:pPr>
        <w:rPr>
          <w:rFonts w:ascii="Times New Roman" w:hAnsi="Times New Roman" w:cs="Times New Roman"/>
        </w:rPr>
      </w:pPr>
    </w:p>
    <w:p w14:paraId="2D5D0101" w14:textId="28E5DF2C"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called a witness who resided on Brown street, about two minutes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Default="004709CA" w:rsidP="004709CA">
      <w:pPr>
        <w:rPr>
          <w:rFonts w:ascii="Times New Roman" w:hAnsi="Times New Roman" w:cs="Times New Roman"/>
        </w:rPr>
      </w:pPr>
      <w:r>
        <w:rPr>
          <w:rFonts w:ascii="Times New Roman" w:hAnsi="Times New Roman" w:cs="Times New Roman"/>
        </w:rPr>
        <w:tab/>
      </w:r>
    </w:p>
    <w:p w14:paraId="60857F9C"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FA4733" w:rsidRDefault="004709CA" w:rsidP="004709CA">
      <w:pPr>
        <w:ind w:firstLine="720"/>
        <w:rPr>
          <w:rFonts w:ascii="Times New Roman" w:hAnsi="Times New Roman" w:cs="Times New Roman"/>
        </w:rPr>
      </w:pPr>
    </w:p>
    <w:p w14:paraId="756FC319"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Default="004709CA" w:rsidP="004709CA">
      <w:pPr>
        <w:rPr>
          <w:rFonts w:ascii="Times New Roman" w:hAnsi="Times New Roman" w:cs="Times New Roman"/>
        </w:rPr>
      </w:pPr>
    </w:p>
    <w:p w14:paraId="1E69E0DC"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Default="004709CA" w:rsidP="004709CA">
      <w:pPr>
        <w:rPr>
          <w:rFonts w:ascii="Times New Roman" w:hAnsi="Times New Roman" w:cs="Times New Roman"/>
        </w:rPr>
      </w:pPr>
    </w:p>
    <w:p w14:paraId="6EF7A9D1"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Default="004709CA" w:rsidP="004709CA">
      <w:pPr>
        <w:rPr>
          <w:rFonts w:ascii="Times New Roman" w:hAnsi="Times New Roman" w:cs="Times New Roman"/>
        </w:rPr>
      </w:pPr>
    </w:p>
    <w:p w14:paraId="1C45AD89"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plaintiff was employed in the immediate locality where the water was contaminated. He drank the water daily. The consumption of contaminated water is a very</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frequent cause of typhoid fever. In the locality there were a large number of cases of typhoid fever, and near to 60 individuals who drank the water and had suffered from typhoid fever in 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Default="004709CA" w:rsidP="004709CA">
      <w:pPr>
        <w:ind w:firstLine="720"/>
        <w:rPr>
          <w:rFonts w:ascii="Times New Roman" w:hAnsi="Times New Roman" w:cs="Times New Roman"/>
        </w:rPr>
      </w:pPr>
    </w:p>
    <w:p w14:paraId="1D4F8FEE" w14:textId="77777777" w:rsidR="004709CA" w:rsidRPr="00FA4733"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should be reversed, and a new trial granted, costs to abide the event.</w:t>
      </w:r>
    </w:p>
    <w:p w14:paraId="10515835" w14:textId="77777777" w:rsidR="004709CA" w:rsidRDefault="004709CA" w:rsidP="004709CA">
      <w:pPr>
        <w:rPr>
          <w:rFonts w:ascii="Times New Roman" w:hAnsi="Times New Roman" w:cs="Times New Roman"/>
        </w:rPr>
      </w:pPr>
    </w:p>
    <w:p w14:paraId="1BB1AC51" w14:textId="77777777" w:rsidR="004709CA" w:rsidRPr="00FA4733"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C</w:t>
      </w:r>
      <w:r w:rsidRPr="750671CE">
        <w:rPr>
          <w:rFonts w:ascii="Times New Roman" w:eastAsia="Times New Roman" w:hAnsi="Times New Roman" w:cs="Times New Roman"/>
          <w:smallCaps/>
        </w:rPr>
        <w:t>ardozo</w:t>
      </w:r>
      <w:r w:rsidRPr="750671CE">
        <w:rPr>
          <w:rFonts w:ascii="Times New Roman" w:eastAsia="Times New Roman" w:hAnsi="Times New Roman" w:cs="Times New Roman"/>
        </w:rPr>
        <w:t>, P</w:t>
      </w:r>
      <w:r w:rsidRPr="750671CE">
        <w:rPr>
          <w:rFonts w:ascii="Times New Roman" w:eastAsia="Times New Roman" w:hAnsi="Times New Roman" w:cs="Times New Roman"/>
          <w:smallCaps/>
        </w:rPr>
        <w:t>ound</w:t>
      </w:r>
      <w:r w:rsidRPr="750671CE">
        <w:rPr>
          <w:rFonts w:ascii="Times New Roman" w:eastAsia="Times New Roman" w:hAnsi="Times New Roman" w:cs="Times New Roman"/>
        </w:rPr>
        <w:t>, and A</w:t>
      </w:r>
      <w:r w:rsidRPr="750671CE">
        <w:rPr>
          <w:rFonts w:ascii="Times New Roman" w:eastAsia="Times New Roman" w:hAnsi="Times New Roman" w:cs="Times New Roman"/>
          <w:smallCaps/>
        </w:rPr>
        <w:t>ndrew</w:t>
      </w:r>
      <w:r w:rsidRPr="750671CE">
        <w:rPr>
          <w:rFonts w:ascii="Times New Roman" w:eastAsia="Times New Roman" w:hAnsi="Times New Roman" w:cs="Times New Roman"/>
        </w:rPr>
        <w:t>, JJ., concur.</w:t>
      </w:r>
    </w:p>
    <w:p w14:paraId="0A2C68B6" w14:textId="77777777" w:rsidR="004709CA" w:rsidRDefault="004709CA" w:rsidP="004709CA">
      <w:pPr>
        <w:jc w:val="both"/>
        <w:rPr>
          <w:rFonts w:ascii="Times New Roman" w:hAnsi="Times New Roman" w:cs="Times New Roman"/>
        </w:rPr>
      </w:pPr>
    </w:p>
    <w:p w14:paraId="64B9B3F4" w14:textId="77777777" w:rsidR="004709CA" w:rsidRPr="00FA4733" w:rsidRDefault="750671CE" w:rsidP="750671CE">
      <w:pPr>
        <w:jc w:val="both"/>
        <w:rPr>
          <w:rFonts w:ascii="Times New Roman" w:eastAsia="Times New Roman" w:hAnsi="Times New Roman" w:cs="Times New Roman"/>
        </w:rPr>
      </w:pPr>
      <w:r w:rsidRPr="750671CE">
        <w:rPr>
          <w:rFonts w:ascii="Times New Roman" w:eastAsia="Times New Roman" w:hAnsi="Times New Roman" w:cs="Times New Roman"/>
        </w:rPr>
        <w:t>H</w:t>
      </w:r>
      <w:r w:rsidRPr="750671CE">
        <w:rPr>
          <w:rFonts w:ascii="Times New Roman" w:eastAsia="Times New Roman" w:hAnsi="Times New Roman" w:cs="Times New Roman"/>
          <w:smallCaps/>
        </w:rPr>
        <w:t>iscock</w:t>
      </w:r>
      <w:r w:rsidRPr="750671CE">
        <w:rPr>
          <w:rFonts w:ascii="Times New Roman" w:eastAsia="Times New Roman" w:hAnsi="Times New Roman" w:cs="Times New Roman"/>
        </w:rPr>
        <w:t xml:space="preserve">, C. J., and </w:t>
      </w:r>
      <w:r w:rsidRPr="750671CE">
        <w:rPr>
          <w:rFonts w:ascii="Times New Roman" w:eastAsia="Times New Roman" w:hAnsi="Times New Roman" w:cs="Times New Roman"/>
          <w:smallCaps/>
        </w:rPr>
        <w:t>Chase</w:t>
      </w:r>
      <w:r w:rsidRPr="750671CE">
        <w:rPr>
          <w:rFonts w:ascii="Times New Roman" w:eastAsia="Times New Roman" w:hAnsi="Times New Roman" w:cs="Times New Roman"/>
        </w:rPr>
        <w:t xml:space="preserve"> and M</w:t>
      </w:r>
      <w:r w:rsidRPr="750671CE">
        <w:rPr>
          <w:rFonts w:ascii="Times New Roman" w:eastAsia="Times New Roman" w:hAnsi="Times New Roman" w:cs="Times New Roman"/>
          <w:smallCaps/>
        </w:rPr>
        <w:t>cLaughlin</w:t>
      </w:r>
      <w:r w:rsidRPr="750671CE">
        <w:rPr>
          <w:rFonts w:ascii="Times New Roman" w:eastAsia="Times New Roman" w:hAnsi="Times New Roman" w:cs="Times New Roman"/>
        </w:rPr>
        <w:t>, JJ., dissent.</w:t>
      </w:r>
    </w:p>
    <w:p w14:paraId="43398D6E" w14:textId="77777777" w:rsidR="004709CA" w:rsidRDefault="004709CA" w:rsidP="004709CA">
      <w:pPr>
        <w:rPr>
          <w:rFonts w:ascii="Times New Roman" w:hAnsi="Times New Roman" w:cs="Times New Roman"/>
        </w:rPr>
      </w:pPr>
    </w:p>
    <w:p w14:paraId="11F37D1F" w14:textId="17CED364" w:rsidR="004709CA" w:rsidRPr="008D4240"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Judgment reversed, etc</w:t>
      </w:r>
      <w:r w:rsidR="00977E24">
        <w:rPr>
          <w:rFonts w:ascii="Times New Roman" w:eastAsia="Times New Roman" w:hAnsi="Times New Roman" w:cs="Times New Roman"/>
        </w:rPr>
        <w:t>.</w:t>
      </w:r>
    </w:p>
    <w:p w14:paraId="4513BEAA" w14:textId="77777777" w:rsidR="004709CA" w:rsidRDefault="004709CA" w:rsidP="004709CA">
      <w:pPr>
        <w:rPr>
          <w:rFonts w:ascii="Times New Roman" w:hAnsi="Times New Roman" w:cs="Times New Roman"/>
        </w:rPr>
      </w:pPr>
    </w:p>
    <w:p w14:paraId="434111CC" w14:textId="77777777" w:rsidR="00330E2F" w:rsidRPr="008D4240" w:rsidRDefault="00330E2F" w:rsidP="004709CA">
      <w:pPr>
        <w:rPr>
          <w:rFonts w:ascii="Times New Roman" w:hAnsi="Times New Roman" w:cs="Times New Roman"/>
        </w:rPr>
      </w:pPr>
    </w:p>
    <w:p w14:paraId="218666A3" w14:textId="77777777" w:rsidR="004709CA" w:rsidRDefault="004709CA" w:rsidP="002502CC">
      <w:pPr>
        <w:pStyle w:val="Heading4"/>
      </w:pPr>
      <w:bookmarkStart w:id="427" w:name="_Toc364636166"/>
      <w:bookmarkStart w:id="428" w:name="_Toc518323388"/>
      <w:r>
        <w:t>No</w:t>
      </w:r>
      <w:r w:rsidRPr="00FA4733">
        <w:t>tes</w:t>
      </w:r>
      <w:bookmarkEnd w:id="427"/>
      <w:bookmarkEnd w:id="428"/>
    </w:p>
    <w:p w14:paraId="3C1C3DC0" w14:textId="77777777" w:rsidR="004709CA" w:rsidRDefault="004709CA" w:rsidP="004709CA">
      <w:pPr>
        <w:rPr>
          <w:rFonts w:ascii="Times New Roman" w:hAnsi="Times New Roman" w:cs="Times New Roman"/>
          <w:b/>
          <w:i/>
        </w:rPr>
      </w:pPr>
    </w:p>
    <w:p w14:paraId="2279D3FB" w14:textId="3C8B73C7" w:rsidR="004709CA" w:rsidRPr="00F94B7E" w:rsidRDefault="750671CE" w:rsidP="00F94B7E">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Causation in </w:t>
      </w:r>
      <w:r w:rsidRPr="00F94B7E">
        <w:rPr>
          <w:rFonts w:ascii="Times New Roman" w:eastAsia="Times New Roman" w:hAnsi="Times New Roman" w:cs="Times New Roman"/>
          <w:iCs/>
        </w:rPr>
        <w:t>Stubbs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Public health studies from the same era found that in northern states, typhoid fever typically peaked in August, September, October, and November in Northern states (including New York):</w:t>
      </w:r>
    </w:p>
    <w:p w14:paraId="36C606DF" w14:textId="77777777" w:rsidR="004709CA" w:rsidRDefault="004709CA" w:rsidP="004709CA">
      <w:pPr>
        <w:rPr>
          <w:rFonts w:ascii="Times New Roman" w:hAnsi="Times New Roman" w:cs="Times New Roman"/>
          <w:b/>
        </w:rPr>
      </w:pPr>
      <w:r w:rsidRPr="00587B63">
        <w:rPr>
          <w:rFonts w:ascii="Times New Roman" w:hAnsi="Times New Roman" w:cs="Times New Roman"/>
          <w:b/>
          <w:noProof/>
          <w:lang w:eastAsia="en-US"/>
        </w:rPr>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61"/>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1853BF" w:rsidRDefault="001853BF" w:rsidP="004709CA">
                              <w:pPr>
                                <w:rPr>
                                  <w:rFonts w:eastAsia="Times New Roman" w:cs="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993;width:78232;height:4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4mkLCAAAA2wAAAA8AAABkcnMvZG93bnJldi54bWxET01rwkAQvRf8D8sUeinNxh5Cja6hCIL0&#10;Ik215zE7ZqPZ2ZhdTfrvu4WCt3m8z1kUo23FjXrfOFYwTVIQxJXTDdcKdl/rlzcQPiBrbB2Tgh/y&#10;UCwnDwvMtRv4k25lqEUMYZ+jAhNCl0vpK0MWfeI64sgdXW8xRNjXUvc4xHDbytc0zaTFhmODwY5W&#10;hqpzebUK9mZ7OGX8bXB3rbfP/vJxmqYXpZ4ex/c5iEBjuIv/3Rsd58/g75d4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JpCwgAAANsAAAAPAAAAAAAAAAAAAAAAAJ8C&#10;AABkcnMvZG93bnJldi54bWxQSwUGAAAAAAQABAD3AAAAjgMAAAAA&#10;">
                  <v:imagedata r:id="rId62" o:title=""/>
                  <v:path arrowok="t"/>
                </v:shape>
                <v:rect id="Rectangle 20" o:spid="_x0000_s1028" style="position:absolute;left:5348;width:252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zgcAA&#10;AADbAAAADwAAAGRycy9kb3ducmV2LnhtbERPy4rCMBTdC/5DuMLsNFWYYaimRQVBmRF8LVxemmtb&#10;bG5qE2udrzeLAZeH856lnalES40rLSsYjyIQxJnVJecKTsfV8BuE88gaK8uk4EkO0qTfm2Gs7YP3&#10;1B58LkIIuxgVFN7XsZQuK8igG9maOHAX2xj0ATa51A0+Qrip5CSKvqTBkkNDgTUtC8quh7tRsPjd&#10;/rQ7vulLt/nc/Xm7RDw/lfoYdPMpCE+df4v/3WutYBLWhy/hB8jk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s8zgcAAAADbAAAADwAAAAAAAAAAAAAAAACYAgAAZHJzL2Rvd25y&#10;ZXYueG1sUEsFBgAAAAAEAAQA9QAAAIUDAAAAAA==&#10;" fillcolor="white [3212]" stroked="f">
                  <v:textbox>
                    <w:txbxContent>
                      <w:p w14:paraId="3D68B614" w14:textId="77777777" w:rsidR="001853BF" w:rsidRDefault="001853BF" w:rsidP="004709CA">
                        <w:pPr>
                          <w:rPr>
                            <w:rFonts w:eastAsia="Times New Roman" w:cs="Times New Roman"/>
                          </w:rPr>
                        </w:pPr>
                      </w:p>
                    </w:txbxContent>
                  </v:textbox>
                </v:rect>
                <w10:anchorlock/>
              </v:group>
            </w:pict>
          </mc:Fallback>
        </mc:AlternateContent>
      </w:r>
    </w:p>
    <w:p w14:paraId="660265D0" w14:textId="17624957"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G. E. Harmon, </w:t>
      </w:r>
      <w:r w:rsidRPr="750671CE">
        <w:rPr>
          <w:rFonts w:ascii="Times New Roman" w:eastAsia="Times New Roman" w:hAnsi="Times New Roman" w:cs="Times New Roman"/>
          <w:i/>
          <w:iCs/>
        </w:rPr>
        <w:t>Seasonal Distribution of Typhoid Feve</w:t>
      </w:r>
      <w:r w:rsidR="00977E24" w:rsidRPr="00977E24">
        <w:rPr>
          <w:rFonts w:ascii="Times New Roman" w:eastAsia="Times New Roman" w:hAnsi="Times New Roman" w:cs="Times New Roman"/>
          <w:i/>
          <w:iCs/>
        </w:rPr>
        <w:t>—</w:t>
      </w:r>
      <w:r w:rsidRPr="750671CE">
        <w:rPr>
          <w:rFonts w:ascii="Times New Roman" w:eastAsia="Times New Roman" w:hAnsi="Times New Roman" w:cs="Times New Roman"/>
          <w:i/>
          <w:iCs/>
        </w:rPr>
        <w:t>Southern and Northern States</w:t>
      </w:r>
      <w:r w:rsidRPr="750671CE">
        <w:rPr>
          <w:rFonts w:ascii="Times New Roman" w:eastAsia="Times New Roman" w:hAnsi="Times New Roman" w:cs="Times New Roman"/>
        </w:rPr>
        <w:t xml:space="preserve">, 20 </w:t>
      </w:r>
      <w:r w:rsidRPr="750671CE">
        <w:rPr>
          <w:rFonts w:ascii="Times New Roman" w:eastAsia="Times New Roman" w:hAnsi="Times New Roman" w:cs="Times New Roman"/>
          <w:smallCaps/>
        </w:rPr>
        <w:t>Am J. Public Health Nations</w:t>
      </w:r>
      <w:r w:rsidRPr="750671CE">
        <w:rPr>
          <w:rFonts w:ascii="Times New Roman" w:eastAsia="Times New Roman" w:hAnsi="Times New Roman" w:cs="Times New Roman"/>
        </w:rPr>
        <w:t xml:space="preserve"> 395, 398 (1930).  </w:t>
      </w:r>
    </w:p>
    <w:p w14:paraId="0508BD60" w14:textId="77777777" w:rsidR="004709CA" w:rsidRDefault="004709CA" w:rsidP="004709CA">
      <w:pPr>
        <w:rPr>
          <w:rFonts w:ascii="Times New Roman" w:hAnsi="Times New Roman" w:cs="Times New Roman"/>
        </w:rPr>
      </w:pPr>
    </w:p>
    <w:p w14:paraId="3B55B310" w14:textId="001BD21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Given the background season</w:t>
      </w:r>
      <w:r w:rsidR="00964D46">
        <w:rPr>
          <w:rFonts w:ascii="Times New Roman" w:eastAsia="Times New Roman" w:hAnsi="Times New Roman" w:cs="Times New Roman"/>
        </w:rPr>
        <w:t>al</w:t>
      </w:r>
      <w:r w:rsidRPr="750671CE">
        <w:rPr>
          <w:rFonts w:ascii="Times New Roman" w:eastAsia="Times New Roman" w:hAnsi="Times New Roman" w:cs="Times New Roman"/>
        </w:rPr>
        <w:t xml:space="preserve"> variation in typhoid rates, what is the likelihood that Mr. Stubbs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typhoid was caused by the City</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Would he be able to demonstrate by a preponderance of the evidence that his injury was caused by the City</w:t>
      </w:r>
      <w:r w:rsidR="00B05F31">
        <w:rPr>
          <w:rFonts w:ascii="Times New Roman" w:eastAsia="Times New Roman" w:hAnsi="Times New Roman" w:cs="Times New Roman"/>
        </w:rPr>
        <w:t>’</w:t>
      </w:r>
      <w:r w:rsidRPr="750671CE">
        <w:rPr>
          <w:rFonts w:ascii="Times New Roman" w:eastAsia="Times New Roman" w:hAnsi="Times New Roman" w:cs="Times New Roman"/>
        </w:rPr>
        <w:t>s negligence?  Note that even if Stubbs cannot show causation</w:t>
      </w:r>
      <w:r w:rsidR="0091243E" w:rsidRPr="0091243E">
        <w:rPr>
          <w:rFonts w:ascii="Times New Roman" w:eastAsia="Times New Roman" w:hAnsi="Times New Roman" w:cs="Times New Roman"/>
        </w:rPr>
        <w:t>—</w:t>
      </w:r>
      <w:r w:rsidRPr="750671CE">
        <w:rPr>
          <w:rFonts w:ascii="Times New Roman" w:eastAsia="Times New Roman" w:hAnsi="Times New Roman" w:cs="Times New Roman"/>
        </w:rPr>
        <w:t>indeed, even if no single plaintiff can show causation</w:t>
      </w:r>
      <w:r w:rsidR="0091243E" w:rsidRPr="0091243E">
        <w:rPr>
          <w:rFonts w:ascii="Times New Roman" w:eastAsia="Times New Roman" w:hAnsi="Times New Roman" w:cs="Times New Roman"/>
        </w:rPr>
        <w:t>—</w:t>
      </w:r>
      <w:r w:rsidRPr="750671CE">
        <w:rPr>
          <w:rFonts w:ascii="Times New Roman" w:eastAsia="Times New Roman" w:hAnsi="Times New Roman" w:cs="Times New Roman"/>
        </w:rPr>
        <w:t>it is nearly certain that there were people in Rochester who were injured by Rochester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negligence, in the sense that they would be not have become ill but for that negligence.  The difficulty is knowing which of the typhoid victims are in that category.  </w:t>
      </w:r>
    </w:p>
    <w:p w14:paraId="61C34693" w14:textId="77777777" w:rsidR="004709CA" w:rsidRDefault="004709CA" w:rsidP="004709CA">
      <w:pPr>
        <w:rPr>
          <w:rFonts w:ascii="Times New Roman" w:hAnsi="Times New Roman" w:cs="Times New Roman"/>
        </w:rPr>
      </w:pPr>
    </w:p>
    <w:p w14:paraId="3254A7A3" w14:textId="77777777" w:rsidR="00330E2F" w:rsidRDefault="00330E2F" w:rsidP="004709CA">
      <w:pPr>
        <w:rPr>
          <w:rFonts w:ascii="Times New Roman" w:hAnsi="Times New Roman" w:cs="Times New Roman"/>
        </w:rPr>
      </w:pPr>
    </w:p>
    <w:p w14:paraId="1B776679" w14:textId="2133C988" w:rsidR="004709CA" w:rsidRPr="00F94B7E" w:rsidRDefault="750671CE" w:rsidP="00F94B7E">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Toxic torts.</w:t>
      </w:r>
      <w:r w:rsidRPr="00F94B7E">
        <w:rPr>
          <w:rFonts w:ascii="Times New Roman" w:eastAsia="Times New Roman" w:hAnsi="Times New Roman" w:cs="Times New Roman"/>
        </w:rPr>
        <w:t xml:space="preserve">  Difficulties in proving causation bedevil toxic tort cases.  Epidemiological data are usually admissible to prove causation, but often that data does not rise to the level of a preponderance of the evidence.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Shelly Brinker, </w:t>
      </w:r>
      <w:r w:rsidRPr="00F94B7E">
        <w:rPr>
          <w:rFonts w:ascii="Times New Roman" w:eastAsia="Times New Roman" w:hAnsi="Times New Roman" w:cs="Times New Roman"/>
          <w:i/>
          <w:iCs/>
        </w:rPr>
        <w:t>Opening the Door to the Indeterminate Plaintiff: An Analysis of the Causation Barriers Facing Environmental Toxic Tort Plaintiffs</w:t>
      </w:r>
      <w:r w:rsidRPr="00F94B7E">
        <w:rPr>
          <w:rFonts w:ascii="Times New Roman" w:eastAsia="Times New Roman" w:hAnsi="Times New Roman" w:cs="Times New Roman"/>
        </w:rPr>
        <w:t xml:space="preserve">, 46 </w:t>
      </w:r>
      <w:r w:rsidRPr="00F94B7E">
        <w:rPr>
          <w:rFonts w:ascii="Times New Roman" w:eastAsia="Times New Roman" w:hAnsi="Times New Roman" w:cs="Times New Roman"/>
          <w:smallCaps/>
        </w:rPr>
        <w:t>UCLA L. Rev.</w:t>
      </w:r>
      <w:r w:rsidRPr="00F94B7E">
        <w:rPr>
          <w:rFonts w:ascii="Times New Roman" w:eastAsia="Times New Roman" w:hAnsi="Times New Roman" w:cs="Times New Roman"/>
        </w:rPr>
        <w:t xml:space="preserve"> 1289 (1999). </w:t>
      </w:r>
    </w:p>
    <w:p w14:paraId="4EA2E71B" w14:textId="77777777" w:rsidR="004709CA" w:rsidRDefault="004709CA" w:rsidP="004709CA">
      <w:pPr>
        <w:rPr>
          <w:rFonts w:ascii="Times New Roman" w:hAnsi="Times New Roman" w:cs="Times New Roman"/>
        </w:rPr>
      </w:pPr>
    </w:p>
    <w:p w14:paraId="5A88C4A8" w14:textId="77777777" w:rsidR="004709CA" w:rsidRPr="006B4EB1"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King v. Burlington N. Santa Fe Ry. Co.</w:t>
      </w:r>
      <w:r w:rsidRPr="750671CE">
        <w:rPr>
          <w:rFonts w:ascii="Times New Roman" w:eastAsia="Times New Roman" w:hAnsi="Times New Roman" w:cs="Times New Roman"/>
        </w:rPr>
        <w:t xml:space="preserve">, 277 Neb. 203 (2009); </w:t>
      </w:r>
      <w:r w:rsidRPr="750671CE">
        <w:rPr>
          <w:rFonts w:ascii="Times New Roman" w:eastAsia="Times New Roman" w:hAnsi="Times New Roman" w:cs="Times New Roman"/>
          <w:i/>
          <w:iCs/>
        </w:rPr>
        <w:t>Terry v. Caputo</w:t>
      </w:r>
      <w:r w:rsidRPr="750671CE">
        <w:rPr>
          <w:rFonts w:ascii="Times New Roman" w:eastAsia="Times New Roman" w:hAnsi="Times New Roman" w:cs="Times New Roman"/>
        </w:rPr>
        <w:t xml:space="preserve">, 115 Ohio St. 3d 351 (2007); </w:t>
      </w:r>
      <w:r w:rsidRPr="750671CE">
        <w:rPr>
          <w:rFonts w:ascii="Times New Roman" w:eastAsia="Times New Roman" w:hAnsi="Times New Roman" w:cs="Times New Roman"/>
          <w:i/>
          <w:iCs/>
        </w:rPr>
        <w:t>Blanchard v. Goodyear Tire &amp; Rubber Co.,</w:t>
      </w:r>
      <w:r w:rsidRPr="750671CE">
        <w:rPr>
          <w:rFonts w:ascii="Times New Roman" w:eastAsia="Times New Roman" w:hAnsi="Times New Roman" w:cs="Times New Roman"/>
        </w:rPr>
        <w:t xml:space="preserve"> 2011 Vt. 85 (2011). In Iowa, this approach has led to different specialists providing evidence for general causation (generally epidemiologists) and specific causation (typically physicians). </w:t>
      </w:r>
      <w:r w:rsidRPr="750671CE">
        <w:rPr>
          <w:rFonts w:ascii="Times New Roman" w:eastAsia="Times New Roman" w:hAnsi="Times New Roman" w:cs="Times New Roman"/>
          <w:i/>
          <w:iCs/>
        </w:rPr>
        <w:t>Ranes v. Adam Labs, Inc.</w:t>
      </w:r>
      <w:r w:rsidRPr="750671CE">
        <w:rPr>
          <w:rFonts w:ascii="Times New Roman" w:eastAsia="Times New Roman" w:hAnsi="Times New Roman" w:cs="Times New Roman"/>
        </w:rPr>
        <w:t xml:space="preserve">, 778 N.W.2d 677, 690 (Iowa 2010). Texas requires that the epidemiological studies offered to show general causation must be studies of patients substantially similar to the plaintiff, which can be a high bar for plaintiffs. </w:t>
      </w:r>
      <w:r w:rsidRPr="750671CE">
        <w:rPr>
          <w:rFonts w:ascii="Times New Roman" w:eastAsia="Times New Roman" w:hAnsi="Times New Roman" w:cs="Times New Roman"/>
          <w:i/>
          <w:iCs/>
        </w:rPr>
        <w:t>Daniels v. Lyondell-Citgo Ref. Co.</w:t>
      </w:r>
      <w:r w:rsidRPr="750671CE">
        <w:rPr>
          <w:rFonts w:ascii="Times New Roman" w:eastAsia="Times New Roman" w:hAnsi="Times New Roman" w:cs="Times New Roman"/>
        </w:rPr>
        <w:t xml:space="preserve">, 99 S.W.3d 722 (Tex. App. Houston 1st Dist. 2003). </w:t>
      </w:r>
    </w:p>
    <w:p w14:paraId="4BED56AB" w14:textId="77777777" w:rsidR="004709CA" w:rsidRDefault="004709CA" w:rsidP="004709CA">
      <w:pPr>
        <w:rPr>
          <w:rFonts w:ascii="Times New Roman" w:hAnsi="Times New Roman" w:cs="Times New Roman"/>
          <w:b/>
        </w:rPr>
      </w:pPr>
    </w:p>
    <w:p w14:paraId="6B22BEB4" w14:textId="77777777" w:rsidR="004709CA" w:rsidRDefault="004709CA" w:rsidP="004709CA">
      <w:pPr>
        <w:rPr>
          <w:rFonts w:ascii="Times New Roman" w:hAnsi="Times New Roman" w:cs="Times New Roman"/>
          <w:b/>
        </w:rPr>
      </w:pPr>
    </w:p>
    <w:p w14:paraId="2EFADE67" w14:textId="33DEFDE9" w:rsidR="004709CA" w:rsidRPr="00F94B7E" w:rsidRDefault="00341BD0" w:rsidP="00F94B7E">
      <w:pPr>
        <w:pStyle w:val="ListParagraph"/>
        <w:numPr>
          <w:ilvl w:val="0"/>
          <w:numId w:val="102"/>
        </w:numPr>
        <w:ind w:left="0" w:firstLine="360"/>
        <w:rPr>
          <w:rFonts w:ascii="Times New Roman" w:eastAsia="Times New Roman" w:hAnsi="Times New Roman" w:cs="Times New Roman"/>
        </w:rPr>
      </w:pPr>
      <w:r w:rsidRPr="00F94B7E">
        <w:rPr>
          <w:rFonts w:ascii="Times New Roman" w:eastAsia="Times New Roman" w:hAnsi="Times New Roman" w:cs="Times New Roman"/>
          <w:iCs/>
        </w:rPr>
        <w:t>M</w:t>
      </w:r>
      <w:r w:rsidR="750671CE" w:rsidRPr="00F94B7E">
        <w:rPr>
          <w:rFonts w:ascii="Times New Roman" w:eastAsia="Times New Roman" w:hAnsi="Times New Roman" w:cs="Times New Roman"/>
          <w:iCs/>
        </w:rPr>
        <w:t>artin v. Herzog</w:t>
      </w:r>
      <w:r w:rsidR="750671CE" w:rsidRPr="00F94B7E">
        <w:rPr>
          <w:rFonts w:ascii="Times New Roman" w:eastAsia="Times New Roman" w:hAnsi="Times New Roman" w:cs="Times New Roman"/>
          <w:i/>
          <w:iCs/>
        </w:rPr>
        <w:t xml:space="preserve"> redux.</w:t>
      </w:r>
      <w:r w:rsidR="750671CE" w:rsidRPr="00F94B7E">
        <w:rPr>
          <w:rFonts w:ascii="Times New Roman" w:eastAsia="Times New Roman" w:hAnsi="Times New Roman" w:cs="Times New Roman"/>
        </w:rPr>
        <w:t xml:space="preserve">  The decision in </w:t>
      </w:r>
      <w:r w:rsidR="750671CE" w:rsidRPr="00F94B7E">
        <w:rPr>
          <w:rFonts w:ascii="Times New Roman" w:eastAsia="Times New Roman" w:hAnsi="Times New Roman" w:cs="Times New Roman"/>
          <w:i/>
          <w:iCs/>
        </w:rPr>
        <w:t>Martin v. Herzog</w:t>
      </w:r>
      <w:r w:rsidR="750671CE" w:rsidRPr="00F94B7E">
        <w:rPr>
          <w:rFonts w:ascii="Times New Roman" w:eastAsia="Times New Roman" w:hAnsi="Times New Roman" w:cs="Times New Roman"/>
        </w:rPr>
        <w:t xml:space="preserve">, which we encountered above in our section on statutes and negligence per se, offers one possible solution to the problem.  Judge Cardozo concluded his opinion in </w:t>
      </w:r>
      <w:r w:rsidR="750671CE" w:rsidRPr="00F94B7E">
        <w:rPr>
          <w:rFonts w:ascii="Times New Roman" w:eastAsia="Times New Roman" w:hAnsi="Times New Roman" w:cs="Times New Roman"/>
          <w:i/>
          <w:iCs/>
        </w:rPr>
        <w:t>Martin</w:t>
      </w:r>
      <w:r w:rsidR="750671CE" w:rsidRPr="00F94B7E">
        <w:rPr>
          <w:rFonts w:ascii="Times New Roman" w:eastAsia="Times New Roman" w:hAnsi="Times New Roman" w:cs="Times New Roman"/>
        </w:rPr>
        <w:t xml:space="preserve"> with a reminder about causation and a holding about the significance of breach for proof of loss causation:</w:t>
      </w:r>
    </w:p>
    <w:p w14:paraId="6932D52E" w14:textId="77777777" w:rsidR="004709CA" w:rsidRDefault="004709CA" w:rsidP="004709CA">
      <w:pPr>
        <w:rPr>
          <w:rFonts w:ascii="Times New Roman" w:hAnsi="Times New Roman" w:cs="Times New Roman"/>
        </w:rPr>
      </w:pPr>
    </w:p>
    <w:p w14:paraId="5E2935A7" w14:textId="01768262" w:rsidR="004709CA" w:rsidRDefault="750671CE" w:rsidP="00F94B7E">
      <w:pPr>
        <w:pStyle w:val="blockquote"/>
        <w:rPr>
          <w:rStyle w:val="ssrfcpassagedeactivated"/>
        </w:rPr>
      </w:pPr>
      <w:r w:rsidRPr="750671CE">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t xml:space="preserve"> . </w:t>
      </w:r>
      <w:r w:rsidRPr="750671CE">
        <w:rPr>
          <w:rStyle w:val="ssrfcpassagedeactivated"/>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750671CE">
        <w:rPr>
          <w:rStyle w:val="ssit"/>
        </w:rPr>
        <w:t>prima facie</w:t>
      </w:r>
      <w:r w:rsidRPr="750671CE">
        <w:rPr>
          <w:rStyle w:val="ssrfcpassagedeactivated"/>
        </w:rPr>
        <w:t xml:space="preserve"> sufficient, of negligence contributing to the result. </w:t>
      </w:r>
      <w:r w:rsidRPr="750671CE">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750671CE">
        <w:rPr>
          <w:rStyle w:val="ssrfcpassagedeactivated"/>
        </w:rPr>
        <w:t xml:space="preserve">They might reasonably have found the contrary. They ought, therefore, to have been informed what effect they were free to give, in that event, to the violation of the statute. </w:t>
      </w:r>
    </w:p>
    <w:p w14:paraId="6DFC2FBE" w14:textId="77777777" w:rsidR="004709CA" w:rsidRPr="00587B63" w:rsidRDefault="004709CA" w:rsidP="004709CA">
      <w:pPr>
        <w:ind w:left="720" w:right="720"/>
        <w:rPr>
          <w:rFonts w:ascii="Times New Roman" w:hAnsi="Times New Roman" w:cs="Times New Roman"/>
        </w:rPr>
      </w:pPr>
    </w:p>
    <w:p w14:paraId="7EC07153" w14:textId="77777777" w:rsidR="004709CA" w:rsidRPr="00587B63"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Martin v. Herzog</w:t>
      </w:r>
      <w:r w:rsidRPr="750671CE">
        <w:rPr>
          <w:rFonts w:ascii="Times New Roman" w:eastAsia="Times New Roman" w:hAnsi="Times New Roman" w:cs="Times New Roman"/>
        </w:rPr>
        <w:t xml:space="preserve">, 228 N.Y. 164, 170 (1920). 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Should it play a stronger or weaker role than creating a presumption? Three quarters of a century after </w:t>
      </w:r>
      <w:r w:rsidRPr="750671CE">
        <w:rPr>
          <w:rFonts w:ascii="Times New Roman" w:eastAsia="Times New Roman" w:hAnsi="Times New Roman" w:cs="Times New Roman"/>
          <w:i/>
          <w:iCs/>
        </w:rPr>
        <w:t>Martin v. Herzog</w:t>
      </w:r>
      <w:r w:rsidRPr="750671CE">
        <w:rPr>
          <w:rFonts w:ascii="Times New Roman" w:eastAsia="Times New Roman" w:hAnsi="Times New Roman" w:cs="Times New Roman"/>
        </w:rPr>
        <w:t>, Judge Calabresi took up this question in the context of FDA dosing guidelines.</w:t>
      </w:r>
    </w:p>
    <w:p w14:paraId="37C86D2C" w14:textId="77777777" w:rsidR="004709CA" w:rsidRDefault="004709CA" w:rsidP="004709CA">
      <w:pPr>
        <w:rPr>
          <w:rFonts w:ascii="Times New Roman" w:hAnsi="Times New Roman" w:cs="Times New Roman"/>
          <w:b/>
        </w:rPr>
      </w:pPr>
    </w:p>
    <w:p w14:paraId="1F10F9BE" w14:textId="17823BC2" w:rsidR="003A781F" w:rsidRDefault="003A781F">
      <w:pPr>
        <w:rPr>
          <w:rFonts w:ascii="Times New Roman" w:hAnsi="Times New Roman" w:cs="Times New Roman"/>
          <w:b/>
        </w:rPr>
      </w:pPr>
      <w:r>
        <w:rPr>
          <w:rFonts w:ascii="Times New Roman" w:hAnsi="Times New Roman" w:cs="Times New Roman"/>
          <w:b/>
        </w:rPr>
        <w:br w:type="page"/>
      </w:r>
    </w:p>
    <w:p w14:paraId="6949AFCF" w14:textId="0CBF9390" w:rsidR="004709CA" w:rsidRDefault="004709CA" w:rsidP="750671CE">
      <w:pPr>
        <w:rPr>
          <w:rFonts w:ascii="Times New Roman" w:eastAsia="Times New Roman" w:hAnsi="Times New Roman" w:cs="Times New Roman"/>
          <w:b/>
          <w:bCs/>
        </w:rPr>
      </w:pPr>
      <w:bookmarkStart w:id="429" w:name="_Toc518323389"/>
      <w:r w:rsidRPr="00634D66">
        <w:rPr>
          <w:rStyle w:val="Heading3Char"/>
          <w:i/>
        </w:rPr>
        <w:t>Zuchowicz v. United States</w:t>
      </w:r>
      <w:bookmarkEnd w:id="429"/>
      <w:r w:rsidRPr="750671CE">
        <w:rPr>
          <w:rFonts w:ascii="Times New Roman" w:eastAsia="Times New Roman" w:hAnsi="Times New Roman" w:cs="Times New Roman"/>
          <w:b/>
          <w:bCs/>
        </w:rPr>
        <w:t>, 140 F.3d 381 (2d Cir</w:t>
      </w:r>
      <w:r w:rsidR="00787BF5">
        <w:rPr>
          <w:rFonts w:ascii="Times New Roman" w:eastAsia="Times New Roman" w:hAnsi="Times New Roman" w:cs="Times New Roman"/>
          <w:b/>
          <w:bCs/>
        </w:rPr>
        <w:t>.</w:t>
      </w:r>
      <w:r w:rsidRPr="750671CE">
        <w:rPr>
          <w:rFonts w:ascii="Times New Roman" w:eastAsia="Times New Roman" w:hAnsi="Times New Roman" w:cs="Times New Roman"/>
          <w:b/>
          <w:bCs/>
        </w:rPr>
        <w:t xml:space="preserve"> 1998)</w:t>
      </w:r>
    </w:p>
    <w:p w14:paraId="4AEA8478" w14:textId="77777777" w:rsidR="004709CA" w:rsidRDefault="004709CA" w:rsidP="004709CA">
      <w:pPr>
        <w:rPr>
          <w:rFonts w:ascii="Times New Roman" w:hAnsi="Times New Roman" w:cs="Times New Roman"/>
        </w:rPr>
      </w:pPr>
    </w:p>
    <w:p w14:paraId="21E8DB7E" w14:textId="2C8CAC78" w:rsidR="004709CA" w:rsidRDefault="750671CE" w:rsidP="750671CE">
      <w:pPr>
        <w:rPr>
          <w:rFonts w:ascii="Times New Roman" w:eastAsia="Times New Roman" w:hAnsi="Times New Roman" w:cs="Times New Roman"/>
        </w:rPr>
      </w:pPr>
      <w:r w:rsidRPr="00F94B7E">
        <w:rPr>
          <w:rFonts w:ascii="Times New Roman" w:eastAsia="Times New Roman" w:hAnsi="Times New Roman" w:cs="Times New Roman"/>
          <w:smallCaps/>
        </w:rPr>
        <w:t>C</w:t>
      </w:r>
      <w:r w:rsidR="00341BD0" w:rsidRPr="00F94B7E">
        <w:rPr>
          <w:rFonts w:ascii="Times New Roman" w:eastAsia="Times New Roman" w:hAnsi="Times New Roman" w:cs="Times New Roman"/>
          <w:smallCaps/>
        </w:rPr>
        <w:t>alabresi</w:t>
      </w:r>
      <w:r w:rsidRPr="750671CE">
        <w:rPr>
          <w:rFonts w:ascii="Times New Roman" w:eastAsia="Times New Roman" w:hAnsi="Times New Roman" w:cs="Times New Roman"/>
        </w:rPr>
        <w:t>, J.</w:t>
      </w:r>
    </w:p>
    <w:p w14:paraId="7D3939D3" w14:textId="77777777" w:rsidR="004709CA" w:rsidRDefault="004709CA" w:rsidP="004709CA">
      <w:pPr>
        <w:rPr>
          <w:rFonts w:ascii="Times New Roman" w:hAnsi="Times New Roman" w:cs="Times New Roman"/>
        </w:rPr>
      </w:pPr>
    </w:p>
    <w:p w14:paraId="176C57AE" w14:textId="5B077051"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 prescribing an overdose of the drug Danocrine. Following Mrs. Zuchowicz</w:t>
      </w:r>
      <w:r w:rsidR="00B05F31">
        <w:rPr>
          <w:rFonts w:ascii="Times New Roman" w:eastAsia="Times New Roman" w:hAnsi="Times New Roman" w:cs="Times New Roman"/>
        </w:rPr>
        <w:t>’</w:t>
      </w:r>
      <w:r w:rsidRPr="750671CE">
        <w:rPr>
          <w:rFonts w:ascii="Times New Roman" w:eastAsia="Times New Roman" w:hAnsi="Times New Roman" w:cs="Times New Roman"/>
        </w:rPr>
        <w:t>s death in 1991, her husband, Steven, continued the case on behalf of his wife</w:t>
      </w:r>
      <w:r w:rsidR="00B05F31">
        <w:rPr>
          <w:rFonts w:ascii="Times New Roman" w:eastAsia="Times New Roman" w:hAnsi="Times New Roman" w:cs="Times New Roman"/>
        </w:rPr>
        <w:t>’</w:t>
      </w:r>
      <w:r w:rsidRPr="750671CE">
        <w:rPr>
          <w:rFonts w:ascii="Times New Roman" w:eastAsia="Times New Roman" w:hAnsi="Times New Roman" w:cs="Times New Roman"/>
        </w:rPr>
        <w:t>s estate, claiming that the defendant was responsible for her death. After a bench trial, the district court awarded the plaintiff $ 1,034,236.02 in damages.</w:t>
      </w:r>
    </w:p>
    <w:p w14:paraId="326C63C9" w14:textId="77777777" w:rsidR="004709CA" w:rsidRPr="00C37921" w:rsidRDefault="004709CA" w:rsidP="004709CA">
      <w:pPr>
        <w:ind w:firstLine="720"/>
        <w:rPr>
          <w:rFonts w:ascii="Times New Roman" w:hAnsi="Times New Roman" w:cs="Times New Roman"/>
        </w:rPr>
      </w:pPr>
    </w:p>
    <w:p w14:paraId="033CEAFE" w14:textId="2EA1C27D"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is no doubt in the case before us either as to the injury or as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wrong; both are conceded. The only issue is causation.</w:t>
      </w:r>
    </w:p>
    <w:p w14:paraId="530FC500" w14:textId="77777777" w:rsidR="004709CA" w:rsidRPr="00C37921" w:rsidRDefault="004709CA" w:rsidP="004709CA">
      <w:pPr>
        <w:ind w:firstLine="720"/>
        <w:rPr>
          <w:rFonts w:ascii="Times New Roman" w:hAnsi="Times New Roman" w:cs="Times New Roman"/>
        </w:rPr>
      </w:pPr>
    </w:p>
    <w:p w14:paraId="1F0569B8"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C37921" w:rsidRDefault="003A781F" w:rsidP="004709CA">
      <w:pPr>
        <w:ind w:firstLine="720"/>
        <w:rPr>
          <w:rFonts w:ascii="Times New Roman" w:hAnsi="Times New Roman" w:cs="Times New Roman"/>
        </w:rPr>
      </w:pPr>
    </w:p>
    <w:p w14:paraId="2DB584B9" w14:textId="53852E9E"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Danocrine. During the summer, she continued to experience severe fatigue and chest tightness and pain, and began having shortness of breath. In October 1989, she was diagnosed with primary pulmonary hypertension (</w:t>
      </w:r>
      <w:r w:rsidR="00B05F31">
        <w:rPr>
          <w:rFonts w:ascii="Times New Roman" w:eastAsia="Times New Roman" w:hAnsi="Times New Roman" w:cs="Times New Roman"/>
        </w:rPr>
        <w:t>“</w:t>
      </w:r>
      <w:r w:rsidRPr="750671CE">
        <w:rPr>
          <w:rFonts w:ascii="Times New Roman" w:eastAsia="Times New Roman" w:hAnsi="Times New Roman" w:cs="Times New Roman"/>
        </w:rPr>
        <w:t>PPH</w:t>
      </w:r>
      <w:r w:rsidR="00B05F31">
        <w:rPr>
          <w:rFonts w:ascii="Times New Roman" w:eastAsia="Times New Roman" w:hAnsi="Times New Roman" w:cs="Times New Roman"/>
        </w:rPr>
        <w:t>”</w:t>
      </w:r>
      <w:r w:rsidRPr="750671CE">
        <w:rPr>
          <w:rFonts w:ascii="Times New Roman" w:eastAsia="Times New Roman" w:hAnsi="Times New Roman" w:cs="Times New Roman"/>
        </w:rPr>
        <w:t>), a rare and fatal disease in which increased pressure in an individual</w:t>
      </w:r>
      <w:r w:rsidR="00B05F31">
        <w:rPr>
          <w:rFonts w:ascii="Times New Roman" w:eastAsia="Times New Roman" w:hAnsi="Times New Roman" w:cs="Times New Roman"/>
        </w:rPr>
        <w:t>’</w:t>
      </w:r>
      <w:r w:rsidRPr="750671CE">
        <w:rPr>
          <w:rFonts w:ascii="Times New Roman" w:eastAsia="Times New Roman" w:hAnsi="Times New Roman" w:cs="Times New Roman"/>
        </w:rPr>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C37921" w:rsidRDefault="00112E41" w:rsidP="004709CA">
      <w:pPr>
        <w:rPr>
          <w:rFonts w:ascii="Times New Roman" w:hAnsi="Times New Roman" w:cs="Times New Roman"/>
        </w:rPr>
      </w:pPr>
    </w:p>
    <w:p w14:paraId="27B16E9F" w14:textId="2BC13111"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rPr>
          <w:rFonts w:ascii="Times New Roman" w:eastAsia="Times New Roman" w:hAnsi="Times New Roman" w:cs="Times New Roman"/>
        </w:rPr>
        <w:t xml:space="preserve"> .</w:t>
      </w:r>
    </w:p>
    <w:p w14:paraId="5CED9331" w14:textId="77777777" w:rsidR="004709CA" w:rsidRPr="00C37921" w:rsidRDefault="004709CA" w:rsidP="004709CA">
      <w:pPr>
        <w:rPr>
          <w:rFonts w:ascii="Times New Roman" w:hAnsi="Times New Roman" w:cs="Times New Roman"/>
        </w:rPr>
      </w:pPr>
    </w:p>
    <w:p w14:paraId="213498F1" w14:textId="69C260BB"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order for the causation requirement to be met, a trier of fact must be able to determine, by a preponderance of the evidence,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responsible for the injury. In this case,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consisted in prescribing an overdose of Danocrine to Mrs. Zuchowicz. For liability to exist, therefore, it is necessary that the fact finder be able to conclude, more probably than not, that the overdose was the cause of Mrs. Zuchowicz</w:t>
      </w:r>
      <w:r w:rsidR="00B05F31">
        <w:rPr>
          <w:rFonts w:ascii="Times New Roman" w:eastAsia="Times New Roman" w:hAnsi="Times New Roman" w:cs="Times New Roman"/>
        </w:rPr>
        <w:t>’</w:t>
      </w:r>
      <w:r w:rsidRPr="750671CE">
        <w:rPr>
          <w:rFonts w:ascii="Times New Roman" w:eastAsia="Times New Roman" w:hAnsi="Times New Roman" w:cs="Times New Roman"/>
        </w:rPr>
        <w:t>s illness and ultimate death. The mere fact that the exposure to Danocrine was likely responsible for the disease does not suffice.</w:t>
      </w:r>
    </w:p>
    <w:p w14:paraId="79DC1CBB" w14:textId="77777777" w:rsidR="004709CA" w:rsidRPr="0080262B" w:rsidRDefault="004709CA" w:rsidP="004709CA">
      <w:pPr>
        <w:ind w:firstLine="720"/>
        <w:rPr>
          <w:rFonts w:ascii="Times New Roman" w:hAnsi="Times New Roman" w:cs="Times New Roman"/>
        </w:rPr>
      </w:pPr>
    </w:p>
    <w:p w14:paraId="0C472135" w14:textId="2D8418DE"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problem of linking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 driving too slowly led to the crash? To put it more precisely</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strongly causally linked to the accident, and the defendant was undoubtedly a but for cause of the harm, but does this suffice to allow a fact finder to say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a but for cause?</w:t>
      </w:r>
    </w:p>
    <w:p w14:paraId="1FD197B1" w14:textId="77777777" w:rsidR="004709CA" w:rsidRPr="0080262B" w:rsidRDefault="004709CA" w:rsidP="004709CA">
      <w:pPr>
        <w:ind w:firstLine="720"/>
        <w:rPr>
          <w:rFonts w:ascii="Times New Roman" w:hAnsi="Times New Roman" w:cs="Times New Roman"/>
        </w:rPr>
      </w:pPr>
    </w:p>
    <w:p w14:paraId="46B525EF" w14:textId="3FBABF43"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At one time, courts were reluctant to say in such circumstances that the wrong could be deemed to be the cause. They emphasized the logical fallacy of post hoc, ergo propter hoc, and demanded some direct evidence connecting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wrongdoing to the harm. . .</w:t>
      </w:r>
      <w:r w:rsidR="00372231">
        <w:rPr>
          <w:rFonts w:ascii="Times New Roman" w:eastAsia="Times New Roman" w:hAnsi="Times New Roman" w:cs="Times New Roman"/>
        </w:rPr>
        <w:t xml:space="preserve"> .</w:t>
      </w:r>
    </w:p>
    <w:p w14:paraId="2E7D2A5A" w14:textId="77777777" w:rsidR="004709CA" w:rsidRPr="0080262B" w:rsidRDefault="004709CA" w:rsidP="004709CA">
      <w:pPr>
        <w:ind w:firstLine="720"/>
        <w:rPr>
          <w:rFonts w:ascii="Times New Roman" w:hAnsi="Times New Roman" w:cs="Times New Roman"/>
        </w:rPr>
      </w:pPr>
    </w:p>
    <w:p w14:paraId="12CE8116"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All that has changed, however.</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C37921" w:rsidRDefault="004709CA" w:rsidP="004709CA">
      <w:pPr>
        <w:ind w:firstLine="720"/>
        <w:rPr>
          <w:rFonts w:ascii="Times New Roman" w:hAnsi="Times New Roman" w:cs="Times New Roman"/>
        </w:rPr>
      </w:pPr>
    </w:p>
    <w:p w14:paraId="47C6FDAA"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750671CE">
        <w:rPr>
          <w:rFonts w:ascii="Times New Roman" w:eastAsia="Times New Roman" w:hAnsi="Times New Roman" w:cs="Times New Roman"/>
          <w:i/>
          <w:iCs/>
        </w:rPr>
        <w:t>See Martin v. Herzog</w:t>
      </w:r>
      <w:r w:rsidRPr="750671CE">
        <w:rPr>
          <w:rFonts w:ascii="Times New Roman" w:eastAsia="Times New Roman" w:hAnsi="Times New Roman" w:cs="Times New Roman"/>
        </w:rPr>
        <w:t>.</w:t>
      </w:r>
    </w:p>
    <w:p w14:paraId="37FE2ED0" w14:textId="77777777" w:rsidR="004709CA" w:rsidRPr="00C37921" w:rsidRDefault="004709CA" w:rsidP="004709CA">
      <w:pPr>
        <w:ind w:firstLine="720"/>
        <w:rPr>
          <w:rFonts w:ascii="Times New Roman" w:hAnsi="Times New Roman" w:cs="Times New Roman"/>
        </w:rPr>
      </w:pPr>
    </w:p>
    <w:p w14:paraId="2D56A30D" w14:textId="09C32475"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rPr>
          <w:rFonts w:ascii="Times New Roman" w:eastAsia="Times New Roman" w:hAnsi="Times New Roman" w:cs="Times New Roman"/>
        </w:rPr>
        <w:t>’</w:t>
      </w:r>
      <w:r w:rsidRPr="750671CE">
        <w:rPr>
          <w:rFonts w:ascii="Times New Roman" w:eastAsia="Times New Roman" w:hAnsi="Times New Roman" w:cs="Times New Roman"/>
        </w:rPr>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C37921" w:rsidRDefault="004709CA" w:rsidP="004709CA">
      <w:pPr>
        <w:ind w:firstLine="720"/>
        <w:rPr>
          <w:rFonts w:ascii="Times New Roman" w:hAnsi="Times New Roman" w:cs="Times New Roman"/>
        </w:rPr>
      </w:pPr>
    </w:p>
    <w:p w14:paraId="4CBD4D47" w14:textId="38DFD9DB"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fact, plaintiff</w:t>
      </w:r>
      <w:r w:rsidR="00B05F31">
        <w:rPr>
          <w:rFonts w:ascii="Times New Roman" w:eastAsia="Times New Roman" w:hAnsi="Times New Roman" w:cs="Times New Roman"/>
        </w:rPr>
        <w:t>’</w:t>
      </w:r>
      <w:r w:rsidRPr="750671CE">
        <w:rPr>
          <w:rFonts w:ascii="Times New Roman" w:eastAsia="Times New Roman" w:hAnsi="Times New Roman" w:cs="Times New Roman"/>
        </w:rPr>
        <w:t>s showing in the case before us, while relying on the above stated principles, is stronger. For plaintiff introduced some direct evidence of causation as well. On the basis of his long experience with drug-induced pulmonary diseases, one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experts, Dr. Matthay, testified that the timing of Mrs. Zuchowicz</w:t>
      </w:r>
      <w:r w:rsidR="00B05F31">
        <w:rPr>
          <w:rFonts w:ascii="Times New Roman" w:eastAsia="Times New Roman" w:hAnsi="Times New Roman" w:cs="Times New Roman"/>
        </w:rPr>
        <w:t>’</w:t>
      </w:r>
      <w:r w:rsidRPr="750671CE">
        <w:rPr>
          <w:rFonts w:ascii="Times New Roman" w:eastAsia="Times New Roman" w:hAnsi="Times New Roman" w:cs="Times New Roman"/>
        </w:rPr>
        <w:t>s illness led him to conclude that the overdose (and not merely Danocrine) was responsible for her catastrophic reaction.</w:t>
      </w:r>
    </w:p>
    <w:p w14:paraId="154A8AB7" w14:textId="77777777" w:rsidR="004709CA" w:rsidRPr="00C37921" w:rsidRDefault="004709CA" w:rsidP="004709CA">
      <w:pPr>
        <w:ind w:firstLine="720"/>
        <w:rPr>
          <w:rFonts w:ascii="Times New Roman" w:hAnsi="Times New Roman" w:cs="Times New Roman"/>
        </w:rPr>
      </w:pPr>
    </w:p>
    <w:p w14:paraId="67B853DD" w14:textId="47F7C6B3" w:rsidR="004709CA" w:rsidRDefault="750671CE" w:rsidP="750671CE">
      <w:pPr>
        <w:ind w:firstLine="720"/>
        <w:rPr>
          <w:rFonts w:ascii="Times New Roman" w:eastAsia="Times New Roman" w:hAnsi="Times New Roman" w:cs="Times New Roman"/>
          <w:highlight w:val="yellow"/>
        </w:rPr>
      </w:pPr>
      <w:r w:rsidRPr="750671CE">
        <w:rPr>
          <w:rFonts w:ascii="Times New Roman" w:eastAsia="Times New Roman" w:hAnsi="Times New Roman" w:cs="Times New Roman"/>
        </w:rPr>
        <w:t>Under the circumstances, we hold that defendant</w:t>
      </w:r>
      <w:r w:rsidR="00B05F31">
        <w:rPr>
          <w:rFonts w:ascii="Times New Roman" w:eastAsia="Times New Roman" w:hAnsi="Times New Roman" w:cs="Times New Roman"/>
        </w:rPr>
        <w:t>’</w:t>
      </w:r>
      <w:r w:rsidRPr="750671CE">
        <w:rPr>
          <w:rFonts w:ascii="Times New Roman" w:eastAsia="Times New Roman" w:hAnsi="Times New Roman" w:cs="Times New Roman"/>
        </w:rPr>
        <w:t>s attack on the district court</w:t>
      </w:r>
      <w:r w:rsidR="00B05F31">
        <w:rPr>
          <w:rFonts w:ascii="Times New Roman" w:eastAsia="Times New Roman" w:hAnsi="Times New Roman" w:cs="Times New Roman"/>
        </w:rPr>
        <w:t>’</w:t>
      </w:r>
      <w:r w:rsidRPr="750671CE">
        <w:rPr>
          <w:rFonts w:ascii="Times New Roman" w:eastAsia="Times New Roman" w:hAnsi="Times New Roman" w:cs="Times New Roman"/>
        </w:rPr>
        <w:t>s finding of causation is meritless.</w:t>
      </w:r>
    </w:p>
    <w:p w14:paraId="257626C5" w14:textId="77777777" w:rsidR="004709CA" w:rsidRDefault="004709CA" w:rsidP="004709CA">
      <w:pPr>
        <w:rPr>
          <w:rFonts w:ascii="Times New Roman" w:hAnsi="Times New Roman" w:cs="Times New Roman"/>
        </w:rPr>
      </w:pPr>
    </w:p>
    <w:p w14:paraId="64087829" w14:textId="77777777" w:rsidR="00330E2F" w:rsidRDefault="00330E2F" w:rsidP="004709CA">
      <w:pPr>
        <w:rPr>
          <w:rFonts w:ascii="Times New Roman" w:hAnsi="Times New Roman" w:cs="Times New Roman"/>
        </w:rPr>
      </w:pPr>
    </w:p>
    <w:p w14:paraId="40BA131B" w14:textId="77777777" w:rsidR="004709CA" w:rsidRDefault="004709CA" w:rsidP="002502CC">
      <w:pPr>
        <w:pStyle w:val="Heading4"/>
      </w:pPr>
      <w:bookmarkStart w:id="430" w:name="_Toc364636167"/>
      <w:bookmarkStart w:id="431" w:name="_Toc518323390"/>
      <w:r w:rsidRPr="00FA4733">
        <w:t>Notes</w:t>
      </w:r>
      <w:bookmarkEnd w:id="430"/>
      <w:bookmarkEnd w:id="431"/>
    </w:p>
    <w:p w14:paraId="3D7BCDD9" w14:textId="77777777" w:rsidR="004709CA" w:rsidRDefault="004709CA" w:rsidP="004709CA">
      <w:pPr>
        <w:rPr>
          <w:rFonts w:ascii="Times New Roman" w:hAnsi="Times New Roman" w:cs="Times New Roman"/>
          <w:b/>
          <w:i/>
        </w:rPr>
      </w:pPr>
    </w:p>
    <w:p w14:paraId="33F6B648" w14:textId="77777777" w:rsidR="00330E2F" w:rsidRPr="00FA4733" w:rsidRDefault="00330E2F" w:rsidP="004709CA">
      <w:pPr>
        <w:rPr>
          <w:rFonts w:ascii="Times New Roman" w:hAnsi="Times New Roman" w:cs="Times New Roman"/>
          <w:b/>
          <w:i/>
        </w:rPr>
      </w:pPr>
    </w:p>
    <w:p w14:paraId="5194CBE8" w14:textId="3EE003EA" w:rsidR="004709CA" w:rsidRPr="00F94B7E" w:rsidRDefault="750671CE" w:rsidP="00F94B7E">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Self-proving causation? </w:t>
      </w:r>
      <w:r w:rsidRPr="00F94B7E">
        <w:rPr>
          <w:rFonts w:ascii="Times New Roman" w:eastAsia="Times New Roman" w:hAnsi="Times New Roman" w:cs="Times New Roman"/>
        </w:rPr>
        <w:t xml:space="preserve"> </w:t>
      </w:r>
      <w:r w:rsidR="00E66B74" w:rsidRPr="00F94B7E">
        <w:rPr>
          <w:rFonts w:ascii="Times New Roman" w:eastAsia="Times New Roman" w:hAnsi="Times New Roman" w:cs="Times New Roman"/>
        </w:rPr>
        <w:t xml:space="preserve">Professor </w:t>
      </w:r>
      <w:r w:rsidRPr="00F94B7E">
        <w:rPr>
          <w:rFonts w:ascii="Times New Roman" w:eastAsia="Times New Roman" w:hAnsi="Times New Roman" w:cs="Times New Roman"/>
        </w:rPr>
        <w:t xml:space="preserve">Kenneth Abraham at the University of Virginia calls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the most notorious example of a category of causation cases 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self-proving causation cases,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by which he means cases where the fact of the negligence alone is the only evidence of causation available.  Abraham observes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many torts scholars are skeptical of the decision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in Abraham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the case is best understood as an especially salient example of a problem that is more widespread than it might otherwise seem.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Kenneth Abraham, </w:t>
      </w:r>
      <w:r w:rsidRPr="00F94B7E">
        <w:rPr>
          <w:rFonts w:ascii="Times New Roman" w:eastAsia="Times New Roman" w:hAnsi="Times New Roman" w:cs="Times New Roman"/>
          <w:i/>
          <w:iCs/>
        </w:rPr>
        <w:t>Self-Proving Causation</w:t>
      </w:r>
      <w:r w:rsidRPr="00F94B7E">
        <w:rPr>
          <w:rFonts w:ascii="Times New Roman" w:eastAsia="Times New Roman" w:hAnsi="Times New Roman" w:cs="Times New Roman"/>
        </w:rPr>
        <w:t xml:space="preserve">, 99 </w:t>
      </w:r>
      <w:r w:rsidRPr="00F94B7E">
        <w:rPr>
          <w:rFonts w:ascii="Times New Roman" w:eastAsia="Times New Roman" w:hAnsi="Times New Roman" w:cs="Times New Roman"/>
          <w:smallCaps/>
        </w:rPr>
        <w:t>Va. L. Rev</w:t>
      </w:r>
      <w:r w:rsidRPr="00F94B7E">
        <w:rPr>
          <w:rFonts w:ascii="Times New Roman" w:eastAsia="Times New Roman" w:hAnsi="Times New Roman" w:cs="Times New Roman"/>
        </w:rPr>
        <w:t>. 1811 (2013).</w:t>
      </w:r>
    </w:p>
    <w:p w14:paraId="545F6776" w14:textId="77777777" w:rsidR="004709CA" w:rsidRDefault="004709CA" w:rsidP="004709CA">
      <w:pPr>
        <w:rPr>
          <w:rFonts w:ascii="Times New Roman" w:hAnsi="Times New Roman" w:cs="Times New Roman"/>
        </w:rPr>
      </w:pPr>
    </w:p>
    <w:p w14:paraId="6B10EE16" w14:textId="04A1636F"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Note that there is some scientific justification for Judge Calabresi</w:t>
      </w:r>
      <w:r w:rsidR="00B05F31">
        <w:rPr>
          <w:rFonts w:ascii="Times New Roman" w:eastAsia="Times New Roman" w:hAnsi="Times New Roman" w:cs="Times New Roman"/>
        </w:rPr>
        <w:t>’</w:t>
      </w:r>
      <w:r w:rsidRPr="750671CE">
        <w:rPr>
          <w:rFonts w:ascii="Times New Roman" w:eastAsia="Times New Roman" w:hAnsi="Times New Roman" w:cs="Times New Roman"/>
        </w:rPr>
        <w:t>s approach in the FDA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basic methodology.  FDA approval of a particular dosage is based on a </w:t>
      </w:r>
      <w:r w:rsidR="00B05F31">
        <w:rPr>
          <w:rFonts w:ascii="Times New Roman" w:eastAsia="Times New Roman" w:hAnsi="Times New Roman" w:cs="Times New Roman"/>
        </w:rPr>
        <w:t>“</w:t>
      </w:r>
      <w:r w:rsidRPr="750671CE">
        <w:rPr>
          <w:rFonts w:ascii="Times New Roman" w:eastAsia="Times New Roman" w:hAnsi="Times New Roman" w:cs="Times New Roman"/>
        </w:rPr>
        <w:t>dose-response curve,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which measures that sensitivity of the patient</w:t>
      </w:r>
      <w:r w:rsidR="00B05F31">
        <w:rPr>
          <w:rFonts w:ascii="Times New Roman" w:eastAsia="Times New Roman" w:hAnsi="Times New Roman" w:cs="Times New Roman"/>
        </w:rPr>
        <w:t>’</w:t>
      </w:r>
      <w:r w:rsidRPr="750671CE">
        <w:rPr>
          <w:rFonts w:ascii="Times New Roman" w:eastAsia="Times New Roman" w:hAnsi="Times New Roman" w:cs="Times New Roman"/>
        </w:rPr>
        <w:t>s reaction to a particular dosage. Is Judge Calabresi</w:t>
      </w:r>
      <w:r w:rsidR="00B05F31">
        <w:rPr>
          <w:rFonts w:ascii="Times New Roman" w:eastAsia="Times New Roman" w:hAnsi="Times New Roman" w:cs="Times New Roman"/>
        </w:rPr>
        <w:t>’</w:t>
      </w:r>
      <w:r w:rsidRPr="750671CE">
        <w:rPr>
          <w:rFonts w:ascii="Times New Roman" w:eastAsia="Times New Roman" w:hAnsi="Times New Roman" w:cs="Times New Roman"/>
        </w:rPr>
        <w:t>s ruling justified by the science, or by the uncertainty of causation? What evidence could a defendant offer to counter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evidence of causation? Will this move over-deter or under-deter negligence in dosing?</w:t>
      </w:r>
    </w:p>
    <w:p w14:paraId="038AA221" w14:textId="77777777" w:rsidR="004709CA" w:rsidRDefault="004709CA" w:rsidP="004709CA">
      <w:pPr>
        <w:rPr>
          <w:rFonts w:ascii="Times New Roman" w:hAnsi="Times New Roman" w:cs="Times New Roman"/>
        </w:rPr>
      </w:pPr>
    </w:p>
    <w:p w14:paraId="787A8142" w14:textId="77777777" w:rsidR="004709CA" w:rsidRDefault="004709CA" w:rsidP="004709CA">
      <w:pPr>
        <w:rPr>
          <w:rFonts w:ascii="Times New Roman" w:hAnsi="Times New Roman" w:cs="Times New Roman"/>
        </w:rPr>
      </w:pPr>
    </w:p>
    <w:p w14:paraId="0EBDC6CD" w14:textId="34BD6C7D" w:rsidR="004709CA" w:rsidRPr="00F94B7E" w:rsidRDefault="750671CE" w:rsidP="00F94B7E">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Bendectin: A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ase </w:t>
      </w:r>
      <w:r w:rsidR="00341BD0" w:rsidRPr="00F94B7E">
        <w:rPr>
          <w:rFonts w:ascii="Times New Roman" w:eastAsia="Times New Roman" w:hAnsi="Times New Roman" w:cs="Times New Roman"/>
          <w:i/>
          <w:iCs/>
        </w:rPr>
        <w:t>s</w:t>
      </w:r>
      <w:r w:rsidRPr="00F94B7E">
        <w:rPr>
          <w:rFonts w:ascii="Times New Roman" w:eastAsia="Times New Roman" w:hAnsi="Times New Roman" w:cs="Times New Roman"/>
          <w:i/>
          <w:iCs/>
        </w:rPr>
        <w:t>tudy.</w:t>
      </w:r>
      <w:r w:rsidRPr="00F94B7E">
        <w:rPr>
          <w:rFonts w:ascii="Times New Roman" w:eastAsia="Times New Roman" w:hAnsi="Times New Roman" w:cs="Times New Roman"/>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Pr>
          <w:rFonts w:ascii="Times New Roman" w:eastAsia="Times New Roman" w:hAnsi="Times New Roman" w:cs="Times New Roman"/>
        </w:rPr>
        <w:t>,</w:t>
      </w:r>
      <w:r w:rsidRPr="00F94B7E">
        <w:rPr>
          <w:rFonts w:ascii="Times New Roman" w:eastAsia="Times New Roman" w:hAnsi="Times New Roman" w:cs="Times New Roman"/>
        </w:rPr>
        <w:t xml:space="preserve"> and cancer. On the basis of these studies, hundreds of plaintiffs sued Merrell Dow, the maker of Bendectin, and many of them won large awards. 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significant therapeutic gap.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Jane E. Brody, </w:t>
      </w:r>
      <w:r w:rsidRPr="00F94B7E">
        <w:rPr>
          <w:rFonts w:ascii="Times New Roman" w:eastAsia="Times New Roman" w:hAnsi="Times New Roman" w:cs="Times New Roman"/>
          <w:i/>
          <w:iCs/>
        </w:rPr>
        <w:t>Shadow of Doubt Wipes Out Bendectin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June 19, 1983. Hospitalization rates of pregnant women for nausea and vomiting (symptoms Bendectin treats) doubled after the drug was removed from the market. Melanie Ornstein</w:t>
      </w:r>
      <w:r w:rsidR="005B0D83">
        <w:rPr>
          <w:rFonts w:ascii="Times New Roman" w:eastAsia="Times New Roman" w:hAnsi="Times New Roman" w:cs="Times New Roman"/>
        </w:rPr>
        <w:t>, Adrianne Einarson &amp; Gideon Koren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Bendectin/Diclectin for Morning Sickness: A Canadian Follow-up of an American Tragedy</w:t>
      </w:r>
      <w:r w:rsidRPr="00F94B7E">
        <w:rPr>
          <w:rFonts w:ascii="Times New Roman" w:eastAsia="Times New Roman" w:hAnsi="Times New Roman" w:cs="Times New Roman"/>
        </w:rPr>
        <w:t xml:space="preserve">, 9 </w:t>
      </w:r>
      <w:r w:rsidRPr="00F94B7E">
        <w:rPr>
          <w:rFonts w:ascii="Times New Roman" w:eastAsia="Times New Roman" w:hAnsi="Times New Roman" w:cs="Times New Roman"/>
          <w:smallCaps/>
        </w:rPr>
        <w:t>Reprod. Toxicology</w:t>
      </w:r>
      <w:r w:rsidRPr="00F94B7E">
        <w:rPr>
          <w:rFonts w:ascii="Times New Roman" w:eastAsia="Times New Roman" w:hAnsi="Times New Roman" w:cs="Times New Roman"/>
        </w:rPr>
        <w:t xml:space="preserve"> 1, 2-3 (1995).</w:t>
      </w:r>
    </w:p>
    <w:p w14:paraId="218069D6" w14:textId="77777777" w:rsidR="004709CA" w:rsidRDefault="004709CA" w:rsidP="004709CA">
      <w:pPr>
        <w:rPr>
          <w:rFonts w:ascii="Times New Roman" w:hAnsi="Times New Roman" w:cs="Times New Roman"/>
        </w:rPr>
      </w:pPr>
    </w:p>
    <w:p w14:paraId="5668F588"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Decades later, Bendectin has been vindicated. 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Liz Neporent, </w:t>
      </w:r>
      <w:r w:rsidRPr="750671CE">
        <w:rPr>
          <w:rFonts w:ascii="Times New Roman" w:eastAsia="Times New Roman" w:hAnsi="Times New Roman" w:cs="Times New Roman"/>
          <w:i/>
          <w:iCs/>
        </w:rPr>
        <w:t>FDA Approves Morning Sickness Drug Once Feared Unsafe</w:t>
      </w:r>
      <w:r w:rsidRPr="750671CE">
        <w:rPr>
          <w:rFonts w:ascii="Times New Roman" w:eastAsia="Times New Roman" w:hAnsi="Times New Roman" w:cs="Times New Roman"/>
        </w:rPr>
        <w:t>, A</w:t>
      </w:r>
      <w:r w:rsidRPr="750671CE">
        <w:rPr>
          <w:rFonts w:ascii="Times New Roman" w:eastAsia="Times New Roman" w:hAnsi="Times New Roman" w:cs="Times New Roman"/>
          <w:smallCaps/>
        </w:rPr>
        <w:t>BC News</w:t>
      </w:r>
      <w:r w:rsidRPr="750671CE">
        <w:rPr>
          <w:rFonts w:ascii="Times New Roman" w:eastAsia="Times New Roman" w:hAnsi="Times New Roman" w:cs="Times New Roman"/>
        </w:rPr>
        <w:t xml:space="preserve">, April 9, 2013. </w:t>
      </w:r>
    </w:p>
    <w:p w14:paraId="13A0447E" w14:textId="77777777" w:rsidR="004709CA" w:rsidRDefault="004709CA" w:rsidP="004709CA">
      <w:pPr>
        <w:rPr>
          <w:rFonts w:ascii="Times New Roman" w:hAnsi="Times New Roman" w:cs="Times New Roman"/>
        </w:rPr>
      </w:pPr>
    </w:p>
    <w:p w14:paraId="06704056" w14:textId="3A855206"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How did this happen? One review of transcripts from six Bendectin trials showed that juries have some systematic biases in evaluating scientific evidence. 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 </w:t>
      </w:r>
      <w:r w:rsidR="00B05F31">
        <w:rPr>
          <w:rFonts w:ascii="Times New Roman" w:eastAsia="Times New Roman" w:hAnsi="Times New Roman" w:cs="Times New Roman"/>
        </w:rPr>
        <w:t>“</w:t>
      </w:r>
      <w:r w:rsidRPr="750671CE">
        <w:rPr>
          <w:rFonts w:ascii="Times New Roman" w:eastAsia="Times New Roman" w:hAnsi="Times New Roman" w:cs="Times New Roman"/>
        </w:rPr>
        <w:t>If the legal process tends to cause all experts to appear equally qualified,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concludes one observer, </w:t>
      </w:r>
      <w:r w:rsidR="00B05F31">
        <w:rPr>
          <w:rFonts w:ascii="Times New Roman" w:eastAsia="Times New Roman" w:hAnsi="Times New Roman" w:cs="Times New Roman"/>
        </w:rPr>
        <w:t>“</w:t>
      </w:r>
      <w:r w:rsidRPr="750671CE">
        <w:rPr>
          <w:rFonts w:ascii="Times New Roman" w:eastAsia="Times New Roman" w:hAnsi="Times New Roman" w:cs="Times New Roman"/>
        </w:rPr>
        <w:t>it also causes all science to appear equally worthy.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Joseph Sanders, </w:t>
      </w:r>
      <w:r w:rsidRPr="750671CE">
        <w:rPr>
          <w:rFonts w:ascii="Times New Roman" w:eastAsia="Times New Roman" w:hAnsi="Times New Roman" w:cs="Times New Roman"/>
          <w:i/>
          <w:iCs/>
        </w:rPr>
        <w:t>From Science to Evidence: The Testimony on Causation in the Bendectin Cases</w:t>
      </w:r>
      <w:r w:rsidRPr="750671CE">
        <w:rPr>
          <w:rFonts w:ascii="Times New Roman" w:eastAsia="Times New Roman" w:hAnsi="Times New Roman" w:cs="Times New Roman"/>
        </w:rPr>
        <w:t xml:space="preserve">, 46 </w:t>
      </w:r>
      <w:r w:rsidRPr="750671CE">
        <w:rPr>
          <w:rFonts w:ascii="Times New Roman" w:eastAsia="Times New Roman" w:hAnsi="Times New Roman" w:cs="Times New Roman"/>
          <w:smallCaps/>
        </w:rPr>
        <w:t>Stan. L. Rev</w:t>
      </w:r>
      <w:r w:rsidRPr="750671CE">
        <w:rPr>
          <w:rFonts w:ascii="Times New Roman" w:eastAsia="Times New Roman" w:hAnsi="Times New Roman" w:cs="Times New Roman"/>
        </w:rPr>
        <w:t xml:space="preserve">. 1, 47 (1993). </w:t>
      </w:r>
    </w:p>
    <w:p w14:paraId="1B60DD50" w14:textId="77777777" w:rsidR="004709CA" w:rsidRDefault="004709CA" w:rsidP="004709CA">
      <w:pPr>
        <w:ind w:firstLine="720"/>
        <w:rPr>
          <w:rFonts w:ascii="Times New Roman" w:hAnsi="Times New Roman" w:cs="Times New Roman"/>
        </w:rPr>
      </w:pPr>
    </w:p>
    <w:p w14:paraId="6E171722" w14:textId="77777777" w:rsidR="004709CA" w:rsidRDefault="004709CA" w:rsidP="004709CA">
      <w:pPr>
        <w:ind w:firstLine="720"/>
        <w:rPr>
          <w:rFonts w:ascii="Times New Roman" w:hAnsi="Times New Roman" w:cs="Times New Roman"/>
          <w:b/>
        </w:rPr>
      </w:pPr>
    </w:p>
    <w:p w14:paraId="06DF61BA" w14:textId="21C59EF6" w:rsidR="004709CA" w:rsidRPr="00F94B7E" w:rsidRDefault="750671CE" w:rsidP="00F94B7E">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Epidemiological </w:t>
      </w:r>
      <w:r w:rsidR="00341BD0"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ausation and </w:t>
      </w:r>
      <w:r w:rsidRPr="00F94B7E">
        <w:rPr>
          <w:rFonts w:ascii="Times New Roman" w:eastAsia="Times New Roman" w:hAnsi="Times New Roman" w:cs="Times New Roman"/>
          <w:iCs/>
        </w:rPr>
        <w:t>Daubert</w:t>
      </w:r>
      <w:r w:rsidRPr="00F94B7E">
        <w:rPr>
          <w:rFonts w:ascii="Times New Roman" w:eastAsia="Times New Roman" w:hAnsi="Times New Roman" w:cs="Times New Roman"/>
          <w:i/>
          <w:iCs/>
        </w:rPr>
        <w:t xml:space="preserve"> </w:t>
      </w:r>
      <w:r w:rsidR="00341BD0" w:rsidRPr="00F94B7E">
        <w:rPr>
          <w:rFonts w:ascii="Times New Roman" w:eastAsia="Times New Roman" w:hAnsi="Times New Roman" w:cs="Times New Roman"/>
          <w:i/>
          <w:iCs/>
        </w:rPr>
        <w:t>h</w:t>
      </w:r>
      <w:r w:rsidRPr="00F94B7E">
        <w:rPr>
          <w:rFonts w:ascii="Times New Roman" w:eastAsia="Times New Roman" w:hAnsi="Times New Roman" w:cs="Times New Roman"/>
          <w:i/>
          <w:iCs/>
        </w:rPr>
        <w:t>earings.</w:t>
      </w:r>
      <w:r w:rsidRPr="00F94B7E">
        <w:rPr>
          <w:rFonts w:ascii="Times New Roman" w:eastAsia="Times New Roman" w:hAnsi="Times New Roman" w:cs="Times New Roman"/>
        </w:rPr>
        <w:t xml:space="preserve">  The Bendectin trials left their mark on the procedures for high-stakes tort cases. The Supreme Court, in a Bendectin case, laid out a new standard under the Federal Rules of Evidence for allowing expert testimony to go to the jury:</w:t>
      </w:r>
    </w:p>
    <w:p w14:paraId="42B4BF1D" w14:textId="77777777" w:rsidR="004709CA" w:rsidRDefault="004709CA" w:rsidP="004709CA">
      <w:pPr>
        <w:rPr>
          <w:rFonts w:ascii="Times New Roman" w:hAnsi="Times New Roman" w:cs="Times New Roman"/>
        </w:rPr>
      </w:pPr>
    </w:p>
    <w:p w14:paraId="2B148B43" w14:textId="4502E6EE" w:rsidR="004709CA" w:rsidRDefault="750671CE" w:rsidP="00F94B7E">
      <w:pPr>
        <w:pStyle w:val="blockquote"/>
      </w:pPr>
      <w:r w:rsidRPr="750671CE">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methodology underlying the testimony is scientifically valid and of whether that reasoning or methodology properly can be applied to the facts in issue </w:t>
      </w:r>
      <w:r w:rsidR="00341BD0">
        <w:t>.</w:t>
      </w:r>
      <w:r w:rsidRPr="750671CE">
        <w:t xml:space="preserve"> . . .  </w:t>
      </w:r>
    </w:p>
    <w:p w14:paraId="4E2F4701" w14:textId="77777777" w:rsidR="004709CA" w:rsidRPr="00B11F7A" w:rsidRDefault="004709CA" w:rsidP="004709CA">
      <w:pPr>
        <w:ind w:left="1440" w:right="1440"/>
        <w:rPr>
          <w:rFonts w:ascii="Times New Roman" w:hAnsi="Times New Roman" w:cs="Times New Roman"/>
        </w:rPr>
      </w:pPr>
    </w:p>
    <w:p w14:paraId="06C3DE03" w14:textId="77777777" w:rsidR="004709CA" w:rsidRDefault="750671CE" w:rsidP="00F94B7E">
      <w:pPr>
        <w:pStyle w:val="blockquote"/>
      </w:pPr>
      <w:r w:rsidRPr="750671CE">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Default="004709CA" w:rsidP="004709CA">
      <w:pPr>
        <w:ind w:left="1440" w:right="1440"/>
        <w:rPr>
          <w:rFonts w:ascii="Times New Roman" w:hAnsi="Times New Roman" w:cs="Times New Roman"/>
        </w:rPr>
      </w:pPr>
    </w:p>
    <w:p w14:paraId="716A4F41" w14:textId="35700528" w:rsidR="004709CA" w:rsidRPr="00B11F7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Daubert v. Merrell Dow Pharms</w:t>
      </w:r>
      <w:r w:rsidRPr="750671CE">
        <w:rPr>
          <w:rFonts w:ascii="Times New Roman" w:eastAsia="Times New Roman" w:hAnsi="Times New Roman" w:cs="Times New Roman"/>
        </w:rPr>
        <w:t xml:space="preserve">, 509 U.S. 579 (1993).  So-called </w:t>
      </w:r>
      <w:r w:rsidR="00B05F31">
        <w:rPr>
          <w:rFonts w:ascii="Times New Roman" w:eastAsia="Times New Roman" w:hAnsi="Times New Roman" w:cs="Times New Roman"/>
        </w:rPr>
        <w:t>“</w:t>
      </w:r>
      <w:r w:rsidRPr="750671CE">
        <w:rPr>
          <w:rFonts w:ascii="Times New Roman" w:eastAsia="Times New Roman" w:hAnsi="Times New Roman" w:cs="Times New Roman"/>
          <w:i/>
          <w:iCs/>
        </w:rPr>
        <w:t>Daubert</w:t>
      </w:r>
      <w:r w:rsidRPr="750671CE">
        <w:rPr>
          <w:rFonts w:ascii="Times New Roman" w:eastAsia="Times New Roman" w:hAnsi="Times New Roman" w:cs="Times New Roman"/>
        </w:rPr>
        <w:t xml:space="preserve"> hearings,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these pre-trial hearings described in </w:t>
      </w:r>
      <w:r w:rsidRPr="750671CE">
        <w:rPr>
          <w:rFonts w:ascii="Times New Roman" w:eastAsia="Times New Roman" w:hAnsi="Times New Roman" w:cs="Times New Roman"/>
          <w:i/>
          <w:iCs/>
        </w:rPr>
        <w:t>Daubert</w:t>
      </w:r>
      <w:r w:rsidRPr="750671CE">
        <w:rPr>
          <w:rFonts w:ascii="Times New Roman" w:eastAsia="Times New Roman" w:hAnsi="Times New Roman" w:cs="Times New Roman"/>
        </w:rPr>
        <w:t xml:space="preserve"> have become known, have dramatically changed how torts suits are litigated. Plaintiffs must get their experts through the </w:t>
      </w:r>
      <w:r w:rsidRPr="00F94B7E">
        <w:rPr>
          <w:rFonts w:ascii="Times New Roman" w:eastAsia="Times New Roman" w:hAnsi="Times New Roman" w:cs="Times New Roman"/>
          <w:i/>
        </w:rPr>
        <w:t>Daubert</w:t>
      </w:r>
      <w:r w:rsidRPr="750671CE">
        <w:rPr>
          <w:rFonts w:ascii="Times New Roman" w:eastAsia="Times New Roman" w:hAnsi="Times New Roman" w:cs="Times New Roman"/>
        </w:rPr>
        <w:t xml:space="preserve"> hearing to the jury in order to avoid being dismissed on summary judgment. Allan Kanner </w:t>
      </w:r>
      <w:r w:rsidR="005B0D83">
        <w:rPr>
          <w:rFonts w:ascii="Times New Roman" w:eastAsia="Times New Roman" w:hAnsi="Times New Roman" w:cs="Times New Roman"/>
        </w:rPr>
        <w:t>&amp;</w:t>
      </w:r>
      <w:r w:rsidR="005B0D83"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M. Ryan Casey, </w:t>
      </w:r>
      <w:r w:rsidRPr="00F94B7E">
        <w:rPr>
          <w:rFonts w:ascii="Times New Roman" w:eastAsia="Times New Roman" w:hAnsi="Times New Roman" w:cs="Times New Roman"/>
          <w:iCs/>
        </w:rPr>
        <w:t>Daubert</w:t>
      </w:r>
      <w:r w:rsidRPr="750671CE">
        <w:rPr>
          <w:rFonts w:ascii="Times New Roman" w:eastAsia="Times New Roman" w:hAnsi="Times New Roman" w:cs="Times New Roman"/>
          <w:i/>
          <w:iCs/>
        </w:rPr>
        <w:t xml:space="preserve"> and the Disappearing Jury Trial</w:t>
      </w:r>
      <w:r w:rsidRPr="750671CE">
        <w:rPr>
          <w:rFonts w:ascii="Times New Roman" w:eastAsia="Times New Roman" w:hAnsi="Times New Roman" w:cs="Times New Roman"/>
        </w:rPr>
        <w:t xml:space="preserve">, 69 </w:t>
      </w:r>
      <w:r w:rsidRPr="750671CE">
        <w:rPr>
          <w:rFonts w:ascii="Times New Roman" w:eastAsia="Times New Roman" w:hAnsi="Times New Roman" w:cs="Times New Roman"/>
          <w:smallCaps/>
        </w:rPr>
        <w:t>U. Pitt. L. Rev</w:t>
      </w:r>
      <w:r w:rsidRPr="750671CE">
        <w:rPr>
          <w:rFonts w:ascii="Times New Roman" w:eastAsia="Times New Roman" w:hAnsi="Times New Roman" w:cs="Times New Roman"/>
        </w:rPr>
        <w:t xml:space="preserve">. 281 (2007). The percentage of civil trials in products liability cases that were dismissed on summary judgment jumped from 21% for 48% in the years after the </w:t>
      </w:r>
      <w:r w:rsidRPr="750671CE">
        <w:rPr>
          <w:rFonts w:ascii="Times New Roman" w:eastAsia="Times New Roman" w:hAnsi="Times New Roman" w:cs="Times New Roman"/>
          <w:i/>
          <w:iCs/>
        </w:rPr>
        <w:t>Daubert</w:t>
      </w:r>
      <w:r w:rsidRPr="750671CE">
        <w:rPr>
          <w:rFonts w:ascii="Times New Roman" w:eastAsia="Times New Roman" w:hAnsi="Times New Roman" w:cs="Times New Roman"/>
        </w:rPr>
        <w:t xml:space="preserve"> decision. Lloyd Dixon &amp; Brian Gill, </w:t>
      </w:r>
      <w:r w:rsidRPr="750671CE">
        <w:rPr>
          <w:rFonts w:ascii="Times New Roman" w:eastAsia="Times New Roman" w:hAnsi="Times New Roman" w:cs="Times New Roman"/>
          <w:smallCaps/>
        </w:rPr>
        <w:t>RAND Inst. for Civil Justice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Changes in the Standards for Admitting Expert Evidence in Federal Civil Cases Since the </w:t>
      </w:r>
      <w:r w:rsidRPr="750671CE">
        <w:rPr>
          <w:rFonts w:ascii="Times New Roman" w:eastAsia="Times New Roman" w:hAnsi="Times New Roman" w:cs="Times New Roman"/>
          <w:i/>
          <w:iCs/>
          <w:smallCaps/>
        </w:rPr>
        <w:t>Daubert</w:t>
      </w:r>
      <w:r w:rsidRPr="750671CE">
        <w:rPr>
          <w:rFonts w:ascii="Times New Roman" w:eastAsia="Times New Roman" w:hAnsi="Times New Roman" w:cs="Times New Roman"/>
          <w:smallCaps/>
        </w:rPr>
        <w:t xml:space="preserve"> Decision</w:t>
      </w:r>
      <w:r w:rsidRPr="750671CE">
        <w:rPr>
          <w:rFonts w:ascii="Times New Roman" w:eastAsia="Times New Roman" w:hAnsi="Times New Roman" w:cs="Times New Roman"/>
        </w:rPr>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750671CE">
        <w:rPr>
          <w:rFonts w:ascii="Times New Roman" w:eastAsia="Times New Roman" w:hAnsi="Times New Roman" w:cs="Times New Roman"/>
          <w:i/>
          <w:iCs/>
        </w:rPr>
        <w:t>, The Vanishing Trial: An Examination of Trials and Related Matters in Federal and State Courts</w:t>
      </w:r>
      <w:r w:rsidRPr="750671CE">
        <w:rPr>
          <w:rFonts w:ascii="Times New Roman" w:eastAsia="Times New Roman" w:hAnsi="Times New Roman" w:cs="Times New Roman"/>
        </w:rPr>
        <w:t xml:space="preserve">, 1 </w:t>
      </w:r>
      <w:r w:rsidRPr="750671CE">
        <w:rPr>
          <w:rFonts w:ascii="Times New Roman" w:eastAsia="Times New Roman" w:hAnsi="Times New Roman" w:cs="Times New Roman"/>
          <w:smallCaps/>
        </w:rPr>
        <w:t>J. Empirical Legal Stud</w:t>
      </w:r>
      <w:r w:rsidRPr="750671CE">
        <w:rPr>
          <w:rFonts w:ascii="Times New Roman" w:eastAsia="Times New Roman" w:hAnsi="Times New Roman" w:cs="Times New Roman"/>
        </w:rPr>
        <w:t xml:space="preserve">. 459, 466 (2004). </w:t>
      </w:r>
    </w:p>
    <w:p w14:paraId="166F7683" w14:textId="77777777" w:rsidR="004709CA" w:rsidRDefault="004709CA" w:rsidP="004709CA">
      <w:pPr>
        <w:ind w:right="1440"/>
        <w:rPr>
          <w:rFonts w:ascii="Times New Roman" w:hAnsi="Times New Roman" w:cs="Times New Roman"/>
          <w:b/>
        </w:rPr>
      </w:pPr>
    </w:p>
    <w:p w14:paraId="4D2249D8" w14:textId="77777777" w:rsidR="004709CA" w:rsidRPr="003823E9" w:rsidRDefault="004709CA" w:rsidP="004709CA">
      <w:pPr>
        <w:ind w:right="1440"/>
        <w:rPr>
          <w:rFonts w:ascii="Times New Roman" w:hAnsi="Times New Roman" w:cs="Times New Roman"/>
          <w:b/>
        </w:rPr>
      </w:pPr>
    </w:p>
    <w:p w14:paraId="3777BD89" w14:textId="3266061B" w:rsidR="004709CA" w:rsidRPr="00F94B7E" w:rsidRDefault="750671CE" w:rsidP="00F94B7E">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Agent Orange.</w:t>
      </w:r>
      <w:r w:rsidRPr="00F94B7E">
        <w:rPr>
          <w:rFonts w:ascii="Times New Roman" w:eastAsia="Times New Roman" w:hAnsi="Times New Roman" w:cs="Times New Roman"/>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 to pressure the parties into a settlement. The $180</w:t>
      </w:r>
      <w:r w:rsidR="005B0D83">
        <w:rPr>
          <w:rFonts w:ascii="Times New Roman" w:eastAsia="Times New Roman" w:hAnsi="Times New Roman" w:cs="Times New Roman"/>
        </w:rPr>
        <w:t>-</w:t>
      </w:r>
      <w:r w:rsidRPr="00F94B7E">
        <w:rPr>
          <w:rFonts w:ascii="Times New Roman" w:eastAsia="Times New Roman" w:hAnsi="Times New Roman" w:cs="Times New Roman"/>
        </w:rPr>
        <w:t>million compensation fund created for the plaintiffs was one of the largest and most complex mass tort settlements the country had seen. Judge Weinstein then dismissed the claims of the veterans who had opted</w:t>
      </w:r>
      <w:r w:rsidR="006C6F84" w:rsidRPr="00F94B7E">
        <w:rPr>
          <w:rFonts w:ascii="Times New Roman" w:eastAsia="Times New Roman" w:hAnsi="Times New Roman" w:cs="Times New Roman"/>
        </w:rPr>
        <w:t xml:space="preserve"> </w:t>
      </w:r>
      <w:r w:rsidRPr="00F94B7E">
        <w:rPr>
          <w:rFonts w:ascii="Times New Roman" w:eastAsia="Times New Roman" w:hAnsi="Times New Roman" w:cs="Times New Roman"/>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classic treatment, </w:t>
      </w:r>
      <w:r w:rsidRPr="00F94B7E">
        <w:rPr>
          <w:rFonts w:ascii="Times New Roman" w:eastAsia="Times New Roman" w:hAnsi="Times New Roman" w:cs="Times New Roman"/>
          <w:i/>
          <w:iCs/>
        </w:rPr>
        <w:t xml:space="preserve">Agent Orange on Trial </w:t>
      </w:r>
      <w:r w:rsidRPr="00F94B7E">
        <w:rPr>
          <w:rFonts w:ascii="Times New Roman" w:eastAsia="Times New Roman" w:hAnsi="Times New Roman" w:cs="Times New Roman"/>
        </w:rPr>
        <w:t xml:space="preserve">(1987). </w:t>
      </w:r>
    </w:p>
    <w:p w14:paraId="07AEF0FD" w14:textId="77777777" w:rsidR="004709CA" w:rsidRDefault="004709CA" w:rsidP="004709CA">
      <w:pPr>
        <w:rPr>
          <w:rFonts w:ascii="Times New Roman" w:hAnsi="Times New Roman" w:cs="Times New Roman"/>
        </w:rPr>
      </w:pPr>
    </w:p>
    <w:p w14:paraId="5D5FC092" w14:textId="77777777" w:rsidR="004709CA" w:rsidRPr="005A6D33" w:rsidRDefault="004709CA" w:rsidP="004709CA">
      <w:pPr>
        <w:rPr>
          <w:rFonts w:ascii="Times New Roman" w:hAnsi="Times New Roman" w:cs="Times New Roman"/>
        </w:rPr>
      </w:pPr>
    </w:p>
    <w:p w14:paraId="3D6B96C0" w14:textId="7F46DE24" w:rsidR="004709CA" w:rsidRPr="00F94B7E" w:rsidRDefault="750671CE" w:rsidP="00F94B7E">
      <w:pPr>
        <w:pStyle w:val="ListParagraph"/>
        <w:numPr>
          <w:ilvl w:val="0"/>
          <w:numId w:val="10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Bisphenol A.</w:t>
      </w:r>
      <w:r w:rsidRPr="00F94B7E">
        <w:rPr>
          <w:rFonts w:ascii="Times New Roman" w:eastAsia="Times New Roman" w:hAnsi="Times New Roman" w:cs="Times New Roman"/>
        </w:rPr>
        <w:t xml:space="preserve">  Bisphenol A</w:t>
      </w:r>
      <w:r w:rsidR="00D47D9B" w:rsidRPr="00F94B7E">
        <w:rPr>
          <w:rFonts w:ascii="Times New Roman" w:eastAsia="Times New Roman" w:hAnsi="Times New Roman" w:cs="Times New Roman"/>
        </w:rPr>
        <w:t xml:space="preserve"> (BPA)</w:t>
      </w:r>
      <w:r w:rsidRPr="00F94B7E">
        <w:rPr>
          <w:rFonts w:ascii="Times New Roman" w:eastAsia="Times New Roman" w:hAnsi="Times New Roman" w:cs="Times New Roman"/>
        </w:rPr>
        <w:t xml:space="preserve">,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00115598">
        <w:rPr>
          <w:rFonts w:ascii="Times New Roman" w:eastAsia="Times New Roman" w:hAnsi="Times New Roman" w:cs="Times New Roman"/>
        </w:rPr>
        <w:t xml:space="preserve">U.S. </w:t>
      </w:r>
      <w:r w:rsidRPr="00F94B7E">
        <w:rPr>
          <w:rFonts w:ascii="Times New Roman" w:eastAsia="Times New Roman" w:hAnsi="Times New Roman" w:cs="Times New Roman"/>
          <w:smallCaps/>
        </w:rPr>
        <w:t>Food and Drug Administration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Bisphenol A: Use in Food Contact Application</w:t>
      </w:r>
      <w:r w:rsidRPr="00F94B7E">
        <w:rPr>
          <w:rFonts w:ascii="Times New Roman" w:eastAsia="Times New Roman" w:hAnsi="Times New Roman" w:cs="Times New Roman"/>
        </w:rPr>
        <w:t xml:space="preserve">, March 2013, available at http://www.fda.gov/newsevents/publichealthfocus/ucm064437.htm. Unlike almost all drugs (such as Danocrine, the drug in </w:t>
      </w:r>
      <w:r w:rsidRPr="00F94B7E">
        <w:rPr>
          <w:rFonts w:ascii="Times New Roman" w:eastAsia="Times New Roman" w:hAnsi="Times New Roman" w:cs="Times New Roman"/>
          <w:i/>
        </w:rPr>
        <w:t>Zuchowicz</w:t>
      </w:r>
      <w:r w:rsidRPr="00F94B7E">
        <w:rPr>
          <w:rFonts w:ascii="Times New Roman" w:eastAsia="Times New Roman" w:hAnsi="Times New Roman" w:cs="Times New Roman"/>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F94B7E">
        <w:rPr>
          <w:rFonts w:ascii="Times New Roman" w:eastAsia="Times New Roman" w:hAnsi="Times New Roman" w:cs="Times New Roman"/>
        </w:rPr>
        <w:t xml:space="preserve">&amp; </w:t>
      </w:r>
      <w:r w:rsidRPr="00F94B7E">
        <w:rPr>
          <w:rFonts w:ascii="Times New Roman" w:eastAsia="Times New Roman" w:hAnsi="Times New Roman" w:cs="Times New Roman"/>
        </w:rPr>
        <w:t>Claude Hughes,</w:t>
      </w:r>
      <w:r w:rsidRPr="00F94B7E">
        <w:rPr>
          <w:rFonts w:ascii="Times New Roman" w:eastAsia="Times New Roman" w:hAnsi="Times New Roman" w:cs="Times New Roman"/>
          <w:i/>
          <w:iCs/>
        </w:rPr>
        <w:t xml:space="preserve"> An Extensive New Literature Concerning Low-Dose Effects of Bisphenol A Shows the Need for a New Risk Assessment</w:t>
      </w:r>
      <w:r w:rsidRPr="00F94B7E">
        <w:rPr>
          <w:rFonts w:ascii="Times New Roman" w:eastAsia="Times New Roman" w:hAnsi="Times New Roman" w:cs="Times New Roman"/>
        </w:rPr>
        <w:t xml:space="preserve">, 113 </w:t>
      </w:r>
      <w:r w:rsidRPr="00F94B7E">
        <w:rPr>
          <w:rFonts w:ascii="Times New Roman" w:eastAsia="Times New Roman" w:hAnsi="Times New Roman" w:cs="Times New Roman"/>
          <w:smallCaps/>
        </w:rPr>
        <w:t>Environ. Health Perspect</w:t>
      </w:r>
      <w:r w:rsidRPr="00F94B7E">
        <w:rPr>
          <w:rFonts w:ascii="Times New Roman" w:eastAsia="Times New Roman" w:hAnsi="Times New Roman" w:cs="Times New Roman"/>
        </w:rPr>
        <w:t xml:space="preserve">. 926 (2005). In 2008, major manufacturers of baby bottles voluntarily removed Bisphenol A from their products, due to public pressure, as the FDA continued to study the issue. Press Release, Ct. Attorney Gen. Office, </w:t>
      </w:r>
      <w:r w:rsidRPr="00F94B7E">
        <w:rPr>
          <w:rFonts w:ascii="Times New Roman" w:eastAsia="Times New Roman" w:hAnsi="Times New Roman" w:cs="Times New Roman"/>
          <w:i/>
          <w:iCs/>
        </w:rPr>
        <w:t>Attorney Gen. Announces Baby Bottle Makers Agree to Stop Using BPA; Calls for Legislative Ban</w:t>
      </w:r>
      <w:r w:rsidRPr="00F94B7E">
        <w:rPr>
          <w:rFonts w:ascii="Times New Roman" w:eastAsia="Times New Roman" w:hAnsi="Times New Roman" w:cs="Times New Roman"/>
        </w:rPr>
        <w:t xml:space="preserve"> (Mar. 5, 2009), available at http://www. </w:t>
      </w:r>
      <w:r w:rsidR="00246D50" w:rsidRPr="00F94B7E">
        <w:rPr>
          <w:rFonts w:ascii="Times New Roman" w:eastAsia="Times New Roman" w:hAnsi="Times New Roman" w:cs="Times New Roman"/>
        </w:rPr>
        <w:t>C</w:t>
      </w:r>
      <w:r w:rsidRPr="00F94B7E">
        <w:rPr>
          <w:rFonts w:ascii="Times New Roman" w:eastAsia="Times New Roman" w:hAnsi="Times New Roman" w:cs="Times New Roman"/>
        </w:rPr>
        <w:t>t.gov/ag/cwp/view.asp?A=3673&amp;Q=435360. Does the existence of toxins like Bisphenol A, which follow a different dose response curve, challenge the rationale behind Judge Calabresi</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rule in </w:t>
      </w:r>
      <w:r w:rsidRPr="00F94B7E">
        <w:rPr>
          <w:rFonts w:ascii="Times New Roman" w:eastAsia="Times New Roman" w:hAnsi="Times New Roman" w:cs="Times New Roman"/>
          <w:i/>
          <w:iCs/>
        </w:rPr>
        <w:t>Zuchowicz</w:t>
      </w:r>
      <w:r w:rsidRPr="00F94B7E">
        <w:rPr>
          <w:rFonts w:ascii="Times New Roman" w:eastAsia="Times New Roman" w:hAnsi="Times New Roman" w:cs="Times New Roman"/>
        </w:rPr>
        <w:t xml:space="preserve">? </w:t>
      </w:r>
    </w:p>
    <w:p w14:paraId="63832B4D" w14:textId="77777777" w:rsidR="004709CA" w:rsidRDefault="004709CA" w:rsidP="004709CA">
      <w:pPr>
        <w:rPr>
          <w:rFonts w:ascii="Times New Roman" w:hAnsi="Times New Roman" w:cs="Times New Roman"/>
        </w:rPr>
      </w:pPr>
    </w:p>
    <w:p w14:paraId="09DD1CA9" w14:textId="466DF99A" w:rsidR="00221888" w:rsidRDefault="750671CE" w:rsidP="00F94B7E">
      <w:pPr>
        <w:ind w:firstLine="720"/>
        <w:rPr>
          <w:rFonts w:ascii="Times New Roman" w:hAnsi="Times New Roman" w:cs="Times New Roman"/>
          <w:b/>
          <w:i/>
        </w:rPr>
      </w:pPr>
      <w:r w:rsidRPr="750671CE">
        <w:rPr>
          <w:rFonts w:ascii="Times New Roman" w:eastAsia="Times New Roman" w:hAnsi="Times New Roman" w:cs="Times New Roman"/>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 </w:t>
      </w:r>
      <w:r w:rsidRPr="00F94B7E">
        <w:rPr>
          <w:rFonts w:ascii="Times New Roman" w:eastAsia="Times New Roman" w:hAnsi="Times New Roman" w:cs="Times New Roman"/>
          <w:i/>
        </w:rPr>
        <w:t xml:space="preserve">In re Bisphenol-A (BPA) Polycarbonate Plastic Prods. Liab. Litig., </w:t>
      </w:r>
      <w:r w:rsidRPr="750671CE">
        <w:rPr>
          <w:rFonts w:ascii="Times New Roman" w:eastAsia="Times New Roman" w:hAnsi="Times New Roman" w:cs="Times New Roman"/>
        </w:rPr>
        <w:t>687 F. Supp. 2d 897 (W.D. Mo. 2009). If a plaintiff did present a claim for damages based on development disabilities caused by BPA, would you, as a judge, attempt to find creative means (industry liability theories, statistical causation, judicially brokered settlements) to manage to get relief for the plaintiffs? Or would you dismiss the case, believing that other branches of government are best suited to manage such complex problems?</w:t>
      </w:r>
      <w:r w:rsidR="00221888">
        <w:rPr>
          <w:rFonts w:ascii="Times New Roman" w:hAnsi="Times New Roman" w:cs="Times New Roman"/>
          <w:b/>
          <w:i/>
        </w:rPr>
        <w:br w:type="page"/>
      </w:r>
    </w:p>
    <w:p w14:paraId="02A12C81" w14:textId="77777777" w:rsidR="004709CA" w:rsidRDefault="004709CA" w:rsidP="00112E41">
      <w:pPr>
        <w:pStyle w:val="Heading2"/>
      </w:pPr>
      <w:bookmarkStart w:id="432" w:name="_Toc364636168"/>
      <w:bookmarkStart w:id="433" w:name="_Toc518323391"/>
      <w:r w:rsidRPr="00FA4733">
        <w:t>C. Lost Chances and Indeterminate Plaintiffs</w:t>
      </w:r>
      <w:bookmarkEnd w:id="432"/>
      <w:bookmarkEnd w:id="433"/>
    </w:p>
    <w:p w14:paraId="7C3511AC" w14:textId="77777777" w:rsidR="004709CA" w:rsidRDefault="004709CA" w:rsidP="004709CA">
      <w:pPr>
        <w:rPr>
          <w:rFonts w:ascii="Times New Roman" w:hAnsi="Times New Roman" w:cs="Times New Roman"/>
          <w:b/>
        </w:rPr>
      </w:pPr>
    </w:p>
    <w:p w14:paraId="1AF3F843" w14:textId="7F91B289"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 she would not have been injured but for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act?  The classic case is medical malpractice on patients with severe illnesses:</w:t>
      </w:r>
    </w:p>
    <w:p w14:paraId="1C87E7CD" w14:textId="77777777" w:rsidR="004709CA" w:rsidRDefault="004709CA" w:rsidP="004709CA">
      <w:pPr>
        <w:ind w:firstLine="720"/>
        <w:rPr>
          <w:rFonts w:ascii="Times New Roman" w:hAnsi="Times New Roman" w:cs="Times New Roman"/>
        </w:rPr>
      </w:pPr>
    </w:p>
    <w:p w14:paraId="24D46590" w14:textId="77777777" w:rsidR="004709CA" w:rsidRPr="00587B63" w:rsidRDefault="004709CA" w:rsidP="004709CA">
      <w:pPr>
        <w:ind w:firstLine="720"/>
        <w:rPr>
          <w:rFonts w:ascii="Times New Roman" w:hAnsi="Times New Roman" w:cs="Times New Roman"/>
        </w:rPr>
      </w:pPr>
    </w:p>
    <w:p w14:paraId="034900BC" w14:textId="026FD15F" w:rsidR="004709CA" w:rsidRDefault="00CA6DFD" w:rsidP="750671CE">
      <w:pPr>
        <w:rPr>
          <w:rFonts w:ascii="Times New Roman" w:eastAsia="Times New Roman" w:hAnsi="Times New Roman" w:cs="Times New Roman"/>
          <w:b/>
          <w:bCs/>
        </w:rPr>
      </w:pPr>
      <w:bookmarkStart w:id="434" w:name="_Toc518323392"/>
      <w:r w:rsidRPr="00634D66">
        <w:rPr>
          <w:rStyle w:val="Heading3Char"/>
          <w:i/>
        </w:rPr>
        <w:t>Herskovits</w:t>
      </w:r>
      <w:r w:rsidR="004709CA" w:rsidRPr="00634D66">
        <w:rPr>
          <w:rStyle w:val="Heading3Char"/>
          <w:i/>
        </w:rPr>
        <w:t xml:space="preserve"> v. Group Health Coop</w:t>
      </w:r>
      <w:bookmarkEnd w:id="434"/>
      <w:r w:rsidR="004709CA" w:rsidRPr="750671CE">
        <w:rPr>
          <w:rFonts w:ascii="Times New Roman" w:eastAsia="Times New Roman" w:hAnsi="Times New Roman" w:cs="Times New Roman"/>
          <w:b/>
          <w:bCs/>
        </w:rPr>
        <w:t>., 664 P.2d 474 (Wash. 1983)</w:t>
      </w:r>
    </w:p>
    <w:p w14:paraId="22ADE159" w14:textId="77777777" w:rsidR="004709CA" w:rsidRPr="00587B63" w:rsidRDefault="004709CA" w:rsidP="004709CA">
      <w:pPr>
        <w:rPr>
          <w:rFonts w:ascii="Times New Roman" w:hAnsi="Times New Roman" w:cs="Times New Roman"/>
        </w:rPr>
      </w:pPr>
    </w:p>
    <w:p w14:paraId="03AADDE4" w14:textId="77777777" w:rsidR="004709CA" w:rsidRPr="00E63D58"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Default="004709CA" w:rsidP="004709CA">
      <w:pPr>
        <w:rPr>
          <w:rFonts w:ascii="Times New Roman" w:hAnsi="Times New Roman" w:cs="Times New Roman"/>
        </w:rPr>
      </w:pPr>
    </w:p>
    <w:p w14:paraId="5B4C5705" w14:textId="1B6216CC" w:rsidR="004709CA" w:rsidRPr="00E63D58"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Both counsel advised that for the purpose of this appeal we are to assume that the respondent Group Health Cooperative of Puget Sound and its personnel negligently failed to diagnose Herskovits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r w:rsidR="00341BD0">
        <w:rPr>
          <w:rFonts w:ascii="Times New Roman" w:eastAsia="Times New Roman" w:hAnsi="Times New Roman" w:cs="Times New Roman"/>
        </w:rPr>
        <w:t xml:space="preserve"> .</w:t>
      </w:r>
    </w:p>
    <w:p w14:paraId="1AB35088" w14:textId="77777777" w:rsidR="004709CA" w:rsidRDefault="004709CA" w:rsidP="004709CA">
      <w:pPr>
        <w:rPr>
          <w:rStyle w:val="ssleftalign"/>
          <w:rFonts w:ascii="Times New Roman" w:eastAsia="Times New Roman" w:hAnsi="Times New Roman" w:cs="Times New Roman"/>
        </w:rPr>
      </w:pPr>
    </w:p>
    <w:p w14:paraId="6C253297" w14:textId="68B7F162" w:rsidR="004709CA" w:rsidRPr="00E63D58" w:rsidRDefault="750671CE" w:rsidP="750671CE">
      <w:pPr>
        <w:ind w:firstLine="720"/>
        <w:rPr>
          <w:rStyle w:val="ssleftalign"/>
          <w:rFonts w:ascii="Times New Roman" w:eastAsia="Times New Roman" w:hAnsi="Times New Roman" w:cs="Times New Roman"/>
        </w:rPr>
      </w:pPr>
      <w:r w:rsidRPr="750671CE">
        <w:rPr>
          <w:rStyle w:val="ssleftalign"/>
          <w:rFonts w:ascii="Times New Roman" w:eastAsia="Times New Roman" w:hAnsi="Times New Roman" w:cs="Times New Roman"/>
        </w:rPr>
        <w:t xml:space="preserve">The complaint alleged that Herskovits came to Group Health Hospital in 1974 with complaints of pain and coughing . . . </w:t>
      </w:r>
      <w:r w:rsidR="005B0D83">
        <w:rPr>
          <w:rStyle w:val="ssleftalign"/>
          <w:rFonts w:ascii="Times New Roman" w:eastAsia="Times New Roman" w:hAnsi="Times New Roman" w:cs="Times New Roman"/>
        </w:rPr>
        <w:t xml:space="preserve">. </w:t>
      </w:r>
      <w:r w:rsidRPr="750671CE">
        <w:rPr>
          <w:rStyle w:val="ssleftalign"/>
          <w:rFonts w:ascii="Times New Roman" w:eastAsia="Times New Roman" w:hAnsi="Times New Roman" w:cs="Times New Roman"/>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s evaluation and direction to Group Health led to the diagnosis of cancer. In July of 1975, Herskovits</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lung was removed, but no radiation or chemotherapy treatments were instituted. Herskovits died 20 months later, on March 22, 1977, at the age of 60</w:t>
      </w:r>
      <w:r w:rsidR="005B0D83">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 . . Dr. Ostrow testified that if the tumor was a </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stage 1</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tumor in December 1974, Herskovits</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w:t>
      </w:r>
      <w:r w:rsidRPr="750671CE">
        <w:rPr>
          <w:rStyle w:val="pnote"/>
          <w:rFonts w:ascii="Times New Roman" w:eastAsia="Times New Roman" w:hAnsi="Times New Roman" w:cs="Times New Roman"/>
        </w:rPr>
        <w:t>chance</w:t>
      </w:r>
      <w:r w:rsidRPr="750671CE">
        <w:rPr>
          <w:rStyle w:val="ssleftalign"/>
          <w:rFonts w:ascii="Times New Roman" w:eastAsia="Times New Roman" w:hAnsi="Times New Roman" w:cs="Times New Roman"/>
        </w:rPr>
        <w:t xml:space="preserve"> of a 5-year survival would have been 39 percent. In June 1975, his </w:t>
      </w:r>
      <w:r w:rsidRPr="750671CE">
        <w:rPr>
          <w:rStyle w:val="pnote"/>
          <w:rFonts w:ascii="Times New Roman" w:eastAsia="Times New Roman" w:hAnsi="Times New Roman" w:cs="Times New Roman"/>
        </w:rPr>
        <w:t>chances</w:t>
      </w:r>
      <w:r w:rsidRPr="750671CE">
        <w:rPr>
          <w:rStyle w:val="ssleftalign"/>
          <w:rFonts w:ascii="Times New Roman" w:eastAsia="Times New Roman" w:hAnsi="Times New Roman" w:cs="Times New Roman"/>
        </w:rPr>
        <w:t xml:space="preserve"> of survival were 25 percent assuming the tumor had progressed to </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stage 2</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Thus, the delay in diagnosis may have reduced the </w:t>
      </w:r>
      <w:r w:rsidRPr="750671CE">
        <w:rPr>
          <w:rStyle w:val="pnote"/>
          <w:rFonts w:ascii="Times New Roman" w:eastAsia="Times New Roman" w:hAnsi="Times New Roman" w:cs="Times New Roman"/>
        </w:rPr>
        <w:t>chance</w:t>
      </w:r>
      <w:r w:rsidRPr="750671CE">
        <w:rPr>
          <w:rStyle w:val="ssleftalign"/>
          <w:rFonts w:ascii="Times New Roman" w:eastAsia="Times New Roman" w:hAnsi="Times New Roman" w:cs="Times New Roman"/>
        </w:rPr>
        <w:t xml:space="preserve"> of a 5-year survival by 14 percen</w:t>
      </w:r>
      <w:r w:rsidR="00341BD0">
        <w:rPr>
          <w:rStyle w:val="ssleftalign"/>
          <w:rFonts w:ascii="Times New Roman" w:eastAsia="Times New Roman" w:hAnsi="Times New Roman" w:cs="Times New Roman"/>
        </w:rPr>
        <w:t>t. . . .</w:t>
      </w:r>
    </w:p>
    <w:p w14:paraId="6A12CC1B" w14:textId="77777777" w:rsidR="004709CA" w:rsidRDefault="004709CA" w:rsidP="004709CA">
      <w:pPr>
        <w:rPr>
          <w:rStyle w:val="ssleftalign"/>
          <w:rFonts w:ascii="Times New Roman" w:eastAsia="Times New Roman" w:hAnsi="Times New Roman" w:cs="Times New Roman"/>
        </w:rPr>
      </w:pPr>
    </w:p>
    <w:p w14:paraId="6E2D0E62" w14:textId="489A0155" w:rsidR="004709CA" w:rsidRPr="00E63D58" w:rsidRDefault="750671CE" w:rsidP="750671CE">
      <w:pPr>
        <w:ind w:firstLine="720"/>
        <w:rPr>
          <w:rStyle w:val="ssleftalign"/>
          <w:rFonts w:ascii="Times New Roman" w:eastAsia="Times New Roman" w:hAnsi="Times New Roman" w:cs="Times New Roman"/>
        </w:rPr>
      </w:pPr>
      <w:r w:rsidRPr="750671CE">
        <w:rPr>
          <w:rStyle w:val="ssleftalign"/>
          <w:rFonts w:ascii="Times New Roman" w:eastAsia="Times New Roman" w:hAnsi="Times New Roman" w:cs="Times New Roman"/>
        </w:rPr>
        <w:t>The ultimate question raised here is whether the relationship between the increased risk of harm and Herskovits</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 death is sufficient to hold Group Health responsible. Is a 36 percent (from 39 percent to 25 percent) reduction in the decedent</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s </w:t>
      </w:r>
      <w:r w:rsidRPr="750671CE">
        <w:rPr>
          <w:rStyle w:val="pnote"/>
          <w:rFonts w:ascii="Times New Roman" w:eastAsia="Times New Roman" w:hAnsi="Times New Roman" w:cs="Times New Roman"/>
        </w:rPr>
        <w:t>chance</w:t>
      </w:r>
      <w:r w:rsidRPr="750671CE">
        <w:rPr>
          <w:rStyle w:val="ssleftalign"/>
          <w:rFonts w:ascii="Times New Roman" w:eastAsia="Times New Roman" w:hAnsi="Times New Roman" w:cs="Times New Roman"/>
        </w:rPr>
        <w:t xml:space="preserve"> for survival sufficient evidence of causation to allow the jury to consider the possibility that the physician</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s failure to timely diagnose the illness was the proximate cause of his death? We answer in the affirmative. To decide otherwise would be a blanket release from liability for doctors and hospitals any time there was less than a 50 percent </w:t>
      </w:r>
      <w:r w:rsidRPr="750671CE">
        <w:rPr>
          <w:rStyle w:val="pnote"/>
          <w:rFonts w:ascii="Times New Roman" w:eastAsia="Times New Roman" w:hAnsi="Times New Roman" w:cs="Times New Roman"/>
        </w:rPr>
        <w:t>chance</w:t>
      </w:r>
      <w:r w:rsidRPr="750671CE">
        <w:rPr>
          <w:rStyle w:val="ssleftalign"/>
          <w:rFonts w:ascii="Times New Roman" w:eastAsia="Times New Roman" w:hAnsi="Times New Roman" w:cs="Times New Roman"/>
        </w:rPr>
        <w:t xml:space="preserve"> of survival, regardless of how flagrant the negligence.</w:t>
      </w:r>
    </w:p>
    <w:p w14:paraId="518DB8FE" w14:textId="77777777" w:rsidR="004709CA" w:rsidRDefault="004709CA" w:rsidP="004709CA">
      <w:pPr>
        <w:rPr>
          <w:rStyle w:val="ssleftalign"/>
          <w:rFonts w:ascii="Times New Roman" w:eastAsia="Times New Roman" w:hAnsi="Times New Roman" w:cs="Times New Roman"/>
        </w:rPr>
      </w:pPr>
    </w:p>
    <w:p w14:paraId="44FEB79F" w14:textId="73B4341C" w:rsidR="004709CA" w:rsidRPr="00E63D58" w:rsidRDefault="750671CE" w:rsidP="750671CE">
      <w:pPr>
        <w:ind w:firstLine="720"/>
        <w:rPr>
          <w:rStyle w:val="ssleftalign"/>
          <w:rFonts w:ascii="Times New Roman" w:eastAsia="Times New Roman" w:hAnsi="Times New Roman" w:cs="Times New Roman"/>
        </w:rPr>
      </w:pPr>
      <w:r w:rsidRPr="750671CE">
        <w:rPr>
          <w:rStyle w:val="ssleftalign"/>
          <w:rFonts w:ascii="Times New Roman" w:eastAsia="Times New Roman" w:hAnsi="Times New Roman" w:cs="Times New Roman"/>
        </w:rPr>
        <w:t xml:space="preserve">Causing reduction of the opportunity to recover (loss of </w:t>
      </w:r>
      <w:r w:rsidRPr="750671CE">
        <w:rPr>
          <w:rStyle w:val="pnote"/>
          <w:rFonts w:ascii="Times New Roman" w:eastAsia="Times New Roman" w:hAnsi="Times New Roman" w:cs="Times New Roman"/>
        </w:rPr>
        <w:t>chance</w:t>
      </w:r>
      <w:r w:rsidRPr="750671CE">
        <w:rPr>
          <w:rStyle w:val="ssleftalign"/>
          <w:rFonts w:ascii="Times New Roman" w:eastAsia="Times New Roman" w:hAnsi="Times New Roman" w:cs="Times New Roman"/>
        </w:rPr>
        <w:t>) by one</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s negligence, however, does not necessitate a total recovery against the negligent party for all damages caused by the victim</w:t>
      </w:r>
      <w:r w:rsidR="00B05F31">
        <w:rPr>
          <w:rStyle w:val="ssleftalign"/>
          <w:rFonts w:ascii="Times New Roman" w:eastAsia="Times New Roman" w:hAnsi="Times New Roman" w:cs="Times New Roman"/>
        </w:rPr>
        <w:t>’</w:t>
      </w:r>
      <w:r w:rsidRPr="750671CE">
        <w:rPr>
          <w:rStyle w:val="ssleftalign"/>
          <w:rFonts w:ascii="Times New Roman" w:eastAsia="Times New Roman" w:hAnsi="Times New Roman" w:cs="Times New Roman"/>
        </w:rPr>
        <w:t xml:space="preserve">s death. Damages should be awarded to the injured party or his family based only on damages caused directly by premature death, such as </w:t>
      </w:r>
      <w:r w:rsidRPr="750671CE">
        <w:rPr>
          <w:rStyle w:val="pnote"/>
          <w:rFonts w:ascii="Times New Roman" w:eastAsia="Times New Roman" w:hAnsi="Times New Roman" w:cs="Times New Roman"/>
        </w:rPr>
        <w:t>lost</w:t>
      </w:r>
      <w:r w:rsidRPr="750671CE">
        <w:rPr>
          <w:rStyle w:val="ssleftalign"/>
          <w:rFonts w:ascii="Times New Roman" w:eastAsia="Times New Roman" w:hAnsi="Times New Roman" w:cs="Times New Roman"/>
        </w:rPr>
        <w:t xml:space="preserve"> earnings and additional medical expenses, </w:t>
      </w:r>
      <w:r w:rsidR="00246D50">
        <w:rPr>
          <w:rStyle w:val="ssleftalign"/>
          <w:rFonts w:ascii="Times New Roman" w:eastAsia="Times New Roman" w:hAnsi="Times New Roman" w:cs="Times New Roman"/>
        </w:rPr>
        <w:t>injury</w:t>
      </w:r>
      <w:r w:rsidRPr="750671CE">
        <w:rPr>
          <w:rStyle w:val="ssleftalign"/>
          <w:rFonts w:ascii="Times New Roman" w:eastAsia="Times New Roman" w:hAnsi="Times New Roman" w:cs="Times New Roman"/>
        </w:rPr>
        <w:t>. . . . We reverse the trial court and reinstate the cause of action.</w:t>
      </w:r>
    </w:p>
    <w:p w14:paraId="7AD7364F" w14:textId="77777777" w:rsidR="004709CA" w:rsidRPr="00E63D58" w:rsidRDefault="004709CA" w:rsidP="004709CA">
      <w:pPr>
        <w:rPr>
          <w:rStyle w:val="ssleftalign"/>
          <w:rFonts w:ascii="Times New Roman" w:eastAsia="Times New Roman" w:hAnsi="Times New Roman" w:cs="Times New Roman"/>
        </w:rPr>
      </w:pPr>
    </w:p>
    <w:p w14:paraId="2D4B75F4" w14:textId="77777777" w:rsidR="004709CA" w:rsidRPr="00E63D58" w:rsidRDefault="750671CE" w:rsidP="750671CE">
      <w:pPr>
        <w:rPr>
          <w:rStyle w:val="ssleftalign"/>
          <w:rFonts w:ascii="Times New Roman" w:eastAsia="Times New Roman" w:hAnsi="Times New Roman" w:cs="Times New Roman"/>
        </w:rPr>
      </w:pPr>
      <w:r w:rsidRPr="750671CE">
        <w:rPr>
          <w:rStyle w:val="ssleftalign"/>
          <w:rFonts w:ascii="Times New Roman" w:eastAsia="Times New Roman" w:hAnsi="Times New Roman" w:cs="Times New Roman"/>
          <w:smallCaps/>
        </w:rPr>
        <w:t>Pearson, J.,</w:t>
      </w:r>
      <w:r w:rsidRPr="750671CE">
        <w:rPr>
          <w:rStyle w:val="ssleftalign"/>
          <w:rFonts w:ascii="Times New Roman" w:eastAsia="Times New Roman" w:hAnsi="Times New Roman" w:cs="Times New Roman"/>
        </w:rPr>
        <w:t xml:space="preserve"> concurring.</w:t>
      </w:r>
    </w:p>
    <w:p w14:paraId="42F8D1DB" w14:textId="77777777" w:rsidR="004709CA" w:rsidRDefault="004709CA" w:rsidP="004709CA">
      <w:pPr>
        <w:widowControl w:val="0"/>
        <w:autoSpaceDE w:val="0"/>
        <w:autoSpaceDN w:val="0"/>
        <w:adjustRightInd w:val="0"/>
        <w:rPr>
          <w:rFonts w:ascii="Times New Roman" w:hAnsi="Times New Roman" w:cs="Times New Roman"/>
          <w:color w:val="000000"/>
        </w:rPr>
      </w:pPr>
      <w:bookmarkStart w:id="435" w:name="co_pp_sp_804_620_1"/>
      <w:bookmarkStart w:id="436" w:name="co_pp_sp_661_480_1"/>
      <w:bookmarkStart w:id="437" w:name="co_pp_sp_804_621_1"/>
      <w:bookmarkStart w:id="438" w:name="co_pp_sp_804_622_1"/>
      <w:bookmarkStart w:id="439" w:name="co_pp_sp_661_481_1"/>
      <w:bookmarkStart w:id="440" w:name="co_pp_sp_804_623_1"/>
      <w:bookmarkEnd w:id="435"/>
      <w:bookmarkEnd w:id="436"/>
      <w:bookmarkEnd w:id="437"/>
      <w:bookmarkEnd w:id="438"/>
      <w:bookmarkEnd w:id="439"/>
      <w:bookmarkEnd w:id="440"/>
    </w:p>
    <w:p w14:paraId="5E978B95" w14:textId="58049FBC" w:rsidR="004709CA" w:rsidRPr="00FA4733"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We must decide whether Dr. Ostrow</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testimony established that the act complained of (the alleged delay in diagnosis)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probably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or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more likely than not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caused Mr. Herskovits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subsequent disability. In order to make this determination, we must first define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subsequent disability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suffered by Mr. Herskovits. Therein lies the crux of this case, for it is possible to define the injury or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disability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chance of surviving the cancer from which he suffered.</w:t>
      </w:r>
    </w:p>
    <w:p w14:paraId="76D2C8D7" w14:textId="77777777" w:rsidR="004709CA" w:rsidRDefault="004709CA" w:rsidP="004709CA">
      <w:pPr>
        <w:widowControl w:val="0"/>
        <w:autoSpaceDE w:val="0"/>
        <w:autoSpaceDN w:val="0"/>
        <w:adjustRightInd w:val="0"/>
        <w:rPr>
          <w:rFonts w:ascii="Times New Roman" w:hAnsi="Times New Roman" w:cs="Times New Roman"/>
          <w:color w:val="000000"/>
        </w:rPr>
      </w:pPr>
    </w:p>
    <w:p w14:paraId="0F6FC7A9" w14:textId="77777777" w:rsidR="004709CA" w:rsidRPr="00FA4733"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441" w:name="co_pp_sp_804_624_1"/>
      <w:bookmarkEnd w:id="441"/>
      <w:r w:rsidRPr="750671CE">
        <w:rPr>
          <w:rFonts w:ascii="Times New Roman" w:eastAsia="Times New Roman" w:hAnsi="Times New Roman" w:cs="Times New Roman"/>
          <w:color w:val="000000"/>
        </w:rPr>
        <w:t>. . .</w:t>
      </w:r>
    </w:p>
    <w:p w14:paraId="4E4B5312" w14:textId="77777777" w:rsidR="004709CA" w:rsidRDefault="004709CA" w:rsidP="004709CA">
      <w:pPr>
        <w:widowControl w:val="0"/>
        <w:autoSpaceDE w:val="0"/>
        <w:autoSpaceDN w:val="0"/>
        <w:adjustRightInd w:val="0"/>
        <w:rPr>
          <w:rFonts w:ascii="Times New Roman" w:hAnsi="Times New Roman" w:cs="Times New Roman"/>
          <w:color w:val="000000"/>
        </w:rPr>
      </w:pPr>
    </w:p>
    <w:p w14:paraId="3ABEA79D" w14:textId="3FCC2EC7" w:rsidR="004709CA" w:rsidRPr="00FA4733"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If, on the other hand, we view the injury to be the reduction of Mr. Herskovits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chance of survival, our analysis might well be different. Dr. Ostrow testified that the failure to diagnose cancer in December 1974 probably caused a substantial reduction in Mr. Herskovits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chance of survival. </w:t>
      </w:r>
      <w:bookmarkStart w:id="442" w:name="co_pp_sp_661_482_1"/>
      <w:bookmarkEnd w:id="442"/>
      <w:r w:rsidRPr="750671CE">
        <w:rPr>
          <w:rFonts w:ascii="Times New Roman" w:eastAsia="Times New Roman" w:hAnsi="Times New Roman" w:cs="Times New Roman"/>
          <w:color w:val="000000"/>
        </w:rPr>
        <w:t>. . . </w:t>
      </w:r>
    </w:p>
    <w:p w14:paraId="3F311637" w14:textId="77777777" w:rsidR="004709CA" w:rsidRDefault="004709CA" w:rsidP="004709CA">
      <w:pPr>
        <w:widowControl w:val="0"/>
        <w:autoSpaceDE w:val="0"/>
        <w:autoSpaceDN w:val="0"/>
        <w:adjustRightInd w:val="0"/>
        <w:rPr>
          <w:rFonts w:ascii="Times New Roman" w:hAnsi="Times New Roman" w:cs="Times New Roman"/>
          <w:color w:val="000000"/>
        </w:rPr>
      </w:pPr>
    </w:p>
    <w:p w14:paraId="592E1033" w14:textId="2AAD201B"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One approach, and that urged by defendant, is to deny recovery in wrongful death cases unless the plaintiff establishes that decedent would probably have survived but for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negligence. This approach is typified </w:t>
      </w:r>
      <w:r w:rsidRPr="750671CE">
        <w:rPr>
          <w:rFonts w:ascii="Times New Roman" w:eastAsia="Times New Roman" w:hAnsi="Times New Roman" w:cs="Times New Roman"/>
          <w:color w:val="000000" w:themeColor="text1"/>
        </w:rPr>
        <w:t xml:space="preserve">by </w:t>
      </w:r>
      <w:r w:rsidRPr="750671CE">
        <w:rPr>
          <w:rFonts w:ascii="Times New Roman" w:eastAsia="Times New Roman" w:hAnsi="Times New Roman" w:cs="Times New Roman"/>
          <w:i/>
          <w:iCs/>
          <w:color w:val="000000" w:themeColor="text1"/>
        </w:rPr>
        <w:t>Cooper v. Sisters of Charity of Cincinnati, Inc.,</w:t>
      </w:r>
      <w:r w:rsidRPr="750671CE">
        <w:rPr>
          <w:rFonts w:ascii="Times New Roman" w:eastAsia="Times New Roman" w:hAnsi="Times New Roman" w:cs="Times New Roman"/>
          <w:color w:val="000000" w:themeColor="text1"/>
        </w:rPr>
        <w:t xml:space="preserve"> 272 N.E.2d 97 (Ohio 1971). The court in that case affirmed a directed verdict for defendant where the only evidence of causation was that decedent had a chance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maybe some place around 50%</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of survival had defendant not been negligent. </w:t>
      </w:r>
      <w:bookmarkStart w:id="443" w:name="co_pp_sp_804_625_1"/>
      <w:bookmarkStart w:id="444" w:name="co_pp_sp_804_626_1"/>
      <w:bookmarkStart w:id="445" w:name="co_pp_sp_661_483_1"/>
      <w:bookmarkStart w:id="446" w:name="co_pp_sp_804_627_1"/>
      <w:bookmarkStart w:id="447" w:name="co_pp_sp_804_628_1"/>
      <w:bookmarkStart w:id="448" w:name="co_pp_sp_661_484_1"/>
      <w:bookmarkStart w:id="449" w:name="co_pp_sp_804_629_1"/>
      <w:bookmarkStart w:id="450" w:name="co_pp_sp_804_630_1"/>
      <w:bookmarkStart w:id="451" w:name="co_pp_sp_661_485_1"/>
      <w:bookmarkStart w:id="452" w:name="co_pp_sp_804_631_1"/>
      <w:bookmarkStart w:id="453" w:name="co_pp_sp_804_632_1"/>
      <w:bookmarkStart w:id="454" w:name="co_pp_sp_661_486_1"/>
      <w:bookmarkEnd w:id="443"/>
      <w:bookmarkEnd w:id="444"/>
      <w:bookmarkEnd w:id="445"/>
      <w:bookmarkEnd w:id="446"/>
      <w:bookmarkEnd w:id="447"/>
      <w:bookmarkEnd w:id="448"/>
      <w:bookmarkEnd w:id="449"/>
      <w:bookmarkEnd w:id="450"/>
      <w:bookmarkEnd w:id="451"/>
      <w:bookmarkEnd w:id="452"/>
      <w:bookmarkEnd w:id="453"/>
      <w:bookmarkEnd w:id="454"/>
      <w:r w:rsidRPr="750671CE">
        <w:rPr>
          <w:rFonts w:ascii="Times New Roman" w:eastAsia="Times New Roman" w:hAnsi="Times New Roman" w:cs="Times New Roman"/>
          <w:color w:val="000000" w:themeColor="text1"/>
        </w:rPr>
        <w:t>. . .</w:t>
      </w:r>
    </w:p>
    <w:p w14:paraId="573054A9" w14:textId="77777777" w:rsidR="004709CA" w:rsidRPr="00CF5A3A" w:rsidRDefault="004709CA" w:rsidP="004709CA">
      <w:pPr>
        <w:widowControl w:val="0"/>
        <w:autoSpaceDE w:val="0"/>
        <w:autoSpaceDN w:val="0"/>
        <w:adjustRightInd w:val="0"/>
        <w:ind w:firstLine="720"/>
        <w:rPr>
          <w:rFonts w:ascii="Times New Roman" w:hAnsi="Times New Roman" w:cs="Times New Roman"/>
          <w:color w:val="000000" w:themeColor="text1"/>
        </w:rPr>
      </w:pPr>
    </w:p>
    <w:p w14:paraId="742CB2F4" w14:textId="77777777"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My review of these cases persuades me that the preferable approach to the problem before us is that [advanced by] the thoughtful discussion of a recent commentator. King, </w:t>
      </w:r>
      <w:r w:rsidRPr="750671CE">
        <w:rPr>
          <w:rFonts w:ascii="Times New Roman" w:eastAsia="Times New Roman" w:hAnsi="Times New Roman" w:cs="Times New Roman"/>
          <w:i/>
          <w:iCs/>
          <w:color w:val="000000" w:themeColor="text1"/>
        </w:rPr>
        <w:t>Causation, Valuation, and Chance in Personal Injury Torts Involving Preexisting Conditions and Future Consequences,</w:t>
      </w:r>
      <w:r w:rsidRPr="750671CE">
        <w:rPr>
          <w:rFonts w:ascii="Times New Roman" w:eastAsia="Times New Roman" w:hAnsi="Times New Roman" w:cs="Times New Roman"/>
          <w:color w:val="000000" w:themeColor="text1"/>
        </w:rPr>
        <w:t xml:space="preserve"> 90 Yale L.J. 1353 (1981).</w:t>
      </w:r>
    </w:p>
    <w:p w14:paraId="71DA397E" w14:textId="77777777" w:rsidR="004709CA" w:rsidRPr="00CF5A3A" w:rsidRDefault="004709CA" w:rsidP="004709CA">
      <w:pPr>
        <w:widowControl w:val="0"/>
        <w:autoSpaceDE w:val="0"/>
        <w:autoSpaceDN w:val="0"/>
        <w:adjustRightInd w:val="0"/>
        <w:ind w:firstLine="720"/>
        <w:rPr>
          <w:rFonts w:ascii="Times New Roman" w:hAnsi="Times New Roman" w:cs="Times New Roman"/>
          <w:color w:val="000000" w:themeColor="text1"/>
        </w:rPr>
      </w:pPr>
    </w:p>
    <w:p w14:paraId="5BDC848B" w14:textId="1034DC85"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King</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basic thesis is explained in the following passage, which is particularly pertinent to the case before us.</w:t>
      </w:r>
    </w:p>
    <w:p w14:paraId="35D5A662"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605CC7EE" w14:textId="2B066573" w:rsidR="004709CA" w:rsidRDefault="004709CA" w:rsidP="00F94B7E">
      <w:pPr>
        <w:pStyle w:val="blockquote"/>
        <w:rPr>
          <w:color w:val="000000" w:themeColor="text1"/>
        </w:rPr>
      </w:pPr>
      <w:r w:rsidRPr="750671CE">
        <w:t xml:space="preserve">Causation has for the most part been treated as an all-or-nothing proposition. Either a loss was caused by the defendant or it was </w:t>
      </w:r>
      <w:r w:rsidR="00246D50">
        <w:t>injury</w:t>
      </w:r>
      <w:r w:rsidR="00787BF5">
        <w:t>. . . .</w:t>
      </w:r>
      <w:r w:rsidRPr="750671CE">
        <w:t xml:space="preserve"> A plaintiff ordinarily should be required to prove by the applicable standard of proof that the defendant caused the loss in question. </w:t>
      </w:r>
      <w:bookmarkStart w:id="455" w:name="co_pp_sp_804_633_1"/>
      <w:bookmarkEnd w:id="455"/>
      <w:r w:rsidRPr="750671CE">
        <w:rPr>
          <w:i/>
          <w:iCs/>
        </w:rPr>
        <w:t>What</w:t>
      </w:r>
      <w:r w:rsidRPr="750671CE">
        <w:t xml:space="preserve"> caused a loss, however, should be a separate question from what the </w:t>
      </w:r>
      <w:r w:rsidRPr="750671CE">
        <w:rPr>
          <w:i/>
          <w:iCs/>
        </w:rPr>
        <w:t>nature and extent</w:t>
      </w:r>
      <w:r w:rsidRPr="750671CE">
        <w:t xml:space="preserve"> of the loss are. This distinction seems to have eluded the courts, with the result that lost chances in many respects are compensated either as certainties or not at all.</w:t>
      </w:r>
    </w:p>
    <w:p w14:paraId="626ED67E" w14:textId="77777777" w:rsidR="004709CA" w:rsidRPr="00FA4733" w:rsidRDefault="004709CA" w:rsidP="00F94B7E">
      <w:pPr>
        <w:pStyle w:val="blockquote"/>
      </w:pPr>
    </w:p>
    <w:p w14:paraId="5127823A" w14:textId="5E46FF68" w:rsidR="004709CA" w:rsidRDefault="750671CE" w:rsidP="00F94B7E">
      <w:pPr>
        <w:pStyle w:val="blockquote"/>
        <w:rPr>
          <w:color w:val="000000" w:themeColor="text1"/>
        </w:rPr>
      </w:pPr>
      <w:r w:rsidRPr="750671CE">
        <w:rPr>
          <w:color w:val="000000" w:themeColor="text1"/>
        </w:rPr>
        <w:t>To illustrate, consider the case in which a doctor negligently fails to diagnose a patient</w:t>
      </w:r>
      <w:r w:rsidR="00B05F31">
        <w:rPr>
          <w:color w:val="000000" w:themeColor="text1"/>
        </w:rPr>
        <w:t>’</w:t>
      </w:r>
      <w:r w:rsidRPr="750671CE">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Pr>
          <w:color w:val="000000" w:themeColor="text1"/>
        </w:rPr>
        <w:t>’</w:t>
      </w:r>
      <w:r w:rsidRPr="750671CE">
        <w:rPr>
          <w:color w:val="000000" w:themeColor="text1"/>
        </w:rPr>
        <w:t>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here could not prove by a preponderance of the evidence that he was denied a cure by the defendant</w:t>
      </w:r>
      <w:r w:rsidR="00B05F31">
        <w:rPr>
          <w:color w:val="000000" w:themeColor="text1"/>
        </w:rPr>
        <w:t>’</w:t>
      </w:r>
      <w:r w:rsidRPr="750671CE">
        <w:rPr>
          <w:color w:val="000000" w:themeColor="text1"/>
        </w:rPr>
        <w:t>s negligence, he could show by a preponderance that he was deprived of a 30% chance of a cure.</w:t>
      </w:r>
    </w:p>
    <w:p w14:paraId="73BBDED5" w14:textId="77777777" w:rsidR="004709CA" w:rsidRPr="00FA4733" w:rsidRDefault="004709CA" w:rsidP="004709CA">
      <w:pPr>
        <w:widowControl w:val="0"/>
        <w:autoSpaceDE w:val="0"/>
        <w:autoSpaceDN w:val="0"/>
        <w:adjustRightInd w:val="0"/>
        <w:ind w:left="720" w:right="720"/>
        <w:rPr>
          <w:rFonts w:ascii="Times New Roman" w:hAnsi="Times New Roman" w:cs="Times New Roman"/>
          <w:color w:val="000000"/>
        </w:rPr>
      </w:pPr>
    </w:p>
    <w:p w14:paraId="09608393" w14:textId="77777777" w:rsidR="004709CA"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90 </w:t>
      </w:r>
      <w:r w:rsidRPr="00F94B7E">
        <w:rPr>
          <w:rFonts w:ascii="Times New Roman" w:eastAsia="Times New Roman" w:hAnsi="Times New Roman" w:cs="Times New Roman"/>
          <w:smallCaps/>
          <w:color w:val="000000" w:themeColor="text1"/>
        </w:rPr>
        <w:t>Yale</w:t>
      </w:r>
      <w:r w:rsidRPr="750671CE">
        <w:rPr>
          <w:rFonts w:ascii="Times New Roman" w:eastAsia="Times New Roman" w:hAnsi="Times New Roman" w:cs="Times New Roman"/>
          <w:color w:val="000000" w:themeColor="text1"/>
        </w:rPr>
        <w:t xml:space="preserve"> L.J. at 1363–64.</w:t>
      </w:r>
    </w:p>
    <w:p w14:paraId="56A44AFC" w14:textId="77777777" w:rsidR="004709CA" w:rsidRPr="00CF5A3A" w:rsidRDefault="004709CA" w:rsidP="004709CA">
      <w:pPr>
        <w:widowControl w:val="0"/>
        <w:autoSpaceDE w:val="0"/>
        <w:autoSpaceDN w:val="0"/>
        <w:adjustRightInd w:val="0"/>
        <w:rPr>
          <w:rFonts w:ascii="Times New Roman" w:hAnsi="Times New Roman" w:cs="Times New Roman"/>
          <w:color w:val="000000" w:themeColor="text1"/>
        </w:rPr>
      </w:pPr>
    </w:p>
    <w:p w14:paraId="77DD824E" w14:textId="0B4E1A6C" w:rsidR="004709CA" w:rsidRPr="00FA4733"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Under the all or nothing approach, typified by </w:t>
      </w:r>
      <w:r w:rsidRPr="750671CE">
        <w:rPr>
          <w:rFonts w:ascii="Times New Roman" w:eastAsia="Times New Roman" w:hAnsi="Times New Roman" w:cs="Times New Roman"/>
          <w:i/>
          <w:iCs/>
          <w:color w:val="000000" w:themeColor="text1"/>
        </w:rPr>
        <w:t>Cooper v. Sisters of Charity</w:t>
      </w:r>
      <w:r w:rsidRPr="750671CE">
        <w:rPr>
          <w:rFonts w:ascii="Times New Roman" w:eastAsia="Times New Roman" w:hAnsi="Times New Roman" w:cs="Times New Roman"/>
          <w:color w:val="000000" w:themeColor="text1"/>
        </w:rPr>
        <w:t>, a plaintiff who establishes that but for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negligence the decedent had a 49 percent chance of survival recovers nothing.</w:t>
      </w:r>
    </w:p>
    <w:p w14:paraId="07DCE599" w14:textId="77777777" w:rsidR="004709CA" w:rsidRPr="00FA47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4060CA6A" w14:textId="2F6EC3D8" w:rsidR="004709CA"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456" w:name="co_pp_sp_804_634_1"/>
      <w:bookmarkStart w:id="457" w:name="co_pp_sp_661_487_1"/>
      <w:bookmarkEnd w:id="456"/>
      <w:bookmarkEnd w:id="457"/>
      <w:r w:rsidRPr="750671CE">
        <w:rPr>
          <w:rFonts w:ascii="Times New Roman" w:eastAsia="Times New Roman" w:hAnsi="Times New Roman" w:cs="Times New Roman"/>
          <w:color w:val="000000"/>
        </w:rPr>
        <w:t>. . .</w:t>
      </w:r>
    </w:p>
    <w:p w14:paraId="5C42285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1115CCD" w14:textId="3076DC1B"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chance of survival.</w:t>
      </w:r>
    </w:p>
    <w:p w14:paraId="42221936"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312E0675" w14:textId="3225D6FA" w:rsidR="004709CA"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458" w:name="co_pp_sp_804_635_1"/>
      <w:bookmarkStart w:id="459" w:name="co_footnoteReference_B00111983125420_ID0"/>
      <w:bookmarkEnd w:id="458"/>
      <w:bookmarkEnd w:id="459"/>
      <w:r w:rsidRPr="750671CE">
        <w:rPr>
          <w:rFonts w:ascii="Times New Roman" w:eastAsia="Times New Roman" w:hAnsi="Times New Roman" w:cs="Times New Roman"/>
          <w:color w:val="000000"/>
        </w:rPr>
        <w:t>. . .</w:t>
      </w:r>
    </w:p>
    <w:p w14:paraId="4DBA882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806FFBE" w14:textId="621FD4D5"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Finally, it is necessary to consider the amount of damages recoverable in the event that a loss of a chance of recovery is established. Once again, King</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discussion provides a useful illustration of the principles which should be applied.</w:t>
      </w:r>
    </w:p>
    <w:p w14:paraId="0F8DC3E3" w14:textId="77777777" w:rsidR="004709CA" w:rsidRPr="00FA4733" w:rsidRDefault="004709CA" w:rsidP="004709CA">
      <w:pPr>
        <w:widowControl w:val="0"/>
        <w:autoSpaceDE w:val="0"/>
        <w:autoSpaceDN w:val="0"/>
        <w:adjustRightInd w:val="0"/>
        <w:ind w:firstLine="720"/>
        <w:rPr>
          <w:rFonts w:ascii="Times New Roman" w:hAnsi="Times New Roman" w:cs="Times New Roman"/>
          <w:color w:val="000000"/>
        </w:rPr>
      </w:pPr>
    </w:p>
    <w:p w14:paraId="4CA0A738" w14:textId="34A416A2" w:rsidR="004709CA" w:rsidRPr="001A01A4" w:rsidRDefault="750671CE" w:rsidP="00F94B7E">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To illustrate, consider a patient who suffers a heart attack and dies as a result. Assume that the defendant-physician negligently misdiagnosed the patient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condition, but that the patient would have had only a 40% chance of survival even with a timely diagnosis and proper care. Regardless of whether it could be said that the defendant caused the decedent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death, he caused the loss of a chance, and that chance-interest should be completely redressed in its own right. Under the proposed rule, the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compensation for the loss of the victim</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chance of surviving the heart attack would be 40% of the compensable value of the victim</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life had he survived (including what his earning capacity would otherwise have been in the years following death). The value placed on the </w:t>
      </w:r>
      <w:r w:rsidRPr="001A01A4">
        <w:rPr>
          <w:rFonts w:ascii="Times New Roman" w:eastAsia="Times New Roman" w:hAnsi="Times New Roman" w:cs="Times New Roman"/>
          <w:color w:val="000000" w:themeColor="text1"/>
        </w:rPr>
        <w:t>patient</w:t>
      </w:r>
      <w:r w:rsidR="00B05F31" w:rsidRPr="001A01A4">
        <w:rPr>
          <w:rFonts w:ascii="Times New Roman" w:eastAsia="Times New Roman" w:hAnsi="Times New Roman" w:cs="Times New Roman"/>
          <w:color w:val="000000" w:themeColor="text1"/>
        </w:rPr>
        <w:t>’</w:t>
      </w:r>
      <w:r w:rsidRPr="00D93476">
        <w:rPr>
          <w:rFonts w:ascii="Times New Roman" w:eastAsia="Times New Roman" w:hAnsi="Times New Roman" w:cs="Times New Roman"/>
          <w:color w:val="000000" w:themeColor="text1"/>
        </w:rPr>
        <w:t>s life would reflect such factors as his age, health, and earning potential, in</w:t>
      </w:r>
      <w:r w:rsidRPr="001A01A4">
        <w:rPr>
          <w:rFonts w:ascii="Times New Roman" w:eastAsia="Times New Roman" w:hAnsi="Times New Roman" w:cs="Times New Roman"/>
          <w:color w:val="000000" w:themeColor="text1"/>
        </w:rPr>
        <w:t>cluding the fact that he had suffered the heart attack and the assumption that he had survived it. The 40% computation would be applied to that base figure.</w:t>
      </w:r>
    </w:p>
    <w:p w14:paraId="4A3BDB52" w14:textId="77777777" w:rsidR="004709CA" w:rsidRPr="001A01A4" w:rsidRDefault="004709CA" w:rsidP="004709CA">
      <w:pPr>
        <w:widowControl w:val="0"/>
        <w:autoSpaceDE w:val="0"/>
        <w:autoSpaceDN w:val="0"/>
        <w:adjustRightInd w:val="0"/>
        <w:ind w:left="720" w:right="720"/>
        <w:rPr>
          <w:rFonts w:ascii="Times New Roman" w:hAnsi="Times New Roman" w:cs="Times New Roman"/>
          <w:color w:val="000000"/>
        </w:rPr>
      </w:pPr>
    </w:p>
    <w:p w14:paraId="7559B9AB" w14:textId="77777777" w:rsidR="004709CA" w:rsidRPr="001A01A4" w:rsidRDefault="004709CA" w:rsidP="750671CE">
      <w:pPr>
        <w:widowControl w:val="0"/>
        <w:autoSpaceDE w:val="0"/>
        <w:autoSpaceDN w:val="0"/>
        <w:adjustRightInd w:val="0"/>
        <w:rPr>
          <w:rFonts w:ascii="Times New Roman" w:eastAsia="Times New Roman" w:hAnsi="Times New Roman" w:cs="Times New Roman"/>
          <w:color w:val="000000" w:themeColor="text1"/>
        </w:rPr>
      </w:pPr>
      <w:r w:rsidRPr="001A01A4">
        <w:rPr>
          <w:rFonts w:ascii="Times New Roman" w:eastAsia="Times New Roman" w:hAnsi="Times New Roman" w:cs="Times New Roman"/>
          <w:color w:val="000000"/>
        </w:rPr>
        <w:t xml:space="preserve">(Footnote omitted.) </w:t>
      </w:r>
      <w:r w:rsidRPr="00F94B7E">
        <w:rPr>
          <w:rFonts w:ascii="Times New Roman" w:eastAsia="Times New Roman" w:hAnsi="Times New Roman" w:cs="Times New Roman"/>
          <w:smallCaps/>
          <w:color w:val="000000"/>
        </w:rPr>
        <w:t>90 Yale</w:t>
      </w:r>
      <w:r w:rsidRPr="001A01A4">
        <w:rPr>
          <w:rFonts w:ascii="Times New Roman" w:eastAsia="Times New Roman" w:hAnsi="Times New Roman" w:cs="Times New Roman"/>
          <w:color w:val="000000"/>
        </w:rPr>
        <w:t xml:space="preserve"> L.J. at 1382.</w:t>
      </w:r>
      <w:bookmarkStart w:id="460" w:name="co_footnoteReference_B00221983125420_ID0"/>
      <w:bookmarkEnd w:id="460"/>
      <w:r w:rsidRPr="001A01A4">
        <w:rPr>
          <w:rFonts w:ascii="Times New Roman" w:eastAsia="Times New Roman" w:hAnsi="Times New Roman" w:cs="Times New Roman"/>
          <w:color w:val="000000"/>
        </w:rPr>
        <w:t xml:space="preserve"> </w:t>
      </w:r>
      <w:bookmarkStart w:id="461" w:name="co_pp_sp_804_636_1"/>
      <w:bookmarkEnd w:id="461"/>
      <w:r w:rsidRPr="001A01A4">
        <w:rPr>
          <w:rFonts w:ascii="Times New Roman" w:eastAsia="Times New Roman" w:hAnsi="Times New Roman" w:cs="Times New Roman"/>
          <w:color w:val="000000"/>
        </w:rPr>
        <w:t>I would remand to the trial court for proceedings consistent with this opinion.</w:t>
      </w:r>
    </w:p>
    <w:p w14:paraId="0E34D002" w14:textId="77777777" w:rsidR="004709CA" w:rsidRPr="00F94B7E" w:rsidRDefault="004709CA" w:rsidP="004709CA">
      <w:pPr>
        <w:widowControl w:val="0"/>
        <w:autoSpaceDE w:val="0"/>
        <w:autoSpaceDN w:val="0"/>
        <w:adjustRightInd w:val="0"/>
        <w:rPr>
          <w:rStyle w:val="ssleftalign"/>
          <w:rFonts w:ascii="Times New Roman" w:hAnsi="Times New Roman" w:cs="Times New Roman"/>
          <w:color w:val="000000"/>
        </w:rPr>
      </w:pPr>
    </w:p>
    <w:p w14:paraId="1B1C8C02" w14:textId="578C0C1D" w:rsidR="004709CA" w:rsidRPr="00D93476" w:rsidRDefault="004709CA" w:rsidP="002502CC">
      <w:pPr>
        <w:pStyle w:val="Heading4"/>
        <w:rPr>
          <w:rStyle w:val="ssleftalign"/>
          <w:rFonts w:asciiTheme="minorHAnsi" w:eastAsiaTheme="minorEastAsia" w:hAnsiTheme="minorHAnsi" w:cstheme="minorBidi"/>
          <w:b w:val="0"/>
          <w:bCs w:val="0"/>
          <w:i w:val="0"/>
          <w:szCs w:val="24"/>
          <w:lang w:eastAsia="ja-JP"/>
        </w:rPr>
      </w:pPr>
      <w:bookmarkStart w:id="462" w:name="_Toc364636169"/>
      <w:bookmarkStart w:id="463" w:name="_Toc518323393"/>
      <w:r w:rsidRPr="001A01A4">
        <w:rPr>
          <w:rStyle w:val="ssleftalign"/>
        </w:rPr>
        <w:t>Notes</w:t>
      </w:r>
      <w:bookmarkEnd w:id="462"/>
      <w:bookmarkEnd w:id="463"/>
    </w:p>
    <w:p w14:paraId="3133F3CE" w14:textId="77777777" w:rsidR="004709CA" w:rsidRDefault="004709CA" w:rsidP="004709CA">
      <w:pPr>
        <w:rPr>
          <w:rStyle w:val="ssleftalign"/>
          <w:rFonts w:ascii="Times New Roman" w:eastAsia="Times New Roman" w:hAnsi="Times New Roman" w:cs="Times New Roman"/>
          <w:b/>
          <w:i/>
        </w:rPr>
      </w:pPr>
    </w:p>
    <w:p w14:paraId="7934F2A2" w14:textId="77777777" w:rsidR="00330E2F" w:rsidRPr="00F94B7E" w:rsidRDefault="00330E2F" w:rsidP="004709CA">
      <w:pPr>
        <w:rPr>
          <w:rStyle w:val="ssleftalign"/>
          <w:rFonts w:ascii="Times New Roman" w:eastAsia="Times New Roman" w:hAnsi="Times New Roman" w:cs="Times New Roman"/>
          <w:b/>
          <w:i/>
        </w:rPr>
      </w:pPr>
    </w:p>
    <w:p w14:paraId="311CFFD3" w14:textId="6DC3FAA0" w:rsidR="004709CA" w:rsidRPr="00787BF5" w:rsidRDefault="750671CE" w:rsidP="00F94B7E">
      <w:pPr>
        <w:pStyle w:val="ListParagraph"/>
        <w:numPr>
          <w:ilvl w:val="0"/>
          <w:numId w:val="104"/>
        </w:numPr>
        <w:ind w:left="0" w:firstLine="360"/>
        <w:rPr>
          <w:rStyle w:val="ssleftalign"/>
          <w:rFonts w:ascii="Times New Roman" w:eastAsia="Times New Roman" w:hAnsi="Times New Roman" w:cs="Times New Roman"/>
        </w:rPr>
      </w:pPr>
      <w:r w:rsidRPr="00787BF5">
        <w:rPr>
          <w:rStyle w:val="ssleftalign"/>
          <w:rFonts w:ascii="Times New Roman" w:eastAsia="Times New Roman" w:hAnsi="Times New Roman" w:cs="Times New Roman"/>
          <w:i/>
          <w:iCs/>
        </w:rPr>
        <w:t>The end of preponderance of the evidence?</w:t>
      </w:r>
      <w:r w:rsidRPr="00787BF5">
        <w:rPr>
          <w:rStyle w:val="ssleftalign"/>
          <w:rFonts w:ascii="Times New Roman" w:eastAsia="Times New Roman" w:hAnsi="Times New Roman" w:cs="Times New Roman"/>
        </w:rPr>
        <w:t xml:space="preserve">  The majority and the concurrence disagree deeply on how to proceed in the face of the so-called </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lost chance</w:t>
      </w:r>
      <w:r w:rsidR="00B05F31" w:rsidRPr="00787BF5">
        <w:rPr>
          <w:rStyle w:val="ssleftalign"/>
          <w:rFonts w:ascii="Times New Roman" w:eastAsia="Times New Roman" w:hAnsi="Times New Roman" w:cs="Times New Roman"/>
        </w:rPr>
        <w:t>”</w:t>
      </w:r>
      <w:r w:rsidRPr="00787BF5">
        <w:rPr>
          <w:rStyle w:val="ssleftalign"/>
          <w:rFonts w:ascii="Times New Roman" w:eastAsia="Times New Roman" w:hAnsi="Times New Roman" w:cs="Times New Roman"/>
        </w:rPr>
        <w:t xml:space="preserve"> problem.  Does the </w:t>
      </w:r>
      <w:r w:rsidRPr="00787BF5">
        <w:rPr>
          <w:rStyle w:val="ssleftalign"/>
          <w:rFonts w:ascii="Times New Roman" w:eastAsia="Times New Roman" w:hAnsi="Times New Roman" w:cs="Times New Roman"/>
          <w:i/>
          <w:iCs/>
        </w:rPr>
        <w:t>Herskovits</w:t>
      </w:r>
      <w:r w:rsidRPr="00787BF5">
        <w:rPr>
          <w:rStyle w:val="ssleftalign"/>
          <w:rFonts w:ascii="Times New Roman" w:eastAsia="Times New Roman" w:hAnsi="Times New Roman" w:cs="Times New Roman"/>
        </w:rPr>
        <w:t xml:space="preserve"> majority opinion give up the preponderance of the evidence standard in order to provide a remedy for plaintiffs with low probabilities of survival? </w:t>
      </w:r>
    </w:p>
    <w:p w14:paraId="408F2143" w14:textId="77777777" w:rsidR="004709CA" w:rsidRPr="001A01A4" w:rsidRDefault="004709CA" w:rsidP="004709CA">
      <w:pPr>
        <w:rPr>
          <w:rFonts w:ascii="Times New Roman" w:eastAsia="Times New Roman" w:hAnsi="Times New Roman" w:cs="Times New Roman"/>
        </w:rPr>
      </w:pPr>
    </w:p>
    <w:p w14:paraId="4DFBD87D" w14:textId="77777777" w:rsidR="004709CA" w:rsidRPr="001A01A4" w:rsidRDefault="004709CA" w:rsidP="004709CA">
      <w:pPr>
        <w:rPr>
          <w:rFonts w:ascii="Times New Roman" w:eastAsia="Times New Roman" w:hAnsi="Times New Roman" w:cs="Times New Roman"/>
        </w:rPr>
      </w:pPr>
    </w:p>
    <w:p w14:paraId="51AD0262" w14:textId="58FBA580" w:rsidR="004709CA" w:rsidRPr="00F94B7E" w:rsidRDefault="750671CE" w:rsidP="00F94B7E">
      <w:pPr>
        <w:pStyle w:val="ListParagraph"/>
        <w:numPr>
          <w:ilvl w:val="0"/>
          <w:numId w:val="104"/>
        </w:numPr>
        <w:ind w:left="0" w:firstLine="360"/>
        <w:rPr>
          <w:rFonts w:ascii="Times New Roman" w:hAnsi="Times New Roman" w:cs="Times New Roman"/>
        </w:rPr>
      </w:pPr>
      <w:r w:rsidRPr="00F94B7E">
        <w:rPr>
          <w:rFonts w:ascii="Times New Roman" w:eastAsia="Times New Roman" w:hAnsi="Times New Roman" w:cs="Times New Roman"/>
          <w:i/>
          <w:iCs/>
        </w:rPr>
        <w:t xml:space="preserve">Lost chance confusion.  </w:t>
      </w:r>
      <w:r w:rsidRPr="00F94B7E">
        <w:rPr>
          <w:rFonts w:ascii="Times New Roman" w:eastAsia="Times New Roman" w:hAnsi="Times New Roman" w:cs="Times New Roman"/>
        </w:rPr>
        <w:t>On the other hand, what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death was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negligent nondiagnosis (14/75 = 19).  Which of these three approaches is the right way to express the chance that has been lost by the plaintiff?  The court in </w:t>
      </w:r>
      <w:r w:rsidRPr="00F94B7E">
        <w:rPr>
          <w:rFonts w:ascii="Times New Roman" w:eastAsia="Times New Roman" w:hAnsi="Times New Roman" w:cs="Times New Roman"/>
          <w:i/>
          <w:iCs/>
        </w:rPr>
        <w:t xml:space="preserve">Herskovits </w:t>
      </w:r>
      <w:r w:rsidRPr="00F94B7E">
        <w:rPr>
          <w:rFonts w:ascii="Times New Roman" w:eastAsia="Times New Roman" w:hAnsi="Times New Roman" w:cs="Times New Roman"/>
        </w:rPr>
        <w:t xml:space="preserve">barely grasped the difference between them, but it matters which approach we </w:t>
      </w:r>
      <w:r w:rsidRPr="00F94B7E">
        <w:rPr>
          <w:rFonts w:ascii="Times New Roman" w:hAnsi="Times New Roman" w:cs="Times New Roman"/>
        </w:rPr>
        <w:t xml:space="preserve">choose. </w:t>
      </w:r>
    </w:p>
    <w:p w14:paraId="754154AC" w14:textId="77777777" w:rsidR="004709CA" w:rsidRPr="001A01A4" w:rsidRDefault="004709CA" w:rsidP="004709CA">
      <w:pPr>
        <w:rPr>
          <w:rFonts w:ascii="Times New Roman" w:eastAsia="Times New Roman" w:hAnsi="Times New Roman" w:cs="Times New Roman"/>
        </w:rPr>
      </w:pPr>
    </w:p>
    <w:p w14:paraId="665A39FA" w14:textId="77777777" w:rsidR="004709CA" w:rsidRPr="001A01A4" w:rsidRDefault="004709CA" w:rsidP="004709CA">
      <w:pPr>
        <w:rPr>
          <w:rFonts w:ascii="Times New Roman" w:eastAsia="Times New Roman" w:hAnsi="Times New Roman" w:cs="Times New Roman"/>
        </w:rPr>
      </w:pPr>
    </w:p>
    <w:p w14:paraId="2E6F1073" w14:textId="7A26DB32" w:rsidR="004709CA" w:rsidRPr="00F94B7E" w:rsidRDefault="750671CE" w:rsidP="00F94B7E">
      <w:pPr>
        <w:pStyle w:val="ListParagraph"/>
        <w:numPr>
          <w:ilvl w:val="0"/>
          <w:numId w:val="104"/>
        </w:numPr>
        <w:ind w:left="0" w:firstLine="360"/>
        <w:rPr>
          <w:rFonts w:ascii="Times New Roman" w:hAnsi="Times New Roman" w:cs="Times New Roman"/>
        </w:rPr>
      </w:pPr>
      <w:r w:rsidRPr="00F94B7E">
        <w:rPr>
          <w:rFonts w:ascii="Times New Roman" w:hAnsi="Times New Roman" w:cs="Times New Roman"/>
          <w:i/>
          <w:iCs/>
        </w:rPr>
        <w:t xml:space="preserve">The probabilistic approach.  </w:t>
      </w:r>
      <w:r w:rsidRPr="00F94B7E">
        <w:rPr>
          <w:rFonts w:ascii="Times New Roman" w:hAnsi="Times New Roman" w:cs="Times New Roman"/>
        </w:rPr>
        <w:t>What exactly are courts doing when they apply the lost chance doctrine? The probabilistic view holds that the lost chance doctrine is a kind of statistical technique for overcoming the limits on our capacity to know the key causation question: whether the plaintiff</w:t>
      </w:r>
      <w:r w:rsidR="00B05F31" w:rsidRPr="00F94B7E">
        <w:rPr>
          <w:rFonts w:ascii="Times New Roman" w:hAnsi="Times New Roman" w:cs="Times New Roman"/>
        </w:rPr>
        <w:t>’</w:t>
      </w:r>
      <w:r w:rsidRPr="00F94B7E">
        <w:rPr>
          <w:rFonts w:ascii="Times New Roman" w:hAnsi="Times New Roman" w:cs="Times New Roman"/>
        </w:rPr>
        <w:t>s death would not have happened but for the defendant</w:t>
      </w:r>
      <w:r w:rsidR="00B05F31" w:rsidRPr="00F94B7E">
        <w:rPr>
          <w:rFonts w:ascii="Times New Roman" w:hAnsi="Times New Roman" w:cs="Times New Roman"/>
        </w:rPr>
        <w:t>’</w:t>
      </w:r>
      <w:r w:rsidRPr="00F94B7E">
        <w:rPr>
          <w:rFonts w:ascii="Times New Roman" w:hAnsi="Times New Roman" w:cs="Times New Roman"/>
        </w:rPr>
        <w:t xml:space="preserve">s negligent act. When individualized causal reasoning fails, this view holds, the lost chance doctrine provides an actuarial alternative that preserves some of the public policy goals of tort law. In particular, under this approach, the lost chance doctrine seems to satisfy the deterrence goal by pushing back onto negligent defendant doctors (in the aggregate) precisely the amount of social harm they caused in the world. 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1A01A4" w:rsidRDefault="004709CA" w:rsidP="004709CA">
      <w:pPr>
        <w:rPr>
          <w:rFonts w:ascii="Times New Roman" w:hAnsi="Times New Roman" w:cs="Times New Roman"/>
        </w:rPr>
      </w:pPr>
    </w:p>
    <w:p w14:paraId="4FE053D2" w14:textId="1AE054B5" w:rsidR="004709CA" w:rsidRDefault="750671CE" w:rsidP="001A01A4">
      <w:pPr>
        <w:ind w:firstLine="720"/>
        <w:rPr>
          <w:rFonts w:ascii="Times New Roman" w:eastAsia="Times New Roman" w:hAnsi="Times New Roman" w:cs="Times New Roman"/>
        </w:rPr>
      </w:pPr>
      <w:r w:rsidRPr="001A01A4">
        <w:rPr>
          <w:rFonts w:ascii="Times New Roman" w:eastAsia="Times New Roman" w:hAnsi="Times New Roman" w:cs="Times New Roman"/>
        </w:rPr>
        <w:t>The Massachusetts Supreme Judicial Court (SJC) recently adopted a different view of what the lost chance doctrine means. According to the SJC, the lost chance doctrine is not an alteration of the traditional proof of causation. Instead</w:t>
      </w:r>
      <w:r w:rsidRPr="750671CE">
        <w:rPr>
          <w:rFonts w:ascii="Times New Roman" w:eastAsia="Times New Roman" w:hAnsi="Times New Roman" w:cs="Times New Roman"/>
        </w:rPr>
        <w:t>, it is a doctrine that recognizes a new tort-law-protected entitlement: a right in the chance of survival. The Court explained its view as follows:</w:t>
      </w:r>
    </w:p>
    <w:p w14:paraId="6BFC7D2C" w14:textId="2B1E5522" w:rsidR="004709CA" w:rsidRPr="00587B63" w:rsidRDefault="004709CA" w:rsidP="001A01A4">
      <w:pPr>
        <w:ind w:firstLine="720"/>
        <w:rPr>
          <w:rFonts w:ascii="Times New Roman" w:hAnsi="Times New Roman" w:cs="Times New Roman"/>
        </w:rPr>
      </w:pPr>
    </w:p>
    <w:p w14:paraId="505AF1AD" w14:textId="153DCC14" w:rsidR="004709CA" w:rsidRDefault="00B05F31" w:rsidP="00F94B7E">
      <w:pPr>
        <w:pStyle w:val="blockquote"/>
      </w:pPr>
      <w:r>
        <w:t>“</w:t>
      </w:r>
      <w:r w:rsidR="750671CE" w:rsidRPr="750671CE">
        <w:t>[I]njury</w:t>
      </w:r>
      <w:r>
        <w:t>”</w:t>
      </w:r>
      <w:r w:rsidR="750671CE" w:rsidRPr="750671CE">
        <w:t xml:space="preserve"> need not mean a patient</w:t>
      </w:r>
      <w:r>
        <w:t>’</w:t>
      </w:r>
      <w:r w:rsidR="750671CE" w:rsidRPr="750671CE">
        <w:t>s death. Although there are few certainties in medicine or in life, progress in medical science now makes it possible, at least with regard to certain medical conditions, to estimate a patient</w:t>
      </w:r>
      <w:r>
        <w:t>’</w:t>
      </w:r>
      <w:r w:rsidR="750671CE" w:rsidRPr="750671CE">
        <w:t>s probability of survival to a reasonable degree of medical certainty. That probability of survival is part of the patient</w:t>
      </w:r>
      <w:r>
        <w:t>’</w:t>
      </w:r>
      <w:r w:rsidR="750671CE" w:rsidRPr="750671CE">
        <w:t>s condition. When a physician</w:t>
      </w:r>
      <w:r>
        <w:t>’</w:t>
      </w:r>
      <w:r w:rsidR="750671CE" w:rsidRPr="750671CE">
        <w:t>s negligence diminishes or destroys a patient</w:t>
      </w:r>
      <w:r>
        <w:t>’</w:t>
      </w:r>
      <w:r w:rsidR="750671CE" w:rsidRPr="750671CE">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587B63" w:rsidRDefault="004709CA" w:rsidP="004709CA">
      <w:pPr>
        <w:tabs>
          <w:tab w:val="left" w:pos="8280"/>
        </w:tabs>
        <w:ind w:left="1440" w:right="1440"/>
        <w:jc w:val="both"/>
        <w:rPr>
          <w:rFonts w:ascii="Times New Roman" w:hAnsi="Times New Roman" w:cs="Times New Roman"/>
        </w:rPr>
      </w:pPr>
    </w:p>
    <w:p w14:paraId="45094C32" w14:textId="66653A96"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Matsuyama v. Birnbaum</w:t>
      </w:r>
      <w:r w:rsidRPr="750671CE">
        <w:rPr>
          <w:rFonts w:ascii="Times New Roman" w:eastAsia="Times New Roman" w:hAnsi="Times New Roman" w:cs="Times New Roman"/>
        </w:rPr>
        <w:t>, 452 Mass. 1, 16 (2008)</w:t>
      </w:r>
      <w:r w:rsidRPr="750671CE">
        <w:rPr>
          <w:rFonts w:ascii="Times New Roman" w:eastAsia="Times New Roman" w:hAnsi="Times New Roman" w:cs="Times New Roman"/>
          <w:i/>
          <w:iCs/>
        </w:rPr>
        <w:t>.</w:t>
      </w:r>
      <w:r w:rsidRPr="750671CE">
        <w:rPr>
          <w:rFonts w:ascii="Times New Roman" w:eastAsia="Times New Roman" w:hAnsi="Times New Roman" w:cs="Times New Roman"/>
        </w:rPr>
        <w:t xml:space="preserve">  Among other things, the Court added, this conception of the lost chance doctrine is more </w:t>
      </w:r>
      <w:r w:rsidR="00B05F31">
        <w:rPr>
          <w:rFonts w:ascii="Times New Roman" w:eastAsia="Times New Roman" w:hAnsi="Times New Roman" w:cs="Times New Roman"/>
        </w:rPr>
        <w:t>“</w:t>
      </w:r>
      <w:r w:rsidRPr="750671CE">
        <w:rPr>
          <w:rFonts w:ascii="Times New Roman" w:eastAsia="Times New Roman" w:hAnsi="Times New Roman" w:cs="Times New Roman"/>
        </w:rPr>
        <w:t>consistent with our law of causation, which requires that plaintiffs establish causation by a preponderance of the evidence.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10BCE791" w14:textId="77777777" w:rsidR="004709CA" w:rsidRPr="00587B63" w:rsidRDefault="004709CA" w:rsidP="004709CA">
      <w:pPr>
        <w:rPr>
          <w:rFonts w:ascii="Times New Roman" w:hAnsi="Times New Roman" w:cs="Times New Roman"/>
        </w:rPr>
      </w:pPr>
    </w:p>
    <w:p w14:paraId="3A0C7181" w14:textId="5B6C6ECE"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Accordingly, the Court upheld the damages awarded at the trial court, where the jury determined damages to have been $875,000, but then discounted the damages by 37.5% on the basis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37.5% chance of survival at the time of the negligent treatment.  Does the lost-chance approach have a place outside medical malpractice? </w:t>
      </w:r>
    </w:p>
    <w:p w14:paraId="0A6B34D0" w14:textId="77777777" w:rsidR="004709CA" w:rsidRDefault="004709CA" w:rsidP="004709CA">
      <w:pPr>
        <w:ind w:firstLine="720"/>
        <w:rPr>
          <w:rFonts w:ascii="Times New Roman" w:hAnsi="Times New Roman" w:cs="Times New Roman"/>
        </w:rPr>
      </w:pPr>
    </w:p>
    <w:p w14:paraId="4DD5C5F6" w14:textId="76722359" w:rsidR="004709CA" w:rsidRPr="00D94EBF"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Many states have chosen to follow the approach of </w:t>
      </w:r>
      <w:r w:rsidRPr="750671CE">
        <w:rPr>
          <w:rFonts w:ascii="Times New Roman" w:eastAsia="Times New Roman" w:hAnsi="Times New Roman" w:cs="Times New Roman"/>
          <w:i/>
          <w:iCs/>
        </w:rPr>
        <w:t>Herskovits</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Matsuyama</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w:t>
      </w:r>
      <w:r w:rsidRPr="750671CE">
        <w:rPr>
          <w:i/>
          <w:iCs/>
        </w:rPr>
        <w:t xml:space="preserve"> </w:t>
      </w:r>
      <w:r w:rsidRPr="750671CE">
        <w:rPr>
          <w:rFonts w:ascii="Times New Roman" w:eastAsia="Times New Roman" w:hAnsi="Times New Roman" w:cs="Times New Roman"/>
          <w:i/>
          <w:iCs/>
        </w:rPr>
        <w:t>Aasheim v. Humberger</w:t>
      </w:r>
      <w:r w:rsidRPr="750671CE">
        <w:rPr>
          <w:rFonts w:ascii="Times New Roman" w:eastAsia="Times New Roman" w:hAnsi="Times New Roman" w:cs="Times New Roman"/>
        </w:rPr>
        <w:t xml:space="preserve">, 695 P.2d 824 (Mont. 1985); </w:t>
      </w:r>
      <w:r w:rsidRPr="750671CE">
        <w:rPr>
          <w:rFonts w:ascii="Times New Roman" w:eastAsia="Times New Roman" w:hAnsi="Times New Roman" w:cs="Times New Roman"/>
          <w:i/>
          <w:iCs/>
        </w:rPr>
        <w:t>Perez v. Las Vegas Medical Ctr.</w:t>
      </w:r>
      <w:r w:rsidRPr="750671CE">
        <w:rPr>
          <w:rFonts w:ascii="Times New Roman" w:eastAsia="Times New Roman" w:hAnsi="Times New Roman" w:cs="Times New Roman"/>
        </w:rPr>
        <w:t xml:space="preserve">, 805 P.2d 589 (Nev. 1991). Some states have rejected it entirely, finding it basically incompatible with tort theory. </w:t>
      </w:r>
      <w:r w:rsidRPr="750671CE">
        <w:rPr>
          <w:rFonts w:ascii="Times New Roman" w:eastAsia="Times New Roman" w:hAnsi="Times New Roman" w:cs="Times New Roman"/>
          <w:i/>
          <w:iCs/>
        </w:rPr>
        <w:t>Kramer v. Lewisville Memorial Hosp.</w:t>
      </w:r>
      <w:r w:rsidRPr="750671CE">
        <w:rPr>
          <w:rFonts w:ascii="Times New Roman" w:eastAsia="Times New Roman" w:hAnsi="Times New Roman" w:cs="Times New Roman"/>
        </w:rPr>
        <w:t>, 858 S.W.2d 397, 405 (Tex. 1993) (</w:t>
      </w:r>
      <w:r w:rsidR="00B05F31">
        <w:rPr>
          <w:rFonts w:ascii="Times New Roman" w:eastAsia="Times New Roman" w:hAnsi="Times New Roman" w:cs="Times New Roman"/>
        </w:rPr>
        <w:t>“</w:t>
      </w:r>
      <w:r w:rsidRPr="750671CE">
        <w:rPr>
          <w:rFonts w:ascii="Times New Roman" w:eastAsia="Times New Roman" w:hAnsi="Times New Roman" w:cs="Times New Roman"/>
        </w:rPr>
        <w:t>The true harm remains Ms. Kramer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ultimate death. Unless courts are going to compensate patients who </w:t>
      </w:r>
      <w:r w:rsidR="00B05F31">
        <w:rPr>
          <w:rFonts w:ascii="Times New Roman" w:eastAsia="Times New Roman" w:hAnsi="Times New Roman" w:cs="Times New Roman"/>
        </w:rPr>
        <w:t>“</w:t>
      </w:r>
      <w:r w:rsidRPr="750671CE">
        <w:rPr>
          <w:rFonts w:ascii="Times New Roman" w:eastAsia="Times New Roman" w:hAnsi="Times New Roman" w:cs="Times New Roman"/>
        </w:rPr>
        <w:t>beat the odds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make full recovery, the lost chance cannot be proven unless and until the ultimate harm occurs.</w:t>
      </w:r>
      <w:r w:rsidR="00B05F31">
        <w:rPr>
          <w:rFonts w:ascii="Times New Roman" w:eastAsia="Times New Roman" w:hAnsi="Times New Roman" w:cs="Times New Roman"/>
        </w:rPr>
        <w:t>”</w:t>
      </w:r>
      <w:r w:rsidRPr="750671CE">
        <w:rPr>
          <w:rFonts w:ascii="Times New Roman" w:eastAsia="Times New Roman" w:hAnsi="Times New Roman" w:cs="Times New Roman"/>
        </w:rPr>
        <w:t>)</w:t>
      </w:r>
      <w:r w:rsidR="00246D50">
        <w:rPr>
          <w:rFonts w:ascii="Times New Roman" w:eastAsia="Times New Roman" w:hAnsi="Times New Roman" w:cs="Times New Roman"/>
        </w:rPr>
        <w:t>.</w:t>
      </w:r>
      <w:r w:rsidRPr="750671CE">
        <w:rPr>
          <w:rFonts w:ascii="Times New Roman" w:eastAsia="Times New Roman" w:hAnsi="Times New Roman" w:cs="Times New Roman"/>
        </w:rPr>
        <w:t xml:space="preserve"> Other states have carved a middle path</w:t>
      </w:r>
      <w:r w:rsidR="00246D50" w:rsidRPr="00246D50">
        <w:rPr>
          <w:rFonts w:ascii="Times New Roman" w:eastAsia="Times New Roman" w:hAnsi="Times New Roman" w:cs="Times New Roman"/>
        </w:rPr>
        <w:t>—</w:t>
      </w:r>
      <w:r w:rsidRPr="750671CE">
        <w:rPr>
          <w:rFonts w:ascii="Times New Roman" w:eastAsia="Times New Roman" w:hAnsi="Times New Roman" w:cs="Times New Roman"/>
        </w:rPr>
        <w:t>in Oklahoma, for example, there is a lowered standard to get past summary judgment in loss-of-chance cases, but the plaintiff still must prove to the jury that it was more likely than not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caused the harm.</w:t>
      </w:r>
      <w:r>
        <w:t xml:space="preserve"> </w:t>
      </w:r>
      <w:r w:rsidRPr="750671CE">
        <w:rPr>
          <w:rFonts w:ascii="Times New Roman" w:eastAsia="Times New Roman" w:hAnsi="Times New Roman" w:cs="Times New Roman"/>
          <w:i/>
          <w:iCs/>
        </w:rPr>
        <w:t>McKellips v. St. Francis Hosp., Inc.</w:t>
      </w:r>
      <w:r w:rsidRPr="750671CE">
        <w:rPr>
          <w:rFonts w:ascii="Times New Roman" w:eastAsia="Times New Roman" w:hAnsi="Times New Roman" w:cs="Times New Roman"/>
        </w:rPr>
        <w:t>, 741 P.2d 467 (Okla. 1987).</w:t>
      </w:r>
    </w:p>
    <w:p w14:paraId="1D184343" w14:textId="77777777" w:rsidR="004709CA" w:rsidRDefault="004709CA" w:rsidP="004709CA">
      <w:pPr>
        <w:rPr>
          <w:rFonts w:ascii="Times New Roman" w:hAnsi="Times New Roman" w:cs="Times New Roman"/>
          <w:b/>
        </w:rPr>
      </w:pPr>
    </w:p>
    <w:p w14:paraId="46D93376" w14:textId="77777777" w:rsidR="004709CA" w:rsidRDefault="004709CA" w:rsidP="004709CA">
      <w:pPr>
        <w:rPr>
          <w:rFonts w:ascii="Times New Roman" w:hAnsi="Times New Roman" w:cs="Times New Roman"/>
          <w:b/>
        </w:rPr>
      </w:pPr>
    </w:p>
    <w:p w14:paraId="159812B5" w14:textId="3B054873" w:rsidR="004709CA" w:rsidRPr="00F94B7E" w:rsidRDefault="750671CE" w:rsidP="00F94B7E">
      <w:pPr>
        <w:pStyle w:val="ListParagraph"/>
        <w:numPr>
          <w:ilvl w:val="0"/>
          <w:numId w:val="10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statistical revolution in tort causation.</w:t>
      </w:r>
      <w:r w:rsidRPr="00F94B7E">
        <w:rPr>
          <w:rFonts w:ascii="Times New Roman" w:eastAsia="Times New Roman" w:hAnsi="Times New Roman" w:cs="Times New Roman"/>
        </w:rPr>
        <w:t xml:space="preserve">  Causation cases from </w:t>
      </w:r>
      <w:r w:rsidRPr="00F94B7E">
        <w:rPr>
          <w:rFonts w:ascii="Times New Roman" w:eastAsia="Times New Roman" w:hAnsi="Times New Roman" w:cs="Times New Roman"/>
          <w:i/>
          <w:iCs/>
        </w:rPr>
        <w:t>Stubbs</w:t>
      </w:r>
      <w:r w:rsidRPr="00F94B7E">
        <w:rPr>
          <w:rFonts w:ascii="Times New Roman" w:eastAsia="Times New Roman" w:hAnsi="Times New Roman" w:cs="Times New Roman"/>
        </w:rPr>
        <w:t xml:space="preserve"> to </w:t>
      </w:r>
      <w:r w:rsidRPr="00F94B7E">
        <w:rPr>
          <w:rFonts w:ascii="Times New Roman" w:eastAsia="Times New Roman" w:hAnsi="Times New Roman" w:cs="Times New Roman"/>
          <w:i/>
          <w:iCs/>
        </w:rPr>
        <w:t>Matsuyama</w:t>
      </w:r>
      <w:r w:rsidRPr="00F94B7E">
        <w:rPr>
          <w:rFonts w:ascii="Times New Roman" w:eastAsia="Times New Roman" w:hAnsi="Times New Roman" w:cs="Times New Roman"/>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Default="004709CA" w:rsidP="004709CA">
      <w:pPr>
        <w:rPr>
          <w:rFonts w:ascii="Times New Roman" w:hAnsi="Times New Roman" w:cs="Times New Roman"/>
        </w:rPr>
      </w:pPr>
    </w:p>
    <w:p w14:paraId="09DD0E9E" w14:textId="6EDFD7C9" w:rsidR="004709CA" w:rsidRDefault="750671CE" w:rsidP="00F94B7E">
      <w:pPr>
        <w:pStyle w:val="blockquote"/>
      </w:pPr>
      <w:r w:rsidRPr="750671CE">
        <w:t>It would be a terrible mistake to forget that a typical lawsuit, whether civil or criminal, is only in part an objective search for historical truth. It is also, and no less importantly, a ritual</w:t>
      </w:r>
      <w:r w:rsidR="00210D4D" w:rsidRPr="00210D4D">
        <w:t>—</w:t>
      </w:r>
      <w:r w:rsidRPr="750671CE">
        <w:t xml:space="preserve">a complex pattern of gestures comprising what Henry Hart and John McNaughton once called </w:t>
      </w:r>
      <w:r w:rsidR="00B05F31">
        <w:t>“</w:t>
      </w:r>
      <w:r w:rsidRPr="750671CE">
        <w:t>society</w:t>
      </w:r>
      <w:r w:rsidR="00B05F31">
        <w:t>’</w:t>
      </w:r>
      <w:r w:rsidRPr="750671CE">
        <w:t>s last line of defense in the indispensable effort to secure the peaceful settlement of social conflicts.</w:t>
      </w:r>
      <w:r w:rsidR="00B05F31">
        <w:t>”</w:t>
      </w:r>
      <w:r w:rsidRPr="750671CE">
        <w:t xml:space="preserve"> One element, at least, of that ritual of conflict-settlement is the presence and functioning of the jury</w:t>
      </w:r>
      <w:r w:rsidR="00210D4D" w:rsidRPr="00210D4D">
        <w:t>—</w:t>
      </w:r>
      <w:r w:rsidRPr="750671CE">
        <w:t xml:space="preserve">a cumbersome and imperfect institution, to be sure, but an institution well calculated, at least potentially, to mediate between </w:t>
      </w:r>
      <w:r w:rsidR="00B05F31">
        <w:t>“</w:t>
      </w:r>
      <w:r w:rsidRPr="750671CE">
        <w:t>the law</w:t>
      </w:r>
      <w:r w:rsidR="00B05F31">
        <w:t>”</w:t>
      </w:r>
      <w:r w:rsidRPr="750671CE">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210D4D">
        <w:t>—</w:t>
      </w:r>
      <w:r w:rsidRPr="750671CE">
        <w:t>whether in criminal cases or in civil</w:t>
      </w:r>
      <w:r w:rsidR="00210D4D" w:rsidRPr="00210D4D">
        <w:t>—</w:t>
      </w:r>
      <w:r w:rsidRPr="750671CE">
        <w:t>could be relied upon to recall, let alone to perform, this humanizing function, to employ their intuition and their sense of community values to shape their ultimate conclusions.</w:t>
      </w:r>
    </w:p>
    <w:p w14:paraId="00867A40" w14:textId="77777777" w:rsidR="004709CA" w:rsidRDefault="004709CA" w:rsidP="004709CA">
      <w:pPr>
        <w:ind w:left="720" w:right="720"/>
        <w:rPr>
          <w:rFonts w:ascii="Times New Roman" w:hAnsi="Times New Roman" w:cs="Times New Roman"/>
        </w:rPr>
      </w:pPr>
    </w:p>
    <w:p w14:paraId="420C9B3A" w14:textId="77777777" w:rsidR="004709CA" w:rsidRPr="00FF173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Laurence H. Tribe, </w:t>
      </w:r>
      <w:r w:rsidRPr="750671CE">
        <w:rPr>
          <w:rFonts w:ascii="Times New Roman" w:eastAsia="Times New Roman" w:hAnsi="Times New Roman" w:cs="Times New Roman"/>
          <w:i/>
          <w:iCs/>
        </w:rPr>
        <w:t>Trial by Mathematics: Precision and Ritual in the Legal Process</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84 Harv. L. Rev.</w:t>
      </w:r>
      <w:r w:rsidRPr="750671CE">
        <w:rPr>
          <w:rFonts w:ascii="Times New Roman" w:eastAsia="Times New Roman" w:hAnsi="Times New Roman" w:cs="Times New Roman"/>
        </w:rPr>
        <w:t xml:space="preserve"> 1329, 1376 (1971). On the other hand, Daniel Shaviro argues that the use of statistics allows society to reduce the problem of systematic errors. Daniel Shaviro, </w:t>
      </w:r>
      <w:r w:rsidRPr="750671CE">
        <w:rPr>
          <w:rFonts w:ascii="Times New Roman" w:eastAsia="Times New Roman" w:hAnsi="Times New Roman" w:cs="Times New Roman"/>
          <w:i/>
          <w:iCs/>
        </w:rPr>
        <w:t>Statistical Probability Evidence and the Appearance of Justice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103 Harv. L. Rev.</w:t>
      </w:r>
      <w:r w:rsidRPr="750671CE">
        <w:rPr>
          <w:rFonts w:ascii="Times New Roman" w:eastAsia="Times New Roman" w:hAnsi="Times New Roman" w:cs="Times New Roman"/>
        </w:rPr>
        <w:t xml:space="preserve"> 530 (1989). </w:t>
      </w:r>
    </w:p>
    <w:p w14:paraId="78ABDFD4" w14:textId="77777777" w:rsidR="004709CA" w:rsidRDefault="004709CA" w:rsidP="004709CA">
      <w:pPr>
        <w:rPr>
          <w:rFonts w:ascii="Times New Roman" w:hAnsi="Times New Roman" w:cs="Times New Roman"/>
          <w:b/>
          <w:i/>
        </w:rPr>
      </w:pPr>
    </w:p>
    <w:p w14:paraId="74B6B290" w14:textId="0C566557" w:rsidR="00221888" w:rsidRDefault="00221888">
      <w:pPr>
        <w:rPr>
          <w:rFonts w:ascii="Times New Roman" w:hAnsi="Times New Roman" w:cs="Times New Roman"/>
          <w:b/>
          <w:i/>
        </w:rPr>
      </w:pPr>
      <w:r>
        <w:rPr>
          <w:rFonts w:ascii="Times New Roman" w:hAnsi="Times New Roman" w:cs="Times New Roman"/>
          <w:b/>
          <w:i/>
        </w:rPr>
        <w:br w:type="page"/>
      </w:r>
    </w:p>
    <w:p w14:paraId="1FED238B" w14:textId="77777777" w:rsidR="004709CA" w:rsidRPr="00FA4733" w:rsidRDefault="004709CA" w:rsidP="00AC7734">
      <w:pPr>
        <w:pStyle w:val="Heading2"/>
      </w:pPr>
      <w:bookmarkStart w:id="464" w:name="_Toc364636170"/>
      <w:bookmarkStart w:id="465" w:name="_Toc518323394"/>
      <w:r w:rsidRPr="00FA4733">
        <w:t>D. The Problem of Multiple Tortfeasors</w:t>
      </w:r>
      <w:bookmarkEnd w:id="464"/>
      <w:bookmarkEnd w:id="465"/>
    </w:p>
    <w:p w14:paraId="67794E41" w14:textId="77777777" w:rsidR="004709CA" w:rsidRDefault="004709CA" w:rsidP="004709CA">
      <w:pPr>
        <w:rPr>
          <w:rFonts w:ascii="Times New Roman" w:hAnsi="Times New Roman" w:cs="Times New Roman"/>
        </w:rPr>
      </w:pPr>
    </w:p>
    <w:p w14:paraId="33BC0DBF" w14:textId="5B778473"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When multiple tortfeasors are responsible for an injury to a plaintiff, the usual rule for apportioning liability among them is </w:t>
      </w:r>
      <w:r w:rsidR="00B05F31">
        <w:rPr>
          <w:rFonts w:ascii="Times New Roman" w:eastAsia="Times New Roman" w:hAnsi="Times New Roman" w:cs="Times New Roman"/>
        </w:rPr>
        <w:t>“</w:t>
      </w:r>
      <w:r w:rsidRPr="750671CE">
        <w:rPr>
          <w:rFonts w:ascii="Times New Roman" w:eastAsia="Times New Roman" w:hAnsi="Times New Roman" w:cs="Times New Roman"/>
        </w:rPr>
        <w:t>joint and several liability.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Under joint liability, each defendant may be held individually liable for the whole amount of the injury. Under several liability, each defendant bears only her or his share of the damages. </w:t>
      </w:r>
      <w:r w:rsidR="00B05F31">
        <w:rPr>
          <w:rFonts w:ascii="Times New Roman" w:eastAsia="Times New Roman" w:hAnsi="Times New Roman" w:cs="Times New Roman"/>
        </w:rPr>
        <w:t>“</w:t>
      </w:r>
      <w:r w:rsidRPr="750671CE">
        <w:rPr>
          <w:rFonts w:ascii="Times New Roman" w:eastAsia="Times New Roman" w:hAnsi="Times New Roman" w:cs="Times New Roman"/>
        </w:rPr>
        <w:t>Joint and several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 The principal effect of joint and several liability, as compared to several liability, is to allocate to the defendants the risk that any one of them will become insolvent on the defendants, not on the plaintiff.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smallCaps/>
        </w:rPr>
        <w:t>Restatement (Third) of Torts: Apportionment of Liab.</w:t>
      </w:r>
      <w:r w:rsidRPr="750671CE">
        <w:rPr>
          <w:rFonts w:ascii="Times New Roman" w:eastAsia="Times New Roman" w:hAnsi="Times New Roman" w:cs="Times New Roman"/>
        </w:rPr>
        <w:t xml:space="preserve"> § 17. Is that the right policy decision in torts? </w:t>
      </w:r>
    </w:p>
    <w:p w14:paraId="50683513" w14:textId="77777777" w:rsidR="004709CA" w:rsidRDefault="004709CA" w:rsidP="004709CA">
      <w:pPr>
        <w:ind w:firstLine="720"/>
        <w:rPr>
          <w:rFonts w:ascii="Times New Roman" w:hAnsi="Times New Roman" w:cs="Times New Roman"/>
        </w:rPr>
      </w:pPr>
    </w:p>
    <w:p w14:paraId="48C8E7D4" w14:textId="0F66D42D"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Pr="750671CE">
        <w:rPr>
          <w:rFonts w:ascii="Times New Roman" w:eastAsia="Times New Roman" w:hAnsi="Times New Roman" w:cs="Times New Roman"/>
          <w:smallCaps/>
        </w:rPr>
        <w:t>Utah Code Ann</w:t>
      </w:r>
      <w:r w:rsidRPr="750671CE">
        <w:rPr>
          <w:rFonts w:ascii="Times New Roman" w:eastAsia="Times New Roman" w:hAnsi="Times New Roman" w:cs="Times New Roman"/>
        </w:rPr>
        <w:t xml:space="preserve">. § 78B-5-818;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Egbert v. Nissan Motor Co</w:t>
      </w:r>
      <w:r w:rsidRPr="750671CE">
        <w:rPr>
          <w:rFonts w:ascii="Times New Roman" w:eastAsia="Times New Roman" w:hAnsi="Times New Roman" w:cs="Times New Roman"/>
          <w:i/>
          <w:iCs/>
          <w:u w:val="single"/>
        </w:rPr>
        <w:t>.</w:t>
      </w:r>
      <w:r w:rsidRPr="750671CE">
        <w:rPr>
          <w:rFonts w:ascii="Times New Roman" w:eastAsia="Times New Roman" w:hAnsi="Times New Roman" w:cs="Times New Roman"/>
        </w:rPr>
        <w:t xml:space="preserve">, 228 P.3d 737 (Utah 2010). Wisconsin took a slightly narrower approach and only abolished joint liability in cases in which the plaintiffs were contributorily negligent. </w:t>
      </w:r>
      <w:r w:rsidRPr="750671CE">
        <w:rPr>
          <w:rFonts w:ascii="Times New Roman" w:eastAsia="Times New Roman" w:hAnsi="Times New Roman" w:cs="Times New Roman"/>
          <w:smallCaps/>
        </w:rPr>
        <w:t>Wis. Stat.</w:t>
      </w:r>
      <w:r w:rsidRPr="750671CE">
        <w:rPr>
          <w:rFonts w:ascii="Times New Roman" w:eastAsia="Times New Roman" w:hAnsi="Times New Roman" w:cs="Times New Roman"/>
        </w:rPr>
        <w:t xml:space="preserve"> § 895.045. New Hampshire abolished joint and several liability for any defendants who were less than 50% at fault, but held that non-parties to the suit would be included in the fault calculation. This put the plaintiff in the strange position of defending non-parties against defendants, who would attempt to pin the blame on absent actors. </w:t>
      </w:r>
      <w:r w:rsidRPr="750671CE">
        <w:rPr>
          <w:rFonts w:ascii="Times New Roman" w:eastAsia="Times New Roman" w:hAnsi="Times New Roman" w:cs="Times New Roman"/>
          <w:i/>
          <w:iCs/>
        </w:rPr>
        <w:t>DeBenedetto v. CLD Consulting Eng</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rs, Inc.</w:t>
      </w:r>
      <w:r w:rsidRPr="750671CE">
        <w:rPr>
          <w:rFonts w:ascii="Times New Roman" w:eastAsia="Times New Roman" w:hAnsi="Times New Roman" w:cs="Times New Roman"/>
        </w:rPr>
        <w:t>, 153 N.H. 793, 803 (2006). Illinois similarly removed joint and several liability for parties less than 25% responsible but included immune parties in the apportionment of fault. This is particularly damaging to workers pursuing claims against parties other than their employer for workplace-related injuries, because the employer (who is immunized from tort suits by worker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compensation laws) is often held to be the primary party at fault and other parties (such as product manufacturers with deep pockets) are only required to pay a small portion of the total damages. </w:t>
      </w:r>
      <w:r w:rsidRPr="750671CE">
        <w:rPr>
          <w:rFonts w:ascii="Times New Roman" w:eastAsia="Times New Roman" w:hAnsi="Times New Roman" w:cs="Times New Roman"/>
          <w:i/>
          <w:iCs/>
        </w:rPr>
        <w:t>See Unzicker v. Kraft Food Ingredients Corp.</w:t>
      </w:r>
      <w:r w:rsidRPr="750671CE">
        <w:rPr>
          <w:rFonts w:ascii="Times New Roman" w:eastAsia="Times New Roman" w:hAnsi="Times New Roman" w:cs="Times New Roman"/>
        </w:rPr>
        <w:t>, 783 N.E.2d 1024, 1032 (Ill. 2002).</w:t>
      </w:r>
    </w:p>
    <w:p w14:paraId="5E728642" w14:textId="77777777" w:rsidR="004709CA" w:rsidRPr="00587B63" w:rsidRDefault="004709CA" w:rsidP="004709CA">
      <w:pPr>
        <w:ind w:firstLine="720"/>
        <w:rPr>
          <w:rFonts w:ascii="Times New Roman" w:hAnsi="Times New Roman" w:cs="Times New Roman"/>
          <w:b/>
        </w:rPr>
      </w:pPr>
    </w:p>
    <w:p w14:paraId="6A956E70"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Apportionment questions, of course, presume more than one defendant who is liable for </w:t>
      </w:r>
      <w:r w:rsidRPr="750671CE">
        <w:rPr>
          <w:rFonts w:ascii="Times New Roman" w:eastAsia="Times New Roman" w:hAnsi="Times New Roman" w:cs="Times New Roman"/>
          <w:i/>
          <w:iCs/>
        </w:rPr>
        <w:t>something</w:t>
      </w:r>
      <w:r w:rsidRPr="750671CE">
        <w:rPr>
          <w:rFonts w:ascii="Times New Roman" w:eastAsia="Times New Roman" w:hAnsi="Times New Roman" w:cs="Times New Roman"/>
        </w:rPr>
        <w:t xml:space="preserve">. Sometimes, however, multiple defendant cases can raise the question of whether </w:t>
      </w:r>
      <w:r w:rsidRPr="750671CE">
        <w:rPr>
          <w:rFonts w:ascii="Times New Roman" w:eastAsia="Times New Roman" w:hAnsi="Times New Roman" w:cs="Times New Roman"/>
          <w:i/>
          <w:iCs/>
        </w:rPr>
        <w:t>anyone</w:t>
      </w:r>
      <w:r w:rsidRPr="750671CE">
        <w:rPr>
          <w:rFonts w:ascii="Times New Roman" w:eastAsia="Times New Roman" w:hAnsi="Times New Roman" w:cs="Times New Roman"/>
        </w:rPr>
        <w:t xml:space="preserve"> may be held liable at all.</w:t>
      </w:r>
    </w:p>
    <w:p w14:paraId="01BA9E13" w14:textId="77777777" w:rsidR="004709CA" w:rsidRDefault="004709CA" w:rsidP="004709CA">
      <w:pPr>
        <w:ind w:firstLine="720"/>
        <w:rPr>
          <w:rFonts w:ascii="Times New Roman" w:hAnsi="Times New Roman" w:cs="Times New Roman"/>
        </w:rPr>
      </w:pPr>
    </w:p>
    <w:p w14:paraId="6F4EFB24" w14:textId="77777777" w:rsidR="004709CA" w:rsidRDefault="004709CA" w:rsidP="004709CA">
      <w:pPr>
        <w:ind w:firstLine="720"/>
        <w:rPr>
          <w:rFonts w:ascii="Times New Roman" w:hAnsi="Times New Roman" w:cs="Times New Roman"/>
        </w:rPr>
      </w:pPr>
    </w:p>
    <w:p w14:paraId="440595C8" w14:textId="77777777" w:rsidR="004709CA" w:rsidRDefault="004709CA" w:rsidP="750671CE">
      <w:pPr>
        <w:rPr>
          <w:rFonts w:ascii="Times New Roman" w:eastAsia="Times New Roman" w:hAnsi="Times New Roman" w:cs="Times New Roman"/>
          <w:b/>
          <w:bCs/>
        </w:rPr>
      </w:pPr>
      <w:bookmarkStart w:id="466" w:name="_Toc518323395"/>
      <w:r w:rsidRPr="00634D66">
        <w:rPr>
          <w:rStyle w:val="Heading3Char"/>
          <w:i/>
        </w:rPr>
        <w:t>Kingston v. Chicago &amp; N. W. R. Co</w:t>
      </w:r>
      <w:bookmarkEnd w:id="466"/>
      <w:r w:rsidRPr="00634D66">
        <w:rPr>
          <w:rFonts w:ascii="Times New Roman" w:eastAsia="Times New Roman" w:hAnsi="Times New Roman" w:cs="Times New Roman"/>
          <w:b/>
          <w:bCs/>
          <w:i/>
        </w:rPr>
        <w:t>.</w:t>
      </w:r>
      <w:r w:rsidRPr="750671CE">
        <w:rPr>
          <w:rFonts w:ascii="Times New Roman" w:eastAsia="Times New Roman" w:hAnsi="Times New Roman" w:cs="Times New Roman"/>
          <w:b/>
          <w:bCs/>
        </w:rPr>
        <w:t>, 191 Wis. 610, 613 (Wis. 1926)</w:t>
      </w:r>
    </w:p>
    <w:p w14:paraId="254FF43F" w14:textId="77777777" w:rsidR="004709CA" w:rsidRPr="00FA4733" w:rsidRDefault="004709CA" w:rsidP="004709CA">
      <w:pPr>
        <w:rPr>
          <w:rFonts w:ascii="Times New Roman" w:hAnsi="Times New Roman" w:cs="Times New Roman"/>
          <w:b/>
        </w:rPr>
      </w:pPr>
    </w:p>
    <w:p w14:paraId="0759DF85" w14:textId="4D066823" w:rsidR="004709CA"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We therefore have this situation: The northeast fire was set by sparks emitted from defendant</w:t>
      </w:r>
      <w:r w:rsidR="00B05F31">
        <w:rPr>
          <w:rFonts w:ascii="Times New Roman" w:eastAsia="Times New Roman" w:hAnsi="Times New Roman" w:cs="Times New Roman"/>
        </w:rPr>
        <w:t>’</w:t>
      </w:r>
      <w:r w:rsidRPr="750671CE">
        <w:rPr>
          <w:rFonts w:ascii="Times New Roman" w:eastAsia="Times New Roman" w:hAnsi="Times New Roman" w:cs="Times New Roman"/>
        </w:rPr>
        <w:t>s locomotive. This fire, according to the finding of the jury, constituted a proximate cause of the destruction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This finding we find to be well supported by the evidence. We have the northwest fire, of unknown origin. This fire, according to the finding of the jury, also constituted a proximate cause of the destruction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This finding we also find to be well supported by the evidence. We have a union of these two fires 940 feet north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from which point the united fire bore down upon and destroyed the property. We therefore have two separate, independent, and distinct agencies, each of which constituted the proximate cause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damage, and either of which, in the absence of the other, would have accomplished such result.</w:t>
      </w:r>
    </w:p>
    <w:p w14:paraId="1DE0A17F" w14:textId="77777777" w:rsidR="004709CA" w:rsidRPr="002331FE" w:rsidRDefault="004709CA" w:rsidP="004709CA">
      <w:pPr>
        <w:tabs>
          <w:tab w:val="left" w:pos="1440"/>
          <w:tab w:val="left" w:pos="7920"/>
        </w:tabs>
        <w:rPr>
          <w:rFonts w:ascii="Times New Roman" w:hAnsi="Times New Roman" w:cs="Times New Roman"/>
        </w:rPr>
      </w:pPr>
    </w:p>
    <w:p w14:paraId="4DA0571C" w14:textId="7D77F7CD" w:rsidR="004709CA" w:rsidRPr="002331FE" w:rsidRDefault="004709CA" w:rsidP="750671CE">
      <w:pPr>
        <w:tabs>
          <w:tab w:val="left" w:pos="720"/>
          <w:tab w:val="left" w:pos="1440"/>
          <w:tab w:val="left" w:pos="7920"/>
        </w:tabs>
        <w:rPr>
          <w:rFonts w:ascii="Times New Roman" w:eastAsia="Times New Roman" w:hAnsi="Times New Roman" w:cs="Times New Roman"/>
          <w:b/>
          <w:bCs/>
        </w:rPr>
      </w:pPr>
      <w:r>
        <w:rPr>
          <w:rFonts w:ascii="Times New Roman" w:hAnsi="Times New Roman" w:cs="Times New Roman"/>
        </w:rPr>
        <w:tab/>
      </w:r>
      <w:r w:rsidRPr="750671CE">
        <w:rPr>
          <w:rFonts w:ascii="Times New Roman" w:eastAsia="Times New Roman" w:hAnsi="Times New Roman" w:cs="Times New Roman"/>
        </w:rPr>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Pr>
          <w:rFonts w:ascii="Times New Roman" w:eastAsia="Times New Roman" w:hAnsi="Times New Roman" w:cs="Times New Roman"/>
        </w:rPr>
        <w:t xml:space="preserve"> </w:t>
      </w:r>
      <w:r w:rsidRPr="750671CE">
        <w:rPr>
          <w:rFonts w:ascii="Times New Roman" w:eastAsia="Times New Roman" w:hAnsi="Times New Roman" w:cs="Times New Roman"/>
        </w:rPr>
        <w:t>.</w:t>
      </w:r>
      <w:r w:rsidR="002352C7">
        <w:rPr>
          <w:rFonts w:ascii="Times New Roman" w:eastAsia="Times New Roman" w:hAnsi="Times New Roman" w:cs="Times New Roman"/>
        </w:rPr>
        <w:t xml:space="preserve"> </w:t>
      </w:r>
      <w:r w:rsidRPr="750671CE">
        <w:rPr>
          <w:rFonts w:ascii="Times New Roman" w:eastAsia="Times New Roman" w:hAnsi="Times New Roman" w:cs="Times New Roman"/>
        </w:rPr>
        <w:t>.</w:t>
      </w:r>
      <w:r w:rsidR="002352C7">
        <w:rPr>
          <w:rFonts w:ascii="Times New Roman" w:eastAsia="Times New Roman" w:hAnsi="Times New Roman" w:cs="Times New Roman"/>
        </w:rPr>
        <w:t xml:space="preserve"> </w:t>
      </w:r>
      <w:r w:rsidR="00C111DA">
        <w:rPr>
          <w:rFonts w:ascii="Times New Roman" w:eastAsia="Times New Roman" w:hAnsi="Times New Roman" w:cs="Times New Roman"/>
        </w:rPr>
        <w:t>.</w:t>
      </w:r>
    </w:p>
    <w:p w14:paraId="1B3A9C13" w14:textId="77777777" w:rsidR="004709CA" w:rsidRDefault="004709CA" w:rsidP="004709CA">
      <w:pPr>
        <w:tabs>
          <w:tab w:val="left" w:pos="1440"/>
          <w:tab w:val="left" w:pos="7920"/>
        </w:tabs>
        <w:rPr>
          <w:rFonts w:ascii="Times New Roman" w:hAnsi="Times New Roman" w:cs="Times New Roman"/>
        </w:rPr>
      </w:pPr>
    </w:p>
    <w:p w14:paraId="328242A5" w14:textId="77777777" w:rsidR="004709CA"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Default="004709CA" w:rsidP="004709CA">
      <w:pPr>
        <w:tabs>
          <w:tab w:val="left" w:pos="1440"/>
          <w:tab w:val="left" w:pos="7920"/>
        </w:tabs>
        <w:rPr>
          <w:rFonts w:ascii="Times New Roman" w:hAnsi="Times New Roman" w:cs="Times New Roman"/>
        </w:rPr>
      </w:pPr>
    </w:p>
    <w:p w14:paraId="1AC0190F" w14:textId="77777777" w:rsidR="004709CA" w:rsidRPr="002331FE"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intimation or suggestion that the northeast fire was enveloped and swallowed up by the northwest fire. We will err on the side of the defendant if we regard the two fires as of equal rank.</w:t>
      </w:r>
    </w:p>
    <w:p w14:paraId="568E0946" w14:textId="77777777" w:rsidR="004709CA" w:rsidRDefault="004709CA" w:rsidP="004709CA">
      <w:pPr>
        <w:tabs>
          <w:tab w:val="left" w:pos="1440"/>
          <w:tab w:val="left" w:pos="7920"/>
        </w:tabs>
        <w:rPr>
          <w:rFonts w:ascii="Times New Roman" w:hAnsi="Times New Roman" w:cs="Times New Roman"/>
        </w:rPr>
      </w:pPr>
    </w:p>
    <w:p w14:paraId="22069E72" w14:textId="77777777" w:rsidR="004709CA" w:rsidRPr="002331FE"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Default="004709CA" w:rsidP="004709CA">
      <w:pPr>
        <w:tabs>
          <w:tab w:val="left" w:pos="1440"/>
          <w:tab w:val="left" w:pos="7920"/>
        </w:tabs>
        <w:rPr>
          <w:rFonts w:ascii="Times New Roman" w:hAnsi="Times New Roman" w:cs="Times New Roman"/>
        </w:rPr>
      </w:pPr>
    </w:p>
    <w:p w14:paraId="5CD92EE1" w14:textId="1C6633A1" w:rsidR="004709CA" w:rsidRPr="002331FE"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rPr>
          <w:rFonts w:ascii="Times New Roman" w:eastAsia="Times New Roman" w:hAnsi="Times New Roman" w:cs="Times New Roman"/>
        </w:rPr>
        <w:t xml:space="preserve">. </w:t>
      </w:r>
      <w:r w:rsidRPr="750671CE">
        <w:rPr>
          <w:rFonts w:ascii="Times New Roman" w:eastAsia="Times New Roman" w:hAnsi="Times New Roman" w:cs="Times New Roman"/>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Pr>
          <w:rFonts w:ascii="Times New Roman" w:eastAsia="Times New Roman" w:hAnsi="Times New Roman" w:cs="Times New Roman"/>
        </w:rPr>
        <w:t xml:space="preserve">. </w:t>
      </w:r>
    </w:p>
    <w:p w14:paraId="12E846FB" w14:textId="77777777" w:rsidR="004709CA" w:rsidRDefault="004709CA" w:rsidP="004709CA">
      <w:pPr>
        <w:tabs>
          <w:tab w:val="left" w:pos="1440"/>
          <w:tab w:val="left" w:pos="7920"/>
        </w:tabs>
        <w:rPr>
          <w:rFonts w:ascii="Times New Roman" w:hAnsi="Times New Roman" w:cs="Times New Roman"/>
        </w:rPr>
      </w:pPr>
    </w:p>
    <w:p w14:paraId="73F7CB78" w14:textId="6BBFD89E" w:rsidR="004709CA"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The fact that the northeast fire was set by the railroad company, which fire was a proximate cause of plaintiff</w:t>
      </w:r>
      <w:r w:rsidR="00B05F31">
        <w:rPr>
          <w:rFonts w:ascii="Times New Roman" w:eastAsia="Times New Roman" w:hAnsi="Times New Roman" w:cs="Times New Roman"/>
        </w:rPr>
        <w:t>’</w:t>
      </w:r>
      <w:r w:rsidRPr="750671CE">
        <w:rPr>
          <w:rFonts w:ascii="Times New Roman" w:eastAsia="Times New Roman" w:hAnsi="Times New Roman" w:cs="Times New Roman"/>
        </w:rPr>
        <w:t>s damage, is sufficient to affirm the judgment.</w:t>
      </w:r>
    </w:p>
    <w:p w14:paraId="0445B4F5" w14:textId="77777777" w:rsidR="004709CA" w:rsidRDefault="004709CA" w:rsidP="004709CA">
      <w:pPr>
        <w:tabs>
          <w:tab w:val="left" w:pos="1440"/>
          <w:tab w:val="left" w:pos="7920"/>
        </w:tabs>
        <w:rPr>
          <w:rFonts w:ascii="Times New Roman" w:hAnsi="Times New Roman" w:cs="Times New Roman"/>
        </w:rPr>
      </w:pPr>
    </w:p>
    <w:p w14:paraId="7F4D3087" w14:textId="77777777" w:rsidR="00330E2F" w:rsidRDefault="00330E2F" w:rsidP="004709CA">
      <w:pPr>
        <w:tabs>
          <w:tab w:val="left" w:pos="1440"/>
          <w:tab w:val="left" w:pos="7920"/>
        </w:tabs>
        <w:rPr>
          <w:rFonts w:ascii="Times New Roman" w:hAnsi="Times New Roman" w:cs="Times New Roman"/>
        </w:rPr>
      </w:pPr>
    </w:p>
    <w:p w14:paraId="013BBFF3" w14:textId="77777777" w:rsidR="004709CA" w:rsidRDefault="004709CA" w:rsidP="002502CC">
      <w:pPr>
        <w:pStyle w:val="Heading4"/>
      </w:pPr>
      <w:bookmarkStart w:id="467" w:name="_Toc364636171"/>
      <w:bookmarkStart w:id="468" w:name="_Toc518323396"/>
      <w:r w:rsidRPr="00FA4733">
        <w:t>Notes</w:t>
      </w:r>
      <w:bookmarkEnd w:id="467"/>
      <w:bookmarkEnd w:id="468"/>
    </w:p>
    <w:p w14:paraId="6C3F6F71" w14:textId="77777777" w:rsidR="004709CA" w:rsidRDefault="004709CA" w:rsidP="004709CA">
      <w:pPr>
        <w:tabs>
          <w:tab w:val="left" w:pos="1440"/>
          <w:tab w:val="left" w:pos="7920"/>
        </w:tabs>
        <w:rPr>
          <w:rFonts w:ascii="Times New Roman" w:hAnsi="Times New Roman" w:cs="Times New Roman"/>
          <w:b/>
          <w:i/>
        </w:rPr>
      </w:pPr>
    </w:p>
    <w:p w14:paraId="4F4B98AA" w14:textId="77777777" w:rsidR="00330E2F" w:rsidRPr="00FA4733" w:rsidRDefault="00330E2F" w:rsidP="004709CA">
      <w:pPr>
        <w:tabs>
          <w:tab w:val="left" w:pos="1440"/>
          <w:tab w:val="left" w:pos="7920"/>
        </w:tabs>
        <w:rPr>
          <w:rFonts w:ascii="Times New Roman" w:hAnsi="Times New Roman" w:cs="Times New Roman"/>
          <w:b/>
          <w:i/>
        </w:rPr>
      </w:pPr>
    </w:p>
    <w:p w14:paraId="58A33BA9" w14:textId="4069D21F" w:rsidR="004709CA" w:rsidRPr="00F94B7E" w:rsidRDefault="750671CE" w:rsidP="00F94B7E">
      <w:pPr>
        <w:pStyle w:val="ListParagraph"/>
        <w:numPr>
          <w:ilvl w:val="0"/>
          <w:numId w:val="10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Doctrinal puzzles.</w:t>
      </w:r>
      <w:r w:rsidRPr="00F94B7E">
        <w:rPr>
          <w:rFonts w:ascii="Times New Roman" w:eastAsia="Times New Roman" w:hAnsi="Times New Roman" w:cs="Times New Roman"/>
        </w:rPr>
        <w:t xml:space="preserve">  In deciding whether to hold the railroad company liable for damage to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property before the other? One hour before the other? One minute?</w:t>
      </w:r>
    </w:p>
    <w:p w14:paraId="0934A049" w14:textId="77777777" w:rsidR="004709CA" w:rsidRDefault="004709CA" w:rsidP="004709CA">
      <w:pPr>
        <w:rPr>
          <w:rFonts w:ascii="Times New Roman" w:hAnsi="Times New Roman" w:cs="Times New Roman"/>
          <w:b/>
        </w:rPr>
      </w:pPr>
    </w:p>
    <w:p w14:paraId="42F5B47C" w14:textId="77777777" w:rsidR="004709CA" w:rsidRPr="00587B63" w:rsidRDefault="004709CA" w:rsidP="004709CA">
      <w:pPr>
        <w:rPr>
          <w:rFonts w:ascii="Times New Roman" w:hAnsi="Times New Roman" w:cs="Times New Roman"/>
          <w:b/>
        </w:rPr>
      </w:pPr>
    </w:p>
    <w:p w14:paraId="6719DA14" w14:textId="1B6728FD" w:rsidR="004709CA" w:rsidRPr="00F94B7E" w:rsidRDefault="750671CE" w:rsidP="00F94B7E">
      <w:pPr>
        <w:pStyle w:val="ListParagraph"/>
        <w:numPr>
          <w:ilvl w:val="0"/>
          <w:numId w:val="10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Multiple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ufficient </w:t>
      </w:r>
      <w:r w:rsidR="002275FE"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auses and the </w:t>
      </w:r>
      <w:r w:rsidR="002275FE"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ubstantial </w:t>
      </w:r>
      <w:r w:rsidR="002275FE" w:rsidRPr="00F94B7E">
        <w:rPr>
          <w:rFonts w:ascii="Times New Roman" w:eastAsia="Times New Roman" w:hAnsi="Times New Roman" w:cs="Times New Roman"/>
          <w:i/>
          <w:iCs/>
        </w:rPr>
        <w:t>f</w:t>
      </w:r>
      <w:r w:rsidRPr="00F94B7E">
        <w:rPr>
          <w:rFonts w:ascii="Times New Roman" w:eastAsia="Times New Roman" w:hAnsi="Times New Roman" w:cs="Times New Roman"/>
          <w:i/>
          <w:iCs/>
        </w:rPr>
        <w:t xml:space="preserve">actor </w:t>
      </w:r>
      <w:r w:rsidR="002275FE" w:rsidRPr="00F94B7E">
        <w:rPr>
          <w:rFonts w:ascii="Times New Roman" w:eastAsia="Times New Roman" w:hAnsi="Times New Roman" w:cs="Times New Roman"/>
          <w:i/>
          <w:iCs/>
        </w:rPr>
        <w:t>t</w:t>
      </w:r>
      <w:r w:rsidRPr="00F94B7E">
        <w:rPr>
          <w:rFonts w:ascii="Times New Roman" w:eastAsia="Times New Roman" w:hAnsi="Times New Roman" w:cs="Times New Roman"/>
          <w:i/>
          <w:iCs/>
        </w:rPr>
        <w:t>est</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Kingston</w:t>
      </w:r>
      <w:r w:rsidRPr="00F94B7E">
        <w:rPr>
          <w:rFonts w:ascii="Times New Roman" w:eastAsia="Times New Roman" w:hAnsi="Times New Roman" w:cs="Times New Roman"/>
        </w:rPr>
        <w:t xml:space="preserve"> case is a classic example of the problem of multiple sufficient causes. If each fire would have destroyed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property regardless of the other, then neither fire can be said to be a necessary or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but-for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cause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loss. But to let wrongdoers off the hook because there was more than one of them hardly seems fair. One way courts handle the question of multiple sufficient causation is by asking whether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actions were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causing the harm to the plaintiff. One of the first uses of the substantial factor test was in a classic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two fires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by the Minnesota Supreme Court. The Court upheld jury instructions that laid out the following contingency: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Assume that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engine did set the bog fire, but that some greater fire swept over it before it reached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land, then and in that event defendant is not liable, unless the bog fire was a substantial factor in causing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damage.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Anderson v. Minneapolis, S. P. &amp; S. S. M. R. Co.</w:t>
      </w:r>
      <w:r w:rsidRPr="00F94B7E">
        <w:rPr>
          <w:rFonts w:ascii="Times New Roman" w:eastAsia="Times New Roman" w:hAnsi="Times New Roman" w:cs="Times New Roman"/>
        </w:rPr>
        <w:t>, 179 N.W. 45, 46 (Minn. 1920). The Restatement (Second) of Torts, published in the 1960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explicitly addressed the question of multiple sufficient causes, stating that if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is one of multiple sufficient causes, it is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(Second) of Torts,</w:t>
      </w:r>
      <w:r w:rsidRPr="00F94B7E">
        <w:rPr>
          <w:rFonts w:ascii="Times New Roman" w:eastAsia="Times New Roman" w:hAnsi="Times New Roman" w:cs="Times New Roman"/>
        </w:rPr>
        <w:t xml:space="preserve"> § 432(2). As we will see in subsequent chapters,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substantial factor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has also been applied outside of the situation of multiple sufficient causes.</w:t>
      </w:r>
    </w:p>
    <w:p w14:paraId="65D013B8" w14:textId="77777777" w:rsidR="004709CA" w:rsidRDefault="004709CA" w:rsidP="004709CA">
      <w:pPr>
        <w:rPr>
          <w:rFonts w:ascii="Times New Roman" w:hAnsi="Times New Roman" w:cs="Times New Roman"/>
          <w:b/>
          <w:i/>
        </w:rPr>
      </w:pPr>
    </w:p>
    <w:p w14:paraId="7A916D9B" w14:textId="3C1E53AE" w:rsidR="00C04514" w:rsidRDefault="00C04514">
      <w:pPr>
        <w:rPr>
          <w:rFonts w:ascii="Times New Roman" w:hAnsi="Times New Roman" w:cs="Times New Roman"/>
          <w:b/>
          <w:i/>
        </w:rPr>
      </w:pPr>
      <w:r>
        <w:rPr>
          <w:rFonts w:ascii="Times New Roman" w:hAnsi="Times New Roman" w:cs="Times New Roman"/>
          <w:b/>
          <w:i/>
        </w:rPr>
        <w:br w:type="page"/>
      </w:r>
    </w:p>
    <w:p w14:paraId="3826C580" w14:textId="77777777" w:rsidR="004709CA" w:rsidRPr="00FA4733" w:rsidRDefault="004709CA" w:rsidP="000D0384">
      <w:pPr>
        <w:pStyle w:val="Heading2"/>
      </w:pPr>
      <w:bookmarkStart w:id="469" w:name="_Toc364636172"/>
      <w:bookmarkStart w:id="470" w:name="_Toc518323397"/>
      <w:r w:rsidRPr="00FA4733">
        <w:t>E. Alternative Liability and Indeterminate Defendants</w:t>
      </w:r>
      <w:bookmarkEnd w:id="469"/>
      <w:bookmarkEnd w:id="470"/>
      <w:r w:rsidRPr="00FA4733">
        <w:t xml:space="preserve"> </w:t>
      </w:r>
    </w:p>
    <w:p w14:paraId="42739272" w14:textId="77777777" w:rsidR="004709CA" w:rsidRDefault="004709CA" w:rsidP="004709CA">
      <w:pPr>
        <w:rPr>
          <w:rFonts w:ascii="Times New Roman" w:hAnsi="Times New Roman" w:cs="Times New Roman"/>
        </w:rPr>
      </w:pPr>
    </w:p>
    <w:p w14:paraId="66C5FC2C" w14:textId="1163820A"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Some multiple defendant cases present a problem of uncertainty about the identity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injurer.</w:t>
      </w:r>
    </w:p>
    <w:p w14:paraId="54681F3E" w14:textId="77777777" w:rsidR="004709CA" w:rsidRDefault="004709CA" w:rsidP="004709CA">
      <w:pPr>
        <w:rPr>
          <w:rFonts w:ascii="Times New Roman" w:hAnsi="Times New Roman" w:cs="Times New Roman"/>
        </w:rPr>
      </w:pPr>
    </w:p>
    <w:p w14:paraId="39835FA5" w14:textId="5FCC774F" w:rsidR="004709CA" w:rsidRPr="001803E0" w:rsidRDefault="750671CE" w:rsidP="750671CE">
      <w:pPr>
        <w:rPr>
          <w:rFonts w:ascii="Times New Roman" w:eastAsia="Times New Roman" w:hAnsi="Times New Roman" w:cs="Times New Roman"/>
          <w:b/>
          <w:bCs/>
        </w:rPr>
      </w:pPr>
      <w:bookmarkStart w:id="471" w:name="_Toc518323398"/>
      <w:r w:rsidRPr="00634D66">
        <w:rPr>
          <w:rStyle w:val="Heading3Char"/>
          <w:i/>
        </w:rPr>
        <w:t>Summers v. Tice</w:t>
      </w:r>
      <w:bookmarkEnd w:id="471"/>
      <w:r w:rsidRPr="750671CE">
        <w:rPr>
          <w:rFonts w:ascii="Times New Roman" w:eastAsia="Times New Roman" w:hAnsi="Times New Roman" w:cs="Times New Roman"/>
          <w:b/>
          <w:bCs/>
        </w:rPr>
        <w:t>, 33 Cal. 2d 80 (1948)</w:t>
      </w:r>
    </w:p>
    <w:p w14:paraId="7FF919C6" w14:textId="77777777" w:rsidR="004709CA" w:rsidRPr="001803E0" w:rsidRDefault="004709CA" w:rsidP="004709CA">
      <w:pPr>
        <w:rPr>
          <w:rFonts w:ascii="Times New Roman" w:hAnsi="Times New Roman" w:cs="Times New Roman"/>
        </w:rPr>
      </w:pPr>
    </w:p>
    <w:p w14:paraId="125EC328" w14:textId="46347DFD" w:rsidR="004709CA" w:rsidRDefault="004709CA" w:rsidP="750671CE">
      <w:pPr>
        <w:tabs>
          <w:tab w:val="left" w:pos="72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rPr>
          <w:rFonts w:ascii="Times New Roman" w:eastAsia="Times New Roman" w:hAnsi="Times New Roman" w:cs="Times New Roman"/>
        </w:rPr>
        <w:t>.</w:t>
      </w:r>
      <w:r w:rsidRPr="750671CE">
        <w:rPr>
          <w:rFonts w:ascii="Times New Roman" w:eastAsia="Times New Roman" w:hAnsi="Times New Roman" w:cs="Times New Roman"/>
        </w:rPr>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rPr>
          <w:rFonts w:ascii="Times New Roman" w:eastAsia="Times New Roman" w:hAnsi="Times New Roman" w:cs="Times New Roman"/>
        </w:rPr>
        <w:t>’</w:t>
      </w:r>
      <w:r w:rsidRPr="750671CE">
        <w:rPr>
          <w:rFonts w:ascii="Times New Roman" w:eastAsia="Times New Roman" w:hAnsi="Times New Roman" w:cs="Times New Roman"/>
        </w:rPr>
        <w:t>s direction. At that time defendants were 75 yards from plaintiff. One shot struck plaintiff in his eye and another in his upper lip</w:t>
      </w:r>
      <w:r w:rsidR="005B0D83">
        <w:rPr>
          <w:rFonts w:ascii="Times New Roman" w:eastAsia="Times New Roman" w:hAnsi="Times New Roman" w:cs="Times New Roman"/>
        </w:rPr>
        <w:t>.</w:t>
      </w:r>
      <w:r w:rsidRPr="750671CE">
        <w:rPr>
          <w:rFonts w:ascii="Times New Roman" w:eastAsia="Times New Roman" w:hAnsi="Times New Roman" w:cs="Times New Roman"/>
        </w:rPr>
        <w:t xml:space="preserve"> . . . </w:t>
      </w:r>
    </w:p>
    <w:p w14:paraId="5871A3AE" w14:textId="77777777" w:rsidR="004709CA" w:rsidRPr="001803E0" w:rsidRDefault="004709CA" w:rsidP="004709CA">
      <w:pPr>
        <w:tabs>
          <w:tab w:val="left" w:pos="1440"/>
          <w:tab w:val="left" w:pos="7920"/>
        </w:tabs>
        <w:rPr>
          <w:rFonts w:ascii="Times New Roman" w:hAnsi="Times New Roman" w:cs="Times New Roman"/>
        </w:rPr>
      </w:pPr>
    </w:p>
    <w:p w14:paraId="1AA1355C" w14:textId="1EFE0293" w:rsidR="004709CA"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417AD">
        <w:rPr>
          <w:rFonts w:ascii="Times New Roman" w:eastAsia="Times New Roman" w:hAnsi="Times New Roman" w:cs="Times New Roman"/>
        </w:rPr>
        <w:t>—</w:t>
      </w:r>
      <w:r w:rsidRPr="750671CE">
        <w:rPr>
          <w:rFonts w:ascii="Times New Roman" w:eastAsia="Times New Roman" w:hAnsi="Times New Roman" w:cs="Times New Roman"/>
        </w:rPr>
        <w:t xml:space="preserve">the shooting by Tice or that by Simonson. </w:t>
      </w:r>
    </w:p>
    <w:p w14:paraId="3588DA85" w14:textId="77777777" w:rsidR="004709CA" w:rsidRPr="001803E0" w:rsidRDefault="004709CA" w:rsidP="004709CA">
      <w:pPr>
        <w:tabs>
          <w:tab w:val="left" w:pos="1440"/>
          <w:tab w:val="left" w:pos="7920"/>
        </w:tabs>
        <w:rPr>
          <w:rFonts w:ascii="Times New Roman" w:hAnsi="Times New Roman" w:cs="Times New Roman"/>
        </w:rPr>
      </w:pPr>
    </w:p>
    <w:p w14:paraId="5E3400D3" w14:textId="11B57435" w:rsidR="004709CA" w:rsidRDefault="004709CA" w:rsidP="750671CE">
      <w:pPr>
        <w:tabs>
          <w:tab w:val="left" w:pos="720"/>
          <w:tab w:val="left" w:pos="1440"/>
          <w:tab w:val="left" w:pos="7920"/>
        </w:tabs>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C319B0">
        <w:rPr>
          <w:rFonts w:ascii="Times New Roman" w:eastAsia="Times New Roman" w:hAnsi="Times New Roman" w:cs="Times New Roman"/>
        </w:rPr>
        <w:t>—</w:t>
      </w:r>
      <w:r w:rsidRPr="750671CE">
        <w:rPr>
          <w:rFonts w:ascii="Times New Roman" w:eastAsia="Times New Roman" w:hAnsi="Times New Roman" w:cs="Times New Roman"/>
        </w:rPr>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Default="004709CA" w:rsidP="004709CA">
      <w:pPr>
        <w:tabs>
          <w:tab w:val="left" w:pos="1440"/>
          <w:tab w:val="left" w:pos="7920"/>
        </w:tabs>
        <w:rPr>
          <w:rFonts w:ascii="Times New Roman" w:hAnsi="Times New Roman" w:cs="Times New Roman"/>
        </w:rPr>
      </w:pPr>
    </w:p>
    <w:p w14:paraId="6EA64E8C" w14:textId="767A5280" w:rsidR="004709CA" w:rsidRPr="001803E0" w:rsidRDefault="750671CE" w:rsidP="750671CE">
      <w:pPr>
        <w:tabs>
          <w:tab w:val="left" w:pos="720"/>
          <w:tab w:val="left" w:pos="1440"/>
          <w:tab w:val="left" w:pos="7920"/>
        </w:tabs>
        <w:ind w:firstLine="720"/>
        <w:rPr>
          <w:rFonts w:ascii="Times New Roman" w:eastAsia="Times New Roman" w:hAnsi="Times New Roman" w:cs="Times New Roman"/>
        </w:rPr>
      </w:pPr>
      <w:r w:rsidRPr="750671CE">
        <w:rPr>
          <w:rFonts w:ascii="Times New Roman" w:eastAsia="Times New Roman" w:hAnsi="Times New Roman" w:cs="Times New Roman"/>
        </w:rPr>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750671CE">
        <w:rPr>
          <w:rFonts w:ascii="Times New Roman" w:eastAsia="Times New Roman" w:hAnsi="Times New Roman" w:cs="Times New Roman"/>
          <w:i/>
          <w:iCs/>
        </w:rPr>
        <w:t>Ybarra v. Spangard</w:t>
      </w:r>
      <w:r w:rsidRPr="750671CE">
        <w:rPr>
          <w:rFonts w:ascii="Times New Roman" w:eastAsia="Times New Roman" w:hAnsi="Times New Roman" w:cs="Times New Roman"/>
        </w:rPr>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w:t>
      </w:r>
      <w:r w:rsidR="00C111DA">
        <w:rPr>
          <w:rFonts w:ascii="Times New Roman" w:eastAsia="Times New Roman" w:hAnsi="Times New Roman" w:cs="Times New Roman"/>
        </w:rPr>
        <w:t xml:space="preserve"> .</w:t>
      </w:r>
      <w:r w:rsidRPr="750671CE">
        <w:rPr>
          <w:rFonts w:ascii="Times New Roman" w:eastAsia="Times New Roman" w:hAnsi="Times New Roman" w:cs="Times New Roman"/>
        </w:rPr>
        <w:t xml:space="preserve"> The judgment is affirmed.</w:t>
      </w:r>
    </w:p>
    <w:p w14:paraId="7D20406D" w14:textId="77777777" w:rsidR="004709CA" w:rsidRDefault="004709CA" w:rsidP="004709CA">
      <w:pPr>
        <w:rPr>
          <w:rFonts w:ascii="Times New Roman" w:hAnsi="Times New Roman" w:cs="Times New Roman"/>
          <w:b/>
          <w:i/>
        </w:rPr>
      </w:pPr>
    </w:p>
    <w:p w14:paraId="63E07FEC" w14:textId="77777777" w:rsidR="00C04514" w:rsidRPr="001803E0" w:rsidRDefault="00C04514" w:rsidP="004709CA">
      <w:pPr>
        <w:rPr>
          <w:rFonts w:ascii="Times New Roman" w:hAnsi="Times New Roman" w:cs="Times New Roman"/>
          <w:b/>
          <w:i/>
        </w:rPr>
      </w:pPr>
    </w:p>
    <w:p w14:paraId="59548145" w14:textId="77777777" w:rsidR="004709CA" w:rsidRDefault="004709CA" w:rsidP="002502CC">
      <w:pPr>
        <w:pStyle w:val="Heading4"/>
      </w:pPr>
      <w:bookmarkStart w:id="472" w:name="_Toc364636173"/>
      <w:bookmarkStart w:id="473" w:name="_Toc518323399"/>
      <w:r w:rsidRPr="00FA4733">
        <w:t>Note</w:t>
      </w:r>
      <w:bookmarkEnd w:id="472"/>
      <w:bookmarkEnd w:id="473"/>
    </w:p>
    <w:p w14:paraId="19F00EA8" w14:textId="77777777" w:rsidR="004709CA" w:rsidRDefault="004709CA" w:rsidP="004709CA">
      <w:pPr>
        <w:rPr>
          <w:rFonts w:ascii="Times New Roman" w:hAnsi="Times New Roman" w:cs="Times New Roman"/>
          <w:b/>
          <w:i/>
        </w:rPr>
      </w:pPr>
    </w:p>
    <w:p w14:paraId="36987074" w14:textId="77777777" w:rsidR="00C04514" w:rsidRPr="00FA4733" w:rsidRDefault="00C04514" w:rsidP="004709CA">
      <w:pPr>
        <w:rPr>
          <w:rFonts w:ascii="Times New Roman" w:hAnsi="Times New Roman" w:cs="Times New Roman"/>
          <w:b/>
          <w:i/>
        </w:rPr>
      </w:pPr>
    </w:p>
    <w:p w14:paraId="296F0DA9" w14:textId="12E1B10E" w:rsidR="004709CA" w:rsidRPr="00F94B7E" w:rsidRDefault="750671CE" w:rsidP="00F94B7E">
      <w:pPr>
        <w:pStyle w:val="ListParagraph"/>
        <w:numPr>
          <w:ilvl w:val="0"/>
          <w:numId w:val="106"/>
        </w:numPr>
        <w:ind w:left="0" w:firstLine="360"/>
        <w:rPr>
          <w:rFonts w:ascii="Times New Roman" w:eastAsia="Times New Roman" w:hAnsi="Times New Roman" w:cs="Times New Roman"/>
        </w:rPr>
      </w:pP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Summers</w:t>
      </w:r>
      <w:r w:rsidRPr="00F94B7E">
        <w:rPr>
          <w:rFonts w:ascii="Times New Roman" w:eastAsia="Times New Roman" w:hAnsi="Times New Roman" w:cs="Times New Roman"/>
        </w:rPr>
        <w:t xml:space="preserve"> court uses a shift in the burden of persuasion which solves the evidentiary problem in a case between two defendants governed by a preponderance standard. But is shifting the burden of persuasion sufficient in a case with more than two possible defendants? The pharmaceutical disaster known as DES raised this problem.</w:t>
      </w:r>
    </w:p>
    <w:p w14:paraId="246BE2F0" w14:textId="77777777" w:rsidR="004709CA" w:rsidRDefault="004709CA" w:rsidP="004709CA">
      <w:pPr>
        <w:rPr>
          <w:rFonts w:ascii="Times New Roman" w:hAnsi="Times New Roman" w:cs="Times New Roman"/>
        </w:rPr>
      </w:pPr>
    </w:p>
    <w:p w14:paraId="59EDE328" w14:textId="77777777" w:rsidR="004709CA" w:rsidRPr="001803E0" w:rsidRDefault="004709CA" w:rsidP="004709CA">
      <w:pPr>
        <w:rPr>
          <w:rFonts w:ascii="Times New Roman" w:hAnsi="Times New Roman" w:cs="Times New Roman"/>
        </w:rPr>
      </w:pPr>
    </w:p>
    <w:p w14:paraId="16306ACC" w14:textId="77777777" w:rsidR="004709CA" w:rsidRPr="00FA4733" w:rsidRDefault="004709CA" w:rsidP="750671CE">
      <w:pPr>
        <w:widowControl w:val="0"/>
        <w:autoSpaceDE w:val="0"/>
        <w:autoSpaceDN w:val="0"/>
        <w:adjustRightInd w:val="0"/>
        <w:rPr>
          <w:rFonts w:ascii="Times New Roman" w:eastAsia="Times New Roman" w:hAnsi="Times New Roman" w:cs="Times New Roman"/>
          <w:b/>
          <w:bCs/>
        </w:rPr>
      </w:pPr>
      <w:bookmarkStart w:id="474" w:name="_Toc518323400"/>
      <w:r w:rsidRPr="00634D66">
        <w:rPr>
          <w:rStyle w:val="Heading3Char"/>
          <w:i/>
        </w:rPr>
        <w:t>Sindell v. Abbott Laboratories</w:t>
      </w:r>
      <w:bookmarkEnd w:id="474"/>
      <w:r w:rsidRPr="750671CE">
        <w:rPr>
          <w:rFonts w:ascii="Times New Roman" w:eastAsia="Times New Roman" w:hAnsi="Times New Roman" w:cs="Times New Roman"/>
          <w:b/>
          <w:bCs/>
        </w:rPr>
        <w:t>, 607 P.2d 924 (Cal. 1980)</w:t>
      </w:r>
    </w:p>
    <w:p w14:paraId="5A7DD1D9" w14:textId="77777777" w:rsidR="004709CA" w:rsidRDefault="004709CA" w:rsidP="004709CA">
      <w:pPr>
        <w:widowControl w:val="0"/>
        <w:autoSpaceDE w:val="0"/>
        <w:autoSpaceDN w:val="0"/>
        <w:adjustRightInd w:val="0"/>
        <w:rPr>
          <w:rFonts w:ascii="Times New Roman" w:hAnsi="Times New Roman" w:cs="Times New Roman"/>
        </w:rPr>
      </w:pPr>
    </w:p>
    <w:p w14:paraId="39E66563" w14:textId="7937CE92" w:rsidR="00787BF5"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smallCaps/>
        </w:rPr>
        <w:t>Mosk, J.</w:t>
      </w:r>
      <w:r w:rsidRPr="750671CE">
        <w:rPr>
          <w:rFonts w:ascii="Times New Roman" w:eastAsia="Times New Roman" w:hAnsi="Times New Roman" w:cs="Times New Roman"/>
        </w:rPr>
        <w:t xml:space="preserve">  </w:t>
      </w:r>
    </w:p>
    <w:p w14:paraId="79FDECC1" w14:textId="77777777" w:rsidR="00787BF5" w:rsidRDefault="00787BF5" w:rsidP="750671CE">
      <w:pPr>
        <w:widowControl w:val="0"/>
        <w:autoSpaceDE w:val="0"/>
        <w:autoSpaceDN w:val="0"/>
        <w:adjustRightInd w:val="0"/>
        <w:rPr>
          <w:rFonts w:ascii="Times New Roman" w:eastAsia="Times New Roman" w:hAnsi="Times New Roman" w:cs="Times New Roman"/>
        </w:rPr>
      </w:pPr>
    </w:p>
    <w:p w14:paraId="27E86573" w14:textId="56CC62FA" w:rsidR="004709CA"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FA4733" w:rsidRDefault="00C111DA" w:rsidP="750671CE">
      <w:pPr>
        <w:widowControl w:val="0"/>
        <w:autoSpaceDE w:val="0"/>
        <w:autoSpaceDN w:val="0"/>
        <w:adjustRightInd w:val="0"/>
        <w:rPr>
          <w:rFonts w:ascii="Times New Roman" w:eastAsia="Times New Roman" w:hAnsi="Times New Roman" w:cs="Times New Roman"/>
        </w:rPr>
      </w:pPr>
    </w:p>
    <w:p w14:paraId="1988AAAC" w14:textId="6CFCB584" w:rsidR="004709CA" w:rsidRPr="00FA47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2B083D4F" w14:textId="77777777" w:rsidR="004709CA" w:rsidRDefault="004709CA" w:rsidP="004709CA">
      <w:pPr>
        <w:widowControl w:val="0"/>
        <w:autoSpaceDE w:val="0"/>
        <w:autoSpaceDN w:val="0"/>
        <w:adjustRightInd w:val="0"/>
        <w:rPr>
          <w:rFonts w:ascii="Times New Roman" w:hAnsi="Times New Roman" w:cs="Times New Roman"/>
          <w:color w:val="000000"/>
        </w:rPr>
      </w:pPr>
    </w:p>
    <w:p w14:paraId="7624DBB5" w14:textId="4492DB23"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Between 1941 and 1971, defendants were engaged in the business of manufacturing, promoting, and marketing diethylstilbesterol (DES), a drug which is a synthetic compound of the female hormone estrogen. The drug was administered to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mother </w:t>
      </w:r>
      <w:bookmarkStart w:id="475" w:name="co_footnoteReference_B00111980304466_ID0"/>
      <w:bookmarkEnd w:id="475"/>
      <w:r w:rsidRPr="750671CE">
        <w:rPr>
          <w:rFonts w:ascii="Times New Roman" w:eastAsia="Times New Roman" w:hAnsi="Times New Roman" w:cs="Times New Roman"/>
          <w:color w:val="000000"/>
        </w:rPr>
        <w:t>. . . for the purpose of preventing miscarriage.</w:t>
      </w:r>
      <w:bookmarkStart w:id="476" w:name="co_pp_sp_233_594_1"/>
      <w:bookmarkEnd w:id="476"/>
      <w:r w:rsidRPr="750671CE">
        <w:rPr>
          <w:rFonts w:ascii="Times New Roman" w:eastAsia="Times New Roman" w:hAnsi="Times New Roman" w:cs="Times New Roman"/>
          <w:color w:val="000000"/>
        </w:rPr>
        <w:t xml:space="preserve"> . . .</w:t>
      </w:r>
    </w:p>
    <w:p w14:paraId="7F0DB10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B4E3B21" w14:textId="2E9FD3AA" w:rsidR="004709CA"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w:t>
      </w:r>
      <w:r w:rsidRPr="750671CE">
        <w:rPr>
          <w:rFonts w:ascii="Times New Roman" w:eastAsia="Times New Roman" w:hAnsi="Times New Roman" w:cs="Times New Roman"/>
        </w:rPr>
        <w:t>In particular, DES causes adenosis (</w:t>
      </w:r>
      <w:r w:rsidR="00B05F31">
        <w:rPr>
          <w:rFonts w:ascii="Times New Roman" w:eastAsia="Times New Roman" w:hAnsi="Times New Roman" w:cs="Times New Roman"/>
        </w:rPr>
        <w:t>“</w:t>
      </w:r>
      <w:r w:rsidRPr="750671CE">
        <w:rPr>
          <w:rFonts w:ascii="Times New Roman" w:eastAsia="Times New Roman" w:hAnsi="Times New Roman" w:cs="Times New Roman"/>
        </w:rPr>
        <w:t>precancerous vaginal and cervical growths which may spread to other areas of the body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well as cancerous vaginal and cervical growths known as adenocarcinoma, a </w:t>
      </w:r>
      <w:r w:rsidR="00B05F31">
        <w:rPr>
          <w:rFonts w:ascii="Times New Roman" w:eastAsia="Times New Roman" w:hAnsi="Times New Roman" w:cs="Times New Roman"/>
        </w:rPr>
        <w:t>“</w:t>
      </w:r>
      <w:r w:rsidRPr="750671CE">
        <w:rPr>
          <w:rFonts w:ascii="Times New Roman" w:eastAsia="Times New Roman" w:hAnsi="Times New Roman" w:cs="Times New Roman"/>
        </w:rPr>
        <w:t>fast-spreading and deadly disease.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78B8BAA9" w14:textId="77777777" w:rsidR="00C111DA" w:rsidRPr="00FA4733" w:rsidRDefault="00C111DA" w:rsidP="750671CE">
      <w:pPr>
        <w:widowControl w:val="0"/>
        <w:autoSpaceDE w:val="0"/>
        <w:autoSpaceDN w:val="0"/>
        <w:adjustRightInd w:val="0"/>
        <w:ind w:firstLine="720"/>
        <w:rPr>
          <w:rFonts w:ascii="Times New Roman" w:eastAsia="Times New Roman" w:hAnsi="Times New Roman" w:cs="Times New Roman"/>
        </w:rPr>
      </w:pPr>
    </w:p>
    <w:p w14:paraId="133F4120" w14:textId="35CC7A2C" w:rsidR="004709CA"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 .</w:t>
      </w:r>
    </w:p>
    <w:p w14:paraId="7CB21DD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82F0024" w14:textId="77777777" w:rsidR="004709CA" w:rsidRPr="00FA4733"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477" w:name="co_pp_sp_227_134_1"/>
      <w:bookmarkStart w:id="478" w:name="co_pp_sp_661_926_1"/>
      <w:bookmarkStart w:id="479" w:name="co_footnoteReference_B00221980304466_ID0"/>
      <w:bookmarkStart w:id="480" w:name="co_pp_sp_233_595_1"/>
      <w:bookmarkEnd w:id="477"/>
      <w:bookmarkEnd w:id="478"/>
      <w:bookmarkEnd w:id="479"/>
      <w:bookmarkEnd w:id="480"/>
      <w:r w:rsidRPr="750671CE">
        <w:rPr>
          <w:rFonts w:ascii="Times New Roman" w:eastAsia="Times New Roman" w:hAnsi="Times New Roman" w:cs="Times New Roman"/>
          <w:color w:val="000000"/>
        </w:rPr>
        <w:t xml:space="preserve">Plaintiff </w:t>
      </w:r>
      <w:r w:rsidRPr="750671CE">
        <w:rPr>
          <w:rFonts w:ascii="Times New Roman" w:eastAsia="Times New Roman" w:hAnsi="Times New Roman" w:cs="Times New Roman"/>
        </w:rPr>
        <w:t xml:space="preserve">[who developed a malignant bladder tumor and who suffered from adenosis, for which she underwent regular and painful monitoring] </w:t>
      </w:r>
      <w:r w:rsidRPr="750671CE">
        <w:rPr>
          <w:rFonts w:ascii="Times New Roman" w:eastAsia="Times New Roman" w:hAnsi="Times New Roman" w:cs="Times New Roman"/>
          <w:color w:val="000000"/>
        </w:rPr>
        <w:t>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8E82CA5" w14:textId="0077AF26" w:rsidR="004709CA" w:rsidRPr="00FA4733" w:rsidRDefault="004709CA"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color w:val="000000"/>
        </w:rPr>
        <w:t>[</w:t>
      </w:r>
      <w:r w:rsidRPr="750671CE">
        <w:rPr>
          <w:rFonts w:ascii="Times New Roman" w:eastAsia="Times New Roman" w:hAnsi="Times New Roman" w:cs="Times New Roman"/>
        </w:rPr>
        <w:t>The trial court dismissed plaintiff</w:t>
      </w:r>
      <w:r w:rsidR="00B05F31">
        <w:rPr>
          <w:rFonts w:ascii="Times New Roman" w:eastAsia="Times New Roman" w:hAnsi="Times New Roman" w:cs="Times New Roman"/>
        </w:rPr>
        <w:t>’</w:t>
      </w:r>
      <w:r w:rsidRPr="750671CE">
        <w:rPr>
          <w:rFonts w:ascii="Times New Roman" w:eastAsia="Times New Roman" w:hAnsi="Times New Roman" w:cs="Times New Roman"/>
        </w:rPr>
        <w:t>s complaint on the ground that plaintiff could not identify which defendant had manufactured the drug that caused her injuries.] . . .</w:t>
      </w:r>
      <w:bookmarkStart w:id="481" w:name="co_pp_sp_233_596_1"/>
      <w:bookmarkStart w:id="482" w:name="co_footnoteReference_B00331980304466_ID0"/>
      <w:bookmarkStart w:id="483" w:name="co_footnoteReference_B00441980304466_ID0"/>
      <w:bookmarkStart w:id="484" w:name="co_pp_sp_227_135_1"/>
      <w:bookmarkStart w:id="485" w:name="co_pp_sp_661_927_1"/>
      <w:bookmarkStart w:id="486" w:name="co_footnoteReference_B00551980304466_ID0"/>
      <w:bookmarkStart w:id="487" w:name="co_pp_sp_233_597_1"/>
      <w:bookmarkEnd w:id="481"/>
      <w:bookmarkEnd w:id="482"/>
      <w:bookmarkEnd w:id="483"/>
      <w:bookmarkEnd w:id="484"/>
      <w:bookmarkEnd w:id="485"/>
      <w:bookmarkEnd w:id="486"/>
      <w:bookmarkEnd w:id="487"/>
    </w:p>
    <w:p w14:paraId="1E05794E" w14:textId="77777777" w:rsidR="004709CA" w:rsidRPr="00FA4733" w:rsidRDefault="004709CA" w:rsidP="004709CA">
      <w:pPr>
        <w:widowControl w:val="0"/>
        <w:autoSpaceDE w:val="0"/>
        <w:autoSpaceDN w:val="0"/>
        <w:adjustRightInd w:val="0"/>
        <w:rPr>
          <w:rFonts w:ascii="Times New Roman" w:hAnsi="Times New Roman" w:cs="Times New Roman"/>
          <w:bCs/>
        </w:rPr>
      </w:pPr>
    </w:p>
    <w:p w14:paraId="530B6420" w14:textId="0A86EB06"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This case is but one of a number filed throughout the country seeking to hold drug manufacturers liable for injuries allegedly resulting from DES prescribed to the plaintiffs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mothers since 1947.</w:t>
      </w:r>
      <w:bookmarkStart w:id="488" w:name="co_footnoteReference_B00661980304466_ID0"/>
      <w:bookmarkEnd w:id="488"/>
      <w:r w:rsidRPr="750671CE">
        <w:rPr>
          <w:rFonts w:ascii="Times New Roman" w:eastAsia="Times New Roman" w:hAnsi="Times New Roman" w:cs="Times New Roman"/>
          <w:color w:val="000000"/>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489" w:name="co_footnoteReference_B00771980304466_ID0"/>
      <w:bookmarkStart w:id="490" w:name="co_pp_sp_661_928_1"/>
      <w:bookmarkStart w:id="491" w:name="co_pp_sp_227_136_1"/>
      <w:bookmarkStart w:id="492" w:name="co_footnoteReference_B00881980304466_ID0"/>
      <w:bookmarkEnd w:id="489"/>
      <w:bookmarkEnd w:id="490"/>
      <w:bookmarkEnd w:id="491"/>
      <w:bookmarkEnd w:id="492"/>
      <w:r w:rsidRPr="750671CE">
        <w:rPr>
          <w:rFonts w:ascii="Times New Roman" w:eastAsia="Times New Roman" w:hAnsi="Times New Roman" w:cs="Times New Roman"/>
          <w:color w:val="000000"/>
        </w:rPr>
        <w:t>. . .</w:t>
      </w:r>
      <w:bookmarkStart w:id="493" w:name="co_anchor_B11980304466_1"/>
      <w:bookmarkEnd w:id="493"/>
    </w:p>
    <w:p w14:paraId="770D01B4"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9074DAD" w14:textId="26237A43"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We begin with the proposition that, as a general rule, the imposition of liability depends upon a showing by the plaintiff that his or her injuries were caused by the act of the defendant or by an instrumentality under the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control. The rule applies whether the injury </w:t>
      </w:r>
      <w:bookmarkStart w:id="494" w:name="co_pp_sp_233_598_1"/>
      <w:bookmarkEnd w:id="494"/>
      <w:r w:rsidRPr="750671CE">
        <w:rPr>
          <w:rFonts w:ascii="Times New Roman" w:eastAsia="Times New Roman" w:hAnsi="Times New Roman" w:cs="Times New Roman"/>
          <w:color w:val="000000"/>
        </w:rPr>
        <w:t>resulted from an accidental event</w:t>
      </w:r>
      <w:r w:rsidR="00C111DA">
        <w:rPr>
          <w:rFonts w:ascii="Times New Roman" w:eastAsia="Times New Roman" w:hAnsi="Times New Roman" w:cs="Times New Roman"/>
          <w:color w:val="000000"/>
        </w:rPr>
        <w:t xml:space="preserve"> . . .</w:t>
      </w:r>
      <w:r w:rsidRPr="750671CE">
        <w:rPr>
          <w:rFonts w:ascii="Times New Roman" w:eastAsia="Times New Roman" w:hAnsi="Times New Roman" w:cs="Times New Roman"/>
          <w:color w:val="000000"/>
        </w:rPr>
        <w:t xml:space="preserve"> or from the use of a defective product. </w:t>
      </w:r>
      <w:r w:rsidR="00C111DA">
        <w:rPr>
          <w:rFonts w:ascii="Times New Roman" w:eastAsia="Times New Roman" w:hAnsi="Times New Roman" w:cs="Times New Roman"/>
          <w:color w:val="000000"/>
        </w:rPr>
        <w:t>. . .</w:t>
      </w:r>
    </w:p>
    <w:p w14:paraId="383BC648"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832893A" w14:textId="77777777" w:rsidR="004709CA" w:rsidRPr="00FA4733" w:rsidRDefault="004709CA"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w:t>
      </w:r>
      <w:r>
        <w:rPr>
          <w:rFonts w:ascii="Times New Roman" w:hAnsi="Times New Roman" w:cs="Times New Roman"/>
          <w:color w:val="000000"/>
        </w:rPr>
        <w:tab/>
      </w:r>
      <w:r w:rsidRPr="750671CE">
        <w:rPr>
          <w:rFonts w:ascii="Times New Roman" w:eastAsia="Times New Roman" w:hAnsi="Times New Roman" w:cs="Times New Roman"/>
          <w:color w:val="000000"/>
        </w:rPr>
        <w:t xml:space="preserve">There are, however, exceptions to this rule. </w:t>
      </w:r>
      <w:bookmarkStart w:id="495" w:name="co_footnoteReference_B00991980304466_ID0"/>
      <w:bookmarkEnd w:id="495"/>
      <w:r w:rsidRPr="750671CE">
        <w:rPr>
          <w:rFonts w:ascii="Times New Roman" w:eastAsia="Times New Roman" w:hAnsi="Times New Roman" w:cs="Times New Roman"/>
          <w:color w:val="000000"/>
        </w:rPr>
        <w:t xml:space="preserve">. . . </w:t>
      </w:r>
    </w:p>
    <w:p w14:paraId="7D650BE1" w14:textId="77777777" w:rsidR="004709CA" w:rsidRPr="00FA4733" w:rsidRDefault="004709CA" w:rsidP="004709CA">
      <w:pPr>
        <w:widowControl w:val="0"/>
        <w:autoSpaceDE w:val="0"/>
        <w:autoSpaceDN w:val="0"/>
        <w:adjustRightInd w:val="0"/>
        <w:rPr>
          <w:rFonts w:ascii="Times New Roman" w:hAnsi="Times New Roman" w:cs="Times New Roman"/>
          <w:color w:val="000000"/>
        </w:rPr>
      </w:pPr>
      <w:bookmarkStart w:id="496" w:name="co_anchor_If22579b85ce611e08b05fdf15589d"/>
      <w:bookmarkEnd w:id="496"/>
    </w:p>
    <w:p w14:paraId="2885A5DC" w14:textId="77777777" w:rsidR="004709CA" w:rsidRPr="004A38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w:t>
      </w:r>
    </w:p>
    <w:p w14:paraId="2A38AAC9" w14:textId="77777777" w:rsidR="004709CA" w:rsidRDefault="004709CA" w:rsidP="004709CA">
      <w:pPr>
        <w:widowControl w:val="0"/>
        <w:autoSpaceDE w:val="0"/>
        <w:autoSpaceDN w:val="0"/>
        <w:adjustRightInd w:val="0"/>
        <w:rPr>
          <w:rFonts w:ascii="Times New Roman" w:hAnsi="Times New Roman" w:cs="Times New Roman"/>
          <w:bCs/>
        </w:rPr>
      </w:pPr>
      <w:bookmarkStart w:id="497" w:name="co_pp_sp_233_599_1"/>
      <w:bookmarkStart w:id="498" w:name="co_pp_sp_227_137_1"/>
      <w:bookmarkStart w:id="499" w:name="co_pp_sp_661_929_1"/>
      <w:bookmarkStart w:id="500" w:name="co_footnoteReference_B010101980304466_ID"/>
      <w:bookmarkStart w:id="501" w:name="co_footnoteReference_B011111980304466_ID"/>
      <w:bookmarkStart w:id="502" w:name="co_pp_sp_233_600_1"/>
      <w:bookmarkStart w:id="503" w:name="co_pp_sp_227_138_1"/>
      <w:bookmarkStart w:id="504" w:name="co_pp_sp_661_930_1"/>
      <w:bookmarkStart w:id="505" w:name="co_footnoteReference_B012121980304466_ID"/>
      <w:bookmarkStart w:id="506" w:name="co_pp_sp_233_601_1"/>
      <w:bookmarkStart w:id="507" w:name="co_footnoteReference_B013131980304466_ID"/>
      <w:bookmarkStart w:id="508" w:name="co_footnoteReference_B014141980304466_ID"/>
      <w:bookmarkStart w:id="509" w:name="co_pp_sp_233_602_1"/>
      <w:bookmarkStart w:id="510" w:name="co_anchor_B21980304466_1"/>
      <w:bookmarkStart w:id="511" w:name="co_footnoteReference_B015151980304466_ID"/>
      <w:bookmarkStart w:id="512" w:name="co_pp_sp_227_139_1"/>
      <w:bookmarkStart w:id="513" w:name="co_pp_sp_661_931_1"/>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p>
    <w:p w14:paraId="5AFCADE5" w14:textId="3CECF2F5" w:rsidR="004709CA" w:rsidRPr="00FA4733"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Court first rejected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contention that the </w:t>
      </w:r>
      <w:r w:rsidR="00B05F31">
        <w:rPr>
          <w:rFonts w:ascii="Times New Roman" w:eastAsia="Times New Roman" w:hAnsi="Times New Roman" w:cs="Times New Roman"/>
        </w:rPr>
        <w:t>“</w:t>
      </w:r>
      <w:r w:rsidRPr="750671CE">
        <w:rPr>
          <w:rFonts w:ascii="Times New Roman" w:eastAsia="Times New Roman" w:hAnsi="Times New Roman" w:cs="Times New Roman"/>
        </w:rPr>
        <w:t>alternative liability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theory of </w:t>
      </w:r>
      <w:r w:rsidRPr="750671CE">
        <w:rPr>
          <w:rFonts w:ascii="Times New Roman" w:eastAsia="Times New Roman" w:hAnsi="Times New Roman" w:cs="Times New Roman"/>
          <w:i/>
          <w:iCs/>
        </w:rPr>
        <w:t>Ybarra v. Spangard</w:t>
      </w:r>
      <w:r w:rsidRPr="750671CE">
        <w:rPr>
          <w:rFonts w:ascii="Times New Roman" w:eastAsia="Times New Roman" w:hAnsi="Times New Roman" w:cs="Times New Roman"/>
        </w:rPr>
        <w:t xml:space="preserve"> and </w:t>
      </w:r>
      <w:r w:rsidRPr="750671CE">
        <w:rPr>
          <w:rFonts w:ascii="Times New Roman" w:eastAsia="Times New Roman" w:hAnsi="Times New Roman" w:cs="Times New Roman"/>
          <w:i/>
          <w:iCs/>
        </w:rPr>
        <w:t>Summers v. Tice</w:t>
      </w:r>
      <w:r w:rsidRPr="750671CE">
        <w:rPr>
          <w:rFonts w:ascii="Times New Roman" w:eastAsia="Times New Roman" w:hAnsi="Times New Roman" w:cs="Times New Roman"/>
        </w:rPr>
        <w:t xml:space="preserve"> applied. The Court asserted that </w:t>
      </w:r>
      <w:r w:rsidRPr="750671CE">
        <w:rPr>
          <w:rFonts w:ascii="Times New Roman" w:eastAsia="Times New Roman" w:hAnsi="Times New Roman" w:cs="Times New Roman"/>
          <w:i/>
          <w:iCs/>
        </w:rPr>
        <w:t>Summers</w:t>
      </w:r>
      <w:r w:rsidR="00B05F31">
        <w:rPr>
          <w:rFonts w:ascii="Times New Roman" w:eastAsia="Times New Roman" w:hAnsi="Times New Roman" w:cs="Times New Roman"/>
          <w:i/>
          <w:iCs/>
        </w:rPr>
        <w:t>’</w:t>
      </w:r>
      <w:r w:rsidRPr="00F94B7E">
        <w:rPr>
          <w:rFonts w:ascii="Times New Roman" w:eastAsia="Times New Roman" w:hAnsi="Times New Roman" w:cs="Times New Roman"/>
          <w:iCs/>
        </w:rPr>
        <w:t>s</w:t>
      </w:r>
      <w:r w:rsidRPr="750671CE">
        <w:rPr>
          <w:rFonts w:ascii="Times New Roman" w:eastAsia="Times New Roman" w:hAnsi="Times New Roman" w:cs="Times New Roman"/>
        </w:rPr>
        <w:t xml:space="preserve"> alternative liability theory did not require the plaintiff to show that the defendants had better access to information on the causation question. Nonetheless, the Court reasoned that there was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an important difference between the situation involved in </w:t>
      </w:r>
      <w:r w:rsidRPr="750671CE">
        <w:rPr>
          <w:rFonts w:ascii="Times New Roman" w:eastAsia="Times New Roman" w:hAnsi="Times New Roman" w:cs="Times New Roman"/>
          <w:i/>
          <w:iCs/>
        </w:rPr>
        <w:t>Summers</w:t>
      </w:r>
      <w:r w:rsidRPr="750671CE">
        <w:rPr>
          <w:rFonts w:ascii="Times New Roman" w:eastAsia="Times New Roman" w:hAnsi="Times New Roman" w:cs="Times New Roman"/>
        </w:rPr>
        <w:t xml:space="preserve"> and the present case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2AA811F8" w14:textId="77777777" w:rsidR="004709CA" w:rsidRPr="00FA4733" w:rsidRDefault="004709CA" w:rsidP="004709CA">
      <w:pPr>
        <w:widowControl w:val="0"/>
        <w:autoSpaceDE w:val="0"/>
        <w:autoSpaceDN w:val="0"/>
        <w:adjustRightInd w:val="0"/>
        <w:rPr>
          <w:rFonts w:ascii="Times New Roman" w:hAnsi="Times New Roman" w:cs="Times New Roman"/>
          <w:b/>
          <w:bCs/>
        </w:rPr>
      </w:pPr>
    </w:p>
    <w:p w14:paraId="0CC62087" w14:textId="77777777"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514" w:name="co_footnoteReference_B016161980304466_ID"/>
      <w:bookmarkEnd w:id="514"/>
    </w:p>
    <w:p w14:paraId="27DA8ED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6A5D57A" w14:textId="0E4230D5"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Defendants maintain that, while in Summers there was a 50 percent chance that one of the two defendants was responsible for the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injuries, here since any one of 200 companies which manufactured DES</w:t>
      </w:r>
      <w:bookmarkStart w:id="515" w:name="co_pp_sp_233_603_1"/>
      <w:bookmarkEnd w:id="515"/>
      <w:r w:rsidRPr="750671CE">
        <w:rPr>
          <w:rFonts w:ascii="Times New Roman" w:eastAsia="Times New Roman" w:hAnsi="Times New Roman" w:cs="Times New Roman"/>
          <w:color w:val="000000"/>
        </w:rPr>
        <w:t xml:space="preserve"> might have made the product which harmed plaintiff, there is no rational basis upon which to infer that any defendant in this action caused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injuries, nor even a reasonable possibility that they were responsible</w:t>
      </w:r>
      <w:bookmarkStart w:id="516" w:name="co_footnoteReference_B017171980304466_ID"/>
      <w:bookmarkEnd w:id="516"/>
      <w:r w:rsidRPr="750671CE">
        <w:rPr>
          <w:rFonts w:ascii="Times New Roman" w:eastAsia="Times New Roman" w:hAnsi="Times New Roman" w:cs="Times New Roman"/>
          <w:color w:val="000000"/>
        </w:rPr>
        <w:t>.</w:t>
      </w:r>
    </w:p>
    <w:p w14:paraId="22FB4BD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D9A2D03" w14:textId="79A63492"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mother is so remote that it would be unfair to require each defendant to exonerate itself. [T]he rule in </w:t>
      </w:r>
      <w:r w:rsidRPr="750671CE">
        <w:rPr>
          <w:rFonts w:ascii="Times New Roman" w:eastAsia="Times New Roman" w:hAnsi="Times New Roman" w:cs="Times New Roman"/>
          <w:i/>
          <w:iCs/>
          <w:color w:val="000000"/>
        </w:rPr>
        <w:t>Summers</w:t>
      </w:r>
      <w:r w:rsidRPr="750671CE">
        <w:rPr>
          <w:rFonts w:ascii="Times New Roman" w:eastAsia="Times New Roman" w:hAnsi="Times New Roman" w:cs="Times New Roman"/>
          <w:color w:val="000000"/>
        </w:rPr>
        <w:t xml:space="preserve"> . . . , as previously applied, cannot relieve plaintiff of the burden of proving the identity of the manufacturer which made the drug causing her injuries.</w:t>
      </w:r>
      <w:bookmarkStart w:id="517" w:name="co_footnoteReference_B018181980304466_ID"/>
      <w:bookmarkEnd w:id="517"/>
      <w:r w:rsidRPr="750671CE">
        <w:rPr>
          <w:rFonts w:ascii="Times New Roman" w:eastAsia="Times New Roman" w:hAnsi="Times New Roman" w:cs="Times New Roman"/>
          <w:color w:val="000000"/>
        </w:rPr>
        <w:t xml:space="preserve"> </w:t>
      </w:r>
      <w:bookmarkStart w:id="518" w:name="co_anchor_If22579b95ce611e08b05fdf15589d"/>
      <w:bookmarkEnd w:id="518"/>
    </w:p>
    <w:p w14:paraId="3EBD89C2" w14:textId="0F11AB22" w:rsidR="00634D66" w:rsidRDefault="00634D66">
      <w:pPr>
        <w:rPr>
          <w:rFonts w:ascii="Times New Roman" w:hAnsi="Times New Roman" w:cs="Times New Roman"/>
          <w:color w:val="000000"/>
        </w:rPr>
      </w:pPr>
      <w:r>
        <w:rPr>
          <w:rFonts w:ascii="Times New Roman" w:hAnsi="Times New Roman" w:cs="Times New Roman"/>
          <w:color w:val="000000"/>
        </w:rPr>
        <w:br w:type="page"/>
      </w:r>
    </w:p>
    <w:p w14:paraId="085A9DC3" w14:textId="77777777" w:rsidR="004709CA" w:rsidRPr="004A38F5"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II</w:t>
      </w:r>
    </w:p>
    <w:p w14:paraId="176303DB" w14:textId="77777777" w:rsidR="004709CA" w:rsidRPr="00FA4733" w:rsidRDefault="004709CA" w:rsidP="004709CA">
      <w:pPr>
        <w:widowControl w:val="0"/>
        <w:autoSpaceDE w:val="0"/>
        <w:autoSpaceDN w:val="0"/>
        <w:adjustRightInd w:val="0"/>
        <w:rPr>
          <w:rFonts w:ascii="Times New Roman" w:hAnsi="Times New Roman" w:cs="Times New Roman"/>
          <w:b/>
          <w:bCs/>
          <w:color w:val="000000"/>
        </w:rPr>
      </w:pPr>
    </w:p>
    <w:p w14:paraId="4C979D02" w14:textId="7D6EFF51"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The second principle upon which plaintiff relies is the so-called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concert of action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theory. </w:t>
      </w:r>
      <w:bookmarkStart w:id="519" w:name="co_pp_sp_227_140_1"/>
      <w:bookmarkStart w:id="520" w:name="co_pp_sp_661_932_1"/>
      <w:bookmarkStart w:id="521" w:name="co_pp_sp_233_604_1"/>
      <w:bookmarkStart w:id="522" w:name="co_footnoteReference_B019191980304466_ID"/>
      <w:bookmarkEnd w:id="519"/>
      <w:bookmarkEnd w:id="520"/>
      <w:bookmarkEnd w:id="521"/>
      <w:bookmarkEnd w:id="522"/>
      <w:r w:rsidRPr="750671CE">
        <w:rPr>
          <w:rFonts w:ascii="Times New Roman" w:eastAsia="Times New Roman" w:hAnsi="Times New Roman" w:cs="Times New Roman"/>
          <w:color w:val="000000"/>
        </w:rPr>
        <w:t xml:space="preserve">. . </w:t>
      </w:r>
      <w:r w:rsidR="00C111DA">
        <w:rPr>
          <w:rFonts w:ascii="Times New Roman" w:eastAsia="Times New Roman" w:hAnsi="Times New Roman" w:cs="Times New Roman"/>
          <w:color w:val="000000"/>
        </w:rPr>
        <w:t xml:space="preserve">. </w:t>
      </w:r>
      <w:r w:rsidRPr="750671CE">
        <w:rPr>
          <w:rFonts w:ascii="Times New Roman" w:eastAsia="Times New Roman" w:hAnsi="Times New Roman" w:cs="Times New Roman"/>
          <w:color w:val="000000"/>
        </w:rPr>
        <w:t xml:space="preserve"> The elements of this doctrine are prescribed in section 876 of the Restatement of Torts. The section provides,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For harm resulting to a third person from the tortious conduct of another, one is subject to liability if he (a) does a tortious act in concert with the other or pursuant to a common design with him, or (b) knows that the other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 . .</w:t>
      </w:r>
    </w:p>
    <w:p w14:paraId="6F6F3542"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85B1586" w14:textId="77777777" w:rsidR="004709CA" w:rsidRPr="00FA4733" w:rsidRDefault="004709CA" w:rsidP="750671CE">
      <w:pPr>
        <w:widowControl w:val="0"/>
        <w:autoSpaceDE w:val="0"/>
        <w:autoSpaceDN w:val="0"/>
        <w:adjustRightInd w:val="0"/>
        <w:ind w:firstLine="720"/>
        <w:rPr>
          <w:rFonts w:ascii="Times New Roman" w:eastAsia="Times New Roman" w:hAnsi="Times New Roman" w:cs="Times New Roman"/>
          <w:b/>
          <w:bCs/>
        </w:rPr>
      </w:pPr>
      <w:bookmarkStart w:id="523" w:name="co_pp_sp_233_605_1"/>
      <w:bookmarkStart w:id="524" w:name="co_anchor_B31980304466_1"/>
      <w:bookmarkEnd w:id="523"/>
      <w:bookmarkEnd w:id="524"/>
      <w:r w:rsidRPr="750671CE">
        <w:rPr>
          <w:rFonts w:ascii="Times New Roman" w:eastAsia="Times New Roman" w:hAnsi="Times New Roman" w:cs="Times New Roman"/>
        </w:rPr>
        <w:t xml:space="preserve">[The Court, however, concluded that the allegations in the complaint] </w:t>
      </w:r>
      <w:r w:rsidRPr="750671CE">
        <w:rPr>
          <w:rFonts w:ascii="Times New Roman" w:eastAsia="Times New Roman" w:hAnsi="Times New Roman" w:cs="Times New Roman"/>
          <w:color w:val="000000"/>
        </w:rPr>
        <w:t>do not amount to a charge that there was a tacit understanding or a common plan among defendants to fail to conduct adequate tests or give sufficient warnings, and that they substantially aided and encouraged one another in these omissions. . . .</w:t>
      </w:r>
    </w:p>
    <w:p w14:paraId="7955628F" w14:textId="77777777" w:rsidR="004709CA" w:rsidRPr="00FA47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5BB30095" w14:textId="164F3C26"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525" w:name="co_pp_sp_227_141_1"/>
      <w:bookmarkStart w:id="526" w:name="co_pp_sp_661_933_1"/>
      <w:bookmarkStart w:id="527" w:name="co_pp_sp_233_606_1"/>
      <w:bookmarkStart w:id="528" w:name="co_footnoteReference_B020201980304466_ID"/>
      <w:bookmarkStart w:id="529" w:name="co_footnoteReference_B021211980304466_ID"/>
      <w:bookmarkEnd w:id="525"/>
      <w:bookmarkEnd w:id="526"/>
      <w:bookmarkEnd w:id="527"/>
      <w:bookmarkEnd w:id="528"/>
      <w:bookmarkEnd w:id="529"/>
      <w:r w:rsidRPr="750671CE">
        <w:rPr>
          <w:rFonts w:ascii="Times New Roman" w:eastAsia="Times New Roman" w:hAnsi="Times New Roman" w:cs="Times New Roman"/>
          <w:color w:val="000000"/>
        </w:rPr>
        <w:t>There is no allegation here that each defendant knew the other defendants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conduct was 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530" w:name="co_anchor_If22579ba5ce611e08b05fdf15589d"/>
      <w:bookmarkEnd w:id="530"/>
    </w:p>
    <w:p w14:paraId="58C1B747" w14:textId="77777777" w:rsidR="004709CA" w:rsidRPr="00DD0987" w:rsidRDefault="004709CA" w:rsidP="004709CA">
      <w:pPr>
        <w:widowControl w:val="0"/>
        <w:autoSpaceDE w:val="0"/>
        <w:autoSpaceDN w:val="0"/>
        <w:adjustRightInd w:val="0"/>
        <w:rPr>
          <w:rFonts w:ascii="Times New Roman" w:hAnsi="Times New Roman" w:cs="Times New Roman"/>
          <w:color w:val="000000"/>
        </w:rPr>
      </w:pPr>
    </w:p>
    <w:p w14:paraId="1AA10BD1" w14:textId="77777777" w:rsidR="004709CA" w:rsidRPr="004A38F5"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531" w:name="co_pp_sp_233_607_1"/>
      <w:bookmarkEnd w:id="531"/>
      <w:r w:rsidRPr="750671CE">
        <w:rPr>
          <w:rFonts w:ascii="Times New Roman" w:eastAsia="Times New Roman" w:hAnsi="Times New Roman" w:cs="Times New Roman"/>
          <w:color w:val="000000"/>
        </w:rPr>
        <w:t>III</w:t>
      </w:r>
    </w:p>
    <w:p w14:paraId="2F4F0F6B" w14:textId="77777777" w:rsidR="004709CA" w:rsidRPr="00FA4733" w:rsidRDefault="004709CA" w:rsidP="004709CA">
      <w:pPr>
        <w:widowControl w:val="0"/>
        <w:autoSpaceDE w:val="0"/>
        <w:autoSpaceDN w:val="0"/>
        <w:adjustRightInd w:val="0"/>
        <w:rPr>
          <w:rFonts w:ascii="Times New Roman" w:hAnsi="Times New Roman" w:cs="Times New Roman"/>
          <w:b/>
          <w:bCs/>
          <w:color w:val="000000"/>
        </w:rPr>
      </w:pPr>
    </w:p>
    <w:p w14:paraId="070F4215" w14:textId="0296D89F"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A third theory upon which plaintiff relies is the concept of industry-wide liability, or according to the terminology of the parties,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enterprise liability.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This theory was suggested in </w:t>
      </w:r>
      <w:bookmarkStart w:id="532" w:name="co_pp_sp_661_934_1"/>
      <w:bookmarkStart w:id="533" w:name="co_pp_sp_227_142_1"/>
      <w:bookmarkEnd w:id="532"/>
      <w:bookmarkEnd w:id="533"/>
      <w:r w:rsidRPr="750671CE">
        <w:rPr>
          <w:rFonts w:ascii="Times New Roman" w:eastAsia="Times New Roman" w:hAnsi="Times New Roman" w:cs="Times New Roman"/>
          <w:color w:val="000000" w:themeColor="text1"/>
        </w:rPr>
        <w:t>Hall v. E. I. Du Pont de Nemours &amp; Co., Inc. (E.D.N.Y.1972) 345 F.Supp. 353.</w:t>
      </w:r>
      <w:r w:rsidRPr="750671CE">
        <w:rPr>
          <w:rFonts w:ascii="Times New Roman" w:eastAsia="Times New Roman" w:hAnsi="Times New Roman" w:cs="Times New Roman"/>
          <w:color w:val="000000"/>
        </w:rPr>
        <w:t xml:space="preserve">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injuries. The complaint did not identify a particular manufacturer of a cap which caused a particular injury.</w:t>
      </w:r>
      <w:bookmarkStart w:id="534" w:name="co_footnoteReference_B022221980304466_ID"/>
      <w:bookmarkEnd w:id="534"/>
      <w:r w:rsidRPr="750671CE">
        <w:rPr>
          <w:rFonts w:ascii="Times New Roman" w:eastAsia="Times New Roman" w:hAnsi="Times New Roman" w:cs="Times New Roman"/>
          <w:color w:val="000000"/>
        </w:rPr>
        <w:t xml:space="preserve">  </w:t>
      </w:r>
    </w:p>
    <w:p w14:paraId="6F66DAA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7DFD76B" w14:textId="77777777" w:rsidR="004709CA" w:rsidRDefault="004709CA" w:rsidP="750671CE">
      <w:pPr>
        <w:widowControl w:val="0"/>
        <w:autoSpaceDE w:val="0"/>
        <w:autoSpaceDN w:val="0"/>
        <w:adjustRightInd w:val="0"/>
        <w:ind w:firstLine="720"/>
        <w:rPr>
          <w:rFonts w:ascii="Times New Roman" w:eastAsia="Times New Roman" w:hAnsi="Times New Roman" w:cs="Times New Roman"/>
          <w:color w:val="000000"/>
        </w:rPr>
      </w:pPr>
      <w:r w:rsidRPr="750671CE">
        <w:rPr>
          <w:rFonts w:ascii="Times New Roman" w:eastAsia="Times New Roman" w:hAnsi="Times New Roman" w:cs="Times New Roman"/>
          <w:color w:val="000000"/>
        </w:rPr>
        <w:t>The [</w:t>
      </w:r>
      <w:r w:rsidRPr="750671CE">
        <w:rPr>
          <w:rFonts w:ascii="Times New Roman" w:eastAsia="Times New Roman" w:hAnsi="Times New Roman" w:cs="Times New Roman"/>
          <w:i/>
          <w:iCs/>
          <w:color w:val="000000"/>
        </w:rPr>
        <w:t>Hall</w:t>
      </w:r>
      <w:r w:rsidRPr="750671CE">
        <w:rPr>
          <w:rFonts w:ascii="Times New Roman" w:eastAsia="Times New Roman" w:hAnsi="Times New Roman" w:cs="Times New Roman"/>
          <w:color w:val="000000"/>
        </w:rPr>
        <w:t xml:space="preserve">] court 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535" w:name="co_pp_sp_233_608_1"/>
      <w:bookmarkEnd w:id="535"/>
      <w:r w:rsidRPr="750671CE">
        <w:rPr>
          <w:rFonts w:ascii="Times New Roman" w:eastAsia="Times New Roman" w:hAnsi="Times New Roman" w:cs="Times New Roman"/>
          <w:color w:val="000000"/>
        </w:rPr>
        <w:t>jointly controlled the risk. Thus, if plaintiffs could establish by a preponderance of the evidence that the caps were manufactured by one of the defendants, the burden of proof as to causation would shift to all the defendants. The court noted that this theory of liability applied to industries composed of a small number of units, and that what would be fair and reasonable with regard to an industry of five or ten producers might be manifestly unreasonable if applied to a decentralized industry composed of countless small producers.</w:t>
      </w:r>
      <w:bookmarkStart w:id="536" w:name="co_footnoteReference_B023231980304466_ID"/>
      <w:bookmarkEnd w:id="536"/>
      <w:r w:rsidRPr="750671CE">
        <w:rPr>
          <w:rFonts w:ascii="Times New Roman" w:eastAsia="Times New Roman" w:hAnsi="Times New Roman" w:cs="Times New Roman"/>
          <w:color w:val="000000"/>
        </w:rPr>
        <w:t xml:space="preserve">  </w:t>
      </w:r>
    </w:p>
    <w:p w14:paraId="76ED819F" w14:textId="77777777" w:rsidR="00C111DA" w:rsidRPr="00FA4733" w:rsidRDefault="00C111DA" w:rsidP="750671CE">
      <w:pPr>
        <w:widowControl w:val="0"/>
        <w:autoSpaceDE w:val="0"/>
        <w:autoSpaceDN w:val="0"/>
        <w:adjustRightInd w:val="0"/>
        <w:ind w:firstLine="720"/>
        <w:rPr>
          <w:rFonts w:ascii="Times New Roman" w:eastAsia="Times New Roman" w:hAnsi="Times New Roman" w:cs="Times New Roman"/>
          <w:color w:val="000000" w:themeColor="text1"/>
        </w:rPr>
      </w:pPr>
    </w:p>
    <w:p w14:paraId="4158031B" w14:textId="2645B94B" w:rsidR="004709CA"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537" w:name="co_pp_sp_227_143_1"/>
      <w:bookmarkStart w:id="538" w:name="co_pp_sp_661_935_1"/>
      <w:bookmarkStart w:id="539" w:name="co_footnoteReference_B024241980304466_ID"/>
      <w:bookmarkStart w:id="540" w:name="co_pp_sp_233_609_1"/>
      <w:bookmarkStart w:id="541" w:name="co_footnoteReference_B025251980304466_ID"/>
      <w:bookmarkEnd w:id="537"/>
      <w:bookmarkEnd w:id="538"/>
      <w:bookmarkEnd w:id="539"/>
      <w:bookmarkEnd w:id="540"/>
      <w:bookmarkEnd w:id="541"/>
      <w:r w:rsidRPr="750671CE">
        <w:rPr>
          <w:rFonts w:ascii="Times New Roman" w:eastAsia="Times New Roman" w:hAnsi="Times New Roman" w:cs="Times New Roman"/>
          <w:color w:val="000000"/>
        </w:rPr>
        <w:t>. . .</w:t>
      </w:r>
    </w:p>
    <w:p w14:paraId="687BF77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6D1E6E6" w14:textId="6C8D8C41"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542" w:name="co_anchor_B41980304466_1"/>
      <w:bookmarkEnd w:id="542"/>
      <w:r w:rsidRPr="750671CE">
        <w:rPr>
          <w:rFonts w:ascii="Times New Roman" w:eastAsia="Times New Roman" w:hAnsi="Times New Roman" w:cs="Times New Roman"/>
          <w:color w:val="000000"/>
        </w:rPr>
        <w:t xml:space="preserve">We decline to apply this theory in the present case. At least 200 manufacturers produced DES; </w:t>
      </w:r>
      <w:r w:rsidRPr="750671CE">
        <w:rPr>
          <w:rFonts w:ascii="Times New Roman" w:eastAsia="Times New Roman" w:hAnsi="Times New Roman" w:cs="Times New Roman"/>
          <w:i/>
          <w:iCs/>
          <w:color w:val="000000"/>
        </w:rPr>
        <w:t>Hall</w:t>
      </w:r>
      <w:r w:rsidRPr="750671CE">
        <w:rPr>
          <w:rFonts w:ascii="Times New Roman" w:eastAsia="Times New Roman" w:hAnsi="Times New Roman" w:cs="Times New Roman"/>
          <w:color w:val="000000"/>
        </w:rPr>
        <w:t>, which involved 6 manufacturers representing the entire blasting cap industry in the United States, cautioned against application of the doctrine espoused therein t</w:t>
      </w:r>
      <w:r w:rsidR="00274C69" w:rsidRPr="750671CE">
        <w:rPr>
          <w:rFonts w:ascii="Times New Roman" w:eastAsia="Times New Roman" w:hAnsi="Times New Roman" w:cs="Times New Roman"/>
          <w:color w:val="000000"/>
        </w:rPr>
        <w:t xml:space="preserve">o a large number of producers. </w:t>
      </w:r>
      <w:r w:rsidRPr="750671CE">
        <w:rPr>
          <w:rFonts w:ascii="Times New Roman" w:eastAsia="Times New Roman" w:hAnsi="Times New Roman" w:cs="Times New Roman"/>
          <w:color w:val="000000"/>
        </w:rPr>
        <w:t xml:space="preserve">Moreover, in </w:t>
      </w:r>
      <w:r w:rsidRPr="750671CE">
        <w:rPr>
          <w:rFonts w:ascii="Times New Roman" w:eastAsia="Times New Roman" w:hAnsi="Times New Roman" w:cs="Times New Roman"/>
          <w:i/>
          <w:iCs/>
          <w:color w:val="000000"/>
        </w:rPr>
        <w:t>Hall</w:t>
      </w:r>
      <w:r w:rsidRPr="750671CE">
        <w:rPr>
          <w:rFonts w:ascii="Times New Roman" w:eastAsia="Times New Roman" w:hAnsi="Times New Roman" w:cs="Times New Roman"/>
          <w:color w:val="000000"/>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F3B3CDA" w14:textId="7F0A9A8D"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Equally important, the drug industry is closely regulated by the Food and Drug Administration, which actively controls the testing and manufacture of drugs and the method by which they are marketed, including the contents of warning labels.</w:t>
      </w:r>
      <w:bookmarkStart w:id="543" w:name="co_footnoteReference_B026261980304466_ID"/>
      <w:bookmarkEnd w:id="543"/>
      <w:r w:rsidR="00274C69" w:rsidRPr="750671CE">
        <w:rPr>
          <w:rFonts w:ascii="Times New Roman" w:eastAsia="Times New Roman" w:hAnsi="Times New Roman" w:cs="Times New Roman"/>
          <w:color w:val="000000"/>
        </w:rPr>
        <w:t xml:space="preserve"> </w:t>
      </w:r>
      <w:r w:rsidRPr="750671CE">
        <w:rPr>
          <w:rFonts w:ascii="Times New Roman" w:eastAsia="Times New Roman" w:hAnsi="Times New Roman" w:cs="Times New Roman"/>
          <w:color w:val="000000"/>
        </w:rPr>
        <w:t xml:space="preserve">To a considerable degree, therefore, the standards followed by drug manufacturers are suggested or compelled by the government. </w:t>
      </w:r>
      <w:bookmarkStart w:id="544" w:name="co_pp_sp_233_610_1"/>
      <w:bookmarkEnd w:id="544"/>
      <w:r w:rsidRPr="750671CE">
        <w:rPr>
          <w:rFonts w:ascii="Times New Roman" w:eastAsia="Times New Roman" w:hAnsi="Times New Roman" w:cs="Times New Roman"/>
          <w:color w:val="000000"/>
        </w:rPr>
        <w:t xml:space="preserve">. . .  </w:t>
      </w:r>
    </w:p>
    <w:p w14:paraId="7E9A4FD5" w14:textId="77777777" w:rsidR="004709CA" w:rsidRDefault="004709CA" w:rsidP="004709CA">
      <w:pPr>
        <w:widowControl w:val="0"/>
        <w:autoSpaceDE w:val="0"/>
        <w:autoSpaceDN w:val="0"/>
        <w:adjustRightInd w:val="0"/>
        <w:rPr>
          <w:rFonts w:ascii="Times New Roman" w:hAnsi="Times New Roman" w:cs="Times New Roman"/>
          <w:color w:val="000000"/>
        </w:rPr>
      </w:pPr>
    </w:p>
    <w:p w14:paraId="00F59A04" w14:textId="77777777"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545" w:name="co_footnoteReference_B027271980304466_ID"/>
      <w:bookmarkEnd w:id="545"/>
      <w:r w:rsidRPr="750671CE">
        <w:rPr>
          <w:rFonts w:ascii="Times New Roman" w:eastAsia="Times New Roman" w:hAnsi="Times New Roman" w:cs="Times New Roman"/>
          <w:color w:val="000000"/>
        </w:rPr>
        <w:t xml:space="preserve"> </w:t>
      </w:r>
    </w:p>
    <w:p w14:paraId="692233D6"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02B9546" w14:textId="77777777" w:rsidR="004709CA" w:rsidRPr="00DD0987"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546" w:name="co_anchor_If22579bb5ce611e08b05fdf15589d"/>
      <w:bookmarkStart w:id="547" w:name="co_pp_sp_227_144_1"/>
      <w:bookmarkEnd w:id="546"/>
      <w:bookmarkEnd w:id="547"/>
      <w:r w:rsidRPr="750671CE">
        <w:rPr>
          <w:rFonts w:ascii="Times New Roman" w:eastAsia="Times New Roman" w:hAnsi="Times New Roman" w:cs="Times New Roman"/>
          <w:color w:val="000000"/>
        </w:rPr>
        <w:t>IV</w:t>
      </w:r>
    </w:p>
    <w:p w14:paraId="030A7F64" w14:textId="77777777" w:rsidR="004709CA" w:rsidRDefault="004709CA" w:rsidP="004709CA">
      <w:pPr>
        <w:widowControl w:val="0"/>
        <w:autoSpaceDE w:val="0"/>
        <w:autoSpaceDN w:val="0"/>
        <w:adjustRightInd w:val="0"/>
        <w:rPr>
          <w:rFonts w:ascii="Times New Roman" w:hAnsi="Times New Roman" w:cs="Times New Roman"/>
          <w:color w:val="000000"/>
        </w:rPr>
      </w:pPr>
    </w:p>
    <w:p w14:paraId="44C5D474" w14:textId="77777777"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If we were confined to the theories of </w:t>
      </w:r>
      <w:r w:rsidRPr="750671CE">
        <w:rPr>
          <w:rFonts w:ascii="Times New Roman" w:eastAsia="Times New Roman" w:hAnsi="Times New Roman" w:cs="Times New Roman"/>
          <w:i/>
          <w:iCs/>
          <w:color w:val="000000" w:themeColor="text1"/>
        </w:rPr>
        <w:t>Summers</w:t>
      </w:r>
      <w:r w:rsidRPr="750671CE">
        <w:rPr>
          <w:rFonts w:ascii="Times New Roman" w:eastAsia="Times New Roman" w:hAnsi="Times New Roman" w:cs="Times New Roman"/>
          <w:color w:val="000000" w:themeColor="text1"/>
        </w:rPr>
        <w:t xml:space="preserve"> and </w:t>
      </w:r>
      <w:r w:rsidRPr="750671CE">
        <w:rPr>
          <w:rFonts w:ascii="Times New Roman" w:eastAsia="Times New Roman" w:hAnsi="Times New Roman" w:cs="Times New Roman"/>
          <w:i/>
          <w:iCs/>
          <w:color w:val="000000" w:themeColor="text1"/>
        </w:rPr>
        <w:t>Hall</w:t>
      </w:r>
      <w:r w:rsidRPr="750671CE">
        <w:rPr>
          <w:rFonts w:ascii="Times New Roman" w:eastAsia="Times New Roman" w:hAnsi="Times New Roman" w:cs="Times New Roman"/>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9885737" w14:textId="77777777"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750671CE">
        <w:rPr>
          <w:rFonts w:ascii="Times New Roman" w:eastAsia="Times New Roman" w:hAnsi="Times New Roman" w:cs="Times New Roman"/>
          <w:i/>
          <w:iCs/>
          <w:color w:val="000000" w:themeColor="text1"/>
        </w:rPr>
        <w:t>Escola v. Coca Cola Bottling Company</w:t>
      </w:r>
      <w:r w:rsidRPr="750671CE">
        <w:rPr>
          <w:rFonts w:ascii="Times New Roman" w:eastAsia="Times New Roman" w:hAnsi="Times New Roman" w:cs="Times New Roman"/>
          <w:color w:val="000000" w:themeColor="text1"/>
        </w:rPr>
        <w:t xml:space="preserve"> (1944), 150 P.2d 436 [we will read </w:t>
      </w:r>
      <w:r w:rsidRPr="750671CE">
        <w:rPr>
          <w:rFonts w:ascii="Times New Roman" w:eastAsia="Times New Roman" w:hAnsi="Times New Roman" w:cs="Times New Roman"/>
          <w:i/>
          <w:iCs/>
          <w:color w:val="000000" w:themeColor="text1"/>
        </w:rPr>
        <w:t>Escola</w:t>
      </w:r>
      <w:r w:rsidRPr="750671CE">
        <w:rPr>
          <w:rFonts w:ascii="Times New Roman" w:eastAsia="Times New Roman" w:hAnsi="Times New Roman" w:cs="Times New Roman"/>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3EAF892C" w14:textId="77777777"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The most persuasive reason for finding plaintiff states a cause of action is that advanced in </w:t>
      </w:r>
      <w:r w:rsidRPr="750671CE">
        <w:rPr>
          <w:rFonts w:ascii="Times New Roman" w:eastAsia="Times New Roman" w:hAnsi="Times New Roman" w:cs="Times New Roman"/>
          <w:i/>
          <w:iCs/>
          <w:color w:val="000000"/>
        </w:rPr>
        <w:t>Summers</w:t>
      </w:r>
      <w:r w:rsidRPr="750671CE">
        <w:rPr>
          <w:rFonts w:ascii="Times New Roman" w:eastAsia="Times New Roman" w:hAnsi="Times New Roman" w:cs="Times New Roman"/>
          <w:color w:val="000000"/>
        </w:rPr>
        <w:t xml:space="preserve">: as between an innocent plaintiff and </w:t>
      </w:r>
      <w:bookmarkStart w:id="548" w:name="co_pp_sp_233_611_1"/>
      <w:bookmarkEnd w:id="548"/>
      <w:r w:rsidRPr="750671CE">
        <w:rPr>
          <w:rFonts w:ascii="Times New Roman" w:eastAsia="Times New Roman" w:hAnsi="Times New Roman" w:cs="Times New Roman"/>
          <w:color w:val="000000"/>
        </w:rPr>
        <w:t xml:space="preserve">negligent defendants, the latter should bear the cost of the injury. Here, as in </w:t>
      </w:r>
      <w:r w:rsidRPr="750671CE">
        <w:rPr>
          <w:rFonts w:ascii="Times New Roman" w:eastAsia="Times New Roman" w:hAnsi="Times New Roman" w:cs="Times New Roman"/>
          <w:i/>
          <w:iCs/>
          <w:color w:val="000000"/>
        </w:rPr>
        <w:t>Summers</w:t>
      </w:r>
      <w:r w:rsidRPr="750671CE">
        <w:rPr>
          <w:rFonts w:ascii="Times New Roman" w:eastAsia="Times New Roman" w:hAnsi="Times New Roman" w:cs="Times New Roman"/>
          <w:color w:val="000000"/>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58BB2830" w14:textId="5BE23741"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From a broader policy standpoint, defendants are better able to bear the cost of injury resulting from the manufacture of a defective product. As was said by Justice Traynor in </w:t>
      </w:r>
      <w:r w:rsidRPr="750671CE">
        <w:rPr>
          <w:rFonts w:ascii="Times New Roman" w:eastAsia="Times New Roman" w:hAnsi="Times New Roman" w:cs="Times New Roman"/>
          <w:i/>
          <w:iCs/>
          <w:color w:val="000000" w:themeColor="text1"/>
        </w:rPr>
        <w:t>Escola</w:t>
      </w:r>
      <w:r w:rsidRPr="750671CE">
        <w:rPr>
          <w:rFonts w:ascii="Times New Roman" w:eastAsia="Times New Roman" w:hAnsi="Times New Roman" w:cs="Times New Roman"/>
          <w:color w:val="000000" w:themeColor="text1"/>
        </w:rPr>
        <w:t xml:space="preserv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Pr>
          <w:rFonts w:ascii="Times New Roman" w:eastAsia="Times New Roman" w:hAnsi="Times New Roman" w:cs="Times New Roman"/>
          <w:color w:val="000000" w:themeColor="text1"/>
        </w:rPr>
        <w:t>. . .</w:t>
      </w:r>
      <w:r w:rsidRPr="750671CE">
        <w:rPr>
          <w:rFonts w:ascii="Times New Roman" w:eastAsia="Times New Roman" w:hAnsi="Times New Roman" w:cs="Times New Roman"/>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D393CE9" w14:textId="2702219A"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549" w:name="co_anchor_B51980304466_1"/>
      <w:bookmarkEnd w:id="549"/>
      <w:r w:rsidRPr="750671CE">
        <w:rPr>
          <w:rFonts w:ascii="Times New Roman" w:eastAsia="Times New Roman" w:hAnsi="Times New Roman" w:cs="Times New Roman"/>
          <w:color w:val="000000"/>
        </w:rPr>
        <w:t>Where, as here, all defendants produced a drug from an identical formula and the manufacturer of the DES which caused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injuries cannot be identified through no fault of plaintiff, a modification of the rule of </w:t>
      </w:r>
      <w:r w:rsidRPr="750671CE">
        <w:rPr>
          <w:rFonts w:ascii="Times New Roman" w:eastAsia="Times New Roman" w:hAnsi="Times New Roman" w:cs="Times New Roman"/>
          <w:i/>
          <w:iCs/>
          <w:color w:val="000000"/>
        </w:rPr>
        <w:t>Summers</w:t>
      </w:r>
      <w:r w:rsidRPr="750671CE">
        <w:rPr>
          <w:rFonts w:ascii="Times New Roman" w:eastAsia="Times New Roman" w:hAnsi="Times New Roman" w:cs="Times New Roman"/>
          <w:color w:val="000000"/>
        </w:rPr>
        <w:t xml:space="preserve"> is warranted. </w:t>
      </w:r>
      <w:bookmarkStart w:id="550" w:name="co_pp_sp_227_145_1"/>
      <w:bookmarkStart w:id="551" w:name="co_pp_sp_661_937_1"/>
      <w:bookmarkEnd w:id="550"/>
      <w:bookmarkEnd w:id="551"/>
      <w:r w:rsidRPr="750671CE">
        <w:rPr>
          <w:rFonts w:ascii="Times New Roman" w:eastAsia="Times New Roman" w:hAnsi="Times New Roman" w:cs="Times New Roman"/>
          <w:color w:val="000000"/>
        </w:rPr>
        <w:t>. . .</w:t>
      </w:r>
    </w:p>
    <w:p w14:paraId="37E287F1"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8860577" w14:textId="1E1E7651" w:rsidR="004709CA" w:rsidRPr="00FA4733"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552" w:name="co_pp_sp_233_612_1"/>
      <w:bookmarkEnd w:id="552"/>
      <w:r w:rsidRPr="750671CE">
        <w:rPr>
          <w:rFonts w:ascii="Times New Roman" w:eastAsia="Times New Roman" w:hAnsi="Times New Roman" w:cs="Times New Roman"/>
          <w:color w:val="000000"/>
        </w:rPr>
        <w:t>of the drug sold by all for that purpose. Plaintiff asserts in her briefs that Eli Lilly and Company and 5 or 6 other companies produced 90 percent of the DES marketed. If at trial this is established to be the fact, then there is a corresponding likelihood that this comparative handful of producers manufactured the DES which caused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injuries, and only a 10 percent likelihood that the offending producer would escape liability.</w:t>
      </w:r>
      <w:bookmarkStart w:id="553" w:name="co_footnoteReference_B028281980304466_ID"/>
      <w:bookmarkEnd w:id="553"/>
      <w:r w:rsidRPr="750671CE">
        <w:rPr>
          <w:rStyle w:val="FootnoteReference"/>
          <w:rFonts w:ascii="Times New Roman" w:eastAsia="Times New Roman" w:hAnsi="Times New Roman" w:cs="Times New Roman"/>
          <w:color w:val="000000"/>
        </w:rPr>
        <w:footnoteReference w:customMarkFollows="1" w:id="14"/>
        <w:t>28</w:t>
      </w:r>
      <w:r w:rsidRPr="750671CE">
        <w:rPr>
          <w:rFonts w:ascii="Times New Roman" w:eastAsia="Times New Roman" w:hAnsi="Times New Roman" w:cs="Times New Roman"/>
          <w:color w:val="000000"/>
        </w:rPr>
        <w:t xml:space="preserve"> </w:t>
      </w:r>
    </w:p>
    <w:p w14:paraId="188C62B3" w14:textId="77777777" w:rsidR="004709CA" w:rsidRPr="00FA4733"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w:t>
      </w:r>
    </w:p>
    <w:p w14:paraId="5CB336E8" w14:textId="77777777"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6EF4FC77" w14:textId="4FFC13D9"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injuries. </w:t>
      </w:r>
    </w:p>
    <w:p w14:paraId="478652BF"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7214A6C" w14:textId="4BB29BB5"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Under this approach, each manufacturer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liability would approximate its responsibility for the injuries caused by its own products.</w:t>
      </w:r>
      <w:bookmarkStart w:id="554" w:name="co_pp_sp_233_613_1"/>
      <w:bookmarkEnd w:id="554"/>
      <w:r w:rsidRPr="750671CE">
        <w:rPr>
          <w:rFonts w:ascii="Times New Roman" w:eastAsia="Times New Roman" w:hAnsi="Times New Roman" w:cs="Times New Roman"/>
          <w:color w:val="000000"/>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241DCEB" w14:textId="4463F382"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We are not unmindful of the practical problems involved in defining the market and determining market share,</w:t>
      </w:r>
      <w:bookmarkStart w:id="555" w:name="co_footnoteReference_B029291980304466_ID"/>
      <w:bookmarkEnd w:id="555"/>
      <w:r w:rsidRPr="750671CE">
        <w:rPr>
          <w:rFonts w:ascii="Times New Roman" w:eastAsia="Times New Roman" w:hAnsi="Times New Roman" w:cs="Times New Roman"/>
          <w:color w:val="000000"/>
        </w:rPr>
        <w:t xml:space="preserve"> but these </w:t>
      </w:r>
      <w:bookmarkStart w:id="556" w:name="co_pp_sp_227_146_1"/>
      <w:bookmarkStart w:id="557" w:name="co_pp_sp_661_938_1"/>
      <w:bookmarkEnd w:id="556"/>
      <w:bookmarkEnd w:id="557"/>
      <w:r w:rsidRPr="750671CE">
        <w:rPr>
          <w:rFonts w:ascii="Times New Roman" w:eastAsia="Times New Roman" w:hAnsi="Times New Roman" w:cs="Times New Roman"/>
          <w:color w:val="000000"/>
        </w:rPr>
        <w:t>are largely matters of proof which properly cannot be determined at the pleading stage of these proceedings. Defendants urge that it would be both unfair and contrary to public policy to hold them liable for plaintiff</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liability for an injury would be approximately equivalent to the damages caused by the DES it manufactured.</w:t>
      </w:r>
      <w:bookmarkStart w:id="558" w:name="co_footnoteReference_B030301980304466_ID"/>
      <w:bookmarkEnd w:id="558"/>
      <w:r w:rsidRPr="750671CE">
        <w:rPr>
          <w:rStyle w:val="FootnoteReference"/>
          <w:rFonts w:ascii="Times New Roman" w:eastAsia="Times New Roman" w:hAnsi="Times New Roman" w:cs="Times New Roman"/>
          <w:color w:val="000000"/>
        </w:rPr>
        <w:footnoteReference w:customMarkFollows="1" w:id="15"/>
        <w:t>30</w:t>
      </w:r>
      <w:r w:rsidRPr="750671CE">
        <w:rPr>
          <w:rFonts w:ascii="Times New Roman" w:eastAsia="Times New Roman" w:hAnsi="Times New Roman" w:cs="Times New Roman"/>
          <w:color w:val="000000"/>
        </w:rPr>
        <w:t xml:space="preserve">  </w:t>
      </w:r>
    </w:p>
    <w:p w14:paraId="53C4EF33"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5194A79" w14:textId="77777777" w:rsidR="004709CA" w:rsidRPr="00FA4733"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judgments are reversed.</w:t>
      </w:r>
    </w:p>
    <w:p w14:paraId="764AE0B7" w14:textId="77777777" w:rsidR="004709CA" w:rsidRDefault="004709CA" w:rsidP="004709CA">
      <w:pPr>
        <w:widowControl w:val="0"/>
        <w:autoSpaceDE w:val="0"/>
        <w:autoSpaceDN w:val="0"/>
        <w:adjustRightInd w:val="0"/>
        <w:rPr>
          <w:rFonts w:ascii="Times New Roman" w:hAnsi="Times New Roman" w:cs="Times New Roman"/>
          <w:color w:val="000000"/>
        </w:rPr>
      </w:pPr>
    </w:p>
    <w:p w14:paraId="319BC7BD" w14:textId="106E9D9F" w:rsidR="004709CA" w:rsidRDefault="004709CA"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B</w:t>
      </w:r>
      <w:r w:rsidRPr="750671CE">
        <w:rPr>
          <w:rFonts w:ascii="Times New Roman" w:eastAsia="Times New Roman" w:hAnsi="Times New Roman" w:cs="Times New Roman"/>
          <w:smallCaps/>
          <w:color w:val="000000"/>
        </w:rPr>
        <w:t>ird</w:t>
      </w:r>
      <w:r w:rsidRPr="750671CE">
        <w:rPr>
          <w:rFonts w:ascii="Times New Roman" w:eastAsia="Times New Roman" w:hAnsi="Times New Roman" w:cs="Times New Roman"/>
          <w:color w:val="000000"/>
        </w:rPr>
        <w:t>, C.J., and N</w:t>
      </w:r>
      <w:r w:rsidRPr="750671CE">
        <w:rPr>
          <w:rFonts w:ascii="Times New Roman" w:eastAsia="Times New Roman" w:hAnsi="Times New Roman" w:cs="Times New Roman"/>
          <w:smallCaps/>
          <w:color w:val="000000"/>
        </w:rPr>
        <w:t xml:space="preserve">ewman </w:t>
      </w:r>
      <w:r w:rsidRPr="750671CE">
        <w:rPr>
          <w:rFonts w:ascii="Times New Roman" w:eastAsia="Times New Roman" w:hAnsi="Times New Roman" w:cs="Times New Roman"/>
          <w:color w:val="000000"/>
        </w:rPr>
        <w:t>and W</w:t>
      </w:r>
      <w:r w:rsidRPr="750671CE">
        <w:rPr>
          <w:rFonts w:ascii="Times New Roman" w:eastAsia="Times New Roman" w:hAnsi="Times New Roman" w:cs="Times New Roman"/>
          <w:smallCaps/>
          <w:color w:val="000000"/>
        </w:rPr>
        <w:t>hite</w:t>
      </w:r>
      <w:r w:rsidRPr="750671CE">
        <w:rPr>
          <w:rFonts w:ascii="Times New Roman" w:eastAsia="Times New Roman" w:hAnsi="Times New Roman" w:cs="Times New Roman"/>
          <w:color w:val="000000"/>
        </w:rPr>
        <w:t>,</w:t>
      </w:r>
      <w:bookmarkStart w:id="559" w:name="co_footnoteReference_B0311980304466_ID0E"/>
      <w:bookmarkEnd w:id="559"/>
      <w:r w:rsidRPr="750671CE">
        <w:rPr>
          <w:rFonts w:ascii="Times New Roman" w:eastAsia="Times New Roman" w:hAnsi="Times New Roman" w:cs="Times New Roman"/>
          <w:color w:val="000000"/>
        </w:rPr>
        <w:t xml:space="preserve"> JJ., concur.</w:t>
      </w:r>
    </w:p>
    <w:p w14:paraId="404A6FD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02B2085E" w14:textId="7EA18A8A" w:rsidR="004709CA" w:rsidRDefault="004709CA" w:rsidP="750671CE">
      <w:pPr>
        <w:widowControl w:val="0"/>
        <w:autoSpaceDE w:val="0"/>
        <w:autoSpaceDN w:val="0"/>
        <w:adjustRightInd w:val="0"/>
        <w:rPr>
          <w:rFonts w:ascii="Times New Roman" w:eastAsia="Times New Roman" w:hAnsi="Times New Roman" w:cs="Times New Roman"/>
          <w:color w:val="000000" w:themeColor="text1"/>
        </w:rPr>
      </w:pPr>
      <w:bookmarkStart w:id="560" w:name="co_pp_sp_233_614_1"/>
      <w:bookmarkEnd w:id="560"/>
      <w:r w:rsidRPr="750671CE">
        <w:rPr>
          <w:rFonts w:ascii="Times New Roman" w:eastAsia="Times New Roman" w:hAnsi="Times New Roman" w:cs="Times New Roman"/>
          <w:color w:val="000000"/>
        </w:rPr>
        <w:t>R</w:t>
      </w:r>
      <w:r w:rsidRPr="750671CE">
        <w:rPr>
          <w:rFonts w:ascii="Times New Roman" w:eastAsia="Times New Roman" w:hAnsi="Times New Roman" w:cs="Times New Roman"/>
          <w:smallCaps/>
          <w:color w:val="000000"/>
        </w:rPr>
        <w:t>ichardson</w:t>
      </w:r>
      <w:r w:rsidRPr="750671CE">
        <w:rPr>
          <w:rFonts w:ascii="Times New Roman" w:eastAsia="Times New Roman" w:hAnsi="Times New Roman" w:cs="Times New Roman"/>
          <w:color w:val="000000"/>
        </w:rPr>
        <w:t>, J</w:t>
      </w:r>
      <w:r w:rsidR="00076CB0">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dissenting.</w:t>
      </w:r>
    </w:p>
    <w:p w14:paraId="02F7AF88"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3159C6B" w14:textId="13EFB878"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561" w:name="co_anchor_If22579c15ce611e08b05fdf15589d"/>
      <w:bookmarkEnd w:id="561"/>
      <w:r w:rsidRPr="750671CE">
        <w:rPr>
          <w:rFonts w:ascii="Times New Roman" w:eastAsia="Times New Roman" w:hAnsi="Times New Roman" w:cs="Times New Roman"/>
          <w:color w:val="000000"/>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Market share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liability thus represents a new high water mark in tort law. The ramifications seem almost limitless </w:t>
      </w:r>
      <w:bookmarkStart w:id="562" w:name="co_pp_sp_227_147_1"/>
      <w:bookmarkStart w:id="563" w:name="co_pp_sp_661_939_1"/>
      <w:bookmarkStart w:id="564" w:name="co_pp_sp_233_615_1"/>
      <w:bookmarkEnd w:id="562"/>
      <w:bookmarkEnd w:id="563"/>
      <w:bookmarkEnd w:id="564"/>
      <w:r w:rsidRPr="750671CE">
        <w:rPr>
          <w:rFonts w:ascii="Times New Roman" w:eastAsia="Times New Roman" w:hAnsi="Times New Roman" w:cs="Times New Roman"/>
          <w:color w:val="000000"/>
        </w:rPr>
        <w:t>. . . .</w:t>
      </w:r>
    </w:p>
    <w:p w14:paraId="1F1EA590"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75C2387C" w14:textId="26FF2054"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majority now expressly abandons the . . . traditional requirement of some causal connection between defendants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act and plaintiffs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injury in the creation of its new modified industry-wide tort. </w:t>
      </w:r>
      <w:r w:rsidR="00D27565">
        <w:rPr>
          <w:rFonts w:ascii="Times New Roman" w:eastAsia="Times New Roman" w:hAnsi="Times New Roman" w:cs="Times New Roman"/>
          <w:color w:val="000000" w:themeColor="text1"/>
        </w:rPr>
        <w:t>. . .</w:t>
      </w:r>
    </w:p>
    <w:p w14:paraId="36FDEF93"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46DC9E10" w14:textId="656D882E" w:rsidR="004709CA" w:rsidRPr="00FA4733"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bookmarkStart w:id="565" w:name="co_pp_sp_233_616_1"/>
      <w:bookmarkStart w:id="566" w:name="co_pp_sp_227_148_1"/>
      <w:bookmarkStart w:id="567" w:name="co_pp_sp_661_940_1"/>
      <w:bookmarkStart w:id="568" w:name="co_pp_sp_233_617_1"/>
      <w:bookmarkEnd w:id="565"/>
      <w:bookmarkEnd w:id="566"/>
      <w:bookmarkEnd w:id="567"/>
      <w:bookmarkEnd w:id="568"/>
      <w:r w:rsidRPr="750671CE">
        <w:rPr>
          <w:rFonts w:ascii="Times New Roman" w:eastAsia="Times New Roman" w:hAnsi="Times New Roman" w:cs="Times New Roman"/>
          <w:color w:val="000000"/>
        </w:rPr>
        <w:t xml:space="preserve">[Among other things, Justice Richardson observed that] it is readily apparent that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market share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reasoning those defendants who are brought to trial in this state will bear effective joint responsibility for 100 percent of plaintiffs</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injuries despite the fact that their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substantial</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aggregate market share may be considerably less. </w:t>
      </w:r>
      <w:bookmarkStart w:id="569" w:name="co_pp_sp_233_618_1"/>
      <w:bookmarkStart w:id="570" w:name="co_pp_sp_227_149_1"/>
      <w:bookmarkStart w:id="571" w:name="co_pp_sp_661_941_1"/>
      <w:bookmarkEnd w:id="569"/>
      <w:bookmarkEnd w:id="570"/>
      <w:bookmarkEnd w:id="571"/>
      <w:r w:rsidRPr="750671CE">
        <w:rPr>
          <w:rFonts w:ascii="Times New Roman" w:eastAsia="Times New Roman" w:hAnsi="Times New Roman" w:cs="Times New Roman"/>
          <w:color w:val="000000"/>
        </w:rPr>
        <w:t>. . .</w:t>
      </w:r>
    </w:p>
    <w:p w14:paraId="18A8A67A"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90767EC" w14:textId="535D7BE0" w:rsidR="004709CA"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[Suggesting that the DES case might be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only the tip of the iceberg,</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Justice Richardson argued that the majority had crafted an illegitimately redistributive rule:]</w:t>
      </w:r>
    </w:p>
    <w:p w14:paraId="4C2A74CB"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13CF6218" w14:textId="2487EC9E" w:rsidR="004709CA" w:rsidRDefault="004709CA"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 xml:space="preserve">The majority attempts to justify its new liability on the ground that defendants herein are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better able to bear the cost of injury resulting from the manufacture of a defective product.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This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deep pocket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wealth is an unreliable indicator of fault, and should play no part, at least consciously, in the legal analysis of the problem. . . .  A system priding itself on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equal justice under law</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 does not flower when the liability as well as the damage aspect of a tort action is determined by a defendant</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wealth. </w:t>
      </w:r>
      <w:bookmarkStart w:id="572" w:name="co_pp_sp_233_619_1"/>
      <w:bookmarkStart w:id="573" w:name="co_pp_sp_227_150_1"/>
      <w:bookmarkStart w:id="574" w:name="co_pp_sp_661_942_1"/>
      <w:bookmarkStart w:id="575" w:name="co_pp_sp_233_620_1"/>
      <w:bookmarkStart w:id="576" w:name="co_pp_sp_233_621_1"/>
      <w:bookmarkStart w:id="577" w:name="co_pp_sp_227_151_1"/>
      <w:bookmarkStart w:id="578" w:name="co_pp_sp_661_943_1"/>
      <w:bookmarkStart w:id="579" w:name="co_pp_sp_233_622_1"/>
      <w:bookmarkEnd w:id="572"/>
      <w:bookmarkEnd w:id="573"/>
      <w:bookmarkEnd w:id="574"/>
      <w:bookmarkEnd w:id="575"/>
      <w:bookmarkEnd w:id="576"/>
      <w:bookmarkEnd w:id="577"/>
      <w:bookmarkEnd w:id="578"/>
      <w:bookmarkEnd w:id="579"/>
      <w:r w:rsidR="00D27565">
        <w:rPr>
          <w:rFonts w:ascii="Times New Roman" w:eastAsia="Times New Roman" w:hAnsi="Times New Roman" w:cs="Times New Roman"/>
          <w:color w:val="000000"/>
        </w:rPr>
        <w:t>. . .</w:t>
      </w:r>
    </w:p>
    <w:p w14:paraId="15F2FE19" w14:textId="77777777" w:rsidR="004709CA" w:rsidRPr="00FA4733" w:rsidRDefault="004709CA" w:rsidP="004709CA">
      <w:pPr>
        <w:widowControl w:val="0"/>
        <w:autoSpaceDE w:val="0"/>
        <w:autoSpaceDN w:val="0"/>
        <w:adjustRightInd w:val="0"/>
        <w:rPr>
          <w:rFonts w:ascii="Times New Roman" w:hAnsi="Times New Roman" w:cs="Times New Roman"/>
          <w:color w:val="000000"/>
        </w:rPr>
      </w:pPr>
    </w:p>
    <w:p w14:paraId="260AD495" w14:textId="5A0530E2" w:rsidR="004709CA" w:rsidRPr="00FA4733"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[Quoting from a recent dismissal of a DES case by another court, Justice Richardson contended that] </w:t>
      </w:r>
      <w:r w:rsidR="00B05F31">
        <w:rPr>
          <w:rFonts w:ascii="Times New Roman" w:eastAsia="Times New Roman" w:hAnsi="Times New Roman" w:cs="Times New Roman"/>
        </w:rPr>
        <w:t>“‘</w:t>
      </w:r>
      <w:r w:rsidRPr="750671CE">
        <w:rPr>
          <w:rFonts w:ascii="Times New Roman" w:eastAsia="Times New Roman" w:hAnsi="Times New Roman" w:cs="Times New Roman"/>
        </w:rPr>
        <w:t>[T]he social and economic benefits from mobilizing the industry</w:t>
      </w:r>
      <w:r w:rsidR="00B05F31">
        <w:rPr>
          <w:rFonts w:ascii="Times New Roman" w:eastAsia="Times New Roman" w:hAnsi="Times New Roman" w:cs="Times New Roman"/>
        </w:rPr>
        <w:t>’</w:t>
      </w:r>
      <w:r w:rsidRPr="750671CE">
        <w:rPr>
          <w:rFonts w:ascii="Times New Roman" w:eastAsia="Times New Roman" w:hAnsi="Times New Roman" w:cs="Times New Roman"/>
        </w:rPr>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088A2742" w14:textId="77777777" w:rsidR="004709CA" w:rsidRPr="00FA4733" w:rsidRDefault="004709CA" w:rsidP="004709CA">
      <w:pPr>
        <w:widowControl w:val="0"/>
        <w:autoSpaceDE w:val="0"/>
        <w:autoSpaceDN w:val="0"/>
        <w:adjustRightInd w:val="0"/>
        <w:rPr>
          <w:rFonts w:ascii="Times New Roman" w:hAnsi="Times New Roman" w:cs="Times New Roman"/>
          <w:bCs/>
        </w:rPr>
      </w:pPr>
    </w:p>
    <w:p w14:paraId="3710BB43" w14:textId="77777777" w:rsidR="004709CA" w:rsidRPr="00FA4733"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color w:val="000000" w:themeColor="text1"/>
        </w:rPr>
        <w:t>C</w:t>
      </w:r>
      <w:r w:rsidRPr="750671CE">
        <w:rPr>
          <w:rFonts w:ascii="Times New Roman" w:eastAsia="Times New Roman" w:hAnsi="Times New Roman" w:cs="Times New Roman"/>
          <w:smallCaps/>
          <w:color w:val="000000" w:themeColor="text1"/>
        </w:rPr>
        <w:t>lark</w:t>
      </w:r>
      <w:r w:rsidRPr="750671CE">
        <w:rPr>
          <w:rFonts w:ascii="Times New Roman" w:eastAsia="Times New Roman" w:hAnsi="Times New Roman" w:cs="Times New Roman"/>
          <w:color w:val="000000" w:themeColor="text1"/>
        </w:rPr>
        <w:t xml:space="preserve"> and M</w:t>
      </w:r>
      <w:r w:rsidRPr="750671CE">
        <w:rPr>
          <w:rFonts w:ascii="Times New Roman" w:eastAsia="Times New Roman" w:hAnsi="Times New Roman" w:cs="Times New Roman"/>
          <w:smallCaps/>
          <w:color w:val="000000" w:themeColor="text1"/>
        </w:rPr>
        <w:t>anuel</w:t>
      </w:r>
      <w:r w:rsidRPr="750671CE">
        <w:rPr>
          <w:rFonts w:ascii="Times New Roman" w:eastAsia="Times New Roman" w:hAnsi="Times New Roman" w:cs="Times New Roman"/>
          <w:color w:val="000000" w:themeColor="text1"/>
        </w:rPr>
        <w:t>, JJ., concur.</w:t>
      </w:r>
    </w:p>
    <w:p w14:paraId="17ECBA3B" w14:textId="77777777" w:rsidR="004709CA" w:rsidRPr="001803E0" w:rsidRDefault="004709CA" w:rsidP="004709CA">
      <w:pPr>
        <w:rPr>
          <w:rFonts w:ascii="Times New Roman" w:hAnsi="Times New Roman" w:cs="Times New Roman"/>
          <w:b/>
        </w:rPr>
      </w:pPr>
      <w:r w:rsidRPr="001803E0">
        <w:rPr>
          <w:rFonts w:ascii="Times New Roman" w:hAnsi="Times New Roman" w:cs="Times New Roman"/>
          <w:b/>
        </w:rPr>
        <w:br/>
      </w:r>
    </w:p>
    <w:p w14:paraId="6FB12872" w14:textId="77777777" w:rsidR="004709CA" w:rsidRDefault="004709CA" w:rsidP="002502CC">
      <w:pPr>
        <w:pStyle w:val="Heading4"/>
      </w:pPr>
      <w:bookmarkStart w:id="580" w:name="_Toc364636174"/>
      <w:bookmarkStart w:id="581" w:name="_Toc518323401"/>
      <w:r w:rsidRPr="00FA4733">
        <w:t>Notes</w:t>
      </w:r>
      <w:bookmarkEnd w:id="580"/>
      <w:bookmarkEnd w:id="581"/>
    </w:p>
    <w:p w14:paraId="7A699466" w14:textId="77777777" w:rsidR="004709CA" w:rsidRPr="00FA4733" w:rsidRDefault="004709CA" w:rsidP="004709CA">
      <w:pPr>
        <w:rPr>
          <w:rFonts w:ascii="Times New Roman" w:hAnsi="Times New Roman" w:cs="Times New Roman"/>
          <w:b/>
          <w:i/>
        </w:rPr>
      </w:pPr>
    </w:p>
    <w:p w14:paraId="3F6EF7FA" w14:textId="1BC7663B" w:rsidR="004709CA" w:rsidRPr="00F94B7E" w:rsidRDefault="750671CE" w:rsidP="00F94B7E">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From </w:t>
      </w:r>
      <w:r w:rsidRPr="00F94B7E">
        <w:rPr>
          <w:rFonts w:ascii="Times New Roman" w:eastAsia="Times New Roman" w:hAnsi="Times New Roman" w:cs="Times New Roman"/>
          <w:iCs/>
        </w:rPr>
        <w:t>Summers</w:t>
      </w:r>
      <w:r w:rsidRPr="00F94B7E">
        <w:rPr>
          <w:rFonts w:ascii="Times New Roman" w:eastAsia="Times New Roman" w:hAnsi="Times New Roman" w:cs="Times New Roman"/>
          <w:i/>
          <w:iCs/>
        </w:rPr>
        <w:t xml:space="preserve"> to </w:t>
      </w:r>
      <w:r w:rsidRPr="00F94B7E">
        <w:rPr>
          <w:rFonts w:ascii="Times New Roman" w:eastAsia="Times New Roman" w:hAnsi="Times New Roman" w:cs="Times New Roman"/>
          <w:iCs/>
        </w:rPr>
        <w:t>Sindell</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Does the holding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xml:space="preserve"> necessarily follow from </w:t>
      </w:r>
      <w:r w:rsidRPr="00F94B7E">
        <w:rPr>
          <w:rFonts w:ascii="Times New Roman" w:eastAsia="Times New Roman" w:hAnsi="Times New Roman" w:cs="Times New Roman"/>
          <w:i/>
          <w:iCs/>
        </w:rPr>
        <w:t>Summers v. Tice</w:t>
      </w:r>
      <w:r w:rsidRPr="00F94B7E">
        <w:rPr>
          <w:rFonts w:ascii="Times New Roman" w:eastAsia="Times New Roman" w:hAnsi="Times New Roman" w:cs="Times New Roman"/>
        </w:rPr>
        <w:t>? What would be the rationale for treating this case differently?</w:t>
      </w:r>
    </w:p>
    <w:p w14:paraId="1F2C1374" w14:textId="77777777" w:rsidR="004709CA" w:rsidRDefault="004709CA" w:rsidP="004709CA">
      <w:pPr>
        <w:rPr>
          <w:rFonts w:ascii="Times New Roman" w:hAnsi="Times New Roman" w:cs="Times New Roman"/>
        </w:rPr>
      </w:pPr>
    </w:p>
    <w:p w14:paraId="78F3169D" w14:textId="77777777" w:rsidR="004709CA" w:rsidRDefault="004709CA" w:rsidP="004709CA">
      <w:pPr>
        <w:rPr>
          <w:rFonts w:ascii="Times New Roman" w:hAnsi="Times New Roman" w:cs="Times New Roman"/>
        </w:rPr>
      </w:pPr>
    </w:p>
    <w:p w14:paraId="20B77E32" w14:textId="46307F3C" w:rsidR="004709CA" w:rsidRPr="00F94B7E" w:rsidRDefault="750671CE" w:rsidP="00F94B7E">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New York variation.</w:t>
      </w:r>
      <w:r w:rsidRPr="00F94B7E">
        <w:rPr>
          <w:rFonts w:ascii="Times New Roman" w:eastAsia="Times New Roman" w:hAnsi="Times New Roman" w:cs="Times New Roman"/>
        </w:rPr>
        <w:t xml:space="preserve">  Other states dealing with the same DES problem adopted different approaches than the California Supreme Court did in </w:t>
      </w:r>
      <w:r w:rsidRPr="00F94B7E">
        <w:rPr>
          <w:rFonts w:ascii="Times New Roman" w:eastAsia="Times New Roman" w:hAnsi="Times New Roman" w:cs="Times New Roman"/>
          <w:i/>
          <w:iCs/>
        </w:rPr>
        <w:t>Sindell</w:t>
      </w:r>
      <w:r w:rsidRPr="00F94B7E">
        <w:rPr>
          <w:rFonts w:ascii="Times New Roman" w:eastAsia="Times New Roman" w:hAnsi="Times New Roman" w:cs="Times New Roman"/>
        </w:rPr>
        <w:t>. Consider New York, for example:</w:t>
      </w:r>
    </w:p>
    <w:p w14:paraId="3A711310" w14:textId="77777777" w:rsidR="004709CA" w:rsidRPr="006D1FC2" w:rsidRDefault="004709CA" w:rsidP="004709CA">
      <w:pPr>
        <w:rPr>
          <w:rFonts w:ascii="Times New Roman" w:eastAsia="Times New Roman" w:hAnsi="Times New Roman" w:cs="Times New Roman"/>
        </w:rPr>
      </w:pPr>
    </w:p>
    <w:p w14:paraId="1EF530EB" w14:textId="6F7DD066" w:rsidR="004709CA" w:rsidRPr="00FA4733" w:rsidRDefault="750671CE" w:rsidP="00F94B7E">
      <w:pPr>
        <w:pStyle w:val="blockquote"/>
      </w:pPr>
      <w:r w:rsidRPr="750671CE">
        <w:t>We choose to apportion liability so as to correspond to the over-all culpability of each defendant, measured by the amount of risk of injury each defendant created to the public-at-large. Use of a national market is a fair method, we believe, of apportioning defendants</w:t>
      </w:r>
      <w:r w:rsidR="00B05F31">
        <w:t>’</w:t>
      </w:r>
      <w:r w:rsidRPr="750671CE">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t>’</w:t>
      </w:r>
      <w:r w:rsidRPr="750671CE">
        <w:t xml:space="preserve"> injuries among defendants.</w:t>
      </w:r>
    </w:p>
    <w:p w14:paraId="3F62749F" w14:textId="77777777" w:rsidR="004709CA" w:rsidRPr="00FA4733" w:rsidRDefault="004709CA" w:rsidP="00F94B7E">
      <w:pPr>
        <w:pStyle w:val="blockquote"/>
      </w:pPr>
    </w:p>
    <w:p w14:paraId="3F20DC04" w14:textId="40CB4A7C" w:rsidR="004709CA" w:rsidRPr="00FA4733" w:rsidRDefault="750671CE" w:rsidP="00F94B7E">
      <w:pPr>
        <w:pStyle w:val="blockquote"/>
      </w:pPr>
      <w:r w:rsidRPr="750671CE">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t>’</w:t>
      </w:r>
      <w:r w:rsidRPr="750671CE">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FA4733" w:rsidRDefault="004709CA" w:rsidP="00F94B7E">
      <w:pPr>
        <w:pStyle w:val="blockquote"/>
      </w:pPr>
    </w:p>
    <w:p w14:paraId="65794F97" w14:textId="49471BFE" w:rsidR="004709CA" w:rsidRPr="00FA4733" w:rsidRDefault="750671CE" w:rsidP="00F94B7E">
      <w:pPr>
        <w:pStyle w:val="blockquote"/>
      </w:pPr>
      <w:r w:rsidRPr="750671CE">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t>’</w:t>
      </w:r>
      <w:r w:rsidRPr="750671CE">
        <w:t>s liability beyond its fair share of responsibility.</w:t>
      </w:r>
    </w:p>
    <w:p w14:paraId="79EF2FCA" w14:textId="77777777" w:rsidR="004709CA" w:rsidRPr="00B87814" w:rsidRDefault="004709CA" w:rsidP="004709CA">
      <w:pPr>
        <w:ind w:left="720" w:right="720"/>
      </w:pPr>
    </w:p>
    <w:p w14:paraId="680953B6" w14:textId="4D8E0CFE"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Hymowitz v. Eli Lilly &amp; Co.</w:t>
      </w:r>
      <w:r w:rsidRPr="750671CE">
        <w:rPr>
          <w:rFonts w:ascii="Times New Roman" w:eastAsia="Times New Roman" w:hAnsi="Times New Roman" w:cs="Times New Roman"/>
        </w:rPr>
        <w:t xml:space="preserve">, 73 N.Y.2d 487, 509-11 (N.Y. 1989).  </w:t>
      </w:r>
      <w:r w:rsidRPr="750671CE">
        <w:rPr>
          <w:rFonts w:ascii="Times New Roman" w:eastAsia="Times New Roman" w:hAnsi="Times New Roman" w:cs="Times New Roman"/>
          <w:i/>
          <w:iCs/>
        </w:rPr>
        <w:t>Sindell</w:t>
      </w:r>
      <w:r w:rsidRPr="750671CE">
        <w:rPr>
          <w:rFonts w:ascii="Times New Roman" w:eastAsia="Times New Roman" w:hAnsi="Times New Roman" w:cs="Times New Roman"/>
        </w:rPr>
        <w:t xml:space="preserve"> attempted to incorporate the idea that market share approximates the probability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product caused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harm. </w:t>
      </w:r>
      <w:r w:rsidRPr="750671CE">
        <w:rPr>
          <w:rFonts w:ascii="Times New Roman" w:eastAsia="Times New Roman" w:hAnsi="Times New Roman" w:cs="Times New Roman"/>
          <w:i/>
          <w:iCs/>
        </w:rPr>
        <w:t>Hymowitz</w:t>
      </w:r>
      <w:r w:rsidRPr="750671CE">
        <w:rPr>
          <w:rFonts w:ascii="Times New Roman" w:eastAsia="Times New Roman" w:hAnsi="Times New Roman" w:cs="Times New Roman"/>
        </w:rPr>
        <w:t>, by contrast, explicitly severed the causal connection between the injured plaintiff and the liable defendant. Is this a justifiable evolution of the common law to deal with a unique type of problem? Or is this an example of courts trying to solve a problem that they are not institutionally suited to handle?</w:t>
      </w:r>
    </w:p>
    <w:p w14:paraId="48DD6CB8" w14:textId="77777777" w:rsidR="004709CA" w:rsidRDefault="004709CA" w:rsidP="004709CA">
      <w:pPr>
        <w:rPr>
          <w:rFonts w:ascii="Times New Roman" w:hAnsi="Times New Roman" w:cs="Times New Roman"/>
        </w:rPr>
      </w:pPr>
    </w:p>
    <w:p w14:paraId="71A0B57E" w14:textId="5DD49F2B" w:rsidR="004709CA" w:rsidRPr="003960A7"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No other forum adopted </w:t>
      </w:r>
      <w:r w:rsidRPr="750671CE">
        <w:rPr>
          <w:rFonts w:ascii="Times New Roman" w:eastAsia="Times New Roman" w:hAnsi="Times New Roman" w:cs="Times New Roman"/>
          <w:i/>
          <w:iCs/>
        </w:rPr>
        <w:t>Hymowitz</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national market share liability. 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Wisconsin and Washington both chose approaches where defendants were liable based on some probability that they caused the injury, which was measured by a combination of market share and other facts in each trial. Defendants in those states were exculpated if they could prove that the plaintiff did not ingest their product. </w:t>
      </w:r>
      <w:r w:rsidRPr="750671CE">
        <w:rPr>
          <w:rFonts w:ascii="Times New Roman" w:eastAsia="Times New Roman" w:hAnsi="Times New Roman" w:cs="Times New Roman"/>
          <w:i/>
          <w:iCs/>
        </w:rPr>
        <w:t>Collins v. Lilly &amp; Co.</w:t>
      </w:r>
      <w:r w:rsidRPr="750671CE">
        <w:rPr>
          <w:rFonts w:ascii="Times New Roman" w:eastAsia="Times New Roman" w:hAnsi="Times New Roman" w:cs="Times New Roman"/>
        </w:rPr>
        <w:t xml:space="preserve">, 116 Wis. 2d 166 (1984); </w:t>
      </w:r>
      <w:r w:rsidRPr="750671CE">
        <w:rPr>
          <w:rFonts w:ascii="Times New Roman" w:eastAsia="Times New Roman" w:hAnsi="Times New Roman" w:cs="Times New Roman"/>
          <w:i/>
          <w:iCs/>
        </w:rPr>
        <w:t>Martin v. Abbott Labs.</w:t>
      </w:r>
      <w:r w:rsidRPr="750671CE">
        <w:rPr>
          <w:rFonts w:ascii="Times New Roman" w:eastAsia="Times New Roman" w:hAnsi="Times New Roman" w:cs="Times New Roman"/>
        </w:rPr>
        <w:t xml:space="preserve">, 102 Wash 2d 581 (1984). Are the conflicting effects of different rules in each state a reason why state tort law may be ill-suited to handle this type of national problem? Or, can the ongoing dialogue between state courts we saw in </w:t>
      </w:r>
      <w:r w:rsidRPr="750671CE">
        <w:rPr>
          <w:rFonts w:ascii="Times New Roman" w:eastAsia="Times New Roman" w:hAnsi="Times New Roman" w:cs="Times New Roman"/>
          <w:i/>
          <w:iCs/>
        </w:rPr>
        <w:t>Hymowitz</w:t>
      </w:r>
      <w:r w:rsidRPr="750671CE">
        <w:rPr>
          <w:rFonts w:ascii="Times New Roman" w:eastAsia="Times New Roman" w:hAnsi="Times New Roman" w:cs="Times New Roman"/>
        </w:rPr>
        <w:t xml:space="preserve"> create reasonable accommodation of other states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approaches?</w:t>
      </w:r>
    </w:p>
    <w:p w14:paraId="3D5F9D22" w14:textId="77777777" w:rsidR="004709CA" w:rsidRDefault="004709CA" w:rsidP="004709CA">
      <w:pPr>
        <w:rPr>
          <w:rFonts w:ascii="Times New Roman" w:hAnsi="Times New Roman" w:cs="Times New Roman"/>
          <w:b/>
        </w:rPr>
      </w:pPr>
    </w:p>
    <w:p w14:paraId="181BECA8" w14:textId="77777777" w:rsidR="004709CA" w:rsidRDefault="004709CA" w:rsidP="004709CA">
      <w:pPr>
        <w:rPr>
          <w:rFonts w:ascii="Times New Roman" w:hAnsi="Times New Roman" w:cs="Times New Roman"/>
          <w:b/>
        </w:rPr>
      </w:pPr>
    </w:p>
    <w:p w14:paraId="0252B191" w14:textId="44590511" w:rsidR="004709CA" w:rsidRPr="00F94B7E" w:rsidRDefault="750671CE" w:rsidP="00F94B7E">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Lead poisoning and market share. </w:t>
      </w:r>
      <w:r w:rsidRPr="00F94B7E">
        <w:rPr>
          <w:rFonts w:ascii="Times New Roman" w:eastAsia="Times New Roman" w:hAnsi="Times New Roman" w:cs="Times New Roman"/>
        </w:rPr>
        <w:t xml:space="preserve"> When is market share liability an appropriate solution?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Default="004709CA" w:rsidP="00F94B7E">
      <w:pPr>
        <w:pStyle w:val="blockquote"/>
      </w:pPr>
    </w:p>
    <w:p w14:paraId="0085A43A" w14:textId="4D3E09BD" w:rsidR="004709CA" w:rsidRDefault="750671CE" w:rsidP="00F94B7E">
      <w:pPr>
        <w:pStyle w:val="blockquote"/>
      </w:pPr>
      <w:r w:rsidRPr="750671CE">
        <w:t>[T]he relevant time period in question is far more extensive than the relevant time period in a DES case. In this case, [plaintiff Skipworth] cannot identify any particular application, or applications, of lead paint which have caused Skipworth</w:t>
      </w:r>
      <w:r w:rsidR="00B05F31">
        <w:t>’</w:t>
      </w:r>
      <w:r w:rsidRPr="750671CE">
        <w:t xml:space="preserve">s health problems. Thus, they </w:t>
      </w:r>
      <w:r w:rsidR="00B05F31">
        <w:t>“</w:t>
      </w:r>
      <w:r w:rsidRPr="750671CE">
        <w:t>pinpoint</w:t>
      </w:r>
      <w:r w:rsidR="00B05F31">
        <w:t>”</w:t>
      </w:r>
      <w:r w:rsidRPr="750671CE">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3B7094" w:rsidRDefault="004709CA" w:rsidP="00F94B7E">
      <w:pPr>
        <w:pStyle w:val="blockquote"/>
      </w:pPr>
    </w:p>
    <w:p w14:paraId="0DFD41D2" w14:textId="77777777" w:rsidR="004709CA" w:rsidRDefault="750671CE" w:rsidP="00F94B7E">
      <w:pPr>
        <w:pStyle w:val="blockquote"/>
      </w:pPr>
      <w:r w:rsidRPr="750671CE">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Default="004709CA" w:rsidP="004709CA">
      <w:pPr>
        <w:ind w:left="1350" w:right="1440"/>
        <w:rPr>
          <w:rFonts w:ascii="Times New Roman" w:eastAsia="Times New Roman" w:hAnsi="Times New Roman" w:cs="Times New Roman"/>
        </w:rPr>
      </w:pPr>
    </w:p>
    <w:p w14:paraId="7C9C46BD" w14:textId="192CFB0F"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Skipworth v. Lead Industries Association</w:t>
      </w:r>
      <w:r w:rsidRPr="750671CE">
        <w:rPr>
          <w:rFonts w:ascii="Times New Roman" w:eastAsia="Times New Roman" w:hAnsi="Times New Roman" w:cs="Times New Roman"/>
        </w:rPr>
        <w:t>, 690 A. 2d 169</w:t>
      </w:r>
      <w:r w:rsidR="00D27565">
        <w:rPr>
          <w:rFonts w:ascii="Times New Roman" w:eastAsia="Times New Roman" w:hAnsi="Times New Roman" w:cs="Times New Roman"/>
        </w:rPr>
        <w:t>, 233-34</w:t>
      </w:r>
      <w:r w:rsidRPr="750671CE">
        <w:rPr>
          <w:rFonts w:ascii="Times New Roman" w:eastAsia="Times New Roman" w:hAnsi="Times New Roman" w:cs="Times New Roman"/>
        </w:rPr>
        <w:t xml:space="preserve"> (Pa. 1997).  The court further noted that:</w:t>
      </w:r>
    </w:p>
    <w:p w14:paraId="1252B600" w14:textId="77777777" w:rsidR="004709CA" w:rsidRDefault="004709CA" w:rsidP="00F94B7E">
      <w:pPr>
        <w:pStyle w:val="blockquote"/>
      </w:pPr>
    </w:p>
    <w:p w14:paraId="0A1CE2DD" w14:textId="26243A77" w:rsidR="004709CA" w:rsidRDefault="00D27565" w:rsidP="00F94B7E">
      <w:pPr>
        <w:pStyle w:val="blockquote"/>
      </w:pPr>
      <w:r>
        <w:t>[L]</w:t>
      </w:r>
      <w:r w:rsidR="750671CE" w:rsidRPr="750671CE">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t>’</w:t>
      </w:r>
      <w:r w:rsidR="750671CE" w:rsidRPr="750671CE">
        <w:t>s share of the market (even if it were possible to obtain an accurate statistic considering the lengthy relevant time period at question) would not serve to approximate that defendant</w:t>
      </w:r>
      <w:r w:rsidR="00B05F31">
        <w:t>’</w:t>
      </w:r>
      <w:r w:rsidR="750671CE" w:rsidRPr="750671CE">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16940" w:rsidRDefault="004709CA" w:rsidP="004709CA">
      <w:pPr>
        <w:ind w:left="1350" w:right="1440"/>
        <w:rPr>
          <w:rFonts w:ascii="Times New Roman" w:eastAsia="Times New Roman" w:hAnsi="Times New Roman" w:cs="Times New Roman"/>
        </w:rPr>
      </w:pPr>
    </w:p>
    <w:p w14:paraId="28F20E4C" w14:textId="77777777" w:rsidR="004709CA" w:rsidRPr="006D1FC2"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Are either of these distinctions persuasive?  </w:t>
      </w:r>
    </w:p>
    <w:p w14:paraId="691B5206" w14:textId="77777777" w:rsidR="004709CA" w:rsidRDefault="004709CA" w:rsidP="004709CA">
      <w:pPr>
        <w:rPr>
          <w:rFonts w:ascii="Times New Roman" w:hAnsi="Times New Roman" w:cs="Times New Roman"/>
          <w:b/>
        </w:rPr>
      </w:pPr>
    </w:p>
    <w:p w14:paraId="582696E8" w14:textId="77777777" w:rsidR="004709CA" w:rsidRDefault="004709CA" w:rsidP="004709CA">
      <w:pPr>
        <w:rPr>
          <w:rFonts w:ascii="Times New Roman" w:hAnsi="Times New Roman" w:cs="Times New Roman"/>
          <w:b/>
        </w:rPr>
      </w:pPr>
    </w:p>
    <w:p w14:paraId="5B781D3E" w14:textId="7FDFD801" w:rsidR="004709CA" w:rsidRPr="00F94B7E" w:rsidRDefault="750671CE" w:rsidP="00F94B7E">
      <w:pPr>
        <w:pStyle w:val="ListParagraph"/>
        <w:numPr>
          <w:ilvl w:val="0"/>
          <w:numId w:val="107"/>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Commingled </w:t>
      </w:r>
      <w:r w:rsidR="00DA2479" w:rsidRPr="00F94B7E">
        <w:rPr>
          <w:rFonts w:ascii="Times New Roman" w:eastAsia="Times New Roman" w:hAnsi="Times New Roman" w:cs="Times New Roman"/>
          <w:i/>
          <w:iCs/>
        </w:rPr>
        <w:t>p</w:t>
      </w:r>
      <w:r w:rsidRPr="00F94B7E">
        <w:rPr>
          <w:rFonts w:ascii="Times New Roman" w:eastAsia="Times New Roman" w:hAnsi="Times New Roman" w:cs="Times New Roman"/>
          <w:i/>
          <w:iCs/>
        </w:rPr>
        <w:t xml:space="preserve">roducts.  </w:t>
      </w:r>
      <w:r w:rsidRPr="00F94B7E">
        <w:rPr>
          <w:rFonts w:ascii="Times New Roman" w:eastAsia="Times New Roman" w:hAnsi="Times New Roman" w:cs="Times New Roman"/>
        </w:rPr>
        <w:t xml:space="preserve">After cases like </w:t>
      </w:r>
      <w:r w:rsidRPr="00F94B7E">
        <w:rPr>
          <w:rFonts w:ascii="Times New Roman" w:eastAsia="Times New Roman" w:hAnsi="Times New Roman" w:cs="Times New Roman"/>
          <w:i/>
          <w:iCs/>
        </w:rPr>
        <w:t>Skipworth</w:t>
      </w:r>
      <w:r w:rsidRPr="00F94B7E">
        <w:rPr>
          <w:rFonts w:ascii="Times New Roman" w:eastAsia="Times New Roman" w:hAnsi="Times New Roman" w:cs="Times New Roman"/>
        </w:rPr>
        <w:t>, some observers thought that market share liability had no future. The giant litigation over a gasoline additive in the Southern District of New York, however, suggested otherwise.  Methyl tertiary butyl ether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MTBE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a gasoline additive that has been found leaking from underground storage tanks around the United States and that has contaminated the water supply in many communities.  Plaintiffs in 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comingled product theory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closely resembles the market share theory:</w:t>
      </w:r>
    </w:p>
    <w:p w14:paraId="2A06C0FF" w14:textId="77777777" w:rsidR="004709CA" w:rsidRPr="00812E58" w:rsidRDefault="004709CA" w:rsidP="004709CA">
      <w:pPr>
        <w:rPr>
          <w:rFonts w:ascii="Times New Roman" w:hAnsi="Times New Roman" w:cs="Times New Roman"/>
        </w:rPr>
      </w:pPr>
    </w:p>
    <w:p w14:paraId="6026B892" w14:textId="1841EFB7" w:rsidR="004709CA" w:rsidRPr="00FA4733" w:rsidRDefault="004709CA" w:rsidP="00F94B7E">
      <w:pPr>
        <w:pStyle w:val="blockquote"/>
        <w:rPr>
          <w:color w:val="000000" w:themeColor="text1"/>
        </w:rPr>
      </w:pPr>
      <w:r w:rsidRPr="750671CE">
        <w:t>[T]he commingled product theory, while still an alternative means of proving causation, is closer to traditional causation than to market share liability. Under this theory, a reasonable jury could conclude, based</w:t>
      </w:r>
      <w:r w:rsidR="000D0384" w:rsidRPr="750671CE">
        <w:t xml:space="preserve"> on the evidence in the record, </w:t>
      </w:r>
      <w:r w:rsidRPr="750671CE">
        <w:t>that all defendants contributed to the commingled gasoline that caused contamination in plaintiffs</w:t>
      </w:r>
      <w:r w:rsidR="00B05F31">
        <w:t>’</w:t>
      </w:r>
      <w:r w:rsidRPr="750671CE">
        <w:t xml:space="preserve"> wells. Defendants may still exculpate themselves by showing that their product could not have been part of the commingled gasoline spilled in Suffolk County, but the burden shifts to them to do so.</w:t>
      </w:r>
      <w:bookmarkStart w:id="582" w:name="Document1zzB035352016097841"/>
      <w:bookmarkStart w:id="583" w:name="Document1zzF036362016097841"/>
      <w:bookmarkStart w:id="584" w:name="Document1zzB036362016097841"/>
      <w:bookmarkStart w:id="585" w:name="Document1zzB037372016097841"/>
      <w:bookmarkStart w:id="586" w:name="Document1zzF038382016097841"/>
      <w:bookmarkStart w:id="587" w:name="Document1zzB038382016097841"/>
      <w:bookmarkStart w:id="588" w:name="Document1zzF039392016097841"/>
      <w:bookmarkStart w:id="589" w:name="Document1zzB039392016097841"/>
      <w:bookmarkStart w:id="590" w:name="Document1zzF040402016097841"/>
      <w:bookmarkStart w:id="591" w:name="Document1zzB040402016097841"/>
      <w:bookmarkStart w:id="592" w:name="Document1zzF041412016097841"/>
      <w:bookmarkStart w:id="593" w:name="Document1zzB041412016097841"/>
      <w:bookmarkStart w:id="594" w:name="Document1zzSDUNumber4"/>
      <w:bookmarkStart w:id="595" w:name="Document1zzF042422016097841"/>
      <w:bookmarkStart w:id="596" w:name="Document1zzF043432016097841"/>
      <w:bookmarkStart w:id="597" w:name="Document1zzF044442016097841"/>
      <w:bookmarkStart w:id="598" w:name="Document1zzB042422016097841"/>
      <w:bookmarkStart w:id="599" w:name="Document1zzB043432016097841"/>
      <w:bookmarkStart w:id="600" w:name="Document1zzB044442016097841"/>
      <w:bookmarkStart w:id="601" w:name="Document1zzF045452016097841"/>
      <w:bookmarkStart w:id="602" w:name="Document1zzF046462016097841"/>
      <w:bookmarkStart w:id="603" w:name="Document1zzF047472016097841"/>
      <w:bookmarkStart w:id="604" w:name="Document1zzB045452016097841"/>
      <w:bookmarkStart w:id="605" w:name="Document1zzB046462016097841"/>
      <w:bookmarkStart w:id="606" w:name="Document1zzB047472016097841"/>
      <w:bookmarkStart w:id="607" w:name="Document1zzF048482016097841"/>
      <w:bookmarkStart w:id="608" w:name="Document1zzF049492016097841"/>
      <w:bookmarkStart w:id="609" w:name="Document1zzB048482016097841"/>
      <w:bookmarkStart w:id="610" w:name="Document1zzB049492016097841"/>
      <w:bookmarkStart w:id="611" w:name="Document1zzF050502016097841"/>
      <w:bookmarkStart w:id="612" w:name="Document1zzF051512016097841"/>
      <w:bookmarkStart w:id="613" w:name="Document1zzB050502016097841"/>
      <w:bookmarkStart w:id="614" w:name="Document1zzB051512016097841"/>
      <w:bookmarkStart w:id="615" w:name="Document1zzF053532016097841"/>
      <w:bookmarkStart w:id="616" w:name="Document1zzB052522016097841"/>
      <w:bookmarkStart w:id="617" w:name="Document1zzB053532016097841"/>
      <w:bookmarkStart w:id="618" w:name="Document1zzF054542016097841"/>
      <w:bookmarkStart w:id="619" w:name="Document1zzF055552016097841"/>
      <w:bookmarkStart w:id="620" w:name="Document1zzB054542016097841"/>
      <w:bookmarkStart w:id="621" w:name="Document1zzB055552016097841"/>
      <w:bookmarkStart w:id="622" w:name="Document1zzF056562016097841"/>
      <w:bookmarkStart w:id="623" w:name="Document1zzB056562016097841"/>
      <w:bookmarkStart w:id="624" w:name="Document1zzB057572016097841"/>
      <w:bookmarkStart w:id="625" w:name="Document1zzF058582016097841"/>
      <w:bookmarkStart w:id="626" w:name="Document1zzF059592016097841"/>
      <w:bookmarkStart w:id="627" w:name="Document1zzF060602016097841"/>
      <w:bookmarkStart w:id="628" w:name="Document1zzB058582016097841"/>
      <w:bookmarkStart w:id="629" w:name="Document1zzB059592016097841"/>
      <w:bookmarkStart w:id="630" w:name="Document1zzB060602016097841"/>
      <w:bookmarkStart w:id="631" w:name="Document1zzF061612016097841"/>
      <w:bookmarkStart w:id="632" w:name="Document1zzB061612016097841"/>
      <w:bookmarkStart w:id="633" w:name="Document1zzF062622016097841"/>
      <w:bookmarkStart w:id="634" w:name="Document1zzF063632016097841"/>
      <w:bookmarkStart w:id="635" w:name="Document1zzF064642016097841"/>
      <w:bookmarkStart w:id="636" w:name="Document1zzF065652016097841"/>
      <w:bookmarkStart w:id="637" w:name="Document1zzSDUNumber5"/>
      <w:bookmarkStart w:id="638" w:name="Document1zzB062622016097841"/>
      <w:bookmarkStart w:id="639" w:name="Document1zzB063632016097841"/>
      <w:bookmarkStart w:id="640" w:name="Document1zzB064642016097841"/>
      <w:bookmarkStart w:id="641" w:name="Document1zzB065652016097841"/>
      <w:bookmarkStart w:id="642" w:name="Document1zzF066662016097841"/>
      <w:bookmarkStart w:id="643" w:name="Document1zzB066662016097841"/>
      <w:bookmarkStart w:id="644" w:name="Document1zzB067672016097841"/>
      <w:bookmarkStart w:id="645" w:name="Document1zzB068682016097841"/>
      <w:bookmarkStart w:id="646" w:name="Document1zzF069692016097841"/>
      <w:bookmarkStart w:id="647" w:name="Document1zzB06969201609784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r w:rsidRPr="750671CE">
        <w:t xml:space="preserve"> . . .</w:t>
      </w:r>
    </w:p>
    <w:p w14:paraId="4883B33F" w14:textId="77777777" w:rsidR="004709CA" w:rsidRDefault="004709CA" w:rsidP="00F94B7E">
      <w:pPr>
        <w:pStyle w:val="blockquote"/>
      </w:pPr>
    </w:p>
    <w:p w14:paraId="7F805B8A" w14:textId="3F93097E" w:rsidR="004709CA" w:rsidRPr="00FA4733" w:rsidRDefault="004709CA" w:rsidP="00F94B7E">
      <w:pPr>
        <w:pStyle w:val="blockquote"/>
        <w:rPr>
          <w:color w:val="000000" w:themeColor="text1"/>
        </w:rPr>
      </w:pPr>
      <w:r w:rsidRPr="750671CE">
        <w:t>A reasonable jury could conclude that most defendants</w:t>
      </w:r>
      <w:r w:rsidR="00B05F31">
        <w:t>’</w:t>
      </w:r>
      <w:r w:rsidRPr="750671CE">
        <w:t xml:space="preserve">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t>“</w:t>
      </w:r>
      <w:r w:rsidRPr="750671CE">
        <w:t xml:space="preserve">modif[ied] the rules of personal injury liability, in order </w:t>
      </w:r>
      <w:r w:rsidR="00B05F31">
        <w:t>‘</w:t>
      </w:r>
      <w:r w:rsidRPr="750671CE">
        <w:t>to achieve the ends of justice in a more modern context</w:t>
      </w:r>
      <w:r w:rsidR="00B05F31">
        <w:t>’</w:t>
      </w:r>
      <w:r w:rsidRPr="750671CE">
        <w:t xml:space="preserve"> and </w:t>
      </w:r>
      <w:r w:rsidR="00BA2865">
        <w:t>. . .</w:t>
      </w:r>
      <w:r w:rsidR="00BA2865" w:rsidRPr="750671CE">
        <w:t xml:space="preserve"> </w:t>
      </w:r>
      <w:r w:rsidRPr="750671CE">
        <w:t xml:space="preserve">to overcome </w:t>
      </w:r>
      <w:r w:rsidR="00B05F31">
        <w:t>‘</w:t>
      </w:r>
      <w:r w:rsidRPr="750671CE">
        <w:t>the inordinately difficult problems of proof caused by contemporary products and marketing techniques.</w:t>
      </w:r>
      <w:r w:rsidR="00BA2865">
        <w:t>’</w:t>
      </w:r>
      <w:bookmarkStart w:id="648" w:name="Document1zzF070702016097841"/>
      <w:bookmarkStart w:id="649" w:name="Document1zzB070702016097841"/>
      <w:bookmarkEnd w:id="648"/>
      <w:bookmarkEnd w:id="649"/>
      <w:r w:rsidR="006B3436">
        <w:t>”</w:t>
      </w:r>
      <w:bookmarkStart w:id="650" w:name="Document1zzF071712016097841"/>
      <w:bookmarkStart w:id="651" w:name="Document1zzB071712016097841"/>
      <w:bookmarkStart w:id="652" w:name="Document1zzF072722016097841"/>
      <w:bookmarkStart w:id="653" w:name="Document1zzB072722016097841"/>
      <w:bookmarkEnd w:id="650"/>
      <w:bookmarkEnd w:id="651"/>
      <w:bookmarkEnd w:id="652"/>
      <w:bookmarkEnd w:id="653"/>
      <w:r w:rsidRPr="750671CE">
        <w:t xml:space="preserve"> . . .</w:t>
      </w:r>
    </w:p>
    <w:p w14:paraId="7A44AD4C" w14:textId="77777777" w:rsidR="004709CA" w:rsidRDefault="004709CA" w:rsidP="00F94B7E">
      <w:pPr>
        <w:pStyle w:val="blockquote"/>
      </w:pPr>
    </w:p>
    <w:p w14:paraId="37B939AA" w14:textId="5B8FACAE" w:rsidR="004709CA" w:rsidRDefault="004709CA" w:rsidP="00F94B7E">
      <w:pPr>
        <w:pStyle w:val="blockquote"/>
        <w:rPr>
          <w:color w:val="000000" w:themeColor="text1"/>
        </w:rPr>
      </w:pPr>
      <w:r w:rsidRPr="750671CE">
        <w:t>The commingled product theory lies somewhere between market share and concurrent wrongdoing.</w:t>
      </w:r>
      <w:r w:rsidRPr="750671CE" w:rsidDel="00CB57E4">
        <w:t xml:space="preserve"> </w:t>
      </w:r>
      <w:bookmarkStart w:id="654" w:name="Document1zzF073732016097841"/>
      <w:bookmarkEnd w:id="654"/>
      <w:r w:rsidRPr="750671CE">
        <w:t>It is similar to concurrent wrongdoing</w:t>
      </w:r>
      <w:r w:rsidR="00D27565">
        <w:t>—</w:t>
      </w:r>
      <w:r w:rsidRPr="750671CE">
        <w:t>a theory that allows multiple tortfeasors to be held jointly and severally liable when each tortfeasor</w:t>
      </w:r>
      <w:r w:rsidR="00B05F31">
        <w:t>’</w:t>
      </w:r>
      <w:r w:rsidRPr="750671CE">
        <w:t>s independent actions combine to produce the same wrong</w:t>
      </w:r>
      <w:r w:rsidR="00D27565">
        <w:t>—</w:t>
      </w:r>
      <w:r w:rsidRPr="750671CE">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FA4733" w:rsidRDefault="004709CA" w:rsidP="00F94B7E">
      <w:pPr>
        <w:pStyle w:val="blockquote"/>
      </w:pPr>
    </w:p>
    <w:p w14:paraId="2FD05CA7" w14:textId="7377D690" w:rsidR="004709CA" w:rsidRDefault="004709CA" w:rsidP="00F94B7E">
      <w:pPr>
        <w:pStyle w:val="blockquote"/>
        <w:rPr>
          <w:color w:val="000000" w:themeColor="text1"/>
        </w:rPr>
      </w:pPr>
      <w:bookmarkStart w:id="655" w:name="Document1zzB073732016097841"/>
      <w:bookmarkEnd w:id="655"/>
      <w:r w:rsidRPr="750671CE">
        <w:t>The theory is different from market share liability, however, in an important way. Market share liability was developed in the context of plaintiffs</w:t>
      </w:r>
      <w:r w:rsidR="00B05F31">
        <w:t>’</w:t>
      </w:r>
      <w:r w:rsidRPr="750671CE">
        <w:t xml:space="preserve"> inability to identify which manufacturer had produced the defective product-diethylstilbestrol (</w:t>
      </w:r>
      <w:r w:rsidR="00B05F31">
        <w:t>“</w:t>
      </w:r>
      <w:r w:rsidRPr="750671CE">
        <w:t>DES</w:t>
      </w:r>
      <w:r w:rsidR="00B05F31">
        <w:t>”</w:t>
      </w:r>
      <w:r w:rsidRPr="750671CE">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750671CE">
        <w:rPr>
          <w:i/>
          <w:iCs/>
        </w:rPr>
        <w:t>not</w:t>
      </w:r>
      <w:r w:rsidRPr="750671CE">
        <w:t xml:space="preserve"> cause the plaintiff</w:t>
      </w:r>
      <w:r w:rsidR="00B05F31">
        <w:t>’</w:t>
      </w:r>
      <w:r w:rsidRPr="750671CE">
        <w:t>s injury.</w:t>
      </w:r>
    </w:p>
    <w:p w14:paraId="677F2D09" w14:textId="77777777" w:rsidR="004709CA" w:rsidRPr="00FA4733" w:rsidRDefault="004709CA" w:rsidP="00F94B7E">
      <w:pPr>
        <w:pStyle w:val="blockquote"/>
      </w:pPr>
    </w:p>
    <w:p w14:paraId="14EF9F38" w14:textId="55230D4E" w:rsidR="004709CA" w:rsidRPr="00FA4733" w:rsidRDefault="750671CE" w:rsidP="00F94B7E">
      <w:pPr>
        <w:pStyle w:val="blockquote"/>
        <w:rPr>
          <w:b/>
          <w:bCs/>
          <w:highlight w:val="cyan"/>
        </w:rPr>
      </w:pPr>
      <w:r w:rsidRPr="750671CE">
        <w:rPr>
          <w:color w:val="000000" w:themeColor="text1"/>
        </w:rPr>
        <w:t>Here, by contrast, because the gasoline that has contaminated plaintiffs</w:t>
      </w:r>
      <w:r w:rsidR="00B05F31">
        <w:rPr>
          <w:color w:val="000000" w:themeColor="text1"/>
        </w:rPr>
        <w:t>’</w:t>
      </w:r>
      <w:r w:rsidRPr="750671CE">
        <w:rPr>
          <w:color w:val="000000" w:themeColor="text1"/>
        </w:rPr>
        <w:t xml:space="preserve"> wells was undeniably the commingled product of numerous manufacturers, there is a good chance that many of the defendants held liable, if not the majority, actually </w:t>
      </w:r>
      <w:r w:rsidRPr="750671CE">
        <w:rPr>
          <w:i/>
          <w:iCs/>
          <w:color w:val="000000" w:themeColor="text1"/>
        </w:rPr>
        <w:t>did</w:t>
      </w:r>
      <w:r w:rsidRPr="750671CE">
        <w:rPr>
          <w:color w:val="000000" w:themeColor="text1"/>
        </w:rPr>
        <w:t xml:space="preserve"> cause plaintiffs</w:t>
      </w:r>
      <w:r w:rsidR="00B05F31">
        <w:rPr>
          <w:color w:val="000000" w:themeColor="text1"/>
        </w:rPr>
        <w:t>’</w:t>
      </w:r>
      <w:r w:rsidRPr="750671CE">
        <w:rPr>
          <w:color w:val="000000" w:themeColor="text1"/>
        </w:rPr>
        <w:t xml:space="preserve"> injury. In this sense, the commingled product theory is closer to traditional causation than market share liability.</w:t>
      </w:r>
    </w:p>
    <w:p w14:paraId="47BBDEDE" w14:textId="77777777" w:rsidR="004709CA" w:rsidRDefault="004709CA" w:rsidP="004709CA">
      <w:pPr>
        <w:rPr>
          <w:rFonts w:ascii="Times New Roman" w:hAnsi="Times New Roman" w:cs="Times New Roman"/>
          <w:highlight w:val="cyan"/>
        </w:rPr>
      </w:pPr>
    </w:p>
    <w:p w14:paraId="0D61B4FB" w14:textId="77777777"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i/>
          <w:iCs/>
        </w:rPr>
        <w:t>In re MTBE Products Liability Litigation</w:t>
      </w:r>
      <w:r w:rsidRPr="750671CE">
        <w:rPr>
          <w:rFonts w:ascii="Times New Roman" w:eastAsia="Times New Roman" w:hAnsi="Times New Roman" w:cs="Times New Roman"/>
        </w:rPr>
        <w:t xml:space="preserve">, 91 F. Supp. 2d 259 (S.D.N.Y. 2008). While Judge Scheindlin purports to distinguish between the MBTE cases and the DES cases, it seems that many of the same practical problems in apportioning fault are still involved. These include the practical problems identified by </w:t>
      </w:r>
      <w:r w:rsidRPr="750671CE">
        <w:rPr>
          <w:rFonts w:ascii="Times New Roman" w:eastAsia="Times New Roman" w:hAnsi="Times New Roman" w:cs="Times New Roman"/>
          <w:i/>
          <w:iCs/>
        </w:rPr>
        <w:t>Skipworth</w:t>
      </w:r>
      <w:r w:rsidRPr="750671CE">
        <w:rPr>
          <w:rFonts w:ascii="Times New Roman" w:eastAsia="Times New Roman" w:hAnsi="Times New Roman" w:cs="Times New Roman"/>
        </w:rPr>
        <w:t xml:space="preserve"> as a reason not to use market share liability in the lead poisoning cases.  At trial the jury found for the plaintiffs, but did so on grounds that did not require it to make a decision on the commingled products theory.  </w:t>
      </w:r>
      <w:r w:rsidRPr="750671CE">
        <w:rPr>
          <w:rFonts w:ascii="Times New Roman" w:eastAsia="Times New Roman" w:hAnsi="Times New Roman" w:cs="Times New Roman"/>
          <w:i/>
          <w:iCs/>
        </w:rPr>
        <w:t>See In re MTBE Products Liability Litigation</w:t>
      </w:r>
      <w:r w:rsidRPr="750671CE">
        <w:rPr>
          <w:rFonts w:ascii="Times New Roman" w:eastAsia="Times New Roman" w:hAnsi="Times New Roman" w:cs="Times New Roman"/>
        </w:rPr>
        <w:t>, 725 F.3d 65, 117 n. 39 (2d Cir. 2013).</w:t>
      </w:r>
    </w:p>
    <w:p w14:paraId="7868BBD9" w14:textId="77777777" w:rsidR="004709CA" w:rsidRDefault="004709CA" w:rsidP="004709CA">
      <w:pPr>
        <w:rPr>
          <w:rFonts w:ascii="Times New Roman" w:hAnsi="Times New Roman" w:cs="Times New Roman"/>
          <w:b/>
        </w:rPr>
      </w:pPr>
    </w:p>
    <w:p w14:paraId="64FB7CA6" w14:textId="77777777" w:rsidR="004709CA" w:rsidRDefault="004709CA" w:rsidP="004709CA">
      <w:pPr>
        <w:rPr>
          <w:rFonts w:ascii="Times New Roman" w:hAnsi="Times New Roman" w:cs="Times New Roman"/>
          <w:b/>
        </w:rPr>
      </w:pPr>
    </w:p>
    <w:p w14:paraId="1EE9E039" w14:textId="77777777" w:rsidR="004709CA" w:rsidRDefault="004709CA" w:rsidP="00322687">
      <w:pPr>
        <w:pStyle w:val="Heading3"/>
      </w:pPr>
      <w:bookmarkStart w:id="656" w:name="_Toc364636175"/>
      <w:bookmarkStart w:id="657" w:name="_Toc518323402"/>
      <w:r>
        <w:t xml:space="preserve">The </w:t>
      </w:r>
      <w:r w:rsidRPr="00587B63">
        <w:t>Substantial Factor Test Revisited</w:t>
      </w:r>
      <w:bookmarkEnd w:id="656"/>
      <w:bookmarkEnd w:id="657"/>
    </w:p>
    <w:p w14:paraId="0D4B9E1C" w14:textId="77777777" w:rsidR="004709CA" w:rsidRPr="00587B63" w:rsidRDefault="004709CA" w:rsidP="004709CA">
      <w:pPr>
        <w:rPr>
          <w:rFonts w:ascii="Times New Roman" w:hAnsi="Times New Roman" w:cs="Times New Roman"/>
          <w:b/>
        </w:rPr>
      </w:pPr>
    </w:p>
    <w:p w14:paraId="28FD62E1" w14:textId="0928098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By the 1970s and 1980s, the substantial factor test began to appear outside two-fires type cases such as </w:t>
      </w:r>
      <w:r w:rsidRPr="750671CE">
        <w:rPr>
          <w:rFonts w:ascii="Times New Roman" w:eastAsia="Times New Roman" w:hAnsi="Times New Roman" w:cs="Times New Roman"/>
          <w:i/>
          <w:iCs/>
        </w:rPr>
        <w:t>Kingston</w:t>
      </w:r>
      <w:r w:rsidRPr="750671CE">
        <w:rPr>
          <w:rFonts w:ascii="Times New Roman" w:eastAsia="Times New Roman" w:hAnsi="Times New Roman" w:cs="Times New Roman"/>
        </w:rPr>
        <w:t xml:space="preserve">. In 1973, the Fifth Circuit used the substantial factor language to resolve an indeterminate defendant issue in an asbestos case. 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rPr>
          <w:rFonts w:ascii="Times New Roman" w:eastAsia="Times New Roman" w:hAnsi="Times New Roman" w:cs="Times New Roman"/>
        </w:rPr>
        <w:t>“</w:t>
      </w:r>
      <w:r w:rsidRPr="750671CE">
        <w:rPr>
          <w:rFonts w:ascii="Times New Roman" w:eastAsia="Times New Roman" w:hAnsi="Times New Roman" w:cs="Times New Roman"/>
        </w:rPr>
        <w:t>substantial factor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injury and could be held liable. </w:t>
      </w:r>
      <w:r w:rsidRPr="750671CE">
        <w:rPr>
          <w:rFonts w:ascii="Times New Roman" w:eastAsia="Times New Roman" w:hAnsi="Times New Roman" w:cs="Times New Roman"/>
          <w:i/>
          <w:iCs/>
        </w:rPr>
        <w:t>Borel v. Fibreboard Paper Products Corp.,</w:t>
      </w:r>
      <w:r w:rsidRPr="750671CE">
        <w:rPr>
          <w:rFonts w:ascii="Times New Roman" w:eastAsia="Times New Roman" w:hAnsi="Times New Roman" w:cs="Times New Roman"/>
        </w:rPr>
        <w:t xml:space="preserve"> 493 F.2d 1076, 1094 (5th Cir. 1973). This application of the substantial factor test was adopted by most states and covered toxic exposure cases including diethylstilbestrol (DES) and environmental damages.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Queen City Terminals v. General Am. Transp. Corp</w:t>
      </w:r>
      <w:r w:rsidRPr="750671CE">
        <w:rPr>
          <w:rFonts w:ascii="Times New Roman" w:eastAsia="Times New Roman" w:hAnsi="Times New Roman" w:cs="Times New Roman"/>
        </w:rPr>
        <w:t xml:space="preserve">., 73 Ohio St. 3d 609 (1995); </w:t>
      </w:r>
      <w:r w:rsidRPr="750671CE">
        <w:rPr>
          <w:rFonts w:ascii="Times New Roman" w:eastAsia="Times New Roman" w:hAnsi="Times New Roman" w:cs="Times New Roman"/>
          <w:i/>
          <w:iCs/>
        </w:rPr>
        <w:t>Sindell v. Abbott Laboratories</w:t>
      </w:r>
      <w:r w:rsidRPr="750671CE">
        <w:rPr>
          <w:rFonts w:ascii="Times New Roman" w:eastAsia="Times New Roman" w:hAnsi="Times New Roman" w:cs="Times New Roman"/>
        </w:rPr>
        <w:t xml:space="preserve">, 26 Cal. 3d 588 (Cal. 1980).  For more, see John D. Rue, </w:t>
      </w:r>
      <w:r w:rsidRPr="750671CE">
        <w:rPr>
          <w:rFonts w:ascii="Times New Roman" w:eastAsia="Times New Roman" w:hAnsi="Times New Roman" w:cs="Times New Roman"/>
          <w:i/>
          <w:iCs/>
        </w:rPr>
        <w:t xml:space="preserve">Returning to the Roots of the Bramble Bush: The </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But For</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 xml:space="preserve"> Test Regains Primacy in Causal Analysis in the American Law Institute</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s Proposed Restatement (Third) of Torts</w:t>
      </w:r>
      <w:r w:rsidRPr="750671CE">
        <w:rPr>
          <w:rFonts w:ascii="Times New Roman" w:eastAsia="Times New Roman" w:hAnsi="Times New Roman" w:cs="Times New Roman"/>
        </w:rPr>
        <w:t xml:space="preserve">, 71 </w:t>
      </w:r>
      <w:r w:rsidRPr="750671CE">
        <w:rPr>
          <w:rFonts w:ascii="Times New Roman" w:eastAsia="Times New Roman" w:hAnsi="Times New Roman" w:cs="Times New Roman"/>
          <w:smallCaps/>
        </w:rPr>
        <w:t>Fordham L. Rev</w:t>
      </w:r>
      <w:r w:rsidRPr="750671CE">
        <w:rPr>
          <w:rFonts w:ascii="Times New Roman" w:eastAsia="Times New Roman" w:hAnsi="Times New Roman" w:cs="Times New Roman"/>
        </w:rPr>
        <w:t xml:space="preserve">. 2679, 2695 (2003);  </w:t>
      </w:r>
    </w:p>
    <w:p w14:paraId="1BC708E3" w14:textId="77777777" w:rsidR="004709CA" w:rsidRDefault="004709CA" w:rsidP="004709CA">
      <w:pPr>
        <w:ind w:firstLine="720"/>
        <w:rPr>
          <w:rFonts w:ascii="Times New Roman" w:hAnsi="Times New Roman" w:cs="Times New Roman"/>
        </w:rPr>
      </w:pPr>
    </w:p>
    <w:p w14:paraId="3DACBA51" w14:textId="60023730"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substantial factor test</w:t>
      </w:r>
      <w:r w:rsidR="00B05F31">
        <w:rPr>
          <w:rFonts w:ascii="Times New Roman" w:eastAsia="Times New Roman" w:hAnsi="Times New Roman" w:cs="Times New Roman"/>
        </w:rPr>
        <w:t>’</w:t>
      </w:r>
      <w:r w:rsidRPr="750671CE">
        <w:rPr>
          <w:rFonts w:ascii="Times New Roman" w:eastAsia="Times New Roman" w:hAnsi="Times New Roman" w:cs="Times New Roman"/>
        </w:rPr>
        <w:t>s role in lowering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injury. Joseph Sanders, Michael D. Williams</w:t>
      </w:r>
      <w:r w:rsidR="00D27565">
        <w:rPr>
          <w:rFonts w:ascii="Times New Roman" w:eastAsia="Times New Roman" w:hAnsi="Times New Roman" w:cs="Times New Roman"/>
        </w:rPr>
        <w:t xml:space="preserve"> &amp; </w:t>
      </w:r>
      <w:r w:rsidRPr="750671CE">
        <w:rPr>
          <w:rFonts w:ascii="Times New Roman" w:eastAsia="Times New Roman" w:hAnsi="Times New Roman" w:cs="Times New Roman"/>
        </w:rPr>
        <w:t xml:space="preserve">William C. Powers, Jr., </w:t>
      </w:r>
      <w:r w:rsidRPr="750671CE">
        <w:rPr>
          <w:rFonts w:ascii="Times New Roman" w:eastAsia="Times New Roman" w:hAnsi="Times New Roman" w:cs="Times New Roman"/>
          <w:i/>
          <w:iCs/>
        </w:rPr>
        <w:t xml:space="preserve">Symposium: A Tribute to Professor David Fischer: The Insubstantiality of the </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Substantial Factor</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 xml:space="preserve"> Test for Causation</w:t>
      </w:r>
      <w:r w:rsidRPr="750671CE">
        <w:rPr>
          <w:rFonts w:ascii="Times New Roman" w:eastAsia="Times New Roman" w:hAnsi="Times New Roman" w:cs="Times New Roman"/>
        </w:rPr>
        <w:t xml:space="preserve">, 73 </w:t>
      </w:r>
      <w:r w:rsidRPr="750671CE">
        <w:rPr>
          <w:rFonts w:ascii="Times New Roman" w:eastAsia="Times New Roman" w:hAnsi="Times New Roman" w:cs="Times New Roman"/>
          <w:smallCaps/>
        </w:rPr>
        <w:t>Mo. L. Rev.</w:t>
      </w:r>
      <w:r w:rsidRPr="750671CE">
        <w:rPr>
          <w:rFonts w:ascii="Times New Roman" w:eastAsia="Times New Roman" w:hAnsi="Times New Roman" w:cs="Times New Roman"/>
        </w:rPr>
        <w:t xml:space="preserve"> 399 (2008); Gerald W. Boston, </w:t>
      </w:r>
      <w:r w:rsidRPr="750671CE">
        <w:rPr>
          <w:rFonts w:ascii="Times New Roman" w:eastAsia="Times New Roman" w:hAnsi="Times New Roman" w:cs="Times New Roman"/>
          <w:i/>
          <w:iCs/>
        </w:rPr>
        <w:t>Toxic Apportionment: A Causation and Risk Contribution Model</w:t>
      </w:r>
      <w:r w:rsidRPr="750671CE">
        <w:rPr>
          <w:rFonts w:ascii="Times New Roman" w:eastAsia="Times New Roman" w:hAnsi="Times New Roman" w:cs="Times New Roman"/>
        </w:rPr>
        <w:t xml:space="preserve">, 25 </w:t>
      </w:r>
      <w:r w:rsidRPr="750671CE">
        <w:rPr>
          <w:rFonts w:ascii="Times New Roman" w:eastAsia="Times New Roman" w:hAnsi="Times New Roman" w:cs="Times New Roman"/>
          <w:smallCaps/>
        </w:rPr>
        <w:t>Envtl. L.J.</w:t>
      </w:r>
      <w:r w:rsidRPr="750671CE">
        <w:rPr>
          <w:rFonts w:ascii="Times New Roman" w:eastAsia="Times New Roman" w:hAnsi="Times New Roman" w:cs="Times New Roman"/>
        </w:rPr>
        <w:t xml:space="preserve"> 549 (1995).</w:t>
      </w:r>
    </w:p>
    <w:p w14:paraId="267484B4" w14:textId="77777777" w:rsidR="004709CA" w:rsidRDefault="004709CA" w:rsidP="004709CA">
      <w:pPr>
        <w:ind w:firstLine="720"/>
        <w:rPr>
          <w:rFonts w:ascii="Times New Roman" w:hAnsi="Times New Roman" w:cs="Times New Roman"/>
        </w:rPr>
      </w:pPr>
    </w:p>
    <w:p w14:paraId="5F13A79C" w14:textId="1A77CD35" w:rsidR="004709CA" w:rsidRDefault="750671CE" w:rsidP="750671CE">
      <w:pPr>
        <w:ind w:firstLine="720"/>
        <w:rPr>
          <w:rFonts w:ascii="Times New Roman" w:eastAsia="Times New Roman" w:hAnsi="Times New Roman" w:cs="Times New Roman"/>
          <w:i/>
          <w:iCs/>
        </w:rPr>
      </w:pPr>
      <w:r w:rsidRPr="750671CE">
        <w:rPr>
          <w:rFonts w:ascii="Times New Roman" w:eastAsia="Times New Roman" w:hAnsi="Times New Roman" w:cs="Times New Roman"/>
        </w:rPr>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rPr>
          <w:rFonts w:ascii="Times New Roman" w:eastAsia="Times New Roman" w:hAnsi="Times New Roman" w:cs="Times New Roman"/>
        </w:rPr>
        <w:t>“</w:t>
      </w:r>
      <w:r w:rsidRPr="750671CE">
        <w:rPr>
          <w:rFonts w:ascii="Times New Roman" w:eastAsia="Times New Roman" w:hAnsi="Times New Roman" w:cs="Times New Roman"/>
        </w:rPr>
        <w:t>substantial factor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test had not </w:t>
      </w:r>
      <w:r w:rsidR="00B05F31">
        <w:rPr>
          <w:rFonts w:ascii="Times New Roman" w:eastAsia="Times New Roman" w:hAnsi="Times New Roman" w:cs="Times New Roman"/>
        </w:rPr>
        <w:t>“</w:t>
      </w:r>
      <w:r w:rsidRPr="750671CE">
        <w:rPr>
          <w:rFonts w:ascii="Times New Roman" w:eastAsia="Times New Roman" w:hAnsi="Times New Roman" w:cs="Times New Roman"/>
        </w:rPr>
        <w:t>withstood the test of time, as it has proved confusing and been misused.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 xml:space="preserve">Restatement (Third) of Torts: Liab. for Phys. and Emot. Harm, </w:t>
      </w:r>
      <w:r w:rsidRPr="750671CE">
        <w:rPr>
          <w:rFonts w:ascii="Times New Roman" w:eastAsia="Times New Roman" w:hAnsi="Times New Roman" w:cs="Times New Roman"/>
        </w:rPr>
        <w:t>§ 26, cmt. J. The comment backed away from using the substantial factor language to limit liability where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action was not a </w:t>
      </w:r>
      <w:r w:rsidR="00B05F31">
        <w:rPr>
          <w:rFonts w:ascii="Times New Roman" w:eastAsia="Times New Roman" w:hAnsi="Times New Roman" w:cs="Times New Roman"/>
        </w:rPr>
        <w:t>“</w:t>
      </w:r>
      <w:r w:rsidRPr="750671CE">
        <w:rPr>
          <w:rFonts w:ascii="Times New Roman" w:eastAsia="Times New Roman" w:hAnsi="Times New Roman" w:cs="Times New Roman"/>
        </w:rPr>
        <w:t>substantial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enough cause. It also rejected the use of the substantial factor language to impose liability where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was not a but-for cause, but simultaneously recognized the difficulty of uncertain defendant cases. However, it gives courts the flexibility to </w:t>
      </w:r>
      <w:r w:rsidR="00B05F31">
        <w:rPr>
          <w:rFonts w:ascii="Times New Roman" w:eastAsia="Times New Roman" w:hAnsi="Times New Roman" w:cs="Times New Roman"/>
        </w:rPr>
        <w:t>“</w:t>
      </w:r>
      <w:r w:rsidRPr="750671CE">
        <w:rPr>
          <w:rFonts w:ascii="Times New Roman" w:eastAsia="Times New Roman" w:hAnsi="Times New Roman" w:cs="Times New Roman"/>
        </w:rPr>
        <w:t>decide, based on the availability of evidence and on policy grounds, to modify or shift the burden of proof for factual cause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order to cope with these challenging cases. </w:t>
      </w:r>
      <w:r w:rsidRPr="750671CE">
        <w:rPr>
          <w:rFonts w:ascii="Times New Roman" w:eastAsia="Times New Roman" w:hAnsi="Times New Roman" w:cs="Times New Roman"/>
          <w:i/>
          <w:iCs/>
        </w:rPr>
        <w:t xml:space="preserve">Id. </w:t>
      </w:r>
    </w:p>
    <w:p w14:paraId="1011EAAF" w14:textId="77777777" w:rsidR="004709CA" w:rsidRDefault="004709CA" w:rsidP="004709CA">
      <w:pPr>
        <w:ind w:firstLine="720"/>
        <w:rPr>
          <w:rFonts w:ascii="Times New Roman" w:hAnsi="Times New Roman" w:cs="Times New Roman"/>
        </w:rPr>
      </w:pPr>
    </w:p>
    <w:p w14:paraId="1A64FB57" w14:textId="424BB89A"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Third Restatement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approach has had a mixed reception. Federal courts have applied it in interpreting causation in federal statutes.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June v. Union Carbide Corp</w:t>
      </w:r>
      <w:r w:rsidRPr="750671CE">
        <w:rPr>
          <w:rFonts w:ascii="Times New Roman" w:eastAsia="Times New Roman" w:hAnsi="Times New Roman" w:cs="Times New Roman"/>
        </w:rPr>
        <w:t xml:space="preserve">., 577 F.3d 1234, 1239 (10th Cir. 2009) (causation in Price-Anderson Act). Several states have cited it generally for the proposition that but-for causality is the default standard of causality.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Thompson v. Kaczinski</w:t>
      </w:r>
      <w:r w:rsidRPr="750671CE">
        <w:rPr>
          <w:rFonts w:ascii="Times New Roman" w:eastAsia="Times New Roman" w:hAnsi="Times New Roman" w:cs="Times New Roman"/>
        </w:rPr>
        <w:t xml:space="preserve">, 774 N.W.2d 829, 839 (Iowa 2009). However, many states still use the </w:t>
      </w:r>
      <w:r w:rsidR="00B05F31">
        <w:rPr>
          <w:rFonts w:ascii="Times New Roman" w:eastAsia="Times New Roman" w:hAnsi="Times New Roman" w:cs="Times New Roman"/>
        </w:rPr>
        <w:t>“</w:t>
      </w:r>
      <w:r w:rsidRPr="750671CE">
        <w:rPr>
          <w:rFonts w:ascii="Times New Roman" w:eastAsia="Times New Roman" w:hAnsi="Times New Roman" w:cs="Times New Roman"/>
        </w:rPr>
        <w:t>substantial factor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analysis in toxic tort cases, without even commenting on the Third Restatement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rejection of that language.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Betz v. Pneumo Abex LLC</w:t>
      </w:r>
      <w:r w:rsidRPr="750671CE">
        <w:rPr>
          <w:rFonts w:ascii="Times New Roman" w:eastAsia="Times New Roman" w:hAnsi="Times New Roman" w:cs="Times New Roman"/>
        </w:rPr>
        <w:t xml:space="preserve">, 615 Pa. 504, 524 (2012); </w:t>
      </w:r>
      <w:r w:rsidRPr="750671CE">
        <w:rPr>
          <w:rFonts w:ascii="Times New Roman" w:eastAsia="Times New Roman" w:hAnsi="Times New Roman" w:cs="Times New Roman"/>
          <w:i/>
          <w:iCs/>
        </w:rPr>
        <w:t>Dixon v. Ford Motor Co.</w:t>
      </w:r>
      <w:r w:rsidRPr="750671CE">
        <w:rPr>
          <w:rFonts w:ascii="Times New Roman" w:eastAsia="Times New Roman" w:hAnsi="Times New Roman" w:cs="Times New Roman"/>
        </w:rPr>
        <w:t xml:space="preserve">, 433 Md. 137, 150 (2013). </w:t>
      </w:r>
    </w:p>
    <w:p w14:paraId="2F0B0230" w14:textId="77777777" w:rsidR="004709CA" w:rsidRDefault="004709CA" w:rsidP="004709CA">
      <w:pPr>
        <w:ind w:firstLine="720"/>
        <w:rPr>
          <w:rFonts w:ascii="Times New Roman" w:hAnsi="Times New Roman" w:cs="Times New Roman"/>
        </w:rPr>
      </w:pPr>
    </w:p>
    <w:p w14:paraId="545FAD26" w14:textId="5C035716"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Judge Calabresi has criticized the Third Restatement approach as being potentially </w:t>
      </w:r>
      <w:r w:rsidR="00B05F31">
        <w:rPr>
          <w:rFonts w:ascii="Times New Roman" w:eastAsia="Times New Roman" w:hAnsi="Times New Roman" w:cs="Times New Roman"/>
        </w:rPr>
        <w:t>“</w:t>
      </w:r>
      <w:r w:rsidRPr="750671CE">
        <w:rPr>
          <w:rFonts w:ascii="Times New Roman" w:eastAsia="Times New Roman" w:hAnsi="Times New Roman" w:cs="Times New Roman"/>
        </w:rPr>
        <w:t>too certain.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 asks whether the market share liability doctrine or other creative solutions to recent problems in tort doctrine would have evolved under the strict but-for test.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Rue, </w:t>
      </w:r>
      <w:r w:rsidRPr="750671CE">
        <w:rPr>
          <w:rFonts w:ascii="Times New Roman" w:eastAsia="Times New Roman" w:hAnsi="Times New Roman" w:cs="Times New Roman"/>
          <w:i/>
          <w:iCs/>
        </w:rPr>
        <w:t>Returning to the Roots of the Bramble Bush</w:t>
      </w:r>
      <w:r w:rsidRPr="750671CE">
        <w:rPr>
          <w:rFonts w:ascii="Times New Roman" w:eastAsia="Times New Roman" w:hAnsi="Times New Roman" w:cs="Times New Roman"/>
          <w:smallCaps/>
        </w:rPr>
        <w:t>,</w:t>
      </w:r>
      <w:r w:rsidRPr="750671CE">
        <w:rPr>
          <w:rFonts w:ascii="Times New Roman" w:eastAsia="Times New Roman" w:hAnsi="Times New Roman" w:cs="Times New Roman"/>
          <w:i/>
          <w:iCs/>
        </w:rPr>
        <w:t xml:space="preserve"> supra</w:t>
      </w:r>
      <w:r w:rsidRPr="750671CE">
        <w:rPr>
          <w:rFonts w:ascii="Times New Roman" w:eastAsia="Times New Roman" w:hAnsi="Times New Roman" w:cs="Times New Roman"/>
        </w:rPr>
        <w:t>, at 2732.  Is the flexibility provided by the inherent vagueness of the substantial factor test a tool of judicial economy, by giving judges flexibility to structure new doctrine? Or is it a confusing phrase that leads the law to solve problems best left to other branches of government?</w:t>
      </w:r>
    </w:p>
    <w:p w14:paraId="7582701B" w14:textId="77777777" w:rsidR="004709CA" w:rsidRDefault="004709CA" w:rsidP="004709CA">
      <w:pPr>
        <w:rPr>
          <w:rFonts w:ascii="Times New Roman" w:hAnsi="Times New Roman" w:cs="Times New Roman"/>
          <w:b/>
          <w:i/>
        </w:rPr>
      </w:pPr>
    </w:p>
    <w:p w14:paraId="2813ABD4" w14:textId="77777777" w:rsidR="004709CA" w:rsidRDefault="004709CA" w:rsidP="004709CA">
      <w:pPr>
        <w:rPr>
          <w:rFonts w:ascii="Times New Roman" w:hAnsi="Times New Roman" w:cs="Times New Roman"/>
          <w:b/>
          <w:i/>
        </w:rPr>
      </w:pPr>
    </w:p>
    <w:p w14:paraId="15B3ACC6" w14:textId="77777777" w:rsidR="004709CA" w:rsidRDefault="004709CA" w:rsidP="000D0384">
      <w:pPr>
        <w:pStyle w:val="Heading2"/>
      </w:pPr>
      <w:bookmarkStart w:id="658" w:name="_Toc364636176"/>
      <w:bookmarkStart w:id="659" w:name="_Toc518323403"/>
      <w:r w:rsidRPr="00FA4733">
        <w:t>F. Causation Beyond Torts</w:t>
      </w:r>
      <w:bookmarkEnd w:id="658"/>
      <w:bookmarkEnd w:id="659"/>
    </w:p>
    <w:p w14:paraId="28F7E9B8" w14:textId="77777777" w:rsidR="004709CA" w:rsidRPr="00FA4733" w:rsidRDefault="004709CA" w:rsidP="004709CA">
      <w:pPr>
        <w:rPr>
          <w:rFonts w:ascii="Times New Roman" w:hAnsi="Times New Roman" w:cs="Times New Roman"/>
          <w:b/>
          <w:i/>
        </w:rPr>
      </w:pPr>
    </w:p>
    <w:p w14:paraId="49CDFDC0"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Causation is not an issue in torts alone, of course. Courts and legislatures have drawn heavily on torts principles in developing causation standards in a wide range of fields. </w:t>
      </w:r>
    </w:p>
    <w:p w14:paraId="7E8C9AA5" w14:textId="77777777" w:rsidR="004709CA" w:rsidRDefault="004709CA" w:rsidP="004709CA">
      <w:pPr>
        <w:rPr>
          <w:rFonts w:ascii="Times New Roman" w:hAnsi="Times New Roman" w:cs="Times New Roman"/>
          <w:b/>
        </w:rPr>
      </w:pPr>
    </w:p>
    <w:p w14:paraId="73159B5B" w14:textId="48B1379B" w:rsidR="004709CA" w:rsidRDefault="004709CA" w:rsidP="00322687">
      <w:pPr>
        <w:pStyle w:val="Heading3"/>
      </w:pPr>
      <w:bookmarkStart w:id="660" w:name="_Toc364636177"/>
      <w:bookmarkStart w:id="661" w:name="_Toc518323404"/>
      <w:r>
        <w:t>1.</w:t>
      </w:r>
      <w:r w:rsidRPr="00587B63">
        <w:t xml:space="preserve"> </w:t>
      </w:r>
      <w:r>
        <w:t xml:space="preserve"> The </w:t>
      </w:r>
      <w:r w:rsidR="00AA76F7">
        <w:t>C</w:t>
      </w:r>
      <w:r w:rsidRPr="00587B63">
        <w:t xml:space="preserve">riminal </w:t>
      </w:r>
      <w:r w:rsidR="00AA76F7">
        <w:t>L</w:t>
      </w:r>
      <w:r w:rsidRPr="00587B63">
        <w:t>aw</w:t>
      </w:r>
      <w:bookmarkEnd w:id="660"/>
      <w:bookmarkEnd w:id="661"/>
    </w:p>
    <w:p w14:paraId="1EF5F629" w14:textId="77777777" w:rsidR="004709CA" w:rsidRPr="00587B63" w:rsidRDefault="004709CA" w:rsidP="004709CA">
      <w:pPr>
        <w:rPr>
          <w:rFonts w:ascii="Times New Roman" w:hAnsi="Times New Roman" w:cs="Times New Roman"/>
          <w:b/>
        </w:rPr>
      </w:pPr>
    </w:p>
    <w:p w14:paraId="5CF13F5C" w14:textId="7C4D75F0"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paradigmatic example of multiple sufficient causes is captured eloquently by Justice Antonin Scalia in </w:t>
      </w:r>
      <w:r w:rsidR="00D27565">
        <w:rPr>
          <w:rFonts w:ascii="Times New Roman" w:eastAsia="Times New Roman" w:hAnsi="Times New Roman" w:cs="Times New Roman"/>
          <w:i/>
          <w:iCs/>
        </w:rPr>
        <w:t>Burrage v. United States</w:t>
      </w:r>
      <w:r w:rsidRPr="750671CE">
        <w:rPr>
          <w:rFonts w:ascii="Times New Roman" w:eastAsia="Times New Roman" w:hAnsi="Times New Roman" w:cs="Times New Roman"/>
          <w:u w:val="single"/>
        </w:rPr>
        <w:t>,</w:t>
      </w:r>
      <w:r w:rsidRPr="750671CE">
        <w:rPr>
          <w:rFonts w:ascii="Times New Roman" w:eastAsia="Times New Roman" w:hAnsi="Times New Roman" w:cs="Times New Roman"/>
        </w:rPr>
        <w:t xml:space="preserve"> </w:t>
      </w:r>
      <w:r w:rsidR="00D27565">
        <w:rPr>
          <w:rFonts w:ascii="Times New Roman" w:eastAsia="Times New Roman" w:hAnsi="Times New Roman" w:cs="Times New Roman"/>
        </w:rPr>
        <w:t>134 S. Ct. 881, 890 (2014)</w:t>
      </w:r>
      <w:r w:rsidRPr="750671CE">
        <w:rPr>
          <w:rFonts w:ascii="Times New Roman" w:eastAsia="Times New Roman" w:hAnsi="Times New Roman" w:cs="Times New Roman"/>
        </w:rPr>
        <w:t>:</w:t>
      </w:r>
    </w:p>
    <w:p w14:paraId="2E189CAA" w14:textId="77777777" w:rsidR="004709CA" w:rsidRDefault="004709CA" w:rsidP="004709CA">
      <w:pPr>
        <w:ind w:left="720" w:right="720"/>
        <w:rPr>
          <w:rFonts w:ascii="Times New Roman" w:hAnsi="Times New Roman" w:cs="Times New Roman"/>
        </w:rPr>
      </w:pPr>
    </w:p>
    <w:p w14:paraId="013F0359" w14:textId="7821E119" w:rsidR="004709CA" w:rsidRDefault="00D27565" w:rsidP="00F94B7E">
      <w:pPr>
        <w:pStyle w:val="blockquote"/>
      </w:pPr>
      <w:r>
        <w:t>[</w:t>
      </w:r>
      <w:r w:rsidR="750671CE" w:rsidRPr="750671CE">
        <w:t>C</w:t>
      </w:r>
      <w:r>
        <w:t>]</w:t>
      </w:r>
      <w:r w:rsidR="750671CE" w:rsidRPr="750671CE">
        <w:t xml:space="preserve">ourts have not </w:t>
      </w:r>
      <w:r w:rsidR="750671CE" w:rsidRPr="00F94B7E">
        <w:rPr>
          <w:i/>
        </w:rPr>
        <w:t>always</w:t>
      </w:r>
      <w:r w:rsidR="750671CE" w:rsidRPr="750671CE">
        <w:t xml:space="preserve"> required strict but-for causality, even where criminal liability is at issue. The most common (though still rare) instance of this occurs when multiple sufficient causes independently, but concurrently, produce a result. </w:t>
      </w:r>
      <w:r>
        <w:t xml:space="preserve">. . . </w:t>
      </w:r>
      <w:r w:rsidR="750671CE" w:rsidRPr="750671CE">
        <w:t xml:space="preserve">To illustrate, if </w:t>
      </w:r>
      <w:r w:rsidR="00B05F31">
        <w:t>“</w:t>
      </w:r>
      <w:r w:rsidR="750671CE" w:rsidRPr="750671CE">
        <w:t>A stabs B, inflicting a fatal wound; while at the same moment X, acting independently, shoots B in the head . . . also inflicting [a fatal] wound; and B dies from the combined effects of the two wounds,</w:t>
      </w:r>
      <w:r w:rsidR="00B05F31">
        <w:t>”</w:t>
      </w:r>
      <w:r w:rsidR="750671CE" w:rsidRPr="750671CE">
        <w:t xml:space="preserve"> A will generally be liable for homicide even though his conduct was not a but-for cause of B</w:t>
      </w:r>
      <w:r w:rsidR="00B05F31">
        <w:t>’</w:t>
      </w:r>
      <w:r w:rsidR="750671CE" w:rsidRPr="750671CE">
        <w:t>s death (since B would have died from X</w:t>
      </w:r>
      <w:r w:rsidR="00B05F31">
        <w:t>’</w:t>
      </w:r>
      <w:r w:rsidR="750671CE" w:rsidRPr="750671CE">
        <w:t>s actions in any event).</w:t>
      </w:r>
    </w:p>
    <w:p w14:paraId="69701BC9" w14:textId="77777777" w:rsidR="004709CA" w:rsidRPr="00CF4082" w:rsidRDefault="004709CA" w:rsidP="004709CA">
      <w:pPr>
        <w:ind w:left="720" w:right="720"/>
        <w:rPr>
          <w:rFonts w:ascii="Times New Roman" w:hAnsi="Times New Roman" w:cs="Times New Roman"/>
        </w:rPr>
      </w:pPr>
    </w:p>
    <w:p w14:paraId="0CE6DF8A" w14:textId="1525F272" w:rsidR="004709CA"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However, the Court does not always deviate from the but-for approach in multiple sufficient causation cases.  Justice Scalia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opinion in </w:t>
      </w:r>
      <w:r w:rsidRPr="750671CE">
        <w:rPr>
          <w:rFonts w:ascii="Times New Roman" w:eastAsia="Times New Roman" w:hAnsi="Times New Roman" w:cs="Times New Roman"/>
          <w:i/>
          <w:iCs/>
        </w:rPr>
        <w:t>Burrage</w:t>
      </w:r>
      <w:r w:rsidRPr="750671CE">
        <w:rPr>
          <w:rFonts w:ascii="Times New Roman" w:eastAsia="Times New Roman" w:hAnsi="Times New Roman" w:cs="Times New Roman"/>
        </w:rPr>
        <w:t xml:space="preserve"> proceeded to apply the but-for causation test to a sentencing statute that provided for a higher penalty for drug distribution crimes where death </w:t>
      </w:r>
      <w:r w:rsidR="00B05F31">
        <w:rPr>
          <w:rFonts w:ascii="Times New Roman" w:eastAsia="Times New Roman" w:hAnsi="Times New Roman" w:cs="Times New Roman"/>
        </w:rPr>
        <w:t>“</w:t>
      </w:r>
      <w:r w:rsidRPr="750671CE">
        <w:rPr>
          <w:rFonts w:ascii="Times New Roman" w:eastAsia="Times New Roman" w:hAnsi="Times New Roman" w:cs="Times New Roman"/>
        </w:rPr>
        <w:t>results from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crime.  The Court found that the phrase </w:t>
      </w:r>
      <w:r w:rsidR="00B05F31">
        <w:rPr>
          <w:rFonts w:ascii="Times New Roman" w:eastAsia="Times New Roman" w:hAnsi="Times New Roman" w:cs="Times New Roman"/>
        </w:rPr>
        <w:t>“</w:t>
      </w:r>
      <w:r w:rsidRPr="750671CE">
        <w:rPr>
          <w:rFonts w:ascii="Times New Roman" w:eastAsia="Times New Roman" w:hAnsi="Times New Roman" w:cs="Times New Roman"/>
        </w:rPr>
        <w:t>results from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Default="004709CA" w:rsidP="004709CA">
      <w:pPr>
        <w:rPr>
          <w:rFonts w:ascii="Times New Roman" w:hAnsi="Times New Roman" w:cs="Times New Roman"/>
        </w:rPr>
      </w:pPr>
    </w:p>
    <w:p w14:paraId="625B6645" w14:textId="35AE3D51" w:rsidR="004709CA" w:rsidRPr="00CF408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Court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t>
      </w:r>
      <w:r w:rsidRPr="750671CE">
        <w:rPr>
          <w:rFonts w:ascii="Times New Roman" w:eastAsia="Times New Roman" w:hAnsi="Times New Roman" w:cs="Times New Roman"/>
          <w:i/>
          <w:iCs/>
        </w:rPr>
        <w:t>Burrage</w:t>
      </w:r>
      <w:r w:rsidRPr="750671CE">
        <w:rPr>
          <w:rFonts w:ascii="Times New Roman" w:eastAsia="Times New Roman" w:hAnsi="Times New Roman" w:cs="Times New Roman"/>
        </w:rPr>
        <w:t xml:space="preserve"> decision seems to recognize the substantial factor approach for liability purposes but not for sentencing purposes.  Does this make sense?  More generally, why construe Congress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use of the phrase </w:t>
      </w:r>
      <w:r w:rsidR="00B05F31">
        <w:rPr>
          <w:rFonts w:ascii="Times New Roman" w:eastAsia="Times New Roman" w:hAnsi="Times New Roman" w:cs="Times New Roman"/>
        </w:rPr>
        <w:t>“</w:t>
      </w:r>
      <w:r w:rsidRPr="750671CE">
        <w:rPr>
          <w:rFonts w:ascii="Times New Roman" w:eastAsia="Times New Roman" w:hAnsi="Times New Roman" w:cs="Times New Roman"/>
        </w:rPr>
        <w:t>results from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applying only to deaths that would not have happened but-for the relevant crime, rather than as applying to deaths that fall within one of the causation doctrines that we find in the ordinary law of torts? Justice Scalia cited the </w:t>
      </w:r>
      <w:r w:rsidR="00B05F31">
        <w:rPr>
          <w:rFonts w:ascii="Times New Roman" w:eastAsia="Times New Roman" w:hAnsi="Times New Roman" w:cs="Times New Roman"/>
        </w:rPr>
        <w:t>“</w:t>
      </w:r>
      <w:r w:rsidRPr="750671CE">
        <w:rPr>
          <w:rFonts w:ascii="Times New Roman" w:eastAsia="Times New Roman" w:hAnsi="Times New Roman" w:cs="Times New Roman"/>
        </w:rPr>
        <w:t>rule of lenity,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which favors interpreting ambiguous statutes in favor of a criminal defendant.</w:t>
      </w:r>
    </w:p>
    <w:p w14:paraId="676F4C3E" w14:textId="77777777" w:rsidR="004709CA" w:rsidRDefault="004709CA" w:rsidP="004709CA">
      <w:pPr>
        <w:rPr>
          <w:rFonts w:ascii="Times New Roman" w:hAnsi="Times New Roman" w:cs="Times New Roman"/>
          <w:b/>
        </w:rPr>
      </w:pPr>
    </w:p>
    <w:p w14:paraId="33CCC4EF" w14:textId="77777777" w:rsidR="004709CA" w:rsidRDefault="004709CA" w:rsidP="004709CA">
      <w:pPr>
        <w:rPr>
          <w:rFonts w:ascii="Times New Roman" w:hAnsi="Times New Roman" w:cs="Times New Roman"/>
          <w:b/>
        </w:rPr>
      </w:pPr>
    </w:p>
    <w:p w14:paraId="51ABD991" w14:textId="4543A6B3" w:rsidR="004709CA" w:rsidRDefault="004709CA" w:rsidP="00322687">
      <w:pPr>
        <w:pStyle w:val="Heading3"/>
      </w:pPr>
      <w:bookmarkStart w:id="662" w:name="_Toc364636178"/>
      <w:bookmarkStart w:id="663" w:name="_Toc518323405"/>
      <w:r>
        <w:t>2.</w:t>
      </w:r>
      <w:r w:rsidRPr="00587B63">
        <w:t xml:space="preserve"> </w:t>
      </w:r>
      <w:r>
        <w:t xml:space="preserve"> </w:t>
      </w:r>
      <w:r w:rsidRPr="00587B63">
        <w:t xml:space="preserve">Employment </w:t>
      </w:r>
      <w:r w:rsidR="00AA76F7">
        <w:t>D</w:t>
      </w:r>
      <w:r w:rsidRPr="00587B63">
        <w:t>iscrimination</w:t>
      </w:r>
      <w:bookmarkEnd w:id="662"/>
      <w:bookmarkEnd w:id="663"/>
      <w:r w:rsidRPr="00587B63">
        <w:t xml:space="preserve"> </w:t>
      </w:r>
    </w:p>
    <w:p w14:paraId="48C67A39" w14:textId="77777777" w:rsidR="004709CA" w:rsidRPr="00587B63" w:rsidRDefault="004709CA" w:rsidP="004709CA">
      <w:pPr>
        <w:rPr>
          <w:rFonts w:ascii="Times New Roman" w:hAnsi="Times New Roman" w:cs="Times New Roman"/>
          <w:b/>
        </w:rPr>
      </w:pPr>
    </w:p>
    <w:p w14:paraId="014BC1CA" w14:textId="6E5DAC41"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way courts can mitigate the problem of multiple sufficient causes is to shift the burden of proof. In </w:t>
      </w:r>
      <w:r w:rsidRPr="750671CE">
        <w:rPr>
          <w:rFonts w:ascii="Times New Roman" w:eastAsia="Times New Roman" w:hAnsi="Times New Roman" w:cs="Times New Roman"/>
          <w:i/>
          <w:iCs/>
        </w:rPr>
        <w:t>Price Waterhouse v. Hopkins</w:t>
      </w:r>
      <w:r w:rsidRPr="750671CE">
        <w:rPr>
          <w:rFonts w:ascii="Times New Roman" w:eastAsia="Times New Roman" w:hAnsi="Times New Roman" w:cs="Times New Roman"/>
        </w:rPr>
        <w:t xml:space="preserve">, 490 U.S. 228 (1989), the Court held that once a plaintiff is able to show that discrimination was a motivating factor, the burden shifts to the defendant to show that the discrimination was not a but-for cause of the employment decision. Two years later, Congress amended the Civil Rights Act of 1991 such that an employee has to prove only that discrimination was a </w:t>
      </w:r>
      <w:r w:rsidR="00B05F31">
        <w:rPr>
          <w:rFonts w:ascii="Times New Roman" w:eastAsia="Times New Roman" w:hAnsi="Times New Roman" w:cs="Times New Roman"/>
        </w:rPr>
        <w:t>“</w:t>
      </w:r>
      <w:r w:rsidRPr="750671CE">
        <w:rPr>
          <w:rFonts w:ascii="Times New Roman" w:eastAsia="Times New Roman" w:hAnsi="Times New Roman" w:cs="Times New Roman"/>
        </w:rPr>
        <w:t>motivating factor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discharge decision, a standard that allows plaintiffs to prevail even if the discriminatory conduct is neither necessary nor sufficient to the employment decision (Congress limited damages for plaintiffs who could not prove discrimination was a but-for cause to declaratory judgment, attorney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fees, and some types of injunctive relief). Recently, the Court declined to extend either the logic of </w:t>
      </w:r>
      <w:r w:rsidRPr="750671CE">
        <w:rPr>
          <w:rFonts w:ascii="Times New Roman" w:eastAsia="Times New Roman" w:hAnsi="Times New Roman" w:cs="Times New Roman"/>
          <w:i/>
          <w:iCs/>
        </w:rPr>
        <w:t>Price Waterhouse</w:t>
      </w:r>
      <w:r w:rsidRPr="750671CE">
        <w:rPr>
          <w:rFonts w:ascii="Times New Roman" w:eastAsia="Times New Roman" w:hAnsi="Times New Roman" w:cs="Times New Roman"/>
        </w:rPr>
        <w:t xml:space="preserve"> or of the Civil Rights Act of 1991 to age discrimination claims, ruling that age discrimination claimants must show that age discrimination was a necessary cause of the adverse employment decision. </w:t>
      </w:r>
      <w:r w:rsidRPr="750671CE">
        <w:rPr>
          <w:rFonts w:ascii="Times New Roman" w:eastAsia="Times New Roman" w:hAnsi="Times New Roman" w:cs="Times New Roman"/>
          <w:i/>
          <w:iCs/>
        </w:rPr>
        <w:t>Gross v. FBL Fin. Servs.</w:t>
      </w:r>
      <w:r w:rsidRPr="750671CE">
        <w:rPr>
          <w:rFonts w:ascii="Times New Roman" w:eastAsia="Times New Roman" w:hAnsi="Times New Roman" w:cs="Times New Roman"/>
        </w:rPr>
        <w:t xml:space="preserve">, 557 U.S. 161, 167 (2009). Most recently, the Court also insisted on but-for causation in retaliation claims, which arise when an employee alleges that an employer has retaliated against an employee due to the filing of a race or gender discrimination claim. </w:t>
      </w:r>
      <w:r w:rsidRPr="750671CE">
        <w:rPr>
          <w:rFonts w:ascii="Times New Roman" w:eastAsia="Times New Roman" w:hAnsi="Times New Roman" w:cs="Times New Roman"/>
          <w:i/>
          <w:iCs/>
        </w:rPr>
        <w:t>Univ. of Tex. Southwestern Med. Ctr. v. Nassar</w:t>
      </w:r>
      <w:r w:rsidRPr="750671CE">
        <w:rPr>
          <w:rFonts w:ascii="Times New Roman" w:eastAsia="Times New Roman" w:hAnsi="Times New Roman" w:cs="Times New Roman"/>
        </w:rPr>
        <w:t>, 133 S. Ct. 2517 (2013).</w:t>
      </w:r>
    </w:p>
    <w:p w14:paraId="52561722" w14:textId="77777777" w:rsidR="004709CA" w:rsidRPr="00CF4082" w:rsidRDefault="004709CA" w:rsidP="004709CA">
      <w:pPr>
        <w:ind w:firstLine="720"/>
        <w:rPr>
          <w:rFonts w:ascii="Times New Roman" w:hAnsi="Times New Roman" w:cs="Times New Roman"/>
        </w:rPr>
      </w:pPr>
    </w:p>
    <w:p w14:paraId="4BC24865" w14:textId="77777777" w:rsidR="004709CA" w:rsidRPr="00CF408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77603636" w14:textId="77777777" w:rsidR="004709CA" w:rsidRDefault="004709CA" w:rsidP="004709CA">
      <w:pPr>
        <w:rPr>
          <w:rFonts w:ascii="Times New Roman" w:hAnsi="Times New Roman" w:cs="Times New Roman"/>
          <w:b/>
        </w:rPr>
      </w:pPr>
    </w:p>
    <w:p w14:paraId="410CA88F" w14:textId="77777777" w:rsidR="004709CA" w:rsidRDefault="004709CA" w:rsidP="004709CA">
      <w:pPr>
        <w:rPr>
          <w:rFonts w:ascii="Times New Roman" w:hAnsi="Times New Roman" w:cs="Times New Roman"/>
          <w:b/>
        </w:rPr>
      </w:pPr>
    </w:p>
    <w:p w14:paraId="1DAB4201" w14:textId="77777777" w:rsidR="004709CA" w:rsidRDefault="004709CA" w:rsidP="00322687">
      <w:pPr>
        <w:pStyle w:val="Heading3"/>
      </w:pPr>
      <w:bookmarkStart w:id="664" w:name="_Toc364636179"/>
      <w:bookmarkStart w:id="665" w:name="_Toc518323406"/>
      <w:r>
        <w:t>3.</w:t>
      </w:r>
      <w:r w:rsidRPr="00587B63">
        <w:t xml:space="preserve"> </w:t>
      </w:r>
      <w:r>
        <w:t xml:space="preserve"> </w:t>
      </w:r>
      <w:r w:rsidRPr="00587B63">
        <w:t>Environmental Law</w:t>
      </w:r>
      <w:bookmarkEnd w:id="664"/>
      <w:bookmarkEnd w:id="665"/>
    </w:p>
    <w:p w14:paraId="4E0FE1DA" w14:textId="77777777" w:rsidR="004709CA" w:rsidRPr="00587B63" w:rsidRDefault="004709CA" w:rsidP="004709CA">
      <w:pPr>
        <w:rPr>
          <w:rFonts w:ascii="Times New Roman" w:hAnsi="Times New Roman" w:cs="Times New Roman"/>
          <w:b/>
        </w:rPr>
      </w:pPr>
    </w:p>
    <w:p w14:paraId="52583898" w14:textId="42B27F22"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w:t>
      </w:r>
      <w:r w:rsidRPr="750671CE">
        <w:rPr>
          <w:rFonts w:ascii="Times New Roman" w:eastAsia="Times New Roman" w:hAnsi="Times New Roman" w:cs="Times New Roman"/>
          <w:i/>
          <w:iCs/>
        </w:rPr>
        <w:t>United States v. NCR Corp</w:t>
      </w:r>
      <w:r w:rsidRPr="750671CE">
        <w:rPr>
          <w:rFonts w:ascii="Times New Roman" w:eastAsia="Times New Roman" w:hAnsi="Times New Roman" w:cs="Times New Roman"/>
        </w:rPr>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rPr>
          <w:rFonts w:ascii="Times New Roman" w:eastAsia="Times New Roman" w:hAnsi="Times New Roman" w:cs="Times New Roman"/>
        </w:rPr>
        <w:t>th</w:t>
      </w:r>
      <w:r w:rsidRPr="750671CE">
        <w:rPr>
          <w:rFonts w:ascii="Times New Roman" w:eastAsia="Times New Roman" w:hAnsi="Times New Roman" w:cs="Times New Roman"/>
        </w:rPr>
        <w:t xml:space="preserve"> Circuit held that because each tortfeasor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Default="004709CA" w:rsidP="004709CA">
      <w:pPr>
        <w:ind w:firstLine="720"/>
        <w:rPr>
          <w:rFonts w:ascii="Times New Roman" w:hAnsi="Times New Roman" w:cs="Times New Roman"/>
        </w:rPr>
      </w:pPr>
    </w:p>
    <w:p w14:paraId="50EFECB7" w14:textId="54C41A6F"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However, where apportionment is possible, courts may use creative means to arrive at a numerical division of fault. In </w:t>
      </w:r>
      <w:r w:rsidRPr="750671CE">
        <w:rPr>
          <w:rFonts w:ascii="Times New Roman" w:eastAsia="Times New Roman" w:hAnsi="Times New Roman" w:cs="Times New Roman"/>
          <w:i/>
          <w:iCs/>
        </w:rPr>
        <w:t>Burlington Northern &amp; Santa Fe Ry. v. United States</w:t>
      </w:r>
      <w:r w:rsidRPr="750671CE">
        <w:rPr>
          <w:rFonts w:ascii="Times New Roman" w:eastAsia="Times New Roman" w:hAnsi="Times New Roman" w:cs="Times New Roman"/>
        </w:rPr>
        <w:t xml:space="preserve">, 556 U.S. 599 (2009),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rPr>
          <w:rFonts w:ascii="Times New Roman" w:eastAsia="Times New Roman" w:hAnsi="Times New Roman" w:cs="Times New Roman"/>
        </w:rPr>
        <w:t>“</w:t>
      </w:r>
      <w:r w:rsidRPr="750671CE">
        <w:rPr>
          <w:rFonts w:ascii="Times New Roman" w:eastAsia="Times New Roman" w:hAnsi="Times New Roman" w:cs="Times New Roman"/>
        </w:rPr>
        <w:t>reasonable basis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apportionment. The Supreme Court overturned the Ninth Circuit to hold that the district court did have a </w:t>
      </w:r>
      <w:r w:rsidR="00B05F31">
        <w:rPr>
          <w:rFonts w:ascii="Times New Roman" w:eastAsia="Times New Roman" w:hAnsi="Times New Roman" w:cs="Times New Roman"/>
        </w:rPr>
        <w:t>“</w:t>
      </w:r>
      <w:r w:rsidRPr="750671CE">
        <w:rPr>
          <w:rFonts w:ascii="Times New Roman" w:eastAsia="Times New Roman" w:hAnsi="Times New Roman" w:cs="Times New Roman"/>
        </w:rPr>
        <w:t>reasonable basis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apportionment because its 50% </w:t>
      </w:r>
      <w:r w:rsidR="00B05F31">
        <w:rPr>
          <w:rFonts w:ascii="Times New Roman" w:eastAsia="Times New Roman" w:hAnsi="Times New Roman" w:cs="Times New Roman"/>
        </w:rPr>
        <w:t>“</w:t>
      </w:r>
      <w:r w:rsidRPr="750671CE">
        <w:rPr>
          <w:rFonts w:ascii="Times New Roman" w:eastAsia="Times New Roman" w:hAnsi="Times New Roman" w:cs="Times New Roman"/>
        </w:rPr>
        <w:t>allowance for calculation errors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was sufficient to compensate for any underlying errors in the methodology.</w:t>
      </w:r>
    </w:p>
    <w:p w14:paraId="1F59143B" w14:textId="77777777" w:rsidR="004709CA" w:rsidRPr="0067417C" w:rsidRDefault="004709CA" w:rsidP="004709CA">
      <w:pPr>
        <w:ind w:firstLine="720"/>
        <w:rPr>
          <w:rFonts w:ascii="Times New Roman" w:hAnsi="Times New Roman" w:cs="Times New Roman"/>
        </w:rPr>
      </w:pPr>
    </w:p>
    <w:p w14:paraId="3769D68E" w14:textId="77777777" w:rsidR="004709CA" w:rsidRPr="00CF4082"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From a deterrence perspective, how does agency discretion in spreading cleanup costs affect the incentives of polluters and the EPA? Is judicial intervention to apportion costs a reasonable alternative to joint and several liability?</w:t>
      </w:r>
    </w:p>
    <w:p w14:paraId="5B5742E8" w14:textId="77777777" w:rsidR="004709CA" w:rsidRDefault="004709CA" w:rsidP="00322687">
      <w:pPr>
        <w:pStyle w:val="Heading3"/>
      </w:pPr>
      <w:bookmarkStart w:id="666" w:name="_Toc364636180"/>
      <w:bookmarkStart w:id="667" w:name="_Toc518323407"/>
      <w:r w:rsidRPr="00C90853">
        <w:t>4.  Securities Litigation</w:t>
      </w:r>
      <w:bookmarkEnd w:id="666"/>
      <w:bookmarkEnd w:id="667"/>
    </w:p>
    <w:p w14:paraId="3DAEA96E" w14:textId="77777777" w:rsidR="004709CA" w:rsidRPr="00C90853" w:rsidRDefault="004709CA" w:rsidP="004709CA">
      <w:pPr>
        <w:rPr>
          <w:rFonts w:ascii="Times New Roman" w:hAnsi="Times New Roman" w:cs="Times New Roman"/>
          <w:b/>
        </w:rPr>
      </w:pPr>
    </w:p>
    <w:p w14:paraId="70A6B10E" w14:textId="3C64D70B"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Securities fraud cases include a requirement of </w:t>
      </w:r>
      <w:r w:rsidR="00B05F31">
        <w:rPr>
          <w:rFonts w:ascii="Times New Roman" w:eastAsia="Times New Roman" w:hAnsi="Times New Roman" w:cs="Times New Roman"/>
        </w:rPr>
        <w:t>“</w:t>
      </w:r>
      <w:r w:rsidRPr="750671CE">
        <w:rPr>
          <w:rFonts w:ascii="Times New Roman" w:eastAsia="Times New Roman" w:hAnsi="Times New Roman" w:cs="Times New Roman"/>
        </w:rPr>
        <w:t>reliance,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 showing that the fraudulent statement was the necessary cause of the investor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purchase of the security. In </w:t>
      </w:r>
      <w:r w:rsidRPr="750671CE">
        <w:rPr>
          <w:rFonts w:ascii="Times New Roman" w:eastAsia="Times New Roman" w:hAnsi="Times New Roman" w:cs="Times New Roman"/>
          <w:i/>
          <w:iCs/>
        </w:rPr>
        <w:t>Basic Inc. v. Levinson</w:t>
      </w:r>
      <w:r w:rsidRPr="750671CE">
        <w:rPr>
          <w:rFonts w:ascii="Times New Roman" w:eastAsia="Times New Roman" w:hAnsi="Times New Roman" w:cs="Times New Roman"/>
        </w:rPr>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750671CE">
        <w:rPr>
          <w:rFonts w:ascii="Times New Roman" w:eastAsia="Times New Roman" w:hAnsi="Times New Roman" w:cs="Times New Roman"/>
          <w:i/>
          <w:iCs/>
        </w:rPr>
        <w:t>Basic</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750671CE">
        <w:rPr>
          <w:rFonts w:ascii="Times New Roman" w:eastAsia="Times New Roman" w:hAnsi="Times New Roman" w:cs="Times New Roman"/>
          <w:i/>
          <w:iCs/>
        </w:rPr>
        <w:t>See Amgen Inc. v. Conn. Ret. Plans &amp; Trust Funds</w:t>
      </w:r>
      <w:r w:rsidRPr="750671CE">
        <w:rPr>
          <w:rFonts w:ascii="Times New Roman" w:eastAsia="Times New Roman" w:hAnsi="Times New Roman" w:cs="Times New Roman"/>
        </w:rPr>
        <w:t>, 133 S. Ct. 1184 (2013).</w:t>
      </w:r>
    </w:p>
    <w:p w14:paraId="45E36CF5" w14:textId="77777777" w:rsidR="004709CA" w:rsidRPr="00CF4082" w:rsidRDefault="004709CA" w:rsidP="004709CA">
      <w:pPr>
        <w:ind w:firstLine="720"/>
        <w:rPr>
          <w:rFonts w:ascii="Times New Roman" w:hAnsi="Times New Roman" w:cs="Times New Roman"/>
        </w:rPr>
      </w:pPr>
    </w:p>
    <w:p w14:paraId="40D7CB0C" w14:textId="77777777" w:rsidR="004709CA"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Why create a presumption of causation in securities fraud cases? </w:t>
      </w:r>
    </w:p>
    <w:p w14:paraId="31954F3F" w14:textId="77777777" w:rsidR="004709CA" w:rsidRDefault="004709CA" w:rsidP="004709CA">
      <w:pPr>
        <w:rPr>
          <w:rFonts w:ascii="Times New Roman" w:hAnsi="Times New Roman" w:cs="Times New Roman"/>
        </w:rPr>
      </w:pPr>
    </w:p>
    <w:p w14:paraId="480DED17" w14:textId="77777777" w:rsidR="004709CA"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Default="004709CA" w:rsidP="004709CA">
      <w:pPr>
        <w:rPr>
          <w:rFonts w:ascii="Times New Roman" w:hAnsi="Times New Roman" w:cs="Times New Roman"/>
        </w:rPr>
      </w:pPr>
    </w:p>
    <w:p w14:paraId="0BD94230" w14:textId="77777777" w:rsidR="004709CA" w:rsidRDefault="004709CA" w:rsidP="004709CA">
      <w:pPr>
        <w:rPr>
          <w:rFonts w:ascii="Times New Roman" w:hAnsi="Times New Roman" w:cs="Times New Roman"/>
        </w:rPr>
      </w:pPr>
    </w:p>
    <w:p w14:paraId="28CCF338" w14:textId="77777777" w:rsidR="004709CA" w:rsidRDefault="004709CA" w:rsidP="00322687">
      <w:pPr>
        <w:pStyle w:val="Heading3"/>
      </w:pPr>
      <w:bookmarkStart w:id="668" w:name="_Toc364636181"/>
      <w:bookmarkStart w:id="669" w:name="_Toc518323408"/>
      <w:r w:rsidRPr="00C90853">
        <w:t>5.  Psychological Conventions around Causation</w:t>
      </w:r>
      <w:bookmarkEnd w:id="668"/>
      <w:bookmarkEnd w:id="669"/>
    </w:p>
    <w:p w14:paraId="599B85A2" w14:textId="77777777" w:rsidR="004709CA" w:rsidRPr="00C90853" w:rsidRDefault="004709CA" w:rsidP="004709CA">
      <w:pPr>
        <w:rPr>
          <w:rFonts w:ascii="Times New Roman" w:hAnsi="Times New Roman" w:cs="Times New Roman"/>
          <w:b/>
        </w:rPr>
      </w:pPr>
    </w:p>
    <w:p w14:paraId="3E626CF8" w14:textId="3CDD8071" w:rsidR="004709CA" w:rsidRPr="00E22D09"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Our perceptions of causation are shaped by some systematic and surprising quirks of psychology. For example, people tend to attribute causation to wishes, even when there is no possible mechanism for causal interaction. One study showed that subjects asked to visualize a basketball player successfully make a shot before he took it felt that they had caused the player to make his shot</w:t>
      </w:r>
      <w:r w:rsidR="00775006" w:rsidRPr="00775006">
        <w:t xml:space="preserve"> </w:t>
      </w:r>
      <w:r w:rsidR="00775006" w:rsidRPr="00775006">
        <w:rPr>
          <w:rFonts w:ascii="Times New Roman" w:eastAsia="Times New Roman" w:hAnsi="Times New Roman" w:cs="Times New Roman"/>
        </w:rPr>
        <w:t>—</w:t>
      </w:r>
      <w:r w:rsidRPr="750671CE">
        <w:rPr>
          <w:rFonts w:ascii="Times New Roman" w:eastAsia="Times New Roman" w:hAnsi="Times New Roman" w:cs="Times New Roman"/>
        </w:rPr>
        <w:t>even though they had no interaction with the player at any time. Even spectators watching the person visualize the successful shot agreed that the visualization had caused the successful shot. This works with harm as well; people believe that if they poke a doll symbolic of a victim with a needle while wishing ill on the victim, and that victim subsequently reported a headache, they are the cause of the headache. Emily Pronin</w:t>
      </w:r>
      <w:r w:rsidR="00AC5A04">
        <w:rPr>
          <w:rFonts w:ascii="Times New Roman" w:eastAsia="Times New Roman" w:hAnsi="Times New Roman" w:cs="Times New Roman"/>
        </w:rPr>
        <w:t>, Sylvia Rodriguez, Daniel M. Wegner &amp; Kimberly McCarthy</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Everyday Magical Powers: The Role of Apparent Mental Causation in the Overestimation of Personal Influence</w:t>
      </w:r>
      <w:r w:rsidRPr="750671CE">
        <w:rPr>
          <w:rFonts w:ascii="Times New Roman" w:eastAsia="Times New Roman" w:hAnsi="Times New Roman" w:cs="Times New Roman"/>
        </w:rPr>
        <w:t xml:space="preserve">, 91 </w:t>
      </w:r>
      <w:r w:rsidRPr="750671CE">
        <w:rPr>
          <w:rFonts w:ascii="Times New Roman" w:eastAsia="Times New Roman" w:hAnsi="Times New Roman" w:cs="Times New Roman"/>
          <w:smallCaps/>
        </w:rPr>
        <w:t>J</w:t>
      </w:r>
      <w:r w:rsidR="00775006">
        <w:rPr>
          <w:rFonts w:ascii="Times New Roman" w:eastAsia="Times New Roman" w:hAnsi="Times New Roman" w:cs="Times New Roman"/>
          <w:smallCaps/>
        </w:rPr>
        <w:t xml:space="preserve">. </w:t>
      </w:r>
      <w:r w:rsidRPr="750671CE">
        <w:rPr>
          <w:rFonts w:ascii="Times New Roman" w:eastAsia="Times New Roman" w:hAnsi="Times New Roman" w:cs="Times New Roman"/>
          <w:smallCaps/>
        </w:rPr>
        <w:t xml:space="preserve">Personality </w:t>
      </w:r>
      <w:r w:rsidR="00775006">
        <w:rPr>
          <w:rFonts w:ascii="Times New Roman" w:eastAsia="Times New Roman" w:hAnsi="Times New Roman" w:cs="Times New Roman"/>
          <w:smallCaps/>
        </w:rPr>
        <w:t>&amp; Soc.</w:t>
      </w:r>
      <w:r w:rsidR="00775006" w:rsidRPr="750671CE">
        <w:rPr>
          <w:rFonts w:ascii="Times New Roman" w:eastAsia="Times New Roman" w:hAnsi="Times New Roman" w:cs="Times New Roman"/>
          <w:smallCaps/>
        </w:rPr>
        <w:t xml:space="preserve"> </w:t>
      </w:r>
      <w:r w:rsidRPr="750671CE">
        <w:rPr>
          <w:rFonts w:ascii="Times New Roman" w:eastAsia="Times New Roman" w:hAnsi="Times New Roman" w:cs="Times New Roman"/>
          <w:smallCaps/>
        </w:rPr>
        <w:t>Psychol.</w:t>
      </w:r>
      <w:r w:rsidRPr="750671CE">
        <w:rPr>
          <w:rFonts w:ascii="Times New Roman" w:eastAsia="Times New Roman" w:hAnsi="Times New Roman" w:cs="Times New Roman"/>
        </w:rPr>
        <w:t xml:space="preserve"> 218 (2006). In the torts context, this means that jurors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perceptions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wishes for the plaintiff may influence their perception of whether the defendant caused harm to the plaintiff. People are also more likely to attribute cause to people they are more focused on. For example, when viewing a filmed conversation between two people, viewers are more likely to find a particular party caused the outcome of the conversation if the camera was focused on that party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face. </w:t>
      </w:r>
      <w:r w:rsidR="00AC5A04">
        <w:rPr>
          <w:rFonts w:ascii="Times New Roman" w:eastAsia="Times New Roman" w:hAnsi="Times New Roman" w:cs="Times New Roman"/>
        </w:rPr>
        <w:t>G. Daniel Lassiter</w:t>
      </w:r>
      <w:r w:rsidR="00AC5A04" w:rsidRPr="750671CE">
        <w:rPr>
          <w:rFonts w:ascii="Times New Roman" w:eastAsia="Times New Roman" w:hAnsi="Times New Roman" w:cs="Times New Roman"/>
        </w:rPr>
        <w:t xml:space="preserve"> </w:t>
      </w:r>
      <w:r w:rsidRPr="750671CE">
        <w:rPr>
          <w:rFonts w:ascii="Times New Roman" w:eastAsia="Times New Roman" w:hAnsi="Times New Roman" w:cs="Times New Roman"/>
        </w:rPr>
        <w:t>et al</w:t>
      </w:r>
      <w:r w:rsidR="000A6757">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Illusory Causation: Why It Occurs</w:t>
      </w:r>
      <w:r w:rsidRPr="750671CE">
        <w:rPr>
          <w:rFonts w:ascii="Times New Roman" w:eastAsia="Times New Roman" w:hAnsi="Times New Roman" w:cs="Times New Roman"/>
        </w:rPr>
        <w:t xml:space="preserve">, 13 </w:t>
      </w:r>
      <w:r w:rsidRPr="750671CE">
        <w:rPr>
          <w:rFonts w:ascii="Times New Roman" w:eastAsia="Times New Roman" w:hAnsi="Times New Roman" w:cs="Times New Roman"/>
          <w:smallCaps/>
        </w:rPr>
        <w:t>Psychol</w:t>
      </w:r>
      <w:r w:rsidR="000A6757">
        <w:rPr>
          <w:rFonts w:ascii="Times New Roman" w:eastAsia="Times New Roman" w:hAnsi="Times New Roman" w:cs="Times New Roman"/>
          <w:smallCaps/>
        </w:rPr>
        <w:t>. Sci.</w:t>
      </w:r>
      <w:r w:rsidRPr="750671CE">
        <w:rPr>
          <w:rFonts w:ascii="Times New Roman" w:eastAsia="Times New Roman" w:hAnsi="Times New Roman" w:cs="Times New Roman"/>
        </w:rPr>
        <w:t xml:space="preserve"> 299 (2002). This may mean that a jury will be more likely to find causation from parties that the jury sees more. Do these psychological biases make you feel differently about the ability of the torts system to determine questions of causation? Do you think judges or juries are more likely to commit these kinds of errors?</w:t>
      </w:r>
    </w:p>
    <w:p w14:paraId="60FB4D1E" w14:textId="57166CD9" w:rsidR="0019206E" w:rsidRDefault="0019206E">
      <w:pPr>
        <w:rPr>
          <w:rFonts w:ascii="Times New Roman" w:hAnsi="Times New Roman" w:cs="Times New Roman"/>
          <w:u w:val="single"/>
        </w:rPr>
      </w:pPr>
      <w:r>
        <w:rPr>
          <w:rFonts w:ascii="Times New Roman" w:hAnsi="Times New Roman" w:cs="Times New Roman"/>
          <w:u w:val="single"/>
        </w:rPr>
        <w:br w:type="page"/>
      </w:r>
    </w:p>
    <w:p w14:paraId="68ACBDB4" w14:textId="77777777" w:rsidR="00FF20BE" w:rsidRDefault="00FF20BE" w:rsidP="00296689">
      <w:pPr>
        <w:pStyle w:val="Heading1"/>
        <w:sectPr w:rsidR="00FF20BE" w:rsidSect="00080A6E">
          <w:headerReference w:type="default" r:id="rId63"/>
          <w:pgSz w:w="12240" w:h="15840"/>
          <w:pgMar w:top="1440" w:right="1800" w:bottom="1440" w:left="1800" w:header="720" w:footer="720" w:gutter="0"/>
          <w:cols w:space="720"/>
          <w:noEndnote/>
          <w:titlePg/>
        </w:sectPr>
      </w:pPr>
    </w:p>
    <w:p w14:paraId="3C9E3F9C" w14:textId="5F0639C4" w:rsidR="0019206E" w:rsidRPr="006479BB" w:rsidRDefault="750671CE" w:rsidP="00296689">
      <w:pPr>
        <w:pStyle w:val="Heading1"/>
      </w:pPr>
      <w:bookmarkStart w:id="670" w:name="_Toc364636182"/>
      <w:bookmarkStart w:id="671" w:name="_Toc518323409"/>
      <w:r>
        <w:t>CHAPTER 7.  PROXIMATE (</w:t>
      </w:r>
      <w:r w:rsidR="00B05F31">
        <w:t>“</w:t>
      </w:r>
      <w:r>
        <w:t>LEGAL</w:t>
      </w:r>
      <w:r w:rsidR="00B05F31">
        <w:t>”</w:t>
      </w:r>
      <w:r>
        <w:t>) CAUSE</w:t>
      </w:r>
      <w:bookmarkEnd w:id="670"/>
      <w:bookmarkEnd w:id="671"/>
    </w:p>
    <w:p w14:paraId="1DFB0FF4" w14:textId="77777777" w:rsidR="0019206E" w:rsidRPr="0052300D" w:rsidRDefault="0019206E" w:rsidP="0019206E">
      <w:pPr>
        <w:rPr>
          <w:rFonts w:ascii="Times New Roman" w:hAnsi="Times New Roman" w:cs="Times New Roman"/>
          <w:b/>
        </w:rPr>
      </w:pPr>
    </w:p>
    <w:p w14:paraId="66FEA6C6" w14:textId="77777777" w:rsidR="00C04514" w:rsidRDefault="00C04514" w:rsidP="00D42C49">
      <w:pPr>
        <w:pStyle w:val="Heading2"/>
      </w:pPr>
    </w:p>
    <w:p w14:paraId="439FB3AB" w14:textId="361E3210" w:rsidR="0019206E" w:rsidRPr="00D42C49" w:rsidRDefault="00213F5C" w:rsidP="00D42C49">
      <w:pPr>
        <w:pStyle w:val="Heading2"/>
      </w:pPr>
      <w:bookmarkStart w:id="672" w:name="_Toc364636183"/>
      <w:bookmarkStart w:id="673" w:name="_Toc518323410"/>
      <w:r>
        <w:t xml:space="preserve">A. </w:t>
      </w:r>
      <w:r w:rsidR="0019206E" w:rsidRPr="00D42C49">
        <w:t>Introduction</w:t>
      </w:r>
      <w:bookmarkEnd w:id="672"/>
      <w:bookmarkEnd w:id="673"/>
    </w:p>
    <w:p w14:paraId="60BC9185" w14:textId="77777777" w:rsidR="0019206E" w:rsidRPr="0052300D" w:rsidRDefault="0019206E" w:rsidP="0019206E">
      <w:pPr>
        <w:rPr>
          <w:rFonts w:ascii="Times New Roman" w:hAnsi="Times New Roman" w:cs="Times New Roman"/>
          <w:b/>
        </w:rPr>
      </w:pPr>
    </w:p>
    <w:p w14:paraId="3D277275" w14:textId="22049A1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order to recover damages in a negligence suit, the plaintiff must show not only factual causation</w:t>
      </w:r>
      <w:r w:rsidR="00AC5A04">
        <w:rPr>
          <w:rFonts w:ascii="Times New Roman" w:eastAsia="Times New Roman" w:hAnsi="Times New Roman" w:cs="Times New Roman"/>
        </w:rPr>
        <w:t>,</w:t>
      </w:r>
      <w:r w:rsidRPr="750671CE">
        <w:rPr>
          <w:rFonts w:ascii="Times New Roman" w:eastAsia="Times New Roman" w:hAnsi="Times New Roman" w:cs="Times New Roman"/>
        </w:rPr>
        <w:t xml:space="preserve"> but also something more: what lawyers call </w:t>
      </w:r>
      <w:r w:rsidR="00B05F31">
        <w:rPr>
          <w:rFonts w:ascii="Times New Roman" w:eastAsia="Times New Roman" w:hAnsi="Times New Roman" w:cs="Times New Roman"/>
        </w:rPr>
        <w:t>“</w:t>
      </w:r>
      <w:r w:rsidRPr="750671CE">
        <w:rPr>
          <w:rFonts w:ascii="Times New Roman" w:eastAsia="Times New Roman" w:hAnsi="Times New Roman" w:cs="Times New Roman"/>
        </w:rPr>
        <w:t>proximate cause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legal cause.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doctrine of proximate cause stands for the idea that the plaintiff should not be able to recover if the plaintiff has not shown an appropriate relationship between the negligent act and the harm complained of, even if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has</w:t>
      </w:r>
      <w:r w:rsidR="0073010A">
        <w:rPr>
          <w:rFonts w:ascii="Times New Roman" w:eastAsia="Times New Roman" w:hAnsi="Times New Roman" w:cs="Times New Roman"/>
        </w:rPr>
        <w:sym w:font="Symbol" w:char="F0BE"/>
      </w:r>
      <w:r w:rsidRPr="750671CE">
        <w:rPr>
          <w:rFonts w:ascii="Times New Roman" w:eastAsia="Times New Roman" w:hAnsi="Times New Roman" w:cs="Times New Roman"/>
        </w:rPr>
        <w:t>in fact</w:t>
      </w:r>
      <w:r w:rsidR="0073010A">
        <w:rPr>
          <w:rFonts w:ascii="Times New Roman" w:eastAsia="Times New Roman" w:hAnsi="Times New Roman" w:cs="Times New Roman"/>
        </w:rPr>
        <w:sym w:font="Symbol" w:char="F0BE"/>
      </w:r>
      <w:r w:rsidRPr="750671CE">
        <w:rPr>
          <w:rFonts w:ascii="Times New Roman" w:eastAsia="Times New Roman" w:hAnsi="Times New Roman" w:cs="Times New Roman"/>
        </w:rPr>
        <w:t>caused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injury. Some injuries, courts say, are too remote from the negligence in question to be properly charged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conduct.  Other injuries are not unduly remote, and so are properly attached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As you read the following cases, ask yourself how courts distinguish remote from proximate harms. Is the doctrine of proximate cause different from the foreseeability dimension that we studied in the negligence analysis in </w:t>
      </w:r>
      <w:r w:rsidR="0073010A">
        <w:rPr>
          <w:rFonts w:ascii="Times New Roman" w:eastAsia="Times New Roman" w:hAnsi="Times New Roman" w:cs="Times New Roman"/>
        </w:rPr>
        <w:t>C</w:t>
      </w:r>
      <w:r w:rsidRPr="750671CE">
        <w:rPr>
          <w:rFonts w:ascii="Times New Roman" w:eastAsia="Times New Roman" w:hAnsi="Times New Roman" w:cs="Times New Roman"/>
        </w:rPr>
        <w:t>hapter 4? Given that these are all cases in which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conduct was necessary in producing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injury, is it appropriate to call this doctrine a type of </w:t>
      </w:r>
      <w:r w:rsidR="00B05F31">
        <w:rPr>
          <w:rFonts w:ascii="Times New Roman" w:eastAsia="Times New Roman" w:hAnsi="Times New Roman" w:cs="Times New Roman"/>
        </w:rPr>
        <w:t>“</w:t>
      </w:r>
      <w:r w:rsidRPr="750671CE">
        <w:rPr>
          <w:rFonts w:ascii="Times New Roman" w:eastAsia="Times New Roman" w:hAnsi="Times New Roman" w:cs="Times New Roman"/>
        </w:rPr>
        <w:t>causation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at all? Many jurists have answered no to both questions. There is no denying that the doctrine of proximate causation has played a prominent role in torts cases since nearly the beginning of modern tort law.  But a lurking question remains: Why do we have it? </w:t>
      </w:r>
    </w:p>
    <w:p w14:paraId="2D5ED5DC" w14:textId="77777777" w:rsidR="0019206E" w:rsidRPr="0052300D" w:rsidRDefault="0019206E" w:rsidP="0019206E">
      <w:pPr>
        <w:rPr>
          <w:rFonts w:ascii="Times New Roman" w:hAnsi="Times New Roman" w:cs="Times New Roman"/>
        </w:rPr>
      </w:pPr>
    </w:p>
    <w:p w14:paraId="2A3F2D38" w14:textId="77777777" w:rsidR="0019206E" w:rsidRPr="0052300D" w:rsidRDefault="0019206E" w:rsidP="0019206E">
      <w:pPr>
        <w:rPr>
          <w:rFonts w:ascii="Times New Roman" w:hAnsi="Times New Roman" w:cs="Times New Roman"/>
        </w:rPr>
      </w:pPr>
    </w:p>
    <w:p w14:paraId="54B67E15" w14:textId="77777777" w:rsidR="0019206E" w:rsidRPr="0052300D" w:rsidRDefault="0019206E" w:rsidP="750671CE">
      <w:pPr>
        <w:rPr>
          <w:rFonts w:ascii="Times New Roman" w:eastAsia="Times New Roman" w:hAnsi="Times New Roman" w:cs="Times New Roman"/>
          <w:b/>
          <w:bCs/>
        </w:rPr>
      </w:pPr>
      <w:bookmarkStart w:id="674" w:name="_Toc518323411"/>
      <w:r w:rsidRPr="00634D66">
        <w:rPr>
          <w:rStyle w:val="Heading3Char"/>
          <w:i/>
        </w:rPr>
        <w:t>Ryan v. New York Central R.R.</w:t>
      </w:r>
      <w:bookmarkEnd w:id="674"/>
      <w:r w:rsidRPr="750671CE">
        <w:rPr>
          <w:rFonts w:ascii="Times New Roman" w:eastAsia="Times New Roman" w:hAnsi="Times New Roman" w:cs="Times New Roman"/>
          <w:b/>
          <w:bCs/>
        </w:rPr>
        <w:t>, 35 N.Y. 210, 215 (1866)</w:t>
      </w:r>
    </w:p>
    <w:p w14:paraId="780FC311" w14:textId="77777777" w:rsidR="0019206E" w:rsidRPr="0052300D" w:rsidRDefault="0019206E" w:rsidP="0019206E">
      <w:pPr>
        <w:rPr>
          <w:rFonts w:ascii="Times New Roman" w:hAnsi="Times New Roman" w:cs="Times New Roman"/>
        </w:rPr>
      </w:pPr>
    </w:p>
    <w:p w14:paraId="645DA5F2" w14:textId="77777777" w:rsidR="0073010A" w:rsidRDefault="750671CE" w:rsidP="00F94B7E">
      <w:pPr>
        <w:rPr>
          <w:rFonts w:ascii="Times New Roman" w:eastAsia="Times New Roman" w:hAnsi="Times New Roman" w:cs="Times New Roman"/>
        </w:rPr>
      </w:pPr>
      <w:r w:rsidRPr="750671CE">
        <w:rPr>
          <w:rFonts w:ascii="Times New Roman" w:eastAsia="Times New Roman" w:hAnsi="Times New Roman" w:cs="Times New Roman"/>
          <w:smallCaps/>
        </w:rPr>
        <w:t>Hunt, J</w:t>
      </w:r>
      <w:r w:rsidRPr="750671CE">
        <w:rPr>
          <w:rFonts w:ascii="Times New Roman" w:eastAsia="Times New Roman" w:hAnsi="Times New Roman" w:cs="Times New Roman"/>
        </w:rPr>
        <w:t xml:space="preserve">. </w:t>
      </w:r>
    </w:p>
    <w:p w14:paraId="52112F00" w14:textId="77777777" w:rsidR="0073010A" w:rsidRDefault="0073010A" w:rsidP="750671CE">
      <w:pPr>
        <w:ind w:firstLine="720"/>
        <w:rPr>
          <w:rFonts w:ascii="Times New Roman" w:eastAsia="Times New Roman" w:hAnsi="Times New Roman" w:cs="Times New Roman"/>
        </w:rPr>
      </w:pPr>
    </w:p>
    <w:p w14:paraId="0FBB6268" w14:textId="0B8C9616"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 the 15th day of July, 1854, in the city of Syracuse, the defendant, by the careless management, or through the insufficient condition, of one of its engines, set fire to its woodshed, and a large quantity of wood therein.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52300D" w:rsidRDefault="0019206E" w:rsidP="0019206E">
      <w:pPr>
        <w:rPr>
          <w:rFonts w:ascii="Times New Roman" w:eastAsia="Times New Roman" w:hAnsi="Times New Roman" w:cs="Times New Roman"/>
        </w:rPr>
      </w:pPr>
    </w:p>
    <w:p w14:paraId="79259032"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3119B5A4" w14:textId="77777777" w:rsidR="0019206E" w:rsidRPr="0052300D" w:rsidRDefault="0019206E" w:rsidP="0019206E">
      <w:pPr>
        <w:rPr>
          <w:rFonts w:ascii="Times New Roman" w:hAnsi="Times New Roman" w:cs="Times New Roman"/>
        </w:rPr>
      </w:pPr>
    </w:p>
    <w:p w14:paraId="425A2893"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52300D" w:rsidRDefault="0019206E" w:rsidP="0019206E">
      <w:pPr>
        <w:rPr>
          <w:rFonts w:ascii="Times New Roman" w:hAnsi="Times New Roman" w:cs="Times New Roman"/>
        </w:rPr>
      </w:pPr>
    </w:p>
    <w:p w14:paraId="2248BA6A" w14:textId="7844ED6F"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rPr>
          <w:rFonts w:ascii="Times New Roman" w:eastAsia="Times New Roman" w:hAnsi="Times New Roman" w:cs="Times New Roman"/>
        </w:rPr>
        <w:t xml:space="preserve"> . . .</w:t>
      </w:r>
    </w:p>
    <w:p w14:paraId="5B244BDF" w14:textId="77777777" w:rsidR="0019206E" w:rsidRPr="0052300D" w:rsidRDefault="0019206E" w:rsidP="0019206E">
      <w:pPr>
        <w:ind w:firstLine="720"/>
        <w:rPr>
          <w:rFonts w:ascii="Times New Roman" w:hAnsi="Times New Roman" w:cs="Times New Roman"/>
        </w:rPr>
      </w:pPr>
    </w:p>
    <w:p w14:paraId="1A7FA246" w14:textId="25977AA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unfrequent,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52300D" w:rsidRDefault="0019206E" w:rsidP="0019206E">
      <w:pPr>
        <w:rPr>
          <w:rFonts w:ascii="Times New Roman" w:hAnsi="Times New Roman" w:cs="Times New Roman"/>
        </w:rPr>
      </w:pPr>
    </w:p>
    <w:p w14:paraId="4D9CF4A6"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52300D" w:rsidRDefault="0019206E" w:rsidP="0019206E">
      <w:pPr>
        <w:rPr>
          <w:rFonts w:ascii="Times New Roman" w:hAnsi="Times New Roman" w:cs="Times New Roman"/>
        </w:rPr>
      </w:pPr>
    </w:p>
    <w:p w14:paraId="6BD1397C" w14:textId="2E0CD50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rPr>
          <w:rFonts w:ascii="Times New Roman" w:eastAsia="Times New Roman" w:hAnsi="Times New Roman" w:cs="Times New Roman"/>
        </w:rPr>
        <w:t>’</w:t>
      </w:r>
      <w:r w:rsidRPr="750671CE">
        <w:rPr>
          <w:rFonts w:ascii="Times New Roman" w:eastAsia="Times New Roman" w:hAnsi="Times New Roman" w:cs="Times New Roman"/>
        </w:rPr>
        <w:t>s building or furniture, for the reason that he has no interest in them. To hold that the owner must not only meet his own loss by fire, but that he must guarantee the security of his neighbors on both sides, and to an unlimited extent, would be to create a liability which would be the destruction of all civilized society. No community could long exist, under the operation of such a principle. In a commercial country, each man, to some extent, runs the hazard of his neighbor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conduct, and each, by insurance against such hazards, is enabled to obtain a reasonable security against loss. To neglect such precaution, and to call upon his neighbor, on whose premises 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52300D" w:rsidRDefault="0019206E" w:rsidP="0019206E">
      <w:pPr>
        <w:rPr>
          <w:rFonts w:ascii="Times New Roman" w:hAnsi="Times New Roman" w:cs="Times New Roman"/>
        </w:rPr>
      </w:pPr>
    </w:p>
    <w:p w14:paraId="4892C73E"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remoteness of the damage, in my judgment, forms the true rule on which the question should be decided, and which prohibits a recovery by the plaintiff in this case.</w:t>
      </w:r>
    </w:p>
    <w:p w14:paraId="41F28312" w14:textId="77777777" w:rsidR="0019206E" w:rsidRPr="0052300D" w:rsidRDefault="0019206E" w:rsidP="0019206E">
      <w:pPr>
        <w:ind w:firstLine="720"/>
        <w:rPr>
          <w:rFonts w:ascii="Times New Roman" w:hAnsi="Times New Roman" w:cs="Times New Roman"/>
        </w:rPr>
      </w:pPr>
    </w:p>
    <w:p w14:paraId="0F9B1273"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Judgment should be affirmed.</w:t>
      </w:r>
    </w:p>
    <w:p w14:paraId="4B1F6F23" w14:textId="77777777" w:rsidR="0019206E" w:rsidRPr="0052300D" w:rsidRDefault="0019206E" w:rsidP="0019206E">
      <w:pPr>
        <w:rPr>
          <w:rFonts w:ascii="Times New Roman" w:hAnsi="Times New Roman" w:cs="Times New Roman"/>
        </w:rPr>
      </w:pPr>
    </w:p>
    <w:p w14:paraId="0FF775BF" w14:textId="77777777" w:rsidR="0019206E" w:rsidRPr="0052300D" w:rsidRDefault="0019206E" w:rsidP="0019206E">
      <w:pPr>
        <w:rPr>
          <w:rFonts w:ascii="Times New Roman" w:hAnsi="Times New Roman" w:cs="Times New Roman"/>
        </w:rPr>
      </w:pPr>
    </w:p>
    <w:p w14:paraId="236CE6AC" w14:textId="77777777" w:rsidR="0019206E" w:rsidRPr="0052300D" w:rsidRDefault="0019206E" w:rsidP="002502CC">
      <w:pPr>
        <w:pStyle w:val="Heading4"/>
      </w:pPr>
      <w:bookmarkStart w:id="675" w:name="_Toc364636184"/>
      <w:bookmarkStart w:id="676" w:name="_Toc518323412"/>
      <w:r w:rsidRPr="0052300D">
        <w:t>Notes</w:t>
      </w:r>
      <w:bookmarkEnd w:id="675"/>
      <w:bookmarkEnd w:id="676"/>
    </w:p>
    <w:p w14:paraId="23DA1680" w14:textId="77777777" w:rsidR="0019206E" w:rsidRDefault="0019206E" w:rsidP="0019206E">
      <w:pPr>
        <w:rPr>
          <w:rFonts w:ascii="Times New Roman" w:hAnsi="Times New Roman" w:cs="Times New Roman"/>
          <w:b/>
          <w:i/>
        </w:rPr>
      </w:pPr>
    </w:p>
    <w:p w14:paraId="5250E201" w14:textId="77777777" w:rsidR="00C04514" w:rsidRPr="0052300D" w:rsidRDefault="00C04514" w:rsidP="0019206E">
      <w:pPr>
        <w:rPr>
          <w:rFonts w:ascii="Times New Roman" w:hAnsi="Times New Roman" w:cs="Times New Roman"/>
          <w:b/>
          <w:i/>
        </w:rPr>
      </w:pPr>
    </w:p>
    <w:p w14:paraId="009DE0F4" w14:textId="57B2B580" w:rsidR="0019206E" w:rsidRPr="00F94B7E" w:rsidRDefault="750671CE" w:rsidP="00F94B7E">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Rationales for </w:t>
      </w:r>
      <w:r w:rsidRPr="00F94B7E">
        <w:rPr>
          <w:rFonts w:ascii="Times New Roman" w:eastAsia="Times New Roman" w:hAnsi="Times New Roman" w:cs="Times New Roman"/>
          <w:iCs/>
        </w:rPr>
        <w:t>Ryan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Virtually all observers agree that there ought to be a distinction between the first house and the twenty-fourth house.  But does the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court draw the line between proximate and remote damages in the right place? Judge Hunt offers up a whole laundry list of possible ways to articulate the key distinction.  He talks about ordinariness, nature, expectations, accident, and immediacy.  Which of these rationales, if any, explains the location of the line as the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court sees it?  </w:t>
      </w:r>
    </w:p>
    <w:p w14:paraId="43CBA9D0" w14:textId="77777777" w:rsidR="0019206E" w:rsidRDefault="0019206E" w:rsidP="0019206E">
      <w:pPr>
        <w:rPr>
          <w:rFonts w:ascii="Times New Roman" w:hAnsi="Times New Roman" w:cs="Times New Roman"/>
        </w:rPr>
      </w:pPr>
    </w:p>
    <w:p w14:paraId="773E5ABD" w14:textId="77777777" w:rsidR="0019206E" w:rsidRPr="0052300D" w:rsidRDefault="0019206E" w:rsidP="0019206E">
      <w:pPr>
        <w:rPr>
          <w:rFonts w:ascii="Times New Roman" w:hAnsi="Times New Roman" w:cs="Times New Roman"/>
        </w:rPr>
      </w:pPr>
    </w:p>
    <w:p w14:paraId="2E2C0996" w14:textId="0E117271" w:rsidR="0019206E" w:rsidRPr="00F94B7E" w:rsidRDefault="750671CE" w:rsidP="00F94B7E">
      <w:pPr>
        <w:pStyle w:val="ListParagraph"/>
        <w:numPr>
          <w:ilvl w:val="0"/>
          <w:numId w:val="1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explanation?</w:t>
      </w:r>
      <w:r w:rsidRPr="00F94B7E">
        <w:rPr>
          <w:rFonts w:ascii="Times New Roman" w:eastAsia="Times New Roman" w:hAnsi="Times New Roman" w:cs="Times New Roman"/>
        </w:rPr>
        <w:t xml:space="preserve">  One explanation articulated in the </w:t>
      </w:r>
      <w:r w:rsidRPr="00F94B7E">
        <w:rPr>
          <w:rFonts w:ascii="Times New Roman" w:eastAsia="Times New Roman" w:hAnsi="Times New Roman" w:cs="Times New Roman"/>
          <w:i/>
          <w:iCs/>
        </w:rPr>
        <w:t xml:space="preserve">Ryan </w:t>
      </w:r>
      <w:r w:rsidRPr="00F94B7E">
        <w:rPr>
          <w:rFonts w:ascii="Times New Roman" w:eastAsia="Times New Roman" w:hAnsi="Times New Roman" w:cs="Times New Roman"/>
        </w:rPr>
        <w:t>decision for cutting off liability is that even if none of these doctrinal formulations hold, the plaintiff could have insured his property against fire.  The defendant, by contrast, could not take out a policy on the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was decided, the law in most states began to permit liability insurance.  Today, it is pervasive.</w:t>
      </w:r>
    </w:p>
    <w:p w14:paraId="6A787BF5" w14:textId="77777777" w:rsidR="0019206E" w:rsidRPr="0052300D" w:rsidRDefault="0019206E" w:rsidP="0019206E">
      <w:pPr>
        <w:rPr>
          <w:rFonts w:ascii="Times New Roman" w:hAnsi="Times New Roman" w:cs="Times New Roman"/>
        </w:rPr>
      </w:pPr>
    </w:p>
    <w:p w14:paraId="2B385640" w14:textId="7E49BF0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Today, the law permits people and firms to purchase liability insurance protecting the policy-holder</w:t>
      </w:r>
      <w:r w:rsidR="00B05F31">
        <w:rPr>
          <w:rFonts w:ascii="Times New Roman" w:eastAsia="Times New Roman" w:hAnsi="Times New Roman" w:cs="Times New Roman"/>
        </w:rPr>
        <w:t>’</w:t>
      </w:r>
      <w:r w:rsidRPr="750671CE">
        <w:rPr>
          <w:rFonts w:ascii="Times New Roman" w:eastAsia="Times New Roman" w:hAnsi="Times New Roman" w:cs="Times New Roman"/>
        </w:rPr>
        <w:t>s interest in insuring against tort damages judgments.  Sometimes, as in automobile insurance regulations, the law now requires liability insurance.  If you have owned a car, you have almost certainly bought a liability insurance policy yourself.  Some of you will have bought liability insurance as part of an apartment renter</w:t>
      </w:r>
      <w:r w:rsidR="00B05F31">
        <w:rPr>
          <w:rFonts w:ascii="Times New Roman" w:eastAsia="Times New Roman" w:hAnsi="Times New Roman" w:cs="Times New Roman"/>
        </w:rPr>
        <w:t>’</w:t>
      </w:r>
      <w:r w:rsidRPr="750671CE">
        <w:rPr>
          <w:rFonts w:ascii="Times New Roman" w:eastAsia="Times New Roman" w:hAnsi="Times New Roman" w:cs="Times New Roman"/>
        </w:rPr>
        <w:t>s insurance policy, or perhaps a homeowners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policy. </w:t>
      </w:r>
    </w:p>
    <w:p w14:paraId="2B518C79" w14:textId="77777777" w:rsidR="0019206E" w:rsidRPr="0052300D" w:rsidRDefault="0019206E" w:rsidP="0019206E">
      <w:pPr>
        <w:rPr>
          <w:rFonts w:ascii="Times New Roman" w:hAnsi="Times New Roman" w:cs="Times New Roman"/>
        </w:rPr>
      </w:pPr>
    </w:p>
    <w:p w14:paraId="7286D2C6"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If liability insurance had been widespread in 1866, would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have come out the other way?  </w:t>
      </w:r>
    </w:p>
    <w:p w14:paraId="3950E772" w14:textId="77777777" w:rsidR="0019206E" w:rsidRPr="0052300D" w:rsidRDefault="0019206E" w:rsidP="0019206E">
      <w:pPr>
        <w:rPr>
          <w:rFonts w:ascii="Times New Roman" w:hAnsi="Times New Roman" w:cs="Times New Roman"/>
        </w:rPr>
      </w:pPr>
    </w:p>
    <w:p w14:paraId="6FCBE172" w14:textId="2E141E1A"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Note that today,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is almost certainly not a good statement of the law: </w:t>
      </w:r>
      <w:r w:rsidR="0073010A">
        <w:rPr>
          <w:rFonts w:ascii="Times New Roman" w:eastAsia="Times New Roman" w:hAnsi="Times New Roman" w:cs="Times New Roman"/>
        </w:rPr>
        <w:t>C</w:t>
      </w:r>
      <w:r w:rsidRPr="750671CE">
        <w:rPr>
          <w:rFonts w:ascii="Times New Roman" w:eastAsia="Times New Roman" w:hAnsi="Times New Roman" w:cs="Times New Roman"/>
        </w:rPr>
        <w:t xml:space="preserve">ourts today virtually always draw the line between proximate injuries and remote ones more broadly than Judge Hunt did. Although never explicitly overruled,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was soon distinguished into oblivion. In 1872, the New York Court of Appeals held that there was proximate cause where a railroad negligently started a fire that spread from its own property to the property of others. </w:t>
      </w:r>
      <w:r w:rsidRPr="750671CE">
        <w:rPr>
          <w:rFonts w:ascii="Times New Roman" w:eastAsia="Times New Roman" w:hAnsi="Times New Roman" w:cs="Times New Roman"/>
          <w:i/>
          <w:iCs/>
        </w:rPr>
        <w:t>Webb v. Rome, W. &amp; O. R. Co</w:t>
      </w:r>
      <w:r w:rsidRPr="750671CE">
        <w:rPr>
          <w:rFonts w:ascii="Times New Roman" w:eastAsia="Times New Roman" w:hAnsi="Times New Roman" w:cs="Times New Roman"/>
        </w:rPr>
        <w:t>., 49 N.Y. 420, 428 (1872) (</w:t>
      </w:r>
      <w:r w:rsidR="00B05F31">
        <w:rPr>
          <w:rFonts w:ascii="Times New Roman" w:eastAsia="Times New Roman" w:hAnsi="Times New Roman" w:cs="Times New Roman"/>
        </w:rPr>
        <w:t>“</w:t>
      </w:r>
      <w:r w:rsidRPr="750671CE">
        <w:rPr>
          <w:rFonts w:ascii="Times New Roman" w:eastAsia="Times New Roman" w:hAnsi="Times New Roman" w:cs="Times New Roman"/>
        </w:rPr>
        <w:t>We are not to be controlled by the authority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more than we are by that of the long line of cases which preceded it . .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Later interpretations of these two contrary cases in subsequent railroad fire cases have landed firmly on the side of </w:t>
      </w:r>
      <w:r w:rsidRPr="750671CE">
        <w:rPr>
          <w:rFonts w:ascii="Times New Roman" w:eastAsia="Times New Roman" w:hAnsi="Times New Roman" w:cs="Times New Roman"/>
          <w:i/>
          <w:iCs/>
        </w:rPr>
        <w:t>Webb</w:t>
      </w:r>
      <w:r w:rsidRPr="750671CE">
        <w:rPr>
          <w:rFonts w:ascii="Times New Roman" w:eastAsia="Times New Roman" w:hAnsi="Times New Roman" w:cs="Times New Roman"/>
        </w:rPr>
        <w:t xml:space="preserve">, not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i/>
        </w:rPr>
        <w:t>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Frace v. New York, L. E. &amp; W. R. Co</w:t>
      </w:r>
      <w:r w:rsidRPr="750671CE">
        <w:rPr>
          <w:rFonts w:ascii="Times New Roman" w:eastAsia="Times New Roman" w:hAnsi="Times New Roman" w:cs="Times New Roman"/>
        </w:rPr>
        <w:t>., 143 N.Y. 182, 189 (1894)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case should not be extended beyond the precise facts which appear therein. Even if correctly applied in that case, the principle ought not to be applied to other facts. See </w:t>
      </w:r>
      <w:r w:rsidRPr="750671CE">
        <w:rPr>
          <w:rFonts w:ascii="Times New Roman" w:eastAsia="Times New Roman" w:hAnsi="Times New Roman" w:cs="Times New Roman"/>
          <w:i/>
          <w:iCs/>
        </w:rPr>
        <w:t>Webb v. Railroad Co</w:t>
      </w:r>
      <w:r w:rsidRPr="750671CE">
        <w:rPr>
          <w:rFonts w:ascii="Times New Roman" w:eastAsia="Times New Roman" w:hAnsi="Times New Roman" w:cs="Times New Roman"/>
        </w:rPr>
        <w:t>. . . .</w:t>
      </w:r>
      <w:r w:rsidR="00B05F31">
        <w:rPr>
          <w:rFonts w:ascii="Times New Roman" w:eastAsia="Times New Roman" w:hAnsi="Times New Roman" w:cs="Times New Roman"/>
        </w:rPr>
        <w:t>”</w:t>
      </w:r>
      <w:r w:rsidRPr="750671CE">
        <w:rPr>
          <w:rFonts w:ascii="Times New Roman" w:eastAsia="Times New Roman" w:hAnsi="Times New Roman" w:cs="Times New Roman"/>
        </w:rPr>
        <w:t>)</w:t>
      </w:r>
      <w:r w:rsidR="0073010A">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7B94B4DE" w14:textId="77777777" w:rsidR="0019206E" w:rsidRPr="0052300D" w:rsidRDefault="0019206E" w:rsidP="0019206E">
      <w:pPr>
        <w:rPr>
          <w:rFonts w:ascii="Times New Roman" w:hAnsi="Times New Roman" w:cs="Times New Roman"/>
        </w:rPr>
      </w:pPr>
    </w:p>
    <w:p w14:paraId="12EB9C91" w14:textId="54D385BD"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further puzzle to consider in conjunction with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We will take up this insurance question at greater length in </w:t>
      </w:r>
      <w:r w:rsidR="0073010A">
        <w:rPr>
          <w:rFonts w:ascii="Times New Roman" w:eastAsia="Times New Roman" w:hAnsi="Times New Roman" w:cs="Times New Roman"/>
        </w:rPr>
        <w:t>C</w:t>
      </w:r>
      <w:r w:rsidRPr="750671CE">
        <w:rPr>
          <w:rFonts w:ascii="Times New Roman" w:eastAsia="Times New Roman" w:hAnsi="Times New Roman" w:cs="Times New Roman"/>
        </w:rPr>
        <w:t xml:space="preserve">hapter 10 when we look at the law of damages in torts.  For now, suffice it to say that the relevant doctrines here are: (a) the so-called </w:t>
      </w:r>
      <w:r w:rsidR="00B05F31">
        <w:rPr>
          <w:rFonts w:ascii="Times New Roman" w:eastAsia="Times New Roman" w:hAnsi="Times New Roman" w:cs="Times New Roman"/>
        </w:rPr>
        <w:t>“</w:t>
      </w:r>
      <w:r w:rsidRPr="750671CE">
        <w:rPr>
          <w:rFonts w:ascii="Times New Roman" w:eastAsia="Times New Roman" w:hAnsi="Times New Roman" w:cs="Times New Roman"/>
        </w:rPr>
        <w:t>collateral source rule,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which holds that the damages owed by a tortfeasor to a plaintiff are not affected by compensation received by that plaintiff from a third (or </w:t>
      </w:r>
      <w:r w:rsidR="00B05F31">
        <w:rPr>
          <w:rFonts w:ascii="Times New Roman" w:eastAsia="Times New Roman" w:hAnsi="Times New Roman" w:cs="Times New Roman"/>
        </w:rPr>
        <w:t>“</w:t>
      </w:r>
      <w:r w:rsidRPr="750671CE">
        <w:rPr>
          <w:rFonts w:ascii="Times New Roman" w:eastAsia="Times New Roman" w:hAnsi="Times New Roman" w:cs="Times New Roman"/>
        </w:rPr>
        <w:t>collateral</w:t>
      </w:r>
      <w:r w:rsidR="00B05F31">
        <w:rPr>
          <w:rFonts w:ascii="Times New Roman" w:eastAsia="Times New Roman" w:hAnsi="Times New Roman" w:cs="Times New Roman"/>
        </w:rPr>
        <w:t>”</w:t>
      </w:r>
      <w:r w:rsidRPr="750671CE">
        <w:rPr>
          <w:rFonts w:ascii="Times New Roman" w:eastAsia="Times New Roman" w:hAnsi="Times New Roman" w:cs="Times New Roman"/>
        </w:rPr>
        <w:t>) source, and (b) the doctrine of subrogation, which allows an insurer to step into the shoes of its insured and prosecute a tort claim against a defendant who breached a duty to the insurer</w:t>
      </w:r>
      <w:r w:rsidR="00B05F31">
        <w:rPr>
          <w:rFonts w:ascii="Times New Roman" w:eastAsia="Times New Roman" w:hAnsi="Times New Roman" w:cs="Times New Roman"/>
        </w:rPr>
        <w:t>’</w:t>
      </w:r>
      <w:r w:rsidRPr="750671CE">
        <w:rPr>
          <w:rFonts w:ascii="Times New Roman" w:eastAsia="Times New Roman" w:hAnsi="Times New Roman" w:cs="Times New Roman"/>
        </w:rPr>
        <w:t>s insured.  Does it make sense to allow tort suits under these conditions?  What if it means that tort law</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administrative expenses are spent on battles among insurers? </w:t>
      </w:r>
    </w:p>
    <w:p w14:paraId="73E21A26" w14:textId="77777777" w:rsidR="0019206E" w:rsidRPr="0052300D" w:rsidRDefault="0019206E" w:rsidP="0019206E">
      <w:pPr>
        <w:rPr>
          <w:rFonts w:ascii="Times New Roman" w:hAnsi="Times New Roman" w:cs="Times New Roman"/>
          <w:u w:val="single"/>
        </w:rPr>
      </w:pPr>
    </w:p>
    <w:p w14:paraId="44121BD7"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still stands for the proposition that in some cases, negligence and causation-in-fact will not be enough to justify liability. The next case offers another, quite different example of this general point.</w:t>
      </w:r>
    </w:p>
    <w:p w14:paraId="05C2E0A6" w14:textId="77777777" w:rsidR="0019206E" w:rsidRPr="0052300D" w:rsidRDefault="0019206E" w:rsidP="0019206E">
      <w:pPr>
        <w:rPr>
          <w:rFonts w:ascii="Times New Roman" w:hAnsi="Times New Roman" w:cs="Times New Roman"/>
          <w:b/>
        </w:rPr>
      </w:pPr>
    </w:p>
    <w:p w14:paraId="2030F61B" w14:textId="77777777" w:rsidR="0019206E" w:rsidRPr="0052300D" w:rsidRDefault="0019206E" w:rsidP="0019206E">
      <w:pPr>
        <w:rPr>
          <w:rFonts w:ascii="Times New Roman" w:hAnsi="Times New Roman" w:cs="Times New Roman"/>
          <w:b/>
        </w:rPr>
      </w:pPr>
    </w:p>
    <w:p w14:paraId="115E2D52" w14:textId="2DB34DF8" w:rsidR="0019206E" w:rsidRPr="0052300D" w:rsidRDefault="0019206E" w:rsidP="750671CE">
      <w:pPr>
        <w:rPr>
          <w:rFonts w:ascii="Times New Roman" w:eastAsia="Times New Roman" w:hAnsi="Times New Roman" w:cs="Times New Roman"/>
        </w:rPr>
      </w:pPr>
      <w:bookmarkStart w:id="677" w:name="_Toc518323413"/>
      <w:r w:rsidRPr="00634D66">
        <w:rPr>
          <w:rStyle w:val="Heading3Char"/>
          <w:i/>
        </w:rPr>
        <w:t>Berry v. Sugar Notch Borough</w:t>
      </w:r>
      <w:bookmarkEnd w:id="677"/>
      <w:r w:rsidRPr="750671CE">
        <w:rPr>
          <w:rFonts w:ascii="Times New Roman" w:eastAsia="Times New Roman" w:hAnsi="Times New Roman" w:cs="Times New Roman"/>
          <w:b/>
          <w:bCs/>
        </w:rPr>
        <w:t xml:space="preserve">, </w:t>
      </w:r>
      <w:r w:rsidR="003F2AE8" w:rsidRPr="750671CE">
        <w:rPr>
          <w:rFonts w:ascii="Times New Roman" w:eastAsia="Times New Roman" w:hAnsi="Times New Roman" w:cs="Times New Roman"/>
          <w:b/>
          <w:bCs/>
        </w:rPr>
        <w:t>43 A. 240 (Pa</w:t>
      </w:r>
      <w:r w:rsidRPr="750671CE">
        <w:rPr>
          <w:rFonts w:ascii="Times New Roman" w:eastAsia="Times New Roman" w:hAnsi="Times New Roman" w:cs="Times New Roman"/>
          <w:b/>
          <w:bCs/>
        </w:rPr>
        <w:t>. 1899)</w:t>
      </w:r>
    </w:p>
    <w:p w14:paraId="64FD6F84" w14:textId="77777777" w:rsidR="0019206E" w:rsidRPr="0052300D" w:rsidRDefault="0019206E" w:rsidP="0019206E">
      <w:pPr>
        <w:rPr>
          <w:rFonts w:ascii="Times New Roman" w:hAnsi="Times New Roman" w:cs="Times New Roman"/>
        </w:rPr>
      </w:pPr>
    </w:p>
    <w:p w14:paraId="69ABF4CA" w14:textId="0EBB539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52300D" w:rsidRDefault="0019206E" w:rsidP="0019206E">
      <w:pPr>
        <w:rPr>
          <w:rFonts w:ascii="Times New Roman" w:hAnsi="Times New Roman" w:cs="Times New Roman"/>
        </w:rPr>
      </w:pPr>
    </w:p>
    <w:p w14:paraId="5C069F42"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is affirmed.</w:t>
      </w:r>
    </w:p>
    <w:p w14:paraId="05189B92" w14:textId="77777777" w:rsidR="0019206E" w:rsidRPr="0052300D" w:rsidRDefault="0019206E" w:rsidP="0019206E">
      <w:pPr>
        <w:rPr>
          <w:rFonts w:ascii="Times New Roman" w:hAnsi="Times New Roman" w:cs="Times New Roman"/>
          <w:b/>
        </w:rPr>
      </w:pPr>
    </w:p>
    <w:p w14:paraId="1C14D56E" w14:textId="77777777" w:rsidR="0019206E" w:rsidRPr="0052300D" w:rsidRDefault="0019206E" w:rsidP="0019206E">
      <w:pPr>
        <w:rPr>
          <w:rFonts w:ascii="Times New Roman" w:hAnsi="Times New Roman" w:cs="Times New Roman"/>
          <w:b/>
        </w:rPr>
      </w:pPr>
    </w:p>
    <w:p w14:paraId="664CA8F0" w14:textId="77777777" w:rsidR="0019206E" w:rsidRPr="0052300D" w:rsidRDefault="0019206E" w:rsidP="002502CC">
      <w:pPr>
        <w:pStyle w:val="Heading4"/>
      </w:pPr>
      <w:bookmarkStart w:id="678" w:name="_Toc364636185"/>
      <w:bookmarkStart w:id="679" w:name="_Toc518323414"/>
      <w:r w:rsidRPr="0052300D">
        <w:t>Note</w:t>
      </w:r>
      <w:bookmarkEnd w:id="678"/>
      <w:bookmarkEnd w:id="679"/>
    </w:p>
    <w:p w14:paraId="25F9E012" w14:textId="77777777" w:rsidR="0019206E" w:rsidRDefault="0019206E" w:rsidP="0019206E">
      <w:pPr>
        <w:rPr>
          <w:rFonts w:ascii="Times New Roman" w:hAnsi="Times New Roman" w:cs="Times New Roman"/>
          <w:b/>
          <w:i/>
        </w:rPr>
      </w:pPr>
    </w:p>
    <w:p w14:paraId="03FB25AC" w14:textId="77777777" w:rsidR="00C04514" w:rsidRPr="0052300D" w:rsidRDefault="00C04514" w:rsidP="0019206E">
      <w:pPr>
        <w:rPr>
          <w:rFonts w:ascii="Times New Roman" w:hAnsi="Times New Roman" w:cs="Times New Roman"/>
          <w:b/>
          <w:i/>
        </w:rPr>
      </w:pPr>
    </w:p>
    <w:p w14:paraId="7E15E70E" w14:textId="5C078619" w:rsidR="0019206E" w:rsidRPr="00F94B7E" w:rsidRDefault="750671CE" w:rsidP="00F94B7E">
      <w:pPr>
        <w:pStyle w:val="ListParagraph"/>
        <w:numPr>
          <w:ilvl w:val="0"/>
          <w:numId w:val="20"/>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What principle does </w:t>
      </w:r>
      <w:r w:rsidRPr="00F94B7E">
        <w:rPr>
          <w:rFonts w:ascii="Times New Roman" w:eastAsia="Times New Roman" w:hAnsi="Times New Roman" w:cs="Times New Roman"/>
          <w:iCs/>
        </w:rPr>
        <w:t>Berry v. Borough of Sugar Notch</w:t>
      </w:r>
      <w:r w:rsidRPr="00F94B7E">
        <w:rPr>
          <w:rFonts w:ascii="Times New Roman" w:eastAsia="Times New Roman" w:hAnsi="Times New Roman" w:cs="Times New Roman"/>
          <w:i/>
        </w:rPr>
        <w:t xml:space="preserve"> stand for?</w:t>
      </w:r>
      <w:r w:rsidRPr="00F94B7E">
        <w:rPr>
          <w:rFonts w:ascii="Times New Roman" w:eastAsia="Times New Roman" w:hAnsi="Times New Roman" w:cs="Times New Roman"/>
        </w:rPr>
        <w:t xml:space="preserve"> Guido Calabresi calls it the principle of </w:t>
      </w:r>
      <w:r w:rsidR="00B05F31">
        <w:rPr>
          <w:rFonts w:ascii="Times New Roman" w:eastAsia="Times New Roman" w:hAnsi="Times New Roman" w:cs="Times New Roman"/>
        </w:rPr>
        <w:t>“</w:t>
      </w:r>
      <w:r w:rsidRPr="00F94B7E">
        <w:rPr>
          <w:rFonts w:ascii="Times New Roman" w:eastAsia="Times New Roman" w:hAnsi="Times New Roman" w:cs="Times New Roman"/>
        </w:rPr>
        <w:t>causal link</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negligent conduct is only linked to the harm at issue in the relevant way, Calabresi argues, if it increases the risk of that harm.  Tort actions, in other words, do not lie in cases of pure coincidence. </w:t>
      </w:r>
    </w:p>
    <w:p w14:paraId="294E0018" w14:textId="77777777" w:rsidR="0019206E" w:rsidRPr="0052300D" w:rsidRDefault="0019206E" w:rsidP="0019206E">
      <w:pPr>
        <w:rPr>
          <w:rFonts w:ascii="Times New Roman" w:hAnsi="Times New Roman" w:cs="Times New Roman"/>
        </w:rPr>
      </w:pPr>
    </w:p>
    <w:p w14:paraId="306663E0" w14:textId="77777777" w:rsidR="0019206E" w:rsidRPr="0052300D" w:rsidRDefault="0019206E" w:rsidP="0019206E">
      <w:pPr>
        <w:rPr>
          <w:rFonts w:ascii="Times New Roman" w:hAnsi="Times New Roman" w:cs="Times New Roman"/>
        </w:rPr>
      </w:pPr>
    </w:p>
    <w:p w14:paraId="631242F8" w14:textId="47CBD2CF" w:rsidR="0019206E" w:rsidRPr="0052300D" w:rsidRDefault="00213F5C" w:rsidP="00C817D4">
      <w:pPr>
        <w:pStyle w:val="Heading2"/>
      </w:pPr>
      <w:bookmarkStart w:id="680" w:name="_Toc364636186"/>
      <w:bookmarkStart w:id="681" w:name="_Toc518323415"/>
      <w:r>
        <w:t xml:space="preserve">B. </w:t>
      </w:r>
      <w:r w:rsidR="0019206E" w:rsidRPr="0052300D">
        <w:t>Unexpected Harm</w:t>
      </w:r>
      <w:bookmarkEnd w:id="680"/>
      <w:bookmarkEnd w:id="681"/>
    </w:p>
    <w:p w14:paraId="4E9FFF95" w14:textId="77777777" w:rsidR="0019206E" w:rsidRPr="0052300D" w:rsidRDefault="0019206E" w:rsidP="0019206E">
      <w:pPr>
        <w:rPr>
          <w:rFonts w:ascii="Times New Roman" w:hAnsi="Times New Roman" w:cs="Times New Roman"/>
          <w:b/>
          <w:i/>
        </w:rPr>
      </w:pPr>
    </w:p>
    <w:p w14:paraId="6B1CC8A6" w14:textId="77777777" w:rsidR="0019206E" w:rsidRPr="0052300D" w:rsidRDefault="0019206E" w:rsidP="0019206E">
      <w:pPr>
        <w:rPr>
          <w:rFonts w:ascii="Times New Roman" w:hAnsi="Times New Roman" w:cs="Times New Roman"/>
          <w:b/>
          <w:i/>
        </w:rPr>
      </w:pPr>
    </w:p>
    <w:p w14:paraId="4A4A7A1F" w14:textId="77777777" w:rsidR="0019206E" w:rsidRPr="0052300D" w:rsidRDefault="0019206E" w:rsidP="750671CE">
      <w:pPr>
        <w:rPr>
          <w:rFonts w:ascii="Times New Roman" w:eastAsia="Times New Roman" w:hAnsi="Times New Roman" w:cs="Times New Roman"/>
          <w:b/>
          <w:bCs/>
        </w:rPr>
      </w:pPr>
      <w:bookmarkStart w:id="682" w:name="_Toc518323416"/>
      <w:r w:rsidRPr="00634D66">
        <w:rPr>
          <w:rStyle w:val="Heading3Char"/>
          <w:i/>
        </w:rPr>
        <w:t>Benn v. Thomas</w:t>
      </w:r>
      <w:bookmarkEnd w:id="682"/>
      <w:r w:rsidRPr="750671CE">
        <w:rPr>
          <w:rFonts w:ascii="Times New Roman" w:eastAsia="Times New Roman" w:hAnsi="Times New Roman" w:cs="Times New Roman"/>
          <w:b/>
          <w:bCs/>
        </w:rPr>
        <w:t>, 512 N.W.2d 537 (Iowa 1994)</w:t>
      </w:r>
    </w:p>
    <w:p w14:paraId="263BCDCE" w14:textId="77777777" w:rsidR="0019206E" w:rsidRPr="0052300D" w:rsidRDefault="0019206E" w:rsidP="0019206E">
      <w:pPr>
        <w:widowControl w:val="0"/>
        <w:autoSpaceDE w:val="0"/>
        <w:autoSpaceDN w:val="0"/>
        <w:adjustRightInd w:val="0"/>
        <w:rPr>
          <w:rFonts w:ascii="Times New Roman" w:hAnsi="Times New Roman" w:cs="Times New Roman"/>
        </w:rPr>
      </w:pPr>
    </w:p>
    <w:p w14:paraId="5F5329CE"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52300D" w:rsidRDefault="0019206E" w:rsidP="0019206E">
      <w:pPr>
        <w:widowControl w:val="0"/>
        <w:autoSpaceDE w:val="0"/>
        <w:autoSpaceDN w:val="0"/>
        <w:adjustRightInd w:val="0"/>
        <w:rPr>
          <w:rFonts w:ascii="Times New Roman" w:hAnsi="Times New Roman" w:cs="Times New Roman"/>
        </w:rPr>
      </w:pPr>
    </w:p>
    <w:p w14:paraId="5004D830" w14:textId="446AABAB"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At trial, the estate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medical expert, Dr. James E. Davia, testified that Loras had a history of coronary disease and insulin-dependent diabetes. Loras had a heart attack in 1985 and was at risk of having another. Dr. Davia testified that he viewed </w:t>
      </w:r>
      <w:r w:rsidR="00B05F31">
        <w:rPr>
          <w:rFonts w:ascii="Times New Roman" w:eastAsia="Times New Roman" w:hAnsi="Times New Roman" w:cs="Times New Roman"/>
        </w:rPr>
        <w:t>“</w:t>
      </w:r>
      <w:r w:rsidRPr="750671CE">
        <w:rPr>
          <w:rFonts w:ascii="Times New Roman" w:eastAsia="Times New Roman" w:hAnsi="Times New Roman" w:cs="Times New Roman"/>
        </w:rPr>
        <w:t>the accident that [Loras] was in and the attendant problems that it cause[d] in the body as the straw that broke the camel</w:t>
      </w:r>
      <w:r w:rsidR="00B05F31">
        <w:rPr>
          <w:rFonts w:ascii="Times New Roman" w:eastAsia="Times New Roman" w:hAnsi="Times New Roman" w:cs="Times New Roman"/>
        </w:rPr>
        <w:t>’</w:t>
      </w:r>
      <w:r w:rsidRPr="750671CE">
        <w:rPr>
          <w:rFonts w:ascii="Times New Roman" w:eastAsia="Times New Roman" w:hAnsi="Times New Roman" w:cs="Times New Roman"/>
        </w:rPr>
        <w:t>s back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the cause of Loras</w:t>
      </w:r>
      <w:r w:rsidR="00B05F31">
        <w:rPr>
          <w:rFonts w:ascii="Times New Roman" w:eastAsia="Times New Roman" w:hAnsi="Times New Roman" w:cs="Times New Roman"/>
        </w:rPr>
        <w:t>’</w:t>
      </w:r>
      <w:r w:rsidRPr="750671CE">
        <w:rPr>
          <w:rFonts w:ascii="Times New Roman" w:eastAsia="Times New Roman" w:hAnsi="Times New Roman" w:cs="Times New Roman"/>
        </w:rPr>
        <w:t>s death. Other medical evidence indicated the accident did not cause his death.</w:t>
      </w:r>
    </w:p>
    <w:p w14:paraId="64E676B0"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78642230" w14:textId="51BE89A3"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Based on Dr. Davia</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testimony, the estate requested an instruction to the jury based on the </w:t>
      </w:r>
      <w:r w:rsidR="00B05F31">
        <w:rPr>
          <w:rFonts w:ascii="Times New Roman" w:eastAsia="Times New Roman" w:hAnsi="Times New Roman" w:cs="Times New Roman"/>
        </w:rPr>
        <w:t>“</w:t>
      </w:r>
      <w:r w:rsidRPr="750671CE">
        <w:rPr>
          <w:rFonts w:ascii="Times New Roman" w:eastAsia="Times New Roman" w:hAnsi="Times New Roman" w:cs="Times New Roman"/>
        </w:rPr>
        <w:t>eggshell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which requires the defendant to take his plaintiff as he finds him, even if that means that the defendant must compensate the plaintiff for harm an ordinary person would not have suffered. </w:t>
      </w:r>
      <w:r w:rsidR="00746162">
        <w:rPr>
          <w:rFonts w:ascii="Times New Roman" w:eastAsia="Times New Roman" w:hAnsi="Times New Roman" w:cs="Times New Roman"/>
        </w:rPr>
        <w:t>. . .</w:t>
      </w:r>
      <w:r w:rsidRPr="750671CE">
        <w:rPr>
          <w:rFonts w:ascii="Times New Roman" w:eastAsia="Times New Roman" w:hAnsi="Times New Roman" w:cs="Times New Roman"/>
        </w:rPr>
        <w:t xml:space="preserve"> The district court denied this request.</w:t>
      </w:r>
    </w:p>
    <w:p w14:paraId="34808CFD" w14:textId="77777777" w:rsidR="0019206E" w:rsidRPr="0052300D" w:rsidRDefault="0019206E" w:rsidP="0019206E">
      <w:pPr>
        <w:widowControl w:val="0"/>
        <w:autoSpaceDE w:val="0"/>
        <w:autoSpaceDN w:val="0"/>
        <w:adjustRightInd w:val="0"/>
        <w:rPr>
          <w:rFonts w:ascii="Times New Roman" w:hAnsi="Times New Roman" w:cs="Times New Roman"/>
        </w:rPr>
      </w:pPr>
    </w:p>
    <w:p w14:paraId="42ADA1FF" w14:textId="492D8005"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jury returned a verdict for the estate in the amount of $17,000 for Loras</w:t>
      </w:r>
      <w:r w:rsidR="00B05F31">
        <w:rPr>
          <w:rFonts w:ascii="Times New Roman" w:eastAsia="Times New Roman" w:hAnsi="Times New Roman" w:cs="Times New Roman"/>
        </w:rPr>
        <w:t>’</w:t>
      </w:r>
      <w:r w:rsidRPr="750671CE">
        <w:rPr>
          <w:rFonts w:ascii="Times New Roman" w:eastAsia="Times New Roman" w:hAnsi="Times New Roman" w:cs="Times New Roman"/>
        </w:rPr>
        <w:t>s injuries but nothing for his death. In the special verdict, the jury determined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 connection with the accident did not proximately cause Loras</w:t>
      </w:r>
      <w:r w:rsidR="00B05F31">
        <w:rPr>
          <w:rFonts w:ascii="Times New Roman" w:eastAsia="Times New Roman" w:hAnsi="Times New Roman" w:cs="Times New Roman"/>
        </w:rPr>
        <w:t>’</w:t>
      </w:r>
      <w:r w:rsidRPr="750671CE">
        <w:rPr>
          <w:rFonts w:ascii="Times New Roman" w:eastAsia="Times New Roman" w:hAnsi="Times New Roman" w:cs="Times New Roman"/>
        </w:rPr>
        <w:t>s death. . . .</w:t>
      </w:r>
    </w:p>
    <w:p w14:paraId="1A2C968B" w14:textId="77777777" w:rsidR="0019206E" w:rsidRPr="0052300D" w:rsidRDefault="0019206E" w:rsidP="0019206E">
      <w:pPr>
        <w:widowControl w:val="0"/>
        <w:autoSpaceDE w:val="0"/>
        <w:autoSpaceDN w:val="0"/>
        <w:adjustRightInd w:val="0"/>
        <w:rPr>
          <w:rFonts w:ascii="Times New Roman" w:hAnsi="Times New Roman" w:cs="Times New Roman"/>
        </w:rPr>
      </w:pPr>
    </w:p>
    <w:p w14:paraId="3B982358" w14:textId="7FE39540"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estate claims that the court erred in failing to include, in addition to its proximate cause instruction to the jury, a requested instruction on the eggshell plaintiff rule. Such an instruction would advise the jury that it could find that the accident aggravated Loras</w:t>
      </w:r>
      <w:r w:rsidR="00B05F31">
        <w:rPr>
          <w:rFonts w:ascii="Times New Roman" w:eastAsia="Times New Roman" w:hAnsi="Times New Roman" w:cs="Times New Roman"/>
        </w:rPr>
        <w:t>’</w:t>
      </w:r>
      <w:r w:rsidRPr="750671CE">
        <w:rPr>
          <w:rFonts w:ascii="Times New Roman" w:eastAsia="Times New Roman" w:hAnsi="Times New Roman" w:cs="Times New Roman"/>
        </w:rPr>
        <w:t>s heart condition and caused his fatal heart attack. . . .</w:t>
      </w:r>
    </w:p>
    <w:p w14:paraId="5690C06F" w14:textId="77777777" w:rsidR="0019206E" w:rsidRPr="0052300D" w:rsidRDefault="0019206E" w:rsidP="0019206E">
      <w:pPr>
        <w:widowControl w:val="0"/>
        <w:autoSpaceDE w:val="0"/>
        <w:autoSpaceDN w:val="0"/>
        <w:adjustRightInd w:val="0"/>
        <w:rPr>
          <w:rFonts w:ascii="Times New Roman" w:hAnsi="Times New Roman" w:cs="Times New Roman"/>
        </w:rPr>
      </w:pPr>
    </w:p>
    <w:p w14:paraId="0A333785" w14:textId="121B98AA"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A tortfeasor whose act, superimposed upon a prior latent condition, results in an injury may be liable in damages for the full disability. </w:t>
      </w:r>
      <w:r w:rsidR="00746162">
        <w:rPr>
          <w:rFonts w:ascii="Times New Roman" w:eastAsia="Times New Roman" w:hAnsi="Times New Roman" w:cs="Times New Roman"/>
        </w:rPr>
        <w:t>. . .</w:t>
      </w:r>
      <w:r w:rsidRPr="750671CE">
        <w:rPr>
          <w:rFonts w:ascii="Times New Roman" w:eastAsia="Times New Roman" w:hAnsi="Times New Roman" w:cs="Times New Roman"/>
        </w:rPr>
        <w:t xml:space="preserve"> This rule deems the injury, and not the dormant condition, the proximate cause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harm.</w:t>
      </w:r>
      <w:r w:rsidRPr="750671CE">
        <w:rPr>
          <w:rFonts w:ascii="Times New Roman" w:eastAsia="Times New Roman" w:hAnsi="Times New Roman" w:cs="Times New Roman"/>
          <w:i/>
          <w:iCs/>
        </w:rPr>
        <w:t xml:space="preserve"> </w:t>
      </w:r>
      <w:r w:rsidR="00746162">
        <w:rPr>
          <w:rFonts w:ascii="Times New Roman" w:eastAsia="Times New Roman" w:hAnsi="Times New Roman" w:cs="Times New Roman"/>
        </w:rPr>
        <w:t>. . .</w:t>
      </w:r>
      <w:r w:rsidRPr="750671CE">
        <w:rPr>
          <w:rFonts w:ascii="Times New Roman" w:eastAsia="Times New Roman" w:hAnsi="Times New Roman" w:cs="Times New Roman"/>
        </w:rPr>
        <w:t xml:space="preserve"> This precept is often referred to as the </w:t>
      </w:r>
      <w:r w:rsidR="00B05F31">
        <w:rPr>
          <w:rFonts w:ascii="Times New Roman" w:eastAsia="Times New Roman" w:hAnsi="Times New Roman" w:cs="Times New Roman"/>
        </w:rPr>
        <w:t>“</w:t>
      </w:r>
      <w:r w:rsidRPr="750671CE">
        <w:rPr>
          <w:rFonts w:ascii="Times New Roman" w:eastAsia="Times New Roman" w:hAnsi="Times New Roman" w:cs="Times New Roman"/>
        </w:rPr>
        <w:t>eggshell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which has its roots in cases such as </w:t>
      </w:r>
      <w:r w:rsidRPr="750671CE">
        <w:rPr>
          <w:rFonts w:ascii="Times New Roman" w:eastAsia="Times New Roman" w:hAnsi="Times New Roman" w:cs="Times New Roman"/>
          <w:i/>
          <w:iCs/>
        </w:rPr>
        <w:t>Dulieu v. White &amp; Sons,</w:t>
      </w:r>
      <w:r w:rsidRPr="750671CE">
        <w:rPr>
          <w:rFonts w:ascii="Times New Roman" w:eastAsia="Times New Roman" w:hAnsi="Times New Roman" w:cs="Times New Roman"/>
        </w:rPr>
        <w:t xml:space="preserve"> [1901] 2 K.B. 669, 679, where the court observed:</w:t>
      </w:r>
    </w:p>
    <w:p w14:paraId="69E5B0F2" w14:textId="77777777" w:rsidR="0019206E" w:rsidRPr="0052300D" w:rsidRDefault="0019206E" w:rsidP="0019206E">
      <w:pPr>
        <w:widowControl w:val="0"/>
        <w:autoSpaceDE w:val="0"/>
        <w:autoSpaceDN w:val="0"/>
        <w:adjustRightInd w:val="0"/>
        <w:rPr>
          <w:rFonts w:ascii="Times New Roman" w:hAnsi="Times New Roman" w:cs="Times New Roman"/>
        </w:rPr>
      </w:pPr>
    </w:p>
    <w:p w14:paraId="7B512469" w14:textId="77777777" w:rsidR="009B3AAF" w:rsidRDefault="750671CE" w:rsidP="00F94B7E">
      <w:pPr>
        <w:pStyle w:val="blockquote"/>
      </w:pPr>
      <w:r w:rsidRPr="750671CE">
        <w:t>If a man is negligently run over or otherwise negligently injured in his body, it is no answer to the sufferer</w:t>
      </w:r>
      <w:r w:rsidR="00B05F31">
        <w:t>’</w:t>
      </w:r>
      <w:r w:rsidRPr="750671CE">
        <w:t>s claim for damages that he would have suffered less injury, or no injury at all, if he had not had an unusually thin skull or an unusually weak heart.</w:t>
      </w:r>
    </w:p>
    <w:p w14:paraId="4F375298" w14:textId="77777777" w:rsidR="009B3AAF" w:rsidRDefault="009B3AAF" w:rsidP="00F94B7E">
      <w:pPr>
        <w:widowControl w:val="0"/>
        <w:autoSpaceDE w:val="0"/>
        <w:autoSpaceDN w:val="0"/>
        <w:adjustRightInd w:val="0"/>
        <w:rPr>
          <w:rFonts w:ascii="Times New Roman" w:eastAsia="Times New Roman" w:hAnsi="Times New Roman" w:cs="Times New Roman"/>
        </w:rPr>
      </w:pPr>
    </w:p>
    <w:p w14:paraId="2BC226A1" w14:textId="47BC6FF3" w:rsidR="0019206E" w:rsidRPr="0052300D" w:rsidRDefault="750671CE" w:rsidP="00F94B7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rPr>
        <w:t>. . .</w:t>
      </w:r>
    </w:p>
    <w:p w14:paraId="5250CBD9" w14:textId="77777777" w:rsidR="0019206E" w:rsidRPr="0052300D" w:rsidRDefault="0019206E" w:rsidP="0019206E">
      <w:pPr>
        <w:widowControl w:val="0"/>
        <w:autoSpaceDE w:val="0"/>
        <w:autoSpaceDN w:val="0"/>
        <w:adjustRightInd w:val="0"/>
        <w:rPr>
          <w:rFonts w:ascii="Times New Roman" w:hAnsi="Times New Roman" w:cs="Times New Roman"/>
        </w:rPr>
      </w:pPr>
    </w:p>
    <w:p w14:paraId="00A92A1D" w14:textId="231F8DFA"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eggshell plaintiff rule rejects the limit of foreseeability that courts ordinarily require in the determination of proximate cause.  </w:t>
      </w:r>
      <w:r w:rsidRPr="00F94B7E">
        <w:rPr>
          <w:rFonts w:ascii="Times New Roman" w:eastAsia="Times New Roman" w:hAnsi="Times New Roman" w:cs="Times New Roman"/>
          <w:iCs/>
          <w:smallCaps/>
        </w:rPr>
        <w:t>Prosser &amp; Keeton</w:t>
      </w:r>
      <w:r w:rsidRPr="00F94B7E">
        <w:rPr>
          <w:rFonts w:ascii="Times New Roman" w:eastAsia="Times New Roman" w:hAnsi="Times New Roman" w:cs="Times New Roman"/>
          <w:smallCaps/>
        </w:rPr>
        <w:t> </w:t>
      </w:r>
      <w:r w:rsidRPr="750671CE">
        <w:rPr>
          <w:rFonts w:ascii="Times New Roman" w:eastAsia="Times New Roman" w:hAnsi="Times New Roman" w:cs="Times New Roman"/>
        </w:rPr>
        <w:t>§ 43, at 291 (</w:t>
      </w:r>
      <w:r w:rsidR="00B05F31">
        <w:rPr>
          <w:rFonts w:ascii="Times New Roman" w:eastAsia="Times New Roman" w:hAnsi="Times New Roman" w:cs="Times New Roman"/>
        </w:rPr>
        <w:t>“</w:t>
      </w:r>
      <w:r w:rsidRPr="750671CE">
        <w:rPr>
          <w:rFonts w:ascii="Times New Roman" w:eastAsia="Times New Roman" w:hAnsi="Times New Roman" w:cs="Times New Roman"/>
        </w:rPr>
        <w:t>The defendant is held liable for unusual results of personal injuries which are regarded as unforeseeable.</w:t>
      </w:r>
      <w:r w:rsidR="00746162">
        <w:rPr>
          <w:rFonts w:ascii="Times New Roman" w:eastAsia="Times New Roman" w:hAnsi="Times New Roman" w:cs="Times New Roman"/>
        </w:rPr>
        <w:t xml:space="preserve"> </w:t>
      </w:r>
      <w:r w:rsidRPr="750671CE">
        <w:rPr>
          <w:rFonts w:ascii="Times New Roman" w:eastAsia="Times New Roman" w:hAnsi="Times New Roman" w:cs="Times New Roman"/>
        </w:rPr>
        <w:t>.</w:t>
      </w:r>
      <w:r w:rsidR="00746162">
        <w:rPr>
          <w:rFonts w:ascii="Times New Roman" w:eastAsia="Times New Roman" w:hAnsi="Times New Roman" w:cs="Times New Roman"/>
        </w:rPr>
        <w:t xml:space="preserve"> </w:t>
      </w:r>
      <w:r w:rsidRPr="750671CE">
        <w:rPr>
          <w:rFonts w:ascii="Times New Roman" w:eastAsia="Times New Roman" w:hAnsi="Times New Roman" w:cs="Times New Roman"/>
        </w:rPr>
        <w:t>.</w:t>
      </w:r>
      <w:r w:rsidR="00746162">
        <w:rPr>
          <w:rFonts w:ascii="Times New Roman" w:eastAsia="Times New Roman" w:hAnsi="Times New Roman" w:cs="Times New Roman"/>
        </w:rPr>
        <w:t xml:space="preserve"> </w:t>
      </w:r>
      <w:r w:rsidRPr="750671CE">
        <w:rPr>
          <w:rFonts w:ascii="Times New Roman" w:eastAsia="Times New Roman" w:hAnsi="Times New Roman" w:cs="Times New Roman"/>
        </w:rPr>
        <w:t>.</w:t>
      </w:r>
      <w:r w:rsidR="00B05F31">
        <w:rPr>
          <w:rFonts w:ascii="Times New Roman" w:eastAsia="Times New Roman" w:hAnsi="Times New Roman" w:cs="Times New Roman"/>
        </w:rPr>
        <w:t>”</w:t>
      </w:r>
      <w:r w:rsidRPr="750671CE">
        <w:rPr>
          <w:rFonts w:ascii="Times New Roman" w:eastAsia="Times New Roman" w:hAnsi="Times New Roman" w:cs="Times New Roman"/>
        </w:rPr>
        <w:t>). Once the plaintiff establishes that the defendant caused some injury to the plaintiff, the rule imposes liability for</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 xml:space="preserve">the full extent of those injuries, not merely those that were foreseeable to the defendant. </w:t>
      </w:r>
      <w:r w:rsidRPr="00F94B7E">
        <w:rPr>
          <w:rFonts w:ascii="Times New Roman" w:eastAsia="Times New Roman" w:hAnsi="Times New Roman" w:cs="Times New Roman"/>
          <w:smallCaps/>
        </w:rPr>
        <w:t>Restatement (Second) of Torts</w:t>
      </w:r>
      <w:r w:rsidRPr="750671CE">
        <w:rPr>
          <w:rFonts w:ascii="Times New Roman" w:eastAsia="Times New Roman" w:hAnsi="Times New Roman" w:cs="Times New Roman"/>
        </w:rPr>
        <w:t xml:space="preserve"> § 461 (1965) (</w:t>
      </w:r>
      <w:r w:rsidR="00B05F31">
        <w:rPr>
          <w:rFonts w:ascii="Times New Roman" w:eastAsia="Times New Roman" w:hAnsi="Times New Roman" w:cs="Times New Roman"/>
        </w:rPr>
        <w:t>“</w:t>
      </w:r>
      <w:r w:rsidRPr="750671CE">
        <w:rPr>
          <w:rFonts w:ascii="Times New Roman" w:eastAsia="Times New Roman" w:hAnsi="Times New Roman" w:cs="Times New Roman"/>
        </w:rPr>
        <w:t>The negligent actor is subject to liability for harm to another although a physical condition of the other . . . makes the injury greater than that which the actor as a reasonable man should have foreseen as a probable result of his conduct.</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74C14BAF" w14:textId="77777777" w:rsidR="0019206E" w:rsidRPr="0052300D" w:rsidRDefault="0019206E" w:rsidP="0019206E">
      <w:pPr>
        <w:widowControl w:val="0"/>
        <w:autoSpaceDE w:val="0"/>
        <w:autoSpaceDN w:val="0"/>
        <w:adjustRightInd w:val="0"/>
        <w:rPr>
          <w:rFonts w:ascii="Times New Roman" w:hAnsi="Times New Roman" w:cs="Times New Roman"/>
        </w:rPr>
      </w:pPr>
    </w:p>
    <w:p w14:paraId="36817EC6"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court reversed the judgment of the trial court and remanded the case for a new trial.]</w:t>
      </w:r>
    </w:p>
    <w:p w14:paraId="20E93D3C" w14:textId="77777777" w:rsidR="0019206E" w:rsidRPr="0052300D" w:rsidRDefault="0019206E" w:rsidP="0019206E">
      <w:pPr>
        <w:rPr>
          <w:rFonts w:ascii="Times New Roman" w:hAnsi="Times New Roman" w:cs="Times New Roman"/>
        </w:rPr>
      </w:pPr>
      <w:r w:rsidRPr="0052300D" w:rsidDel="00142441">
        <w:rPr>
          <w:rFonts w:ascii="Times New Roman" w:hAnsi="Times New Roman" w:cs="Times New Roman"/>
        </w:rPr>
        <w:t xml:space="preserve"> </w:t>
      </w:r>
    </w:p>
    <w:p w14:paraId="2EDEEF54" w14:textId="77777777" w:rsidR="0019206E" w:rsidRDefault="0019206E" w:rsidP="0019206E">
      <w:pPr>
        <w:rPr>
          <w:rFonts w:ascii="Times New Roman" w:hAnsi="Times New Roman" w:cs="Times New Roman"/>
        </w:rPr>
      </w:pPr>
    </w:p>
    <w:p w14:paraId="5135CCF9" w14:textId="77777777" w:rsidR="00C04514" w:rsidRDefault="00C04514" w:rsidP="0019206E">
      <w:pPr>
        <w:rPr>
          <w:rFonts w:ascii="Times New Roman" w:hAnsi="Times New Roman" w:cs="Times New Roman"/>
        </w:rPr>
      </w:pPr>
    </w:p>
    <w:p w14:paraId="39903CC3" w14:textId="77777777" w:rsidR="0019206E" w:rsidRPr="0052300D" w:rsidRDefault="0019206E" w:rsidP="002502CC">
      <w:pPr>
        <w:pStyle w:val="Heading4"/>
      </w:pPr>
      <w:bookmarkStart w:id="683" w:name="_Toc364636187"/>
      <w:bookmarkStart w:id="684" w:name="_Toc518323417"/>
      <w:r w:rsidRPr="0052300D">
        <w:t>Notes</w:t>
      </w:r>
      <w:bookmarkEnd w:id="683"/>
      <w:bookmarkEnd w:id="684"/>
    </w:p>
    <w:p w14:paraId="6D77D71C" w14:textId="77777777" w:rsidR="0019206E" w:rsidRDefault="0019206E" w:rsidP="0019206E">
      <w:pPr>
        <w:rPr>
          <w:rFonts w:ascii="Times New Roman" w:hAnsi="Times New Roman" w:cs="Times New Roman"/>
        </w:rPr>
      </w:pPr>
    </w:p>
    <w:p w14:paraId="54E0DAC6" w14:textId="77777777" w:rsidR="00C04514" w:rsidRPr="0052300D" w:rsidRDefault="00C04514" w:rsidP="0019206E">
      <w:pPr>
        <w:rPr>
          <w:rFonts w:ascii="Times New Roman" w:hAnsi="Times New Roman" w:cs="Times New Roman"/>
        </w:rPr>
      </w:pPr>
    </w:p>
    <w:p w14:paraId="298437F2" w14:textId="1D051D2D" w:rsidR="0019206E" w:rsidRPr="00F94B7E" w:rsidRDefault="750671CE" w:rsidP="00F94B7E">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Eggshell skulls.</w:t>
      </w:r>
      <w:r w:rsidRPr="00F94B7E">
        <w:rPr>
          <w:rFonts w:ascii="Times New Roman" w:eastAsia="Times New Roman" w:hAnsi="Times New Roman" w:cs="Times New Roman"/>
        </w:rPr>
        <w:t xml:space="preserve">  Why not treat Mr. Benn like the plaintiff in </w:t>
      </w:r>
      <w:r w:rsidRPr="00F94B7E">
        <w:rPr>
          <w:rFonts w:ascii="Times New Roman" w:eastAsia="Times New Roman" w:hAnsi="Times New Roman" w:cs="Times New Roman"/>
          <w:i/>
          <w:iCs/>
        </w:rPr>
        <w:t>Ryan</w:t>
      </w:r>
      <w:r w:rsidRPr="00F94B7E">
        <w:rPr>
          <w:rFonts w:ascii="Times New Roman" w:eastAsia="Times New Roman" w:hAnsi="Times New Roman" w:cs="Times New Roman"/>
        </w:rPr>
        <w:t xml:space="preserve">?  There are strong arguments for doing so. Among other things, note that the so-called </w:t>
      </w:r>
      <w:r w:rsidR="00B05F31">
        <w:rPr>
          <w:rFonts w:ascii="Times New Roman" w:eastAsia="Times New Roman" w:hAnsi="Times New Roman" w:cs="Times New Roman"/>
        </w:rPr>
        <w:t>“</w:t>
      </w:r>
      <w:r w:rsidRPr="00F94B7E">
        <w:rPr>
          <w:rFonts w:ascii="Times New Roman" w:eastAsia="Times New Roman" w:hAnsi="Times New Roman" w:cs="Times New Roman"/>
        </w:rPr>
        <w:t>eggshell plaintiff</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rule, which holds that the defendant takes the plaintiff as she finds him, means that unforeseeably valuable limbs or lives will produce unexpectedly large damages.  Driving negligently in such a way as to break tennis champion Venus Williams</w:t>
      </w:r>
      <w:r w:rsidR="00B05F31">
        <w:rPr>
          <w:rFonts w:ascii="Times New Roman" w:eastAsia="Times New Roman" w:hAnsi="Times New Roman" w:cs="Times New Roman"/>
        </w:rPr>
        <w:t>’</w:t>
      </w:r>
      <w:r w:rsidRPr="00F94B7E">
        <w:rPr>
          <w:rFonts w:ascii="Times New Roman" w:eastAsia="Times New Roman" w:hAnsi="Times New Roman" w:cs="Times New Roman"/>
        </w:rPr>
        <w:t>s right arm, or to injure one of virtuoso cellist Yo Yo Ma</w:t>
      </w:r>
      <w:r w:rsidR="00B05F31">
        <w:rPr>
          <w:rFonts w:ascii="Times New Roman" w:eastAsia="Times New Roman" w:hAnsi="Times New Roman" w:cs="Times New Roman"/>
        </w:rPr>
        <w:t>’</w:t>
      </w:r>
      <w:r w:rsidRPr="00F94B7E">
        <w:rPr>
          <w:rFonts w:ascii="Times New Roman" w:eastAsia="Times New Roman" w:hAnsi="Times New Roman" w:cs="Times New Roman"/>
        </w:rPr>
        <w:t>s hands, for example, will produce far greater damages than, say, running into law professor John Witt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shoulder.  But the rule of </w:t>
      </w:r>
      <w:r w:rsidRPr="00F94B7E">
        <w:rPr>
          <w:rFonts w:ascii="Times New Roman" w:eastAsia="Times New Roman" w:hAnsi="Times New Roman" w:cs="Times New Roman"/>
          <w:i/>
          <w:iCs/>
        </w:rPr>
        <w:t>Benn v. Thomas</w:t>
      </w:r>
      <w:r w:rsidRPr="00F94B7E">
        <w:rPr>
          <w:rFonts w:ascii="Times New Roman" w:eastAsia="Times New Roman" w:hAnsi="Times New Roman" w:cs="Times New Roman"/>
        </w:rPr>
        <w:t xml:space="preserve"> holds the defendant liable for the damages to the plaintiff the defendant happens to find</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even if there was no notice of the special risks in question.  Should people with special vulnerabilities be required to insure themselves against losses</w:t>
      </w:r>
      <w:r w:rsidR="00712FB9">
        <w:rPr>
          <w:rFonts w:ascii="Times New Roman" w:eastAsia="Times New Roman" w:hAnsi="Times New Roman" w:cs="Times New Roman"/>
        </w:rPr>
        <w:sym w:font="Symbol" w:char="F0BE"/>
      </w:r>
      <w:r w:rsidRPr="00F94B7E">
        <w:rPr>
          <w:rFonts w:ascii="Times New Roman" w:eastAsia="Times New Roman" w:hAnsi="Times New Roman" w:cs="Times New Roman"/>
        </w:rPr>
        <w:t>or perhaps to take special precautions against those losses?  Should it matter if the unusual vulnerability is the result of an unusually valuable asset (Williams</w:t>
      </w:r>
      <w:r w:rsidR="00B05F31">
        <w:rPr>
          <w:rFonts w:ascii="Times New Roman" w:eastAsia="Times New Roman" w:hAnsi="Times New Roman" w:cs="Times New Roman"/>
        </w:rPr>
        <w:t>’</w:t>
      </w:r>
      <w:r w:rsidRPr="00F94B7E">
        <w:rPr>
          <w:rFonts w:ascii="Times New Roman" w:eastAsia="Times New Roman" w:hAnsi="Times New Roman" w:cs="Times New Roman"/>
        </w:rPr>
        <w:t>s arm, Ma</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hand, etc.) as opposed to an unusual liability like an eggshell skull? </w:t>
      </w:r>
    </w:p>
    <w:p w14:paraId="5063129C" w14:textId="77777777" w:rsidR="0019206E" w:rsidRDefault="0019206E" w:rsidP="0019206E">
      <w:pPr>
        <w:rPr>
          <w:rFonts w:ascii="Times New Roman" w:hAnsi="Times New Roman" w:cs="Times New Roman"/>
        </w:rPr>
      </w:pPr>
      <w:r w:rsidRPr="0052300D">
        <w:rPr>
          <w:rFonts w:ascii="Times New Roman" w:hAnsi="Times New Roman" w:cs="Times New Roman"/>
        </w:rPr>
        <w:t xml:space="preserve"> </w:t>
      </w:r>
    </w:p>
    <w:p w14:paraId="03CDC065"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Arguments in favor of the eggshell plaintiff rule do exist.  Consider what would happen if the law put the burden of unexpected harm on plaintiffs like Mr. Benn, rather than on 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Default="0019206E" w:rsidP="0019206E">
      <w:pPr>
        <w:rPr>
          <w:rFonts w:ascii="Times New Roman" w:hAnsi="Times New Roman" w:cs="Times New Roman"/>
        </w:rPr>
      </w:pPr>
    </w:p>
    <w:p w14:paraId="3814CEBE" w14:textId="77777777" w:rsidR="0019206E" w:rsidRPr="0052300D" w:rsidRDefault="0019206E" w:rsidP="0019206E">
      <w:pPr>
        <w:rPr>
          <w:rFonts w:ascii="Times New Roman" w:hAnsi="Times New Roman" w:cs="Times New Roman"/>
        </w:rPr>
      </w:pPr>
    </w:p>
    <w:p w14:paraId="114C2F02" w14:textId="07639756" w:rsidR="0019206E" w:rsidRPr="00F94B7E" w:rsidRDefault="750671CE" w:rsidP="00F94B7E">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Whence the vulnerability?</w:t>
      </w:r>
      <w:r w:rsidRPr="00F94B7E">
        <w:rPr>
          <w:rFonts w:ascii="Times New Roman" w:eastAsia="Times New Roman" w:hAnsi="Times New Roman" w:cs="Times New Roman"/>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Default="0019206E" w:rsidP="0019206E">
      <w:pPr>
        <w:rPr>
          <w:rFonts w:ascii="Times New Roman" w:hAnsi="Times New Roman" w:cs="Times New Roman"/>
        </w:rPr>
      </w:pPr>
    </w:p>
    <w:p w14:paraId="453CB66E" w14:textId="77777777" w:rsidR="0019206E" w:rsidRPr="0052300D" w:rsidRDefault="0019206E" w:rsidP="0019206E">
      <w:pPr>
        <w:rPr>
          <w:rFonts w:ascii="Times New Roman" w:hAnsi="Times New Roman" w:cs="Times New Roman"/>
        </w:rPr>
      </w:pPr>
    </w:p>
    <w:p w14:paraId="452F608B" w14:textId="024F7C54" w:rsidR="0019206E" w:rsidRPr="00F94B7E" w:rsidRDefault="750671CE" w:rsidP="00F94B7E">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bounds of eggshell liability.</w:t>
      </w:r>
      <w:r w:rsidRPr="00F94B7E">
        <w:rPr>
          <w:rFonts w:ascii="Times New Roman" w:eastAsia="Times New Roman" w:hAnsi="Times New Roman" w:cs="Times New Roman"/>
        </w:rPr>
        <w:t xml:space="preserve">  How far in time does the eggshell skull plaintiff rule extend? In </w:t>
      </w:r>
      <w:r w:rsidRPr="00F94B7E">
        <w:rPr>
          <w:rFonts w:ascii="Times New Roman" w:eastAsia="Times New Roman" w:hAnsi="Times New Roman" w:cs="Times New Roman"/>
          <w:i/>
          <w:iCs/>
        </w:rPr>
        <w:t>Hannebaum v. Direnzo &amp; Bomie</w:t>
      </w:r>
      <w:r w:rsidRPr="00F94B7E">
        <w:rPr>
          <w:rFonts w:ascii="Times New Roman" w:eastAsia="Times New Roman" w:hAnsi="Times New Roman" w:cs="Times New Roman"/>
        </w:rPr>
        <w:t>r, a woman slipped and fell in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F94B7E">
        <w:rPr>
          <w:rFonts w:ascii="Times New Roman" w:eastAsia="Times New Roman" w:hAnsi="Times New Roman" w:cs="Times New Roman"/>
          <w:i/>
          <w:iCs/>
        </w:rPr>
        <w:t>Hannebaum v. Direnzo &amp; Bomier</w:t>
      </w:r>
      <w:r w:rsidRPr="00F94B7E">
        <w:rPr>
          <w:rFonts w:ascii="Times New Roman" w:eastAsia="Times New Roman" w:hAnsi="Times New Roman" w:cs="Times New Roman"/>
        </w:rPr>
        <w:t xml:space="preserve">, 162 Wis. 2d 488, 493 (Ct. App. 1991). Is there a time lag so large that such cases should not go to the jury? Is it four years, fourteen years, or forty years? </w:t>
      </w:r>
    </w:p>
    <w:p w14:paraId="45979262" w14:textId="77777777" w:rsidR="0019206E" w:rsidRDefault="0019206E" w:rsidP="0019206E">
      <w:pPr>
        <w:rPr>
          <w:rFonts w:ascii="Times New Roman" w:hAnsi="Times New Roman" w:cs="Times New Roman"/>
        </w:rPr>
      </w:pPr>
    </w:p>
    <w:p w14:paraId="62D783EE" w14:textId="77777777" w:rsidR="0019206E" w:rsidRPr="0052300D" w:rsidRDefault="0019206E" w:rsidP="0019206E">
      <w:pPr>
        <w:rPr>
          <w:rFonts w:ascii="Times New Roman" w:hAnsi="Times New Roman" w:cs="Times New Roman"/>
        </w:rPr>
      </w:pPr>
    </w:p>
    <w:p w14:paraId="00ED227F" w14:textId="3715C3FC" w:rsidR="0019206E" w:rsidRPr="00F94B7E" w:rsidRDefault="750671CE" w:rsidP="00F94B7E">
      <w:pPr>
        <w:pStyle w:val="ListParagraph"/>
        <w:numPr>
          <w:ilvl w:val="0"/>
          <w:numId w:val="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Eggshell property?  </w:t>
      </w:r>
      <w:r w:rsidRPr="00F94B7E">
        <w:rPr>
          <w:rFonts w:ascii="Times New Roman" w:eastAsia="Times New Roman" w:hAnsi="Times New Roman" w:cs="Times New Roman"/>
        </w:rPr>
        <w:t xml:space="preserve">Should the eggshell rule apply to property damage as well as personal injury cases?  On the one hand, the logic of the personal injury cases might be said to apply.   Just as defendants get the benefit of unforeseeably sturdy properties, we might conclude that they ought to be required to pay full damages for unforeseeably delicate properties. On the other hand, plaintiffs may be more able to cure the underlying vulnerability in their property than in their person, so the eggshell rule may shift costs away from the lowest cost avoider.  (Though note that the same might be said for Williams and Ma!)  </w:t>
      </w:r>
    </w:p>
    <w:p w14:paraId="24511E3B" w14:textId="77777777" w:rsidR="0019206E" w:rsidRPr="0052300D" w:rsidRDefault="0019206E" w:rsidP="0019206E">
      <w:pPr>
        <w:rPr>
          <w:rFonts w:ascii="Times New Roman" w:hAnsi="Times New Roman" w:cs="Times New Roman"/>
        </w:rPr>
      </w:pPr>
    </w:p>
    <w:p w14:paraId="57018AD6" w14:textId="0F19A30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U.S., the eggshell skull rule seems to be limited to personal injury cases.  It is a rule for bodies.  The Supreme Court of New South Wales in Australia, however, has deliberately applied the eggshell rule to property, holding </w:t>
      </w:r>
      <w:r w:rsidR="00B05F31">
        <w:rPr>
          <w:rFonts w:ascii="Times New Roman" w:eastAsia="Times New Roman" w:hAnsi="Times New Roman" w:cs="Times New Roman"/>
        </w:rPr>
        <w:t>“</w:t>
      </w:r>
      <w:r w:rsidRPr="750671CE">
        <w:rPr>
          <w:rFonts w:ascii="Times New Roman" w:eastAsia="Times New Roman" w:hAnsi="Times New Roman" w:cs="Times New Roman"/>
        </w:rPr>
        <w:t>there is no justification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distinguishing between personal injury and property damage and any such distinction would generate </w:t>
      </w:r>
      <w:r w:rsidR="00B05F31">
        <w:rPr>
          <w:rFonts w:ascii="Times New Roman" w:eastAsia="Times New Roman" w:hAnsi="Times New Roman" w:cs="Times New Roman"/>
        </w:rPr>
        <w:t>“</w:t>
      </w:r>
      <w:r w:rsidRPr="750671CE">
        <w:rPr>
          <w:rFonts w:ascii="Times New Roman" w:eastAsia="Times New Roman" w:hAnsi="Times New Roman" w:cs="Times New Roman"/>
        </w:rPr>
        <w:t>immense practical difficulty.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McColl v Dionisatos</w:t>
      </w:r>
      <w:r w:rsidRPr="750671CE">
        <w:rPr>
          <w:rFonts w:ascii="Times New Roman" w:eastAsia="Times New Roman" w:hAnsi="Times New Roman" w:cs="Times New Roman"/>
        </w:rPr>
        <w:t xml:space="preserve">, [2002] NSWSC 276.  </w:t>
      </w:r>
    </w:p>
    <w:p w14:paraId="71380B12" w14:textId="77777777" w:rsidR="0019206E" w:rsidRPr="0052300D" w:rsidRDefault="0019206E" w:rsidP="0019206E">
      <w:pPr>
        <w:ind w:firstLine="720"/>
        <w:rPr>
          <w:rFonts w:ascii="Times New Roman" w:hAnsi="Times New Roman" w:cs="Times New Roman"/>
        </w:rPr>
      </w:pPr>
    </w:p>
    <w:p w14:paraId="0E0D9319" w14:textId="747BCD0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If </w:t>
      </w:r>
      <w:r w:rsidRPr="750671CE">
        <w:rPr>
          <w:rFonts w:ascii="Times New Roman" w:eastAsia="Times New Roman" w:hAnsi="Times New Roman" w:cs="Times New Roman"/>
          <w:i/>
          <w:iCs/>
        </w:rPr>
        <w:t>McColl</w:t>
      </w:r>
      <w:r w:rsidRPr="750671CE">
        <w:rPr>
          <w:rFonts w:ascii="Times New Roman" w:eastAsia="Times New Roman" w:hAnsi="Times New Roman" w:cs="Times New Roman"/>
        </w:rPr>
        <w:t xml:space="preserve"> is correctly decided, then isn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 the next case simply an eggshell property case? </w:t>
      </w:r>
    </w:p>
    <w:p w14:paraId="39D0ECBD" w14:textId="77777777" w:rsidR="0019206E" w:rsidRPr="0052300D" w:rsidRDefault="0019206E" w:rsidP="0019206E">
      <w:pPr>
        <w:rPr>
          <w:rFonts w:ascii="Times New Roman" w:hAnsi="Times New Roman" w:cs="Times New Roman"/>
        </w:rPr>
      </w:pPr>
    </w:p>
    <w:p w14:paraId="1F16F384" w14:textId="77777777" w:rsidR="0019206E" w:rsidRPr="0052300D" w:rsidRDefault="0019206E" w:rsidP="0019206E">
      <w:pPr>
        <w:rPr>
          <w:rFonts w:ascii="Times New Roman" w:hAnsi="Times New Roman" w:cs="Times New Roman"/>
        </w:rPr>
      </w:pPr>
    </w:p>
    <w:p w14:paraId="4E88D529" w14:textId="77777777" w:rsidR="0019206E" w:rsidRPr="0052300D" w:rsidRDefault="0019206E" w:rsidP="750671CE">
      <w:pPr>
        <w:rPr>
          <w:rFonts w:ascii="Times New Roman" w:eastAsia="Times New Roman" w:hAnsi="Times New Roman" w:cs="Times New Roman"/>
          <w:b/>
          <w:bCs/>
        </w:rPr>
      </w:pPr>
      <w:bookmarkStart w:id="685" w:name="_Toc518323418"/>
      <w:r w:rsidRPr="00634D66">
        <w:rPr>
          <w:rStyle w:val="Heading3Char"/>
          <w:i/>
        </w:rPr>
        <w:t>In re Polemis</w:t>
      </w:r>
      <w:bookmarkEnd w:id="685"/>
      <w:r w:rsidRPr="750671CE">
        <w:rPr>
          <w:rFonts w:ascii="Times New Roman" w:eastAsia="Times New Roman" w:hAnsi="Times New Roman" w:cs="Times New Roman"/>
          <w:b/>
          <w:bCs/>
        </w:rPr>
        <w:t>, 3. K.B. 560 (1921)</w:t>
      </w:r>
    </w:p>
    <w:p w14:paraId="7266674C" w14:textId="77777777" w:rsidR="0019206E" w:rsidRPr="0052300D" w:rsidRDefault="0019206E" w:rsidP="0019206E">
      <w:pPr>
        <w:rPr>
          <w:rFonts w:ascii="Times New Roman" w:hAnsi="Times New Roman" w:cs="Times New Roman"/>
        </w:rPr>
      </w:pPr>
    </w:p>
    <w:p w14:paraId="5D95D3E8" w14:textId="24CAB6F4"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[Plaintiffs, the owners of a ship, chartered a ship to defendants, the charterers, by contract. The contract stated that the charterers would not be liable for damages caused by </w:t>
      </w:r>
      <w:r w:rsidR="00B05F31">
        <w:rPr>
          <w:rFonts w:ascii="Times New Roman" w:eastAsia="Times New Roman" w:hAnsi="Times New Roman" w:cs="Times New Roman"/>
        </w:rPr>
        <w:t>“</w:t>
      </w:r>
      <w:r w:rsidRPr="750671CE">
        <w:rPr>
          <w:rFonts w:ascii="Times New Roman" w:eastAsia="Times New Roman" w:hAnsi="Times New Roman" w:cs="Times New Roman"/>
        </w:rPr>
        <w:t>[an] act of God, the King</w:t>
      </w:r>
      <w:r w:rsidR="00B05F31">
        <w:rPr>
          <w:rFonts w:ascii="Times New Roman" w:eastAsia="Times New Roman" w:hAnsi="Times New Roman" w:cs="Times New Roman"/>
        </w:rPr>
        <w:t>’</w:t>
      </w:r>
      <w:r w:rsidRPr="750671CE">
        <w:rPr>
          <w:rFonts w:ascii="Times New Roman" w:eastAsia="Times New Roman" w:hAnsi="Times New Roman" w:cs="Times New Roman"/>
        </w:rPr>
        <w:t>s enemies, [or] loss or damage from fire on board in hulk of craft, or on shore . . .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7777777" w:rsidR="00C04514" w:rsidRPr="0052300D" w:rsidRDefault="00C04514" w:rsidP="00C04514">
      <w:pPr>
        <w:rPr>
          <w:rFonts w:ascii="Times New Roman" w:hAnsi="Times New Roman" w:cs="Times New Roman"/>
        </w:rPr>
      </w:pPr>
    </w:p>
    <w:p w14:paraId="120A7EA0" w14:textId="77777777" w:rsidR="0019206E" w:rsidRPr="0052300D" w:rsidRDefault="750671CE" w:rsidP="00F94B7E">
      <w:pPr>
        <w:rPr>
          <w:rFonts w:ascii="Times New Roman" w:eastAsia="Times New Roman" w:hAnsi="Times New Roman" w:cs="Times New Roman"/>
        </w:rPr>
      </w:pPr>
      <w:r w:rsidRPr="750671CE">
        <w:rPr>
          <w:rFonts w:ascii="Times New Roman" w:eastAsia="Times New Roman" w:hAnsi="Times New Roman" w:cs="Times New Roman"/>
        </w:rPr>
        <w:t>B</w:t>
      </w:r>
      <w:r w:rsidRPr="750671CE">
        <w:rPr>
          <w:rFonts w:ascii="Times New Roman" w:eastAsia="Times New Roman" w:hAnsi="Times New Roman" w:cs="Times New Roman"/>
          <w:smallCaps/>
        </w:rPr>
        <w:t>ankes</w:t>
      </w:r>
      <w:r w:rsidRPr="750671CE">
        <w:rPr>
          <w:rFonts w:ascii="Times New Roman" w:eastAsia="Times New Roman" w:hAnsi="Times New Roman" w:cs="Times New Roman"/>
        </w:rPr>
        <w:t>, L.J.</w:t>
      </w:r>
    </w:p>
    <w:p w14:paraId="37A87D58" w14:textId="77777777" w:rsidR="0019206E" w:rsidRPr="0052300D" w:rsidRDefault="0019206E" w:rsidP="0019206E">
      <w:pPr>
        <w:rPr>
          <w:rFonts w:ascii="Times New Roman" w:hAnsi="Times New Roman" w:cs="Times New Roman"/>
        </w:rPr>
      </w:pPr>
    </w:p>
    <w:p w14:paraId="55DD5BCE" w14:textId="71C4AD6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present case the arbitrators have found as a fact that the falling of the plank was due to the negligence of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52300D" w:rsidRDefault="0019206E" w:rsidP="0019206E">
      <w:pPr>
        <w:rPr>
          <w:rFonts w:ascii="Times New Roman" w:hAnsi="Times New Roman" w:cs="Times New Roman"/>
        </w:rPr>
      </w:pPr>
    </w:p>
    <w:p w14:paraId="337687F8" w14:textId="28ACE2DB"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other point relied upon by the appellants was that the damage having been caused by fire they were protected by clause 21 of the charterparty [governing loss by fire]. To this it was replied that the clause had no application in the case of a fire caused by the negligence of the charterers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52300D" w:rsidRDefault="0019206E" w:rsidP="0019206E">
      <w:pPr>
        <w:rPr>
          <w:rFonts w:ascii="Times New Roman" w:hAnsi="Times New Roman" w:cs="Times New Roman"/>
        </w:rPr>
      </w:pPr>
    </w:p>
    <w:p w14:paraId="09CE0C6A"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For these reasons I think that the appeal fails, and must be dismissed with costs.</w:t>
      </w:r>
    </w:p>
    <w:p w14:paraId="44AB7632" w14:textId="77777777" w:rsidR="00C04514" w:rsidRDefault="00C04514" w:rsidP="00F94B7E">
      <w:pPr>
        <w:rPr>
          <w:rFonts w:ascii="Times New Roman" w:eastAsia="Times New Roman" w:hAnsi="Times New Roman" w:cs="Times New Roman"/>
          <w:smallCaps/>
        </w:rPr>
      </w:pPr>
    </w:p>
    <w:p w14:paraId="40BF065D" w14:textId="590C5F2E" w:rsidR="0019206E" w:rsidRPr="0052300D" w:rsidRDefault="750671CE" w:rsidP="00F94B7E">
      <w:pPr>
        <w:rPr>
          <w:rFonts w:ascii="Times New Roman" w:eastAsia="Times New Roman" w:hAnsi="Times New Roman" w:cs="Times New Roman"/>
        </w:rPr>
      </w:pPr>
      <w:r w:rsidRPr="750671CE">
        <w:rPr>
          <w:rFonts w:ascii="Times New Roman" w:eastAsia="Times New Roman" w:hAnsi="Times New Roman" w:cs="Times New Roman"/>
          <w:smallCaps/>
        </w:rPr>
        <w:t>Warrington</w:t>
      </w:r>
      <w:r w:rsidR="00712FB9">
        <w:rPr>
          <w:rFonts w:ascii="Times New Roman" w:eastAsia="Times New Roman" w:hAnsi="Times New Roman" w:cs="Times New Roman"/>
          <w:smallCaps/>
        </w:rPr>
        <w:t>,</w:t>
      </w:r>
      <w:r w:rsidRPr="750671CE">
        <w:rPr>
          <w:rFonts w:ascii="Times New Roman" w:eastAsia="Times New Roman" w:hAnsi="Times New Roman" w:cs="Times New Roman"/>
        </w:rPr>
        <w:t xml:space="preserve"> L.J.</w:t>
      </w:r>
    </w:p>
    <w:p w14:paraId="7B63FF0A" w14:textId="77777777" w:rsidR="0019206E" w:rsidRPr="0052300D" w:rsidRDefault="0019206E" w:rsidP="0019206E">
      <w:pPr>
        <w:rPr>
          <w:rFonts w:ascii="Times New Roman" w:hAnsi="Times New Roman" w:cs="Times New Roman"/>
        </w:rPr>
      </w:pPr>
    </w:p>
    <w:p w14:paraId="463C19FE" w14:textId="3099CBC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is contended that </w:t>
      </w:r>
      <w:r w:rsidR="00B05F31">
        <w:rPr>
          <w:rFonts w:ascii="Times New Roman" w:eastAsia="Times New Roman" w:hAnsi="Times New Roman" w:cs="Times New Roman"/>
        </w:rPr>
        <w:t>“</w:t>
      </w:r>
      <w:r w:rsidRPr="750671CE">
        <w:rPr>
          <w:rFonts w:ascii="Times New Roman" w:eastAsia="Times New Roman" w:hAnsi="Times New Roman" w:cs="Times New Roman"/>
        </w:rPr>
        <w:t>a person guilty of negligence is not responsible in respect of mischief which could by no possibility have been foreseen and which no reasonable person would have anticipated.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w:t>
      </w:r>
    </w:p>
    <w:p w14:paraId="0ABE0CC1" w14:textId="77777777" w:rsidR="0019206E" w:rsidRPr="0052300D" w:rsidRDefault="0019206E" w:rsidP="0019206E">
      <w:pPr>
        <w:rPr>
          <w:rFonts w:ascii="Times New Roman" w:hAnsi="Times New Roman" w:cs="Times New Roman"/>
        </w:rPr>
      </w:pPr>
    </w:p>
    <w:p w14:paraId="37FBF5AC" w14:textId="186860DF"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rPr>
          <w:rFonts w:ascii="Times New Roman" w:eastAsia="Times New Roman" w:hAnsi="Times New Roman" w:cs="Times New Roman"/>
        </w:rPr>
        <w:t xml:space="preserve">. </w:t>
      </w:r>
      <w:r w:rsidRPr="750671CE">
        <w:rPr>
          <w:rFonts w:ascii="Times New Roman" w:eastAsia="Times New Roman" w:hAnsi="Times New Roman" w:cs="Times New Roman"/>
        </w:rPr>
        <w:t>On the whole in my opinion the appeal fails and must be dismissed with costs.</w:t>
      </w:r>
    </w:p>
    <w:p w14:paraId="00E234CF" w14:textId="77777777" w:rsidR="00C04514" w:rsidRPr="0052300D" w:rsidRDefault="00C04514" w:rsidP="00F94B7E">
      <w:pPr>
        <w:rPr>
          <w:rFonts w:ascii="Times New Roman" w:hAnsi="Times New Roman" w:cs="Times New Roman"/>
        </w:rPr>
      </w:pPr>
    </w:p>
    <w:p w14:paraId="7459E411" w14:textId="067EF778" w:rsidR="0019206E" w:rsidRPr="0052300D" w:rsidRDefault="750671CE" w:rsidP="00F94B7E">
      <w:pPr>
        <w:rPr>
          <w:rFonts w:ascii="Times New Roman" w:eastAsia="Times New Roman" w:hAnsi="Times New Roman" w:cs="Times New Roman"/>
        </w:rPr>
      </w:pPr>
      <w:r w:rsidRPr="750671CE">
        <w:rPr>
          <w:rFonts w:ascii="Times New Roman" w:eastAsia="Times New Roman" w:hAnsi="Times New Roman" w:cs="Times New Roman"/>
        </w:rPr>
        <w:t>S</w:t>
      </w:r>
      <w:r w:rsidRPr="750671CE">
        <w:rPr>
          <w:rFonts w:ascii="Times New Roman" w:eastAsia="Times New Roman" w:hAnsi="Times New Roman" w:cs="Times New Roman"/>
          <w:smallCaps/>
        </w:rPr>
        <w:t>crutton</w:t>
      </w:r>
      <w:r w:rsidR="00712FB9">
        <w:rPr>
          <w:rFonts w:ascii="Times New Roman" w:eastAsia="Times New Roman" w:hAnsi="Times New Roman" w:cs="Times New Roman"/>
          <w:smallCaps/>
        </w:rPr>
        <w:t>,</w:t>
      </w:r>
      <w:r w:rsidRPr="750671CE">
        <w:rPr>
          <w:rFonts w:ascii="Times New Roman" w:eastAsia="Times New Roman" w:hAnsi="Times New Roman" w:cs="Times New Roman"/>
        </w:rPr>
        <w:t xml:space="preserve"> L.J.</w:t>
      </w:r>
    </w:p>
    <w:p w14:paraId="378F5D88" w14:textId="77777777" w:rsidR="0019206E" w:rsidRPr="0052300D" w:rsidRDefault="0019206E" w:rsidP="0019206E">
      <w:pPr>
        <w:rPr>
          <w:rFonts w:ascii="Times New Roman" w:hAnsi="Times New Roman" w:cs="Times New Roman"/>
        </w:rPr>
      </w:pPr>
    </w:p>
    <w:p w14:paraId="1203FFE7" w14:textId="4AAC503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52300D" w:rsidRDefault="0019206E" w:rsidP="0019206E">
      <w:pPr>
        <w:rPr>
          <w:rFonts w:ascii="Times New Roman" w:hAnsi="Times New Roman" w:cs="Times New Roman"/>
        </w:rPr>
      </w:pPr>
    </w:p>
    <w:p w14:paraId="5C2B67AE" w14:textId="77777777" w:rsidR="0019206E" w:rsidRPr="0052300D" w:rsidRDefault="0019206E" w:rsidP="0019206E">
      <w:pPr>
        <w:rPr>
          <w:rFonts w:ascii="Times New Roman" w:hAnsi="Times New Roman" w:cs="Times New Roman"/>
        </w:rPr>
      </w:pPr>
    </w:p>
    <w:p w14:paraId="08355D13" w14:textId="77777777" w:rsidR="0019206E" w:rsidRPr="0052300D" w:rsidRDefault="0019206E" w:rsidP="002502CC">
      <w:pPr>
        <w:pStyle w:val="Heading4"/>
      </w:pPr>
      <w:bookmarkStart w:id="686" w:name="_Toc364636188"/>
      <w:bookmarkStart w:id="687" w:name="_Toc518323419"/>
      <w:r w:rsidRPr="0052300D">
        <w:t>Notes</w:t>
      </w:r>
      <w:bookmarkEnd w:id="686"/>
      <w:bookmarkEnd w:id="687"/>
    </w:p>
    <w:p w14:paraId="024053BC" w14:textId="77777777" w:rsidR="0019206E" w:rsidRDefault="0019206E" w:rsidP="0019206E">
      <w:pPr>
        <w:rPr>
          <w:rFonts w:ascii="Times New Roman" w:hAnsi="Times New Roman" w:cs="Times New Roman"/>
        </w:rPr>
      </w:pPr>
    </w:p>
    <w:p w14:paraId="0110981C" w14:textId="77777777" w:rsidR="00C04514" w:rsidRPr="0052300D" w:rsidRDefault="00C04514" w:rsidP="0019206E">
      <w:pPr>
        <w:rPr>
          <w:rFonts w:ascii="Times New Roman" w:hAnsi="Times New Roman" w:cs="Times New Roman"/>
        </w:rPr>
      </w:pPr>
    </w:p>
    <w:p w14:paraId="78D8FEC1" w14:textId="3A953027" w:rsidR="0019206E" w:rsidRPr="00F94B7E" w:rsidRDefault="750671CE" w:rsidP="00F94B7E">
      <w:pPr>
        <w:pStyle w:val="ListParagraph"/>
        <w:numPr>
          <w:ilvl w:val="0"/>
          <w:numId w:val="2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Directness</w:t>
      </w:r>
      <w:r w:rsidRPr="00F94B7E">
        <w:rPr>
          <w:rFonts w:ascii="Times New Roman" w:eastAsia="Times New Roman" w:hAnsi="Times New Roman" w:cs="Times New Roman"/>
        </w:rPr>
        <w:t xml:space="preserve">?  All three judges agree that the foreseeability of harm affects only the assessment of negligence, not whether the defendant is liable for the full extent of damages—at least of damages that are </w:t>
      </w:r>
      <w:r w:rsidR="00B05F31">
        <w:rPr>
          <w:rFonts w:ascii="Times New Roman" w:eastAsia="Times New Roman" w:hAnsi="Times New Roman" w:cs="Times New Roman"/>
        </w:rPr>
        <w:t>“</w:t>
      </w:r>
      <w:r w:rsidRPr="00F94B7E">
        <w:rPr>
          <w:rFonts w:ascii="Times New Roman" w:eastAsia="Times New Roman" w:hAnsi="Times New Roman" w:cs="Times New Roman"/>
        </w:rPr>
        <w:t>direct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consequences. </w:t>
      </w:r>
    </w:p>
    <w:p w14:paraId="37B21971" w14:textId="77777777" w:rsidR="0019206E" w:rsidRPr="0052300D" w:rsidRDefault="0019206E" w:rsidP="0019206E">
      <w:pPr>
        <w:rPr>
          <w:rFonts w:ascii="Times New Roman" w:hAnsi="Times New Roman" w:cs="Times New Roman"/>
        </w:rPr>
      </w:pPr>
    </w:p>
    <w:p w14:paraId="4686E109" w14:textId="6DF0FE24"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Does this </w:t>
      </w:r>
      <w:r w:rsidR="00B05F31">
        <w:rPr>
          <w:rFonts w:ascii="Times New Roman" w:eastAsia="Times New Roman" w:hAnsi="Times New Roman" w:cs="Times New Roman"/>
        </w:rPr>
        <w:t>“</w:t>
      </w:r>
      <w:r w:rsidRPr="750671CE">
        <w:rPr>
          <w:rFonts w:ascii="Times New Roman" w:eastAsia="Times New Roman" w:hAnsi="Times New Roman" w:cs="Times New Roman"/>
        </w:rPr>
        <w:t>directness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language actually clarify the standard?  We can add directness to the list of formulations offered in the </w:t>
      </w:r>
      <w:r w:rsidRPr="750671CE">
        <w:rPr>
          <w:rFonts w:ascii="Times New Roman" w:eastAsia="Times New Roman" w:hAnsi="Times New Roman" w:cs="Times New Roman"/>
          <w:i/>
          <w:iCs/>
        </w:rPr>
        <w:t>Ryan</w:t>
      </w:r>
      <w:r w:rsidRPr="750671CE">
        <w:rPr>
          <w:rFonts w:ascii="Times New Roman" w:eastAsia="Times New Roman" w:hAnsi="Times New Roman" w:cs="Times New Roman"/>
        </w:rPr>
        <w:t xml:space="preserve"> case. Does it help clarify matters in </w:t>
      </w:r>
      <w:r w:rsidRPr="750671CE">
        <w:rPr>
          <w:rFonts w:ascii="Times New Roman" w:eastAsia="Times New Roman" w:hAnsi="Times New Roman" w:cs="Times New Roman"/>
          <w:i/>
          <w:iCs/>
        </w:rPr>
        <w:t>Scott v. Shepherd</w:t>
      </w:r>
      <w:r w:rsidRPr="750671CE">
        <w:rPr>
          <w:rFonts w:ascii="Times New Roman" w:eastAsia="Times New Roman" w:hAnsi="Times New Roman" w:cs="Times New Roman"/>
        </w:rPr>
        <w:t xml:space="preserve"> a hundred and fifty years earlier?</w:t>
      </w:r>
    </w:p>
    <w:p w14:paraId="3F740012" w14:textId="77777777" w:rsidR="0019206E" w:rsidRDefault="0019206E" w:rsidP="0019206E">
      <w:pPr>
        <w:ind w:firstLine="720"/>
        <w:rPr>
          <w:rFonts w:ascii="Times New Roman" w:hAnsi="Times New Roman" w:cs="Times New Roman"/>
        </w:rPr>
      </w:pPr>
    </w:p>
    <w:p w14:paraId="6033784C" w14:textId="77777777" w:rsidR="0019206E" w:rsidRPr="0052300D" w:rsidRDefault="0019206E" w:rsidP="0019206E">
      <w:pPr>
        <w:ind w:firstLine="720"/>
        <w:rPr>
          <w:rFonts w:ascii="Times New Roman" w:hAnsi="Times New Roman" w:cs="Times New Roman"/>
        </w:rPr>
      </w:pPr>
    </w:p>
    <w:p w14:paraId="319AD992" w14:textId="289A7223" w:rsidR="0019206E" w:rsidRPr="00F94B7E" w:rsidRDefault="750671CE" w:rsidP="00F94B7E">
      <w:pPr>
        <w:pStyle w:val="ListParagraph"/>
        <w:numPr>
          <w:ilvl w:val="0"/>
          <w:numId w:val="2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w:t>
      </w:r>
      <w:r w:rsidRPr="00F94B7E">
        <w:rPr>
          <w:rFonts w:ascii="Times New Roman" w:eastAsia="Times New Roman" w:hAnsi="Times New Roman" w:cs="Times New Roman"/>
        </w:rPr>
        <w:t xml:space="preserve">  What about the suggestion of appellant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52300D" w:rsidRDefault="0019206E" w:rsidP="0019206E">
      <w:pPr>
        <w:rPr>
          <w:rFonts w:ascii="Times New Roman" w:hAnsi="Times New Roman" w:cs="Times New Roman"/>
        </w:rPr>
      </w:pPr>
    </w:p>
    <w:p w14:paraId="48E9CB27" w14:textId="77777777" w:rsidR="0019206E" w:rsidRPr="0052300D" w:rsidRDefault="0019206E" w:rsidP="0019206E">
      <w:pPr>
        <w:rPr>
          <w:rFonts w:ascii="Times New Roman" w:hAnsi="Times New Roman" w:cs="Times New Roman"/>
        </w:rPr>
      </w:pPr>
    </w:p>
    <w:p w14:paraId="4C2379FF" w14:textId="77777777" w:rsidR="0019206E" w:rsidRPr="0052300D" w:rsidRDefault="0019206E" w:rsidP="00322687">
      <w:pPr>
        <w:pStyle w:val="Heading3"/>
      </w:pPr>
      <w:bookmarkStart w:id="688" w:name="_Toc364636189"/>
      <w:bookmarkStart w:id="689" w:name="_Toc518323420"/>
      <w:r w:rsidRPr="0052300D">
        <w:t>The Wagon Mound Cases</w:t>
      </w:r>
      <w:bookmarkEnd w:id="688"/>
      <w:bookmarkEnd w:id="689"/>
    </w:p>
    <w:p w14:paraId="080C1BE2" w14:textId="77777777" w:rsidR="0019206E" w:rsidRPr="0052300D" w:rsidRDefault="0019206E" w:rsidP="0019206E">
      <w:pPr>
        <w:rPr>
          <w:rFonts w:ascii="Times New Roman" w:hAnsi="Times New Roman" w:cs="Times New Roman"/>
        </w:rPr>
      </w:pPr>
    </w:p>
    <w:p w14:paraId="53966453" w14:textId="120C1D4B" w:rsidR="0019206E"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rule soon ran aground off the coast of Australia in the </w:t>
      </w:r>
      <w:r w:rsidRPr="750671CE">
        <w:rPr>
          <w:rFonts w:ascii="Times New Roman" w:eastAsia="Times New Roman" w:hAnsi="Times New Roman" w:cs="Times New Roman"/>
          <w:i/>
          <w:iCs/>
        </w:rPr>
        <w:t xml:space="preserve">Wagon Mound Cases.  </w:t>
      </w:r>
      <w:r w:rsidRPr="750671CE">
        <w:rPr>
          <w:rFonts w:ascii="Times New Roman" w:eastAsia="Times New Roman" w:hAnsi="Times New Roman" w:cs="Times New Roman"/>
        </w:rPr>
        <w:t>These were two independent lawsuits arising out of the same incident in a port near Sydney, Australia. The incident began when a ship, the Wagon Mound, took on furnace oil as cargo in Mort Bay. One of the hatches to the Wagon Mound</w:t>
      </w:r>
      <w:r w:rsidR="00B05F31">
        <w:rPr>
          <w:rFonts w:ascii="Times New Roman" w:eastAsia="Times New Roman" w:hAnsi="Times New Roman" w:cs="Times New Roman"/>
        </w:rPr>
        <w:t>’</w:t>
      </w:r>
      <w:r w:rsidRPr="750671CE">
        <w:rPr>
          <w:rFonts w:ascii="Times New Roman" w:eastAsia="Times New Roman" w:hAnsi="Times New Roman" w:cs="Times New Roman"/>
        </w:rPr>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rPr>
          <w:rFonts w:ascii="Times New Roman" w:eastAsia="Times New Roman" w:hAnsi="Times New Roman" w:cs="Times New Roman"/>
        </w:rPr>
        <w:t>’</w:t>
      </w:r>
      <w:r w:rsidRPr="750671CE">
        <w:rPr>
          <w:rFonts w:ascii="Times New Roman" w:eastAsia="Times New Roman" w:hAnsi="Times New Roman" w:cs="Times New Roman"/>
        </w:rPr>
        <w:t>s Dock and Engineering Company. The refitting involved significant welding by the Mort</w:t>
      </w:r>
      <w:r w:rsidR="00B05F31">
        <w:rPr>
          <w:rFonts w:ascii="Times New Roman" w:eastAsia="Times New Roman" w:hAnsi="Times New Roman" w:cs="Times New Roman"/>
        </w:rPr>
        <w:t>’</w:t>
      </w:r>
      <w:r w:rsidRPr="750671CE">
        <w:rPr>
          <w:rFonts w:ascii="Times New Roman" w:eastAsia="Times New Roman" w:hAnsi="Times New Roman" w:cs="Times New Roman"/>
        </w:rPr>
        <w:t>s Dock engineers. Upon seeing the spill, the works manager of Mort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750671CE">
        <w:rPr>
          <w:rFonts w:ascii="Times New Roman" w:eastAsia="Times New Roman" w:hAnsi="Times New Roman" w:cs="Times New Roman"/>
          <w:i/>
          <w:iCs/>
        </w:rPr>
        <w:t>Wagon Mound (No. 1)</w:t>
      </w:r>
      <w:r w:rsidRPr="750671CE">
        <w:rPr>
          <w:rFonts w:ascii="Times New Roman" w:eastAsia="Times New Roman" w:hAnsi="Times New Roman" w:cs="Times New Roman"/>
        </w:rPr>
        <w:t>, Mort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Dock sued the Wagon Mound for damage to the dock. In </w:t>
      </w:r>
      <w:r w:rsidRPr="750671CE">
        <w:rPr>
          <w:rFonts w:ascii="Times New Roman" w:eastAsia="Times New Roman" w:hAnsi="Times New Roman" w:cs="Times New Roman"/>
          <w:i/>
          <w:iCs/>
        </w:rPr>
        <w:t>Wagon Mound (No. 2)</w:t>
      </w:r>
      <w:r w:rsidRPr="750671CE">
        <w:rPr>
          <w:rFonts w:ascii="Times New Roman" w:eastAsia="Times New Roman" w:hAnsi="Times New Roman" w:cs="Times New Roman"/>
        </w:rPr>
        <w:t>, the owners of the Corrimal and the Audrey D. sued the Wagon Mound for damage to their ships.</w:t>
      </w:r>
    </w:p>
    <w:p w14:paraId="775901B5" w14:textId="77777777" w:rsidR="009B3AAF" w:rsidRPr="0052300D" w:rsidRDefault="009B3AAF" w:rsidP="750671CE">
      <w:pPr>
        <w:ind w:firstLine="720"/>
        <w:rPr>
          <w:rFonts w:ascii="Times New Roman" w:eastAsia="Times New Roman" w:hAnsi="Times New Roman" w:cs="Times New Roman"/>
        </w:rPr>
      </w:pPr>
    </w:p>
    <w:p w14:paraId="227468A2" w14:textId="61CA7773" w:rsidR="0019206E" w:rsidRPr="00D22391" w:rsidRDefault="750671CE" w:rsidP="750671CE">
      <w:pPr>
        <w:rPr>
          <w:rFonts w:ascii="Times New Roman" w:eastAsia="Times New Roman" w:hAnsi="Times New Roman" w:cs="Times New Roman"/>
          <w:b/>
          <w:bCs/>
        </w:rPr>
      </w:pPr>
      <w:r w:rsidRPr="750671CE">
        <w:rPr>
          <w:rFonts w:ascii="Times New Roman" w:eastAsia="Times New Roman" w:hAnsi="Times New Roman" w:cs="Times New Roman"/>
          <w:b/>
          <w:bCs/>
        </w:rPr>
        <w:t>Wagon Mound (No. 1)</w:t>
      </w:r>
    </w:p>
    <w:p w14:paraId="66DEC420" w14:textId="77777777" w:rsidR="0019206E" w:rsidRPr="0052300D" w:rsidRDefault="750671CE" w:rsidP="750671CE">
      <w:pPr>
        <w:rPr>
          <w:rFonts w:ascii="Times New Roman" w:eastAsia="Times New Roman" w:hAnsi="Times New Roman" w:cs="Times New Roman"/>
          <w:b/>
          <w:bCs/>
        </w:rPr>
      </w:pPr>
      <w:r w:rsidRPr="750671CE">
        <w:rPr>
          <w:rFonts w:ascii="Times New Roman" w:eastAsia="Times New Roman" w:hAnsi="Times New Roman" w:cs="Times New Roman"/>
          <w:b/>
          <w:bCs/>
          <w:i/>
          <w:iCs/>
        </w:rPr>
        <w:t>Overseas Tankship (U.K.) Ltd. v. Morts Dock &amp; Eng. Co.</w:t>
      </w:r>
      <w:r w:rsidRPr="750671CE">
        <w:rPr>
          <w:rFonts w:ascii="Times New Roman" w:eastAsia="Times New Roman" w:hAnsi="Times New Roman" w:cs="Times New Roman"/>
          <w:b/>
          <w:bCs/>
        </w:rPr>
        <w:t>, [1961] A.C. 454</w:t>
      </w:r>
    </w:p>
    <w:p w14:paraId="0B16DF16" w14:textId="77777777" w:rsidR="0019206E" w:rsidRPr="0052300D" w:rsidRDefault="0019206E" w:rsidP="0019206E">
      <w:pPr>
        <w:rPr>
          <w:rFonts w:ascii="Times New Roman" w:hAnsi="Times New Roman" w:cs="Times New Roman"/>
        </w:rPr>
      </w:pPr>
    </w:p>
    <w:p w14:paraId="07791235" w14:textId="62AE570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 [Plaintiff brings suit for damage to the dock caused by a fire from the ignition of oil negligently discharged by Defendant</w:t>
      </w:r>
      <w:r w:rsidR="00B05F31">
        <w:rPr>
          <w:rFonts w:ascii="Times New Roman" w:eastAsia="Times New Roman" w:hAnsi="Times New Roman" w:cs="Times New Roman"/>
        </w:rPr>
        <w:t>’</w:t>
      </w:r>
      <w:r w:rsidRPr="750671CE">
        <w:rPr>
          <w:rFonts w:ascii="Times New Roman" w:eastAsia="Times New Roman" w:hAnsi="Times New Roman" w:cs="Times New Roman"/>
        </w:rPr>
        <w:t>s ship, the Wagon Mound. Plaintiff prevailed at trial, and Defendants appealed.]</w:t>
      </w:r>
    </w:p>
    <w:p w14:paraId="4ABC2C1B" w14:textId="77777777" w:rsidR="0019206E" w:rsidRPr="0052300D" w:rsidRDefault="0019206E" w:rsidP="0019206E">
      <w:pPr>
        <w:rPr>
          <w:rFonts w:ascii="Times New Roman" w:hAnsi="Times New Roman" w:cs="Times New Roman"/>
        </w:rPr>
      </w:pPr>
    </w:p>
    <w:p w14:paraId="2FF4F222" w14:textId="5CD9A9C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 [The lower court judge] made the all important finding, which must be set out in his own words. </w:t>
      </w:r>
      <w:r w:rsidR="00B05F31">
        <w:rPr>
          <w:rFonts w:ascii="Times New Roman" w:eastAsia="Times New Roman" w:hAnsi="Times New Roman" w:cs="Times New Roman"/>
        </w:rPr>
        <w:t>“</w:t>
      </w:r>
      <w:r w:rsidRPr="750671CE">
        <w:rPr>
          <w:rFonts w:ascii="Times New Roman" w:eastAsia="Times New Roman" w:hAnsi="Times New Roman" w:cs="Times New Roman"/>
        </w:rPr>
        <w:t>The raison d</w:t>
      </w:r>
      <w:r w:rsidR="00B05F31">
        <w:rPr>
          <w:rFonts w:ascii="Times New Roman" w:eastAsia="Times New Roman" w:hAnsi="Times New Roman" w:cs="Times New Roman"/>
        </w:rPr>
        <w:t>’</w:t>
      </w:r>
      <w:r w:rsidRPr="750671CE">
        <w:rPr>
          <w:rFonts w:ascii="Times New Roman" w:eastAsia="Times New Roman" w:hAnsi="Times New Roman" w:cs="Times New Roman"/>
        </w:rPr>
        <w:t>être of furnace oil is, of course, that it shall burn, but I find the defendant did not know and could not reasonably be expected to have known that it was capable of being set afire when spread on water.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w:t>
      </w:r>
    </w:p>
    <w:p w14:paraId="62F9D286" w14:textId="77777777" w:rsidR="0019206E" w:rsidRPr="0052300D" w:rsidRDefault="0019206E" w:rsidP="0019206E">
      <w:pPr>
        <w:rPr>
          <w:rFonts w:ascii="Times New Roman" w:hAnsi="Times New Roman" w:cs="Times New Roman"/>
        </w:rPr>
      </w:pPr>
    </w:p>
    <w:p w14:paraId="250E4628" w14:textId="2BEF7906"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learned Judge held that apart from damage by fire the respondents had suffered some damage from the spillage of oil in that it had got upon their slipways and congealed upon them and interfered with their use of the slips. He said </w:t>
      </w:r>
      <w:r w:rsidR="00B05F31">
        <w:rPr>
          <w:rFonts w:ascii="Times New Roman" w:eastAsia="Times New Roman" w:hAnsi="Times New Roman" w:cs="Times New Roman"/>
        </w:rPr>
        <w:t>“</w:t>
      </w:r>
      <w:r w:rsidRPr="750671CE">
        <w:rPr>
          <w:rFonts w:ascii="Times New Roman" w:eastAsia="Times New Roman" w:hAnsi="Times New Roman" w:cs="Times New Roman"/>
        </w:rPr>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is upon this footing that their Lordships will consider the question whether the appellants are liable for the fire damage.</w:t>
      </w:r>
    </w:p>
    <w:p w14:paraId="2FA64074" w14:textId="77777777" w:rsidR="0019206E" w:rsidRPr="0052300D" w:rsidRDefault="0019206E" w:rsidP="0019206E">
      <w:pPr>
        <w:ind w:firstLine="720"/>
        <w:rPr>
          <w:rFonts w:ascii="Times New Roman" w:hAnsi="Times New Roman" w:cs="Times New Roman"/>
        </w:rPr>
      </w:pPr>
    </w:p>
    <w:p w14:paraId="18036667" w14:textId="3FD3E67A"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 . . . It is inevitable that first consideration should be given to the case of </w:t>
      </w:r>
      <w:r w:rsidRPr="750671CE">
        <w:rPr>
          <w:rFonts w:ascii="Times New Roman" w:eastAsia="Times New Roman" w:hAnsi="Times New Roman" w:cs="Times New Roman"/>
          <w:i/>
          <w:iCs/>
        </w:rPr>
        <w:t>In re Polemis</w:t>
      </w:r>
      <w:r w:rsidRPr="750671CE">
        <w:rPr>
          <w:rFonts w:ascii="Times New Roman" w:eastAsia="Times New Roman" w:hAnsi="Times New Roman" w:cs="Times New Roman"/>
        </w:rPr>
        <w:t xml:space="preserve"> . . . </w:t>
      </w:r>
      <w:r w:rsidR="009B3AAF">
        <w:rPr>
          <w:rFonts w:ascii="Times New Roman" w:eastAsia="Times New Roman" w:hAnsi="Times New Roman" w:cs="Times New Roman"/>
        </w:rPr>
        <w:t xml:space="preserve">. </w:t>
      </w:r>
      <w:r w:rsidRPr="750671CE">
        <w:rPr>
          <w:rFonts w:ascii="Times New Roman" w:eastAsia="Times New Roman" w:hAnsi="Times New Roman" w:cs="Times New Roman"/>
        </w:rPr>
        <w:t>For it was avowedly in deference to that decision and to decisions of the Court of Appeal that followed it that [lower court] was constrained to decide the present case in favour of the respondents. . .</w:t>
      </w:r>
      <w:r w:rsidR="009B3AAF">
        <w:rPr>
          <w:rFonts w:ascii="Times New Roman" w:eastAsia="Times New Roman" w:hAnsi="Times New Roman" w:cs="Times New Roman"/>
        </w:rPr>
        <w:t xml:space="preserve"> .</w:t>
      </w:r>
    </w:p>
    <w:p w14:paraId="557C431A" w14:textId="77777777" w:rsidR="0019206E" w:rsidRPr="0052300D" w:rsidRDefault="0019206E" w:rsidP="0019206E">
      <w:pPr>
        <w:ind w:firstLine="720"/>
        <w:rPr>
          <w:rFonts w:ascii="Times New Roman" w:hAnsi="Times New Roman" w:cs="Times New Roman"/>
        </w:rPr>
      </w:pPr>
    </w:p>
    <w:p w14:paraId="1B271371" w14:textId="2D6DE14A"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There can be no doubt that the decision of the Court of Appeal in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whatever that may mean. . . .</w:t>
      </w:r>
    </w:p>
    <w:p w14:paraId="4521851B" w14:textId="77777777" w:rsidR="0019206E" w:rsidRPr="0052300D" w:rsidRDefault="0019206E" w:rsidP="0019206E">
      <w:pPr>
        <w:rPr>
          <w:rFonts w:ascii="Times New Roman" w:hAnsi="Times New Roman" w:cs="Times New Roman"/>
        </w:rPr>
      </w:pPr>
    </w:p>
    <w:p w14:paraId="31FC3959" w14:textId="7797873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 review of the subsequent history of the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rule shows that the] authority of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has been severely shaken though lip-service has from time to time been paid to it. In their Lordships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52300D" w:rsidRDefault="0019206E" w:rsidP="0019206E">
      <w:pPr>
        <w:rPr>
          <w:rFonts w:ascii="Times New Roman" w:hAnsi="Times New Roman" w:cs="Times New Roman"/>
        </w:rPr>
      </w:pPr>
    </w:p>
    <w:p w14:paraId="4EF4E746" w14:textId="745B155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After the event even a fool is wise. But it is not the hindsight of a fool; it is the foresight of the reasonable man which alone can determine responsibility. The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rule by substituting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w:t>
      </w:r>
      <w:r w:rsidR="00B05F31">
        <w:rPr>
          <w:rFonts w:ascii="Times New Roman" w:eastAsia="Times New Roman" w:hAnsi="Times New Roman" w:cs="Times New Roman"/>
        </w:rPr>
        <w:t>“</w:t>
      </w:r>
      <w:r w:rsidRPr="750671CE">
        <w:rPr>
          <w:rFonts w:ascii="Times New Roman" w:eastAsia="Times New Roman" w:hAnsi="Times New Roman" w:cs="Times New Roman"/>
        </w:rPr>
        <w:t>reasonably foreseeable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consequence leads to a conclusion equally illogical and unjust. . . . </w:t>
      </w:r>
    </w:p>
    <w:p w14:paraId="24594425" w14:textId="77777777" w:rsidR="0019206E" w:rsidRPr="0052300D" w:rsidRDefault="0019206E" w:rsidP="0019206E">
      <w:pPr>
        <w:rPr>
          <w:rFonts w:ascii="Times New Roman" w:hAnsi="Times New Roman" w:cs="Times New Roman"/>
        </w:rPr>
      </w:pPr>
    </w:p>
    <w:p w14:paraId="0F97FF82" w14:textId="49E010B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[I]f it would be wrong that a man should be held liable for damage unpredictable by a reasonable man because it was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natural,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equally it would be wrong that he should escape liability, however </w:t>
      </w:r>
      <w:r w:rsidR="00B05F31">
        <w:rPr>
          <w:rFonts w:ascii="Times New Roman" w:eastAsia="Times New Roman" w:hAnsi="Times New Roman" w:cs="Times New Roman"/>
        </w:rPr>
        <w:t>“</w:t>
      </w:r>
      <w:r w:rsidRPr="750671CE">
        <w:rPr>
          <w:rFonts w:ascii="Times New Roman" w:eastAsia="Times New Roman" w:hAnsi="Times New Roman" w:cs="Times New Roman"/>
        </w:rPr>
        <w:t>indirect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52300D" w:rsidRDefault="0019206E" w:rsidP="0019206E">
      <w:pPr>
        <w:ind w:firstLine="720"/>
        <w:rPr>
          <w:rFonts w:ascii="Times New Roman" w:hAnsi="Times New Roman" w:cs="Times New Roman"/>
        </w:rPr>
      </w:pPr>
    </w:p>
    <w:p w14:paraId="75044404" w14:textId="67754E6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Their Lordships will humbly advise Her Majesty that this appeal should be allowed and the respondents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action so far as it related to damage caused by the negligence of the appellants be dismissed with costs . . . </w:t>
      </w:r>
    </w:p>
    <w:p w14:paraId="3FB23441" w14:textId="77777777" w:rsidR="0019206E" w:rsidRPr="0052300D" w:rsidRDefault="0019206E" w:rsidP="0019206E">
      <w:pPr>
        <w:rPr>
          <w:rFonts w:ascii="Times New Roman" w:hAnsi="Times New Roman" w:cs="Times New Roman"/>
        </w:rPr>
      </w:pPr>
    </w:p>
    <w:p w14:paraId="328B838C" w14:textId="77777777" w:rsidR="0019206E" w:rsidRPr="0052300D" w:rsidRDefault="0019206E" w:rsidP="0019206E">
      <w:pPr>
        <w:rPr>
          <w:rFonts w:ascii="Times New Roman" w:hAnsi="Times New Roman" w:cs="Times New Roman"/>
        </w:rPr>
      </w:pPr>
    </w:p>
    <w:p w14:paraId="2D4254D9" w14:textId="77777777" w:rsidR="0019206E" w:rsidRPr="00D22391" w:rsidRDefault="750671CE" w:rsidP="750671CE">
      <w:pPr>
        <w:rPr>
          <w:rFonts w:ascii="Times New Roman" w:eastAsia="Times New Roman" w:hAnsi="Times New Roman" w:cs="Times New Roman"/>
          <w:b/>
          <w:bCs/>
          <w:i/>
          <w:iCs/>
        </w:rPr>
      </w:pPr>
      <w:r w:rsidRPr="750671CE">
        <w:rPr>
          <w:rFonts w:ascii="Times New Roman" w:eastAsia="Times New Roman" w:hAnsi="Times New Roman" w:cs="Times New Roman"/>
          <w:b/>
          <w:bCs/>
        </w:rPr>
        <w:t>Wagon Mound (No. 2)</w:t>
      </w:r>
    </w:p>
    <w:p w14:paraId="64BDCB24" w14:textId="77777777" w:rsidR="0019206E" w:rsidRPr="0052300D" w:rsidRDefault="750671CE" w:rsidP="750671CE">
      <w:pPr>
        <w:rPr>
          <w:rFonts w:ascii="Times New Roman" w:eastAsia="Times New Roman" w:hAnsi="Times New Roman" w:cs="Times New Roman"/>
          <w:b/>
          <w:bCs/>
        </w:rPr>
      </w:pPr>
      <w:r w:rsidRPr="750671CE">
        <w:rPr>
          <w:rFonts w:ascii="Times New Roman" w:eastAsia="Times New Roman" w:hAnsi="Times New Roman" w:cs="Times New Roman"/>
          <w:b/>
          <w:bCs/>
          <w:i/>
          <w:iCs/>
        </w:rPr>
        <w:t>Overseas Tankship (U.K.) Ltd. v. Miller Steamship Co.</w:t>
      </w:r>
      <w:r w:rsidRPr="750671CE">
        <w:rPr>
          <w:rFonts w:ascii="Times New Roman" w:eastAsia="Times New Roman" w:hAnsi="Times New Roman" w:cs="Times New Roman"/>
          <w:b/>
          <w:bCs/>
        </w:rPr>
        <w:t>, [1966] 1 A.C. 617</w:t>
      </w:r>
    </w:p>
    <w:p w14:paraId="60271AC3" w14:textId="77777777" w:rsidR="0019206E" w:rsidRPr="0052300D" w:rsidRDefault="0019206E" w:rsidP="0019206E">
      <w:pPr>
        <w:rPr>
          <w:rFonts w:ascii="Times New Roman" w:hAnsi="Times New Roman" w:cs="Times New Roman"/>
        </w:rPr>
      </w:pPr>
    </w:p>
    <w:p w14:paraId="573AA040"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52300D" w:rsidRDefault="0019206E" w:rsidP="0019206E">
      <w:pPr>
        <w:rPr>
          <w:rFonts w:ascii="Times New Roman" w:hAnsi="Times New Roman" w:cs="Times New Roman"/>
        </w:rPr>
      </w:pPr>
    </w:p>
    <w:p w14:paraId="6FC56741" w14:textId="66E496A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Wagon Mound (No. 1) the finding on which the Board proceeded was that of the trial judge: </w:t>
      </w:r>
      <w:r w:rsidR="00B05F31">
        <w:rPr>
          <w:rFonts w:ascii="Times New Roman" w:eastAsia="Times New Roman" w:hAnsi="Times New Roman" w:cs="Times New Roman"/>
        </w:rPr>
        <w:t>“</w:t>
      </w:r>
      <w:r w:rsidRPr="750671CE">
        <w:rPr>
          <w:rFonts w:ascii="Times New Roman" w:eastAsia="Times New Roman" w:hAnsi="Times New Roman" w:cs="Times New Roman"/>
        </w:rPr>
        <w:t>the defendant did not know and could not reasonably be expected to have known that [the oil] was capable of being set afire when spread on water.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52300D" w:rsidRDefault="0019206E" w:rsidP="0019206E">
      <w:pPr>
        <w:rPr>
          <w:rFonts w:ascii="Times New Roman" w:hAnsi="Times New Roman" w:cs="Times New Roman"/>
        </w:rPr>
      </w:pPr>
    </w:p>
    <w:p w14:paraId="26751A7E" w14:textId="505C572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[H]ere the findings show that some risk of fire would have been present to the mind of a reasonable man in the shoes of the ship</w:t>
      </w:r>
      <w:r w:rsidR="00B05F31">
        <w:rPr>
          <w:rFonts w:ascii="Times New Roman" w:eastAsia="Times New Roman" w:hAnsi="Times New Roman" w:cs="Times New Roman"/>
        </w:rPr>
        <w:t>’</w:t>
      </w:r>
      <w:r w:rsidRPr="750671CE">
        <w:rPr>
          <w:rFonts w:ascii="Times New Roman" w:eastAsia="Times New Roman" w:hAnsi="Times New Roman" w:cs="Times New Roman"/>
        </w:rPr>
        <w:t>s chief engineer. . . .</w:t>
      </w:r>
    </w:p>
    <w:p w14:paraId="7586096C" w14:textId="77777777" w:rsidR="0019206E" w:rsidRPr="0052300D" w:rsidRDefault="0019206E" w:rsidP="0019206E">
      <w:pPr>
        <w:ind w:firstLine="720"/>
        <w:rPr>
          <w:rFonts w:ascii="Times New Roman" w:hAnsi="Times New Roman" w:cs="Times New Roman"/>
        </w:rPr>
      </w:pPr>
    </w:p>
    <w:p w14:paraId="3224672D" w14:textId="4124D456"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properly qualified and alert chief engineer would have realised there was a real risk here . . . .  If a real risk is one which would occur to the mind of a reasonable man in the position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52300D" w:rsidRDefault="0019206E" w:rsidP="0019206E">
      <w:pPr>
        <w:ind w:firstLine="720"/>
        <w:rPr>
          <w:rFonts w:ascii="Times New Roman" w:hAnsi="Times New Roman" w:cs="Times New Roman"/>
        </w:rPr>
      </w:pPr>
    </w:p>
    <w:p w14:paraId="6F5131E7" w14:textId="1F1180DD"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 the present case the evidence shows that the discharge of so much oil onto the water must have taken a considerable time, and a vigilant ship</w:t>
      </w:r>
      <w:r w:rsidR="00B05F31">
        <w:rPr>
          <w:rFonts w:ascii="Times New Roman" w:eastAsia="Times New Roman" w:hAnsi="Times New Roman" w:cs="Times New Roman"/>
        </w:rPr>
        <w:t>’</w:t>
      </w:r>
      <w:r w:rsidRPr="750671CE">
        <w:rPr>
          <w:rFonts w:ascii="Times New Roman" w:eastAsia="Times New Roman" w:hAnsi="Times New Roman" w:cs="Times New Roman"/>
        </w:rPr>
        <w:t>s engineer would have noticed the discharge at an early stage. The findings show that he ought to have known that it is possible to ignite this kind of oil on water, and that the ship</w:t>
      </w:r>
      <w:r w:rsidR="00B05F31">
        <w:rPr>
          <w:rFonts w:ascii="Times New Roman" w:eastAsia="Times New Roman" w:hAnsi="Times New Roman" w:cs="Times New Roman"/>
        </w:rPr>
        <w:t>’</w:t>
      </w:r>
      <w:r w:rsidRPr="750671CE">
        <w:rPr>
          <w:rFonts w:ascii="Times New Roman" w:eastAsia="Times New Roman" w:hAnsi="Times New Roman" w:cs="Times New Roman"/>
        </w:rPr>
        <w:t>s engineer probably ought to have known that this had in fact happened before. . . .</w:t>
      </w:r>
    </w:p>
    <w:p w14:paraId="18F461AF" w14:textId="77777777" w:rsidR="0019206E" w:rsidRPr="0052300D" w:rsidRDefault="0019206E" w:rsidP="0019206E">
      <w:pPr>
        <w:ind w:firstLine="720"/>
        <w:rPr>
          <w:rFonts w:ascii="Times New Roman" w:hAnsi="Times New Roman" w:cs="Times New Roman"/>
        </w:rPr>
      </w:pPr>
    </w:p>
    <w:p w14:paraId="7254264D"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52300D" w:rsidRDefault="0019206E" w:rsidP="0019206E">
      <w:pPr>
        <w:rPr>
          <w:rFonts w:ascii="Times New Roman" w:hAnsi="Times New Roman" w:cs="Times New Roman"/>
        </w:rPr>
      </w:pPr>
    </w:p>
    <w:p w14:paraId="53E77B8C" w14:textId="77777777" w:rsidR="0019206E" w:rsidRPr="0052300D" w:rsidRDefault="0019206E" w:rsidP="0019206E">
      <w:pPr>
        <w:rPr>
          <w:rFonts w:ascii="Times New Roman" w:hAnsi="Times New Roman" w:cs="Times New Roman"/>
        </w:rPr>
      </w:pPr>
    </w:p>
    <w:p w14:paraId="727B8BB7" w14:textId="77777777" w:rsidR="0019206E" w:rsidRPr="0052300D" w:rsidRDefault="0019206E" w:rsidP="002502CC">
      <w:pPr>
        <w:pStyle w:val="Heading4"/>
      </w:pPr>
      <w:bookmarkStart w:id="690" w:name="_Toc364636190"/>
      <w:bookmarkStart w:id="691" w:name="_Toc518323421"/>
      <w:r w:rsidRPr="0052300D">
        <w:t>Notes</w:t>
      </w:r>
      <w:bookmarkEnd w:id="690"/>
      <w:bookmarkEnd w:id="691"/>
    </w:p>
    <w:p w14:paraId="08ABCDDD" w14:textId="77777777" w:rsidR="0019206E" w:rsidRDefault="0019206E" w:rsidP="0019206E">
      <w:pPr>
        <w:rPr>
          <w:rFonts w:ascii="Times New Roman" w:hAnsi="Times New Roman" w:cs="Times New Roman"/>
        </w:rPr>
      </w:pPr>
    </w:p>
    <w:p w14:paraId="74A81268" w14:textId="77777777" w:rsidR="00C04514" w:rsidRPr="0052300D" w:rsidRDefault="00C04514" w:rsidP="0019206E">
      <w:pPr>
        <w:rPr>
          <w:rFonts w:ascii="Times New Roman" w:hAnsi="Times New Roman" w:cs="Times New Roman"/>
        </w:rPr>
      </w:pPr>
    </w:p>
    <w:p w14:paraId="42055DCB" w14:textId="398E09BE" w:rsidR="0019206E" w:rsidRPr="00F94B7E" w:rsidRDefault="750671CE" w:rsidP="00F94B7E">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Foreseeability?  </w:t>
      </w:r>
      <w:r w:rsidRPr="00F94B7E">
        <w:rPr>
          <w:rFonts w:ascii="Times New Roman" w:eastAsia="Times New Roman" w:hAnsi="Times New Roman" w:cs="Times New Roman"/>
        </w:rPr>
        <w:t xml:space="preserve">The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Cases</w:t>
      </w:r>
      <w:r w:rsidRPr="00F94B7E">
        <w:rPr>
          <w:rFonts w:ascii="Times New Roman" w:eastAsia="Times New Roman" w:hAnsi="Times New Roman" w:cs="Times New Roman"/>
        </w:rPr>
        <w:t xml:space="preserve"> adds </w:t>
      </w:r>
      <w:r w:rsidR="00B05F31">
        <w:rPr>
          <w:rFonts w:ascii="Times New Roman" w:eastAsia="Times New Roman" w:hAnsi="Times New Roman" w:cs="Times New Roman"/>
        </w:rPr>
        <w:t>“</w:t>
      </w:r>
      <w:r w:rsidRPr="00F94B7E">
        <w:rPr>
          <w:rFonts w:ascii="Times New Roman" w:eastAsia="Times New Roman" w:hAnsi="Times New Roman" w:cs="Times New Roman"/>
        </w:rPr>
        <w:t>foreseeability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as an alternative doctrinal formula in our now quickly growing catalog of doctrinal formulations for the proximate cause inquiry.  Does foreseeability compare favorably with the directness test of </w:t>
      </w:r>
      <w:r w:rsidRPr="00F94B7E">
        <w:rPr>
          <w:rFonts w:ascii="Times New Roman" w:eastAsia="Times New Roman" w:hAnsi="Times New Roman" w:cs="Times New Roman"/>
          <w:i/>
          <w:iCs/>
        </w:rPr>
        <w:t>Polemis</w:t>
      </w:r>
      <w:r w:rsidRPr="00F94B7E">
        <w:rPr>
          <w:rFonts w:ascii="Times New Roman" w:eastAsia="Times New Roman" w:hAnsi="Times New Roman" w:cs="Times New Roman"/>
        </w:rPr>
        <w:t xml:space="preserve">?  Does it clarify the doctrine?  The fact that the lower courts in the </w:t>
      </w:r>
      <w:r w:rsidRPr="00F94B7E">
        <w:rPr>
          <w:rFonts w:ascii="Times New Roman" w:eastAsia="Times New Roman" w:hAnsi="Times New Roman" w:cs="Times New Roman"/>
          <w:i/>
          <w:iCs/>
        </w:rPr>
        <w:t>Wagon Mound Cases</w:t>
      </w:r>
      <w:r w:rsidRPr="00F94B7E">
        <w:rPr>
          <w:rFonts w:ascii="Times New Roman" w:eastAsia="Times New Roman" w:hAnsi="Times New Roman" w:cs="Times New Roman"/>
        </w:rPr>
        <w:t xml:space="preserve"> disagree on the reasonable foreseeability of the fire is not promising.  </w:t>
      </w:r>
    </w:p>
    <w:p w14:paraId="62EC0BA9" w14:textId="77777777" w:rsidR="0019206E" w:rsidRPr="0052300D" w:rsidRDefault="0019206E" w:rsidP="0019206E">
      <w:pPr>
        <w:rPr>
          <w:rFonts w:ascii="Times New Roman" w:hAnsi="Times New Roman" w:cs="Times New Roman"/>
        </w:rPr>
      </w:pPr>
    </w:p>
    <w:p w14:paraId="14884736" w14:textId="60B77D3F"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One problem is that the foreseeability standard does not specify anything about the level of generality at which the foreseeability inquiry is to be pitched.  If the question is pitched abstractly as whether harm to the vessel in the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case, for example, is a reasonably foreseeable result of the dropping of the board into the hull, the answer is obviously yes.  But if the question is more particular</w:t>
      </w:r>
      <w:r w:rsidR="009B3AAF">
        <w:rPr>
          <w:rFonts w:ascii="Times New Roman" w:eastAsia="Times New Roman" w:hAnsi="Times New Roman" w:cs="Times New Roman"/>
        </w:rPr>
        <w:t>—</w:t>
      </w:r>
      <w:r w:rsidRPr="750671CE">
        <w:rPr>
          <w:rFonts w:ascii="Times New Roman" w:eastAsia="Times New Roman" w:hAnsi="Times New Roman" w:cs="Times New Roman"/>
        </w:rPr>
        <w:t>if instead we ask whether the destruction by fire of the vessel is a reasonably foreseeable result of dropping the board into the hull</w:t>
      </w:r>
      <w:r w:rsidR="009B3AAF">
        <w:rPr>
          <w:rFonts w:ascii="Times New Roman" w:eastAsia="Times New Roman" w:hAnsi="Times New Roman" w:cs="Times New Roman"/>
        </w:rPr>
        <w:t>—</w:t>
      </w:r>
      <w:r w:rsidRPr="750671CE">
        <w:rPr>
          <w:rFonts w:ascii="Times New Roman" w:eastAsia="Times New Roman" w:hAnsi="Times New Roman" w:cs="Times New Roman"/>
        </w:rPr>
        <w:t xml:space="preserve">the answer may be no.  The entire foreseeability inquiry turns on the level of generality of the analysis. </w:t>
      </w:r>
    </w:p>
    <w:p w14:paraId="4B209CE9" w14:textId="77777777" w:rsidR="0019206E" w:rsidRPr="0052300D" w:rsidRDefault="0019206E" w:rsidP="0019206E">
      <w:pPr>
        <w:rPr>
          <w:rFonts w:ascii="Times New Roman" w:hAnsi="Times New Roman" w:cs="Times New Roman"/>
        </w:rPr>
      </w:pPr>
    </w:p>
    <w:p w14:paraId="3D307C9F" w14:textId="7A4CCACD" w:rsidR="0019206E" w:rsidRPr="0052300D" w:rsidRDefault="0019206E" w:rsidP="750671CE">
      <w:pPr>
        <w:rPr>
          <w:rFonts w:ascii="Times New Roman" w:eastAsia="Times New Roman" w:hAnsi="Times New Roman" w:cs="Times New Roman"/>
        </w:rPr>
      </w:pPr>
      <w:r w:rsidRPr="0052300D">
        <w:rPr>
          <w:rFonts w:ascii="Times New Roman" w:hAnsi="Times New Roman" w:cs="Times New Roman"/>
        </w:rPr>
        <w:tab/>
      </w:r>
      <w:r w:rsidRPr="750671CE">
        <w:rPr>
          <w:rFonts w:ascii="Times New Roman" w:eastAsia="Times New Roman" w:hAnsi="Times New Roman" w:cs="Times New Roman"/>
        </w:rPr>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750671CE">
        <w:rPr>
          <w:rFonts w:ascii="Times New Roman" w:eastAsia="Times New Roman" w:hAnsi="Times New Roman" w:cs="Times New Roman"/>
          <w:i/>
          <w:iCs/>
        </w:rPr>
        <w:t>See, e.g.</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Kirlin v. Halerson</w:t>
      </w:r>
      <w:r w:rsidRPr="750671CE">
        <w:rPr>
          <w:rFonts w:ascii="Times New Roman" w:eastAsia="Times New Roman" w:hAnsi="Times New Roman" w:cs="Times New Roman"/>
        </w:rPr>
        <w:t>, 758 N.W.2d 436, 451 (S.D. 2008) (</w:t>
      </w:r>
      <w:r w:rsidR="00B05F31">
        <w:rPr>
          <w:rFonts w:ascii="Times New Roman" w:eastAsia="Times New Roman" w:hAnsi="Times New Roman" w:cs="Times New Roman"/>
        </w:rPr>
        <w:t>“</w:t>
      </w:r>
      <w:r w:rsidRPr="0052300D">
        <w:rPr>
          <w:rFonts w:ascii="Times New Roman" w:eastAsia="Times New Roman" w:hAnsi="Times New Roman" w:cs="Times New Roman"/>
        </w:rPr>
        <w:t>[T]he exact harm need not be foreseeable. Rather, the harm need only be within the class of reasonably foreseeable hazards that the duty exists to prevent.</w:t>
      </w:r>
      <w:r w:rsidR="00B05F31">
        <w:rPr>
          <w:rFonts w:ascii="Times New Roman" w:eastAsia="Times New Roman" w:hAnsi="Times New Roman" w:cs="Times New Roman"/>
        </w:rPr>
        <w:t>”</w:t>
      </w:r>
      <w:r w:rsidRPr="0052300D">
        <w:rPr>
          <w:rFonts w:ascii="Times New Roman" w:eastAsia="Times New Roman" w:hAnsi="Times New Roman" w:cs="Times New Roman"/>
        </w:rPr>
        <w:t>).</w:t>
      </w:r>
      <w:r w:rsidRPr="750671CE">
        <w:rPr>
          <w:rFonts w:ascii="Times New Roman" w:eastAsia="Times New Roman" w:hAnsi="Times New Roman" w:cs="Times New Roman"/>
        </w:rPr>
        <w:t xml:space="preserve">  Thus, in California </w:t>
      </w:r>
      <w:r w:rsidR="00B05F31">
        <w:rPr>
          <w:rFonts w:ascii="Times New Roman" w:eastAsia="Times New Roman" w:hAnsi="Times New Roman" w:cs="Times New Roman"/>
        </w:rPr>
        <w:t>“</w:t>
      </w:r>
      <w:r w:rsidRPr="0052300D">
        <w:rPr>
          <w:rFonts w:ascii="Times New Roman" w:eastAsia="Times New Roman" w:hAnsi="Times New Roman" w:cs="Times New Roman"/>
        </w:rPr>
        <w:t>it is settled that what is required to be foreseeable is the general character of the event or harm—e.g., being struck by a car while standing in a phone booth—not its precise nature or manner of occurrence.</w:t>
      </w:r>
      <w:r w:rsidR="00B05F31">
        <w:rPr>
          <w:rFonts w:ascii="Times New Roman" w:eastAsia="Times New Roman" w:hAnsi="Times New Roman" w:cs="Times New Roman"/>
        </w:rPr>
        <w:t>”</w:t>
      </w:r>
      <w:r w:rsidRPr="0052300D">
        <w:rPr>
          <w:rFonts w:ascii="Times New Roman" w:eastAsia="Times New Roman" w:hAnsi="Times New Roman" w:cs="Times New Roman"/>
        </w:rPr>
        <w:t xml:space="preserve">  </w:t>
      </w:r>
      <w:r w:rsidRPr="750671CE">
        <w:rPr>
          <w:rFonts w:ascii="Times New Roman" w:eastAsia="Times New Roman" w:hAnsi="Times New Roman" w:cs="Times New Roman"/>
          <w:i/>
          <w:iCs/>
        </w:rPr>
        <w:t>Bigbee v. Pacific Tel. &amp; Telegraph Co.</w:t>
      </w:r>
      <w:r w:rsidRPr="0052300D">
        <w:rPr>
          <w:rFonts w:ascii="Times New Roman" w:eastAsia="Times New Roman" w:hAnsi="Times New Roman" w:cs="Times New Roman"/>
        </w:rPr>
        <w:t xml:space="preserve">, 665 P.2d 947, 952 (Cal. 1983).  </w:t>
      </w:r>
      <w:r w:rsidRPr="750671CE">
        <w:rPr>
          <w:rFonts w:ascii="Times New Roman" w:eastAsia="Times New Roman" w:hAnsi="Times New Roman" w:cs="Times New Roman"/>
        </w:rPr>
        <w:t xml:space="preserve">But courts dismissing tort claims for lack of foreseeability often seem to characterize the inquiry in much more particularized fashion.  Thus, for example, in </w:t>
      </w:r>
      <w:r w:rsidRPr="750671CE">
        <w:rPr>
          <w:rFonts w:ascii="Times New Roman" w:eastAsia="Times New Roman" w:hAnsi="Times New Roman" w:cs="Times New Roman"/>
          <w:i/>
          <w:iCs/>
        </w:rPr>
        <w:t>Mussivand v. David</w:t>
      </w:r>
      <w:r w:rsidRPr="750671CE">
        <w:rPr>
          <w:rFonts w:ascii="Times New Roman" w:eastAsia="Times New Roman" w:hAnsi="Times New Roman" w:cs="Times New Roman"/>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rPr>
          <w:rFonts w:ascii="Times New Roman" w:eastAsia="Times New Roman" w:hAnsi="Times New Roman" w:cs="Times New Roman"/>
        </w:rPr>
        <w:t>“</w:t>
      </w:r>
      <w:r w:rsidRPr="750671CE">
        <w:rPr>
          <w:rFonts w:ascii="Times New Roman" w:eastAsia="Times New Roman" w:hAnsi="Times New Roman" w:cs="Times New Roman"/>
        </w:rPr>
        <w:t>focused, fact-specific inquiry.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Ballard v. Uribe</w:t>
      </w:r>
      <w:r w:rsidRPr="750671CE">
        <w:rPr>
          <w:rFonts w:ascii="Times New Roman" w:eastAsia="Times New Roman" w:hAnsi="Times New Roman" w:cs="Times New Roman"/>
        </w:rPr>
        <w:t xml:space="preserve">, 715 P.2d 624, 628 n.6 (Cal., 1986).  In </w:t>
      </w:r>
      <w:r w:rsidRPr="750671CE">
        <w:rPr>
          <w:rFonts w:ascii="Times New Roman" w:eastAsia="Times New Roman" w:hAnsi="Times New Roman" w:cs="Times New Roman"/>
          <w:i/>
          <w:iCs/>
        </w:rPr>
        <w:t>Laabs v. S. Cal. Edison Co</w:t>
      </w:r>
      <w:r w:rsidRPr="750671CE">
        <w:rPr>
          <w:rFonts w:ascii="Times New Roman" w:eastAsia="Times New Roman" w:hAnsi="Times New Roman" w:cs="Times New Roman"/>
        </w:rPr>
        <w:t>.,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w:t>
      </w:r>
      <w:r w:rsidRPr="0052300D">
        <w:rPr>
          <w:rFonts w:ascii="Times New Roman" w:eastAsia="Times New Roman" w:hAnsi="Times New Roman" w:cs="Times New Roman"/>
        </w:rPr>
        <w:t xml:space="preserve"> </w:t>
      </w:r>
      <w:r w:rsidR="00B05F31">
        <w:rPr>
          <w:rFonts w:ascii="Times New Roman" w:eastAsia="Times New Roman" w:hAnsi="Times New Roman" w:cs="Times New Roman"/>
        </w:rPr>
        <w:t>“</w:t>
      </w:r>
      <w:r w:rsidRPr="0052300D">
        <w:rPr>
          <w:rFonts w:ascii="Times New Roman" w:eastAsia="Times New Roman" w:hAnsi="Times New Roman" w:cs="Times New Roman"/>
        </w:rPr>
        <w:t>a roadway where vehicle speeds commonly reach 62 miles per hour or more and strik[e] a fixed concrete light pole placed 18 inches away from the curb.</w:t>
      </w:r>
      <w:r w:rsidR="00B05F31">
        <w:rPr>
          <w:rFonts w:ascii="Times New Roman" w:eastAsia="Times New Roman" w:hAnsi="Times New Roman" w:cs="Times New Roman"/>
        </w:rPr>
        <w:t>”</w:t>
      </w:r>
      <w:r w:rsidRPr="0052300D">
        <w:rPr>
          <w:rFonts w:ascii="Times New Roman" w:eastAsia="Times New Roman" w:hAnsi="Times New Roman" w:cs="Times New Roman"/>
        </w:rPr>
        <w:t xml:space="preserve">  </w:t>
      </w:r>
    </w:p>
    <w:p w14:paraId="0829C1C6" w14:textId="77777777" w:rsidR="0019206E" w:rsidRPr="0052300D" w:rsidRDefault="0019206E" w:rsidP="0019206E">
      <w:pPr>
        <w:rPr>
          <w:rFonts w:ascii="Times New Roman" w:eastAsia="Times New Roman" w:hAnsi="Times New Roman" w:cs="Times New Roman"/>
        </w:rPr>
      </w:pPr>
    </w:p>
    <w:p w14:paraId="44FB6C85"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On the oscillation in levels of generality in the caselaw, </w:t>
      </w:r>
      <w:r w:rsidRPr="750671CE">
        <w:rPr>
          <w:rFonts w:ascii="Times New Roman" w:eastAsia="Times New Roman" w:hAnsi="Times New Roman" w:cs="Times New Roman"/>
          <w:i/>
          <w:iCs/>
        </w:rPr>
        <w:t>see generally</w:t>
      </w:r>
      <w:r w:rsidRPr="750671CE">
        <w:rPr>
          <w:rFonts w:ascii="Times New Roman" w:eastAsia="Times New Roman" w:hAnsi="Times New Roman" w:cs="Times New Roman"/>
        </w:rPr>
        <w:t xml:space="preserve"> Jonathan Cardi, </w:t>
      </w:r>
      <w:r w:rsidRPr="750671CE">
        <w:rPr>
          <w:rFonts w:ascii="Times New Roman" w:eastAsia="Times New Roman" w:hAnsi="Times New Roman" w:cs="Times New Roman"/>
          <w:i/>
          <w:iCs/>
        </w:rPr>
        <w:t>The Hidden Legacy of Palsgraf: Modern Duty Law in Microcosm</w:t>
      </w:r>
      <w:r w:rsidRPr="750671CE">
        <w:rPr>
          <w:rFonts w:ascii="Times New Roman" w:eastAsia="Times New Roman" w:hAnsi="Times New Roman" w:cs="Times New Roman"/>
        </w:rPr>
        <w:t>, 91 B.U. L. R</w:t>
      </w:r>
      <w:r w:rsidRPr="750671CE">
        <w:rPr>
          <w:rFonts w:ascii="Times New Roman" w:eastAsia="Times New Roman" w:hAnsi="Times New Roman" w:cs="Times New Roman"/>
          <w:smallCaps/>
        </w:rPr>
        <w:t>ev</w:t>
      </w:r>
      <w:r w:rsidRPr="750671CE">
        <w:rPr>
          <w:rFonts w:ascii="Times New Roman" w:eastAsia="Times New Roman" w:hAnsi="Times New Roman" w:cs="Times New Roman"/>
        </w:rPr>
        <w:t>. 1873, 1885-86 (2011).</w:t>
      </w:r>
    </w:p>
    <w:p w14:paraId="7C7F0EDE" w14:textId="77777777" w:rsidR="0019206E" w:rsidRPr="0052300D" w:rsidRDefault="0019206E" w:rsidP="0019206E">
      <w:pPr>
        <w:rPr>
          <w:rFonts w:ascii="Times New Roman" w:hAnsi="Times New Roman" w:cs="Times New Roman"/>
        </w:rPr>
      </w:pPr>
    </w:p>
    <w:p w14:paraId="316A51B6" w14:textId="77777777" w:rsidR="0019206E" w:rsidRPr="0052300D" w:rsidRDefault="0019206E" w:rsidP="0019206E">
      <w:pPr>
        <w:rPr>
          <w:rFonts w:ascii="Times New Roman" w:hAnsi="Times New Roman" w:cs="Times New Roman"/>
        </w:rPr>
      </w:pPr>
    </w:p>
    <w:p w14:paraId="56CD7EB8" w14:textId="633B6263" w:rsidR="0019206E" w:rsidRPr="00F94B7E" w:rsidRDefault="750671CE" w:rsidP="00F94B7E">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Functional considerations</w:t>
      </w:r>
      <w:r w:rsidRPr="00F94B7E">
        <w:rPr>
          <w:rFonts w:ascii="Times New Roman" w:eastAsia="Times New Roman" w:hAnsi="Times New Roman" w:cs="Times New Roman"/>
        </w:rPr>
        <w:t xml:space="preserve">.  One of the puzzles of the two </w:t>
      </w:r>
      <w:r w:rsidRPr="00F94B7E">
        <w:rPr>
          <w:rFonts w:ascii="Times New Roman" w:eastAsia="Times New Roman" w:hAnsi="Times New Roman" w:cs="Times New Roman"/>
          <w:i/>
          <w:iCs/>
        </w:rPr>
        <w:t>Wagon Mound</w:t>
      </w:r>
      <w:r w:rsidRPr="00F94B7E">
        <w:rPr>
          <w:rFonts w:ascii="Times New Roman" w:eastAsia="Times New Roman" w:hAnsi="Times New Roman" w:cs="Times New Roman"/>
        </w:rPr>
        <w:t xml:space="preserve"> cases is to figure out why the trial courts came to different conclusions about the foreseeability of fire from the furnace oil on the water.</w:t>
      </w:r>
    </w:p>
    <w:p w14:paraId="24833D40" w14:textId="77777777" w:rsidR="0019206E" w:rsidRPr="0052300D" w:rsidRDefault="0019206E" w:rsidP="0019206E">
      <w:pPr>
        <w:rPr>
          <w:rFonts w:ascii="Times New Roman" w:hAnsi="Times New Roman" w:cs="Times New Roman"/>
        </w:rPr>
      </w:pPr>
    </w:p>
    <w:p w14:paraId="59D18303"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Former dean of the University of Chicago Law School and torts scholar Saul Levmore attempts to resolve the tension between the two </w:t>
      </w:r>
      <w:r w:rsidRPr="750671CE">
        <w:rPr>
          <w:rFonts w:ascii="Times New Roman" w:eastAsia="Times New Roman" w:hAnsi="Times New Roman" w:cs="Times New Roman"/>
          <w:i/>
          <w:iCs/>
        </w:rPr>
        <w:t>Wagon Mound</w:t>
      </w:r>
      <w:r w:rsidRPr="750671CE">
        <w:rPr>
          <w:rFonts w:ascii="Times New Roman" w:eastAsia="Times New Roman" w:hAnsi="Times New Roman" w:cs="Times New Roman"/>
        </w:rPr>
        <w:t xml:space="preserve"> cases by looking at pragmatic reasons to treat the cases differently:</w:t>
      </w:r>
    </w:p>
    <w:p w14:paraId="559BDDDC" w14:textId="77777777" w:rsidR="0019206E" w:rsidRPr="0052300D" w:rsidRDefault="0019206E" w:rsidP="0019206E">
      <w:pPr>
        <w:rPr>
          <w:rFonts w:ascii="Times New Roman" w:hAnsi="Times New Roman" w:cs="Times New Roman"/>
        </w:rPr>
      </w:pPr>
    </w:p>
    <w:p w14:paraId="579B1D9B" w14:textId="2C84A3BE" w:rsidR="0019206E" w:rsidRPr="0052300D"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first Wagon Mound case concerns a plaintiff that is contributorily negligent [at a time before courts in Australia recognized comparative negligence]</w:t>
      </w:r>
      <w:r w:rsidR="003A7AD7">
        <w:rPr>
          <w:rFonts w:ascii="Times New Roman" w:eastAsia="Times New Roman" w:hAnsi="Times New Roman" w:cs="Times New Roman"/>
        </w:rPr>
        <w:sym w:font="Symbol" w:char="F0BE"/>
      </w:r>
      <w:r w:rsidRPr="750671CE">
        <w:rPr>
          <w:rFonts w:ascii="Times New Roman" w:eastAsia="Times New Roman" w:hAnsi="Times New Roman" w:cs="Times New Roman"/>
        </w:rPr>
        <w:t>but also a defendant that is posed to escape the scene with no liability at all. In such a situation, the moral might be, clever courts will nevertheless allow contributory negligence to apply so long as they see other cases on the horizon with which to deter the first wrongdoer. Mort</w:t>
      </w:r>
      <w:r w:rsidR="00B05F31">
        <w:rPr>
          <w:rFonts w:ascii="Times New Roman" w:eastAsia="Times New Roman" w:hAnsi="Times New Roman" w:cs="Times New Roman"/>
        </w:rPr>
        <w:t>’</w:t>
      </w:r>
      <w:r w:rsidRPr="750671CE">
        <w:rPr>
          <w:rFonts w:ascii="Times New Roman" w:eastAsia="Times New Roman" w:hAnsi="Times New Roman" w:cs="Times New Roman"/>
        </w:rPr>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rPr>
          <w:rFonts w:ascii="Times New Roman" w:eastAsia="Times New Roman" w:hAnsi="Times New Roman" w:cs="Times New Roman"/>
        </w:rPr>
        <w:sym w:font="Symbol" w:char="F0BE"/>
      </w:r>
      <w:r w:rsidRPr="750671CE">
        <w:rPr>
          <w:rFonts w:ascii="Times New Roman" w:eastAsia="Times New Roman" w:hAnsi="Times New Roman" w:cs="Times New Roman"/>
        </w:rPr>
        <w:t>spread out over multiple cases including one that might be filed later on</w:t>
      </w:r>
      <w:r w:rsidR="003A7AD7">
        <w:rPr>
          <w:rFonts w:ascii="Times New Roman" w:eastAsia="Times New Roman" w:hAnsi="Times New Roman" w:cs="Times New Roman"/>
        </w:rPr>
        <w:sym w:font="Symbol" w:char="F0BE"/>
      </w:r>
      <w:r w:rsidRPr="750671CE">
        <w:rPr>
          <w:rFonts w:ascii="Times New Roman" w:eastAsia="Times New Roman" w:hAnsi="Times New Roman" w:cs="Times New Roman"/>
        </w:rPr>
        <w:t>come out right. Taken one at a time, the cases seem inconsistent, but viewed as a whole and in the context of the overall goals of the tort system, the results are quite elegant.</w:t>
      </w:r>
    </w:p>
    <w:p w14:paraId="74CBB798" w14:textId="77777777" w:rsidR="0019206E" w:rsidRPr="0052300D" w:rsidRDefault="0019206E" w:rsidP="0019206E">
      <w:pPr>
        <w:rPr>
          <w:rFonts w:ascii="Times New Roman" w:hAnsi="Times New Roman" w:cs="Times New Roman"/>
        </w:rPr>
      </w:pPr>
    </w:p>
    <w:p w14:paraId="464F3ED3" w14:textId="14CA03A6"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Saul Levmore, </w:t>
      </w:r>
      <w:r w:rsidRPr="750671CE">
        <w:rPr>
          <w:rFonts w:ascii="Times New Roman" w:eastAsia="Times New Roman" w:hAnsi="Times New Roman" w:cs="Times New Roman"/>
          <w:i/>
          <w:iCs/>
        </w:rPr>
        <w:t>The Wagon Mound Cases: Foreseeability, Causation, and Mrs. Palsgraf</w:t>
      </w:r>
      <w:r w:rsidRPr="750671CE">
        <w:rPr>
          <w:rFonts w:ascii="Times New Roman" w:eastAsia="Times New Roman" w:hAnsi="Times New Roman" w:cs="Times New Roman"/>
        </w:rPr>
        <w:t xml:space="preserve">, </w:t>
      </w:r>
      <w:r w:rsidRPr="00F94B7E">
        <w:rPr>
          <w:rFonts w:ascii="Times New Roman" w:eastAsia="Times New Roman" w:hAnsi="Times New Roman" w:cs="Times New Roman"/>
          <w:i/>
        </w:rPr>
        <w:t>in</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smallCaps/>
        </w:rPr>
        <w:t>Torts Stories</w:t>
      </w:r>
      <w:r w:rsidRPr="750671CE">
        <w:rPr>
          <w:rFonts w:ascii="Times New Roman" w:eastAsia="Times New Roman" w:hAnsi="Times New Roman" w:cs="Times New Roman"/>
        </w:rPr>
        <w:t>, 129, 146-47 (</w:t>
      </w:r>
      <w:r w:rsidR="003A7AD7">
        <w:rPr>
          <w:rFonts w:ascii="Times New Roman" w:eastAsia="Times New Roman" w:hAnsi="Times New Roman" w:cs="Times New Roman"/>
        </w:rPr>
        <w:t xml:space="preserve">Robert L. Rabin &amp; Stephen D. Sugarman eds., </w:t>
      </w:r>
      <w:r w:rsidRPr="750671CE">
        <w:rPr>
          <w:rFonts w:ascii="Times New Roman" w:eastAsia="Times New Roman" w:hAnsi="Times New Roman" w:cs="Times New Roman"/>
        </w:rPr>
        <w:t>2003).</w:t>
      </w:r>
    </w:p>
    <w:p w14:paraId="692A0130" w14:textId="77777777" w:rsidR="0019206E" w:rsidRPr="0052300D" w:rsidRDefault="0019206E" w:rsidP="0019206E">
      <w:pPr>
        <w:rPr>
          <w:rFonts w:ascii="Times New Roman" w:hAnsi="Times New Roman" w:cs="Times New Roman"/>
        </w:rPr>
      </w:pPr>
    </w:p>
    <w:p w14:paraId="0B7C74CB" w14:textId="7074D3AB" w:rsidR="0019206E" w:rsidRPr="003437D6"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Levmore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Default="0019206E" w:rsidP="0019206E">
      <w:pPr>
        <w:rPr>
          <w:rFonts w:ascii="Times New Roman" w:hAnsi="Times New Roman" w:cs="Times New Roman"/>
          <w:b/>
        </w:rPr>
      </w:pPr>
    </w:p>
    <w:p w14:paraId="5643FAEF" w14:textId="77777777" w:rsidR="00D554D0" w:rsidRPr="0052300D" w:rsidRDefault="00D554D0" w:rsidP="0019206E">
      <w:pPr>
        <w:rPr>
          <w:rFonts w:ascii="Times New Roman" w:hAnsi="Times New Roman" w:cs="Times New Roman"/>
          <w:b/>
        </w:rPr>
      </w:pPr>
    </w:p>
    <w:p w14:paraId="2E600EDA" w14:textId="3E235B97" w:rsidR="0019206E" w:rsidRPr="00F94B7E" w:rsidRDefault="750671CE" w:rsidP="00F94B7E">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Unexpected types of harm?</w:t>
      </w:r>
      <w:r w:rsidRPr="00F94B7E">
        <w:rPr>
          <w:rFonts w:ascii="Times New Roman" w:eastAsia="Times New Roman" w:hAnsi="Times New Roman" w:cs="Times New Roman"/>
          <w:b/>
          <w:bCs/>
          <w:i/>
          <w:iCs/>
        </w:rPr>
        <w:t xml:space="preserve">  </w:t>
      </w:r>
      <w:r w:rsidRPr="00F94B7E">
        <w:rPr>
          <w:rFonts w:ascii="Times New Roman" w:eastAsia="Times New Roman" w:hAnsi="Times New Roman" w:cs="Times New Roman"/>
        </w:rPr>
        <w:t>Some cases involve harm to the plaintiff that was in some way different than the harm that might have been expected to be caused by the defendant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negligence. In </w:t>
      </w:r>
      <w:r w:rsidRPr="00F94B7E">
        <w:rPr>
          <w:rFonts w:ascii="Times New Roman" w:eastAsia="Times New Roman" w:hAnsi="Times New Roman" w:cs="Times New Roman"/>
          <w:i/>
          <w:iCs/>
        </w:rPr>
        <w:t>Doughty v. Turner Manufacturing Co</w:t>
      </w:r>
      <w:r w:rsidRPr="00F94B7E">
        <w:rPr>
          <w:rFonts w:ascii="Times New Roman" w:eastAsia="Times New Roman" w:hAnsi="Times New Roman" w:cs="Times New Roman"/>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Pr>
          <w:rFonts w:ascii="Times New Roman" w:eastAsia="Times New Roman" w:hAnsi="Times New Roman" w:cs="Times New Roman"/>
        </w:rPr>
        <w:t>“</w:t>
      </w:r>
      <w:r w:rsidRPr="00F94B7E">
        <w:rPr>
          <w:rFonts w:ascii="Times New Roman" w:eastAsia="Times New Roman" w:hAnsi="Times New Roman" w:cs="Times New Roman"/>
        </w:rPr>
        <w:t>quite a different category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than the unforeseeable explosion</w:t>
      </w:r>
      <w:r w:rsidRPr="00F94B7E">
        <w:rPr>
          <w:rFonts w:ascii="Times New Roman" w:eastAsia="Times New Roman" w:hAnsi="Times New Roman" w:cs="Times New Roman"/>
          <w:i/>
          <w:iCs/>
        </w:rPr>
        <w:t>. Doughty v. Turner Manufacturing Co</w:t>
      </w:r>
      <w:r w:rsidRPr="00F94B7E">
        <w:rPr>
          <w:rFonts w:ascii="Times New Roman" w:eastAsia="Times New Roman" w:hAnsi="Times New Roman" w:cs="Times New Roman"/>
        </w:rPr>
        <w:t xml:space="preserve">., [1964] 1 Q.B. 518. </w:t>
      </w:r>
    </w:p>
    <w:p w14:paraId="36268049" w14:textId="77777777" w:rsidR="0019206E" w:rsidRPr="0052300D" w:rsidRDefault="0019206E" w:rsidP="0019206E">
      <w:pPr>
        <w:rPr>
          <w:rFonts w:ascii="Times New Roman" w:hAnsi="Times New Roman" w:cs="Times New Roman"/>
        </w:rPr>
      </w:pPr>
    </w:p>
    <w:p w14:paraId="7E14481B" w14:textId="6D7D7CCE" w:rsidR="0019206E" w:rsidRPr="0052300D" w:rsidRDefault="0019206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courts reached a different conclusion in </w:t>
      </w:r>
      <w:r w:rsidRPr="750671CE">
        <w:rPr>
          <w:rFonts w:ascii="Times New Roman" w:eastAsia="Times New Roman" w:hAnsi="Times New Roman" w:cs="Times New Roman"/>
          <w:i/>
          <w:iCs/>
        </w:rPr>
        <w:t>Hughes v. Lord Advocate</w:t>
      </w:r>
      <w:r w:rsidRPr="750671CE">
        <w:rPr>
          <w:rFonts w:ascii="Times New Roman" w:eastAsia="Times New Roman" w:hAnsi="Times New Roman" w:cs="Times New Roman"/>
        </w:rPr>
        <w:t xml:space="preserve">. In that case, workers repairing underground wires left an open manhole unattended. They covered the manhole with a tent and left lighted lamps around the tent as a warning. A boy </w:t>
      </w:r>
      <w:r w:rsidRPr="750671CE">
        <w:rPr>
          <w:rFonts w:ascii="Times New Roman" w:eastAsia="Times New Roman" w:hAnsi="Times New Roman" w:cs="Times New Roman"/>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burning from the lamps, not an unforeseeable explosion. The court disagreed, holding that </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the distinction drawn between burning and explosion is too fine to warrant acceptance.</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 </w:t>
      </w:r>
      <w:r w:rsidRPr="750671CE">
        <w:rPr>
          <w:rFonts w:ascii="Times New Roman" w:eastAsia="Times New Roman" w:hAnsi="Times New Roman" w:cs="Times New Roman"/>
          <w:i/>
          <w:iCs/>
          <w:shd w:val="clear" w:color="auto" w:fill="FFFFFF"/>
        </w:rPr>
        <w:t>Hughes v. Lord Advocate</w:t>
      </w:r>
      <w:r w:rsidRPr="750671CE">
        <w:rPr>
          <w:rFonts w:ascii="Times New Roman" w:eastAsia="Times New Roman" w:hAnsi="Times New Roman" w:cs="Times New Roman"/>
          <w:shd w:val="clear" w:color="auto" w:fill="FFFFFF"/>
        </w:rPr>
        <w:t xml:space="preserve">, [1963] A.C. 837. Should the </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type</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 of harm matter?</w:t>
      </w:r>
    </w:p>
    <w:p w14:paraId="6B1F40F9" w14:textId="77777777" w:rsidR="0019206E" w:rsidRPr="0052300D" w:rsidRDefault="0019206E" w:rsidP="0019206E">
      <w:pPr>
        <w:ind w:firstLine="720"/>
        <w:rPr>
          <w:rFonts w:ascii="Times New Roman" w:hAnsi="Times New Roman" w:cs="Times New Roman"/>
          <w:shd w:val="clear" w:color="auto" w:fill="FFFFFF"/>
        </w:rPr>
      </w:pPr>
    </w:p>
    <w:p w14:paraId="290C7264" w14:textId="61E72617" w:rsidR="0019206E" w:rsidRPr="0052300D" w:rsidRDefault="0019206E" w:rsidP="750671CE">
      <w:pPr>
        <w:ind w:firstLine="720"/>
        <w:rPr>
          <w:rFonts w:ascii="Times New Roman" w:eastAsia="Times New Roman" w:hAnsi="Times New Roman" w:cs="Times New Roman"/>
        </w:rPr>
      </w:pPr>
      <w:r w:rsidRPr="750671CE">
        <w:rPr>
          <w:rFonts w:ascii="Times New Roman" w:eastAsia="Times New Roman" w:hAnsi="Times New Roman" w:cs="Times New Roman"/>
          <w:shd w:val="clear" w:color="auto" w:fill="FFFFFF"/>
        </w:rPr>
        <w:t xml:space="preserve">Other cases deal with unexpected harms where the surprise comes not from a new chemical reaction but rather from an unexpected vulnerability of the plaintiff. In </w:t>
      </w:r>
      <w:r w:rsidRPr="750671CE">
        <w:rPr>
          <w:rFonts w:ascii="Times New Roman" w:eastAsia="Times New Roman" w:hAnsi="Times New Roman" w:cs="Times New Roman"/>
          <w:i/>
          <w:iCs/>
          <w:shd w:val="clear" w:color="auto" w:fill="FFFFFF"/>
        </w:rPr>
        <w:t>Smith v. Brain Leech &amp; Co</w:t>
      </w:r>
      <w:r w:rsidRPr="750671CE">
        <w:rPr>
          <w:rFonts w:ascii="Times New Roman" w:eastAsia="Times New Roman" w:hAnsi="Times New Roman" w:cs="Times New Roman"/>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52300D" w:rsidRDefault="0019206E" w:rsidP="0019206E">
      <w:pPr>
        <w:ind w:firstLine="720"/>
        <w:rPr>
          <w:rFonts w:ascii="Times New Roman" w:hAnsi="Times New Roman" w:cs="Times New Roman"/>
          <w:shd w:val="clear" w:color="auto" w:fill="FFFFFF"/>
        </w:rPr>
      </w:pPr>
    </w:p>
    <w:p w14:paraId="0B79AA9D" w14:textId="3F816BE8" w:rsidR="0019206E" w:rsidRPr="0052300D" w:rsidRDefault="0019206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s death] are damages for which the defendants are liable. </w:t>
      </w:r>
    </w:p>
    <w:p w14:paraId="5592EEDF" w14:textId="77777777" w:rsidR="0019206E" w:rsidRPr="0052300D" w:rsidRDefault="0019206E" w:rsidP="0019206E">
      <w:pPr>
        <w:rPr>
          <w:rFonts w:ascii="Times New Roman" w:hAnsi="Times New Roman" w:cs="Times New Roman"/>
          <w:shd w:val="clear" w:color="auto" w:fill="FFFFFF"/>
        </w:rPr>
      </w:pPr>
    </w:p>
    <w:p w14:paraId="00E2D6CE" w14:textId="77777777" w:rsidR="0019206E" w:rsidRPr="0052300D" w:rsidRDefault="0019206E" w:rsidP="750671CE">
      <w:pPr>
        <w:rPr>
          <w:rFonts w:ascii="Times New Roman" w:eastAsia="Times New Roman" w:hAnsi="Times New Roman" w:cs="Times New Roman"/>
        </w:rPr>
      </w:pPr>
      <w:r w:rsidRPr="750671CE">
        <w:rPr>
          <w:rFonts w:ascii="Times New Roman" w:eastAsia="Times New Roman" w:hAnsi="Times New Roman" w:cs="Times New Roman"/>
          <w:i/>
          <w:iCs/>
          <w:shd w:val="clear" w:color="auto" w:fill="FFFFFF"/>
        </w:rPr>
        <w:t>Smith v. Brain Leech &amp; Co</w:t>
      </w:r>
      <w:r w:rsidRPr="750671CE">
        <w:rPr>
          <w:rFonts w:ascii="Times New Roman" w:eastAsia="Times New Roman" w:hAnsi="Times New Roman" w:cs="Times New Roman"/>
          <w:shd w:val="clear" w:color="auto" w:fill="FFFFFF"/>
        </w:rPr>
        <w:t xml:space="preserve">., [1962] Q.B. 405. </w:t>
      </w:r>
    </w:p>
    <w:p w14:paraId="19573EA2" w14:textId="77777777" w:rsidR="0019206E" w:rsidRPr="0052300D" w:rsidRDefault="0019206E" w:rsidP="0019206E">
      <w:pPr>
        <w:rPr>
          <w:rFonts w:ascii="Times New Roman" w:hAnsi="Times New Roman" w:cs="Times New Roman"/>
          <w:shd w:val="clear" w:color="auto" w:fill="FFFFFF"/>
        </w:rPr>
      </w:pPr>
    </w:p>
    <w:p w14:paraId="430A7D42" w14:textId="7BC4F7EA" w:rsidR="0019206E" w:rsidRPr="0052300D" w:rsidRDefault="0019206E" w:rsidP="750671CE">
      <w:pPr>
        <w:ind w:firstLine="720"/>
        <w:rPr>
          <w:rFonts w:ascii="Times New Roman" w:eastAsia="Times New Roman" w:hAnsi="Times New Roman" w:cs="Times New Roman"/>
        </w:rPr>
      </w:pPr>
      <w:r w:rsidRPr="750671CE">
        <w:rPr>
          <w:rFonts w:ascii="Times New Roman" w:eastAsia="Times New Roman" w:hAnsi="Times New Roman" w:cs="Times New Roman"/>
          <w:shd w:val="clear" w:color="auto" w:fill="FFFFFF"/>
        </w:rPr>
        <w:t xml:space="preserve">Judge Henry Friendly reached a slightly different conclusion when faced with a similar vulnerable plaintiff case. In </w:t>
      </w:r>
      <w:r w:rsidRPr="750671CE">
        <w:rPr>
          <w:rFonts w:ascii="Times New Roman" w:eastAsia="Times New Roman" w:hAnsi="Times New Roman" w:cs="Times New Roman"/>
          <w:i/>
          <w:iCs/>
          <w:shd w:val="clear" w:color="auto" w:fill="FFFFFF"/>
        </w:rPr>
        <w:t>Steinhauser v. Hertz Corp</w:t>
      </w:r>
      <w:r w:rsidRPr="750671CE">
        <w:rPr>
          <w:rFonts w:ascii="Times New Roman" w:eastAsia="Times New Roman" w:hAnsi="Times New Roman" w:cs="Times New Roman"/>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750671CE">
        <w:rPr>
          <w:rFonts w:ascii="Times New Roman" w:eastAsia="Times New Roman" w:hAnsi="Times New Roman" w:cs="Times New Roman"/>
          <w:shd w:val="clear" w:color="auto" w:fill="FFFFFF"/>
        </w:rPr>
        <w:t xml:space="preserve">ring event theory of causation, </w:t>
      </w:r>
      <w:r w:rsidRPr="750671CE">
        <w:rPr>
          <w:rFonts w:ascii="Times New Roman" w:eastAsia="Times New Roman" w:hAnsi="Times New Roman" w:cs="Times New Roman"/>
          <w:shd w:val="clear" w:color="auto" w:fill="FFFFFF"/>
        </w:rPr>
        <w:t xml:space="preserve">that argument would in fact affect the damages they could receive. He wrote, </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if a defendant </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succeeds in establishing that the plaintiff</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s pre-existing condition was bound to worsen an appropriate discount should be made for the damages that would have been suffered even in the absence of the defendant</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s negligence.</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 xml:space="preserve">  </w:t>
      </w:r>
      <w:r w:rsidRPr="750671CE">
        <w:rPr>
          <w:rFonts w:ascii="Times New Roman" w:eastAsia="Times New Roman" w:hAnsi="Times New Roman" w:cs="Times New Roman"/>
          <w:i/>
          <w:iCs/>
          <w:shd w:val="clear" w:color="auto" w:fill="FFFFFF"/>
        </w:rPr>
        <w:t>Steinhauser v. Hertz Corp</w:t>
      </w:r>
      <w:r w:rsidRPr="750671CE">
        <w:rPr>
          <w:rFonts w:ascii="Times New Roman" w:eastAsia="Times New Roman" w:hAnsi="Times New Roman" w:cs="Times New Roman"/>
          <w:shd w:val="clear" w:color="auto" w:fill="FFFFFF"/>
        </w:rPr>
        <w:t xml:space="preserve">., 421 F.2d 1169, 1173-74 (2d Cir. 1970). </w:t>
      </w:r>
    </w:p>
    <w:p w14:paraId="047418FF" w14:textId="77777777" w:rsidR="0019206E" w:rsidRPr="0052300D" w:rsidRDefault="0019206E" w:rsidP="0019206E">
      <w:pPr>
        <w:ind w:firstLine="720"/>
        <w:rPr>
          <w:rFonts w:ascii="Times New Roman" w:hAnsi="Times New Roman" w:cs="Times New Roman"/>
          <w:shd w:val="clear" w:color="auto" w:fill="FFFFFF"/>
        </w:rPr>
      </w:pPr>
    </w:p>
    <w:p w14:paraId="74EF997E" w14:textId="78F88BB8" w:rsidR="0019206E" w:rsidRPr="0052300D" w:rsidRDefault="0019206E" w:rsidP="750671CE">
      <w:pPr>
        <w:ind w:firstLine="720"/>
        <w:rPr>
          <w:rFonts w:ascii="Times New Roman" w:eastAsia="Times New Roman" w:hAnsi="Times New Roman" w:cs="Times New Roman"/>
        </w:rPr>
      </w:pPr>
      <w:r w:rsidRPr="750671CE">
        <w:rPr>
          <w:rFonts w:ascii="Times New Roman" w:eastAsia="Times New Roman" w:hAnsi="Times New Roman" w:cs="Times New Roman"/>
          <w:shd w:val="clear" w:color="auto" w:fill="FFFFFF"/>
        </w:rPr>
        <w:t>If we agree that eggshell skull plaintiffs should be able to recover, what is the appropriate measure of damages? Should courts attempt to calculate the probability that some other event might have triggered the plaintiff</w:t>
      </w:r>
      <w:r w:rsidR="00B05F31">
        <w:rPr>
          <w:rFonts w:ascii="Times New Roman" w:eastAsia="Times New Roman" w:hAnsi="Times New Roman" w:cs="Times New Roman"/>
          <w:shd w:val="clear" w:color="auto" w:fill="FFFFFF"/>
        </w:rPr>
        <w:t>’</w:t>
      </w:r>
      <w:r w:rsidRPr="750671CE">
        <w:rPr>
          <w:rFonts w:ascii="Times New Roman" w:eastAsia="Times New Roman" w:hAnsi="Times New Roman" w:cs="Times New Roman"/>
          <w:shd w:val="clear" w:color="auto" w:fill="FFFFFF"/>
        </w:rPr>
        <w:t>s underlying vulnerability? Over what time horizon should the court run this calculation?</w:t>
      </w:r>
    </w:p>
    <w:p w14:paraId="26E07315" w14:textId="77777777" w:rsidR="0019206E" w:rsidRPr="0052300D" w:rsidRDefault="0019206E" w:rsidP="0019206E">
      <w:pPr>
        <w:rPr>
          <w:rFonts w:ascii="Times New Roman" w:hAnsi="Times New Roman" w:cs="Times New Roman"/>
          <w:shd w:val="clear" w:color="auto" w:fill="FFFFFF"/>
        </w:rPr>
      </w:pPr>
    </w:p>
    <w:p w14:paraId="0BABAD4C" w14:textId="77777777" w:rsidR="0019206E" w:rsidRPr="0052300D" w:rsidRDefault="0019206E" w:rsidP="0019206E">
      <w:pPr>
        <w:rPr>
          <w:rFonts w:ascii="Times New Roman" w:hAnsi="Times New Roman" w:cs="Times New Roman"/>
          <w:shd w:val="clear" w:color="auto" w:fill="FFFFFF"/>
        </w:rPr>
      </w:pPr>
    </w:p>
    <w:p w14:paraId="5423E6B8" w14:textId="5831AB3B" w:rsidR="0019206E" w:rsidRPr="00F94B7E" w:rsidRDefault="750671CE" w:rsidP="00F94B7E">
      <w:pPr>
        <w:pStyle w:val="ListParagraph"/>
        <w:numPr>
          <w:ilvl w:val="0"/>
          <w:numId w:val="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B05F31">
        <w:rPr>
          <w:rFonts w:ascii="Times New Roman" w:eastAsia="Times New Roman" w:hAnsi="Times New Roman" w:cs="Times New Roman"/>
          <w:i/>
          <w:iCs/>
        </w:rPr>
        <w:t>“</w:t>
      </w:r>
      <w:r w:rsidR="00FB68F4">
        <w:rPr>
          <w:rFonts w:ascii="Times New Roman" w:eastAsia="Times New Roman" w:hAnsi="Times New Roman" w:cs="Times New Roman"/>
          <w:i/>
          <w:iCs/>
        </w:rPr>
        <w:t>h</w:t>
      </w:r>
      <w:r w:rsidRPr="00F94B7E">
        <w:rPr>
          <w:rFonts w:ascii="Times New Roman" w:eastAsia="Times New Roman" w:hAnsi="Times New Roman" w:cs="Times New Roman"/>
          <w:i/>
          <w:iCs/>
        </w:rPr>
        <w:t xml:space="preserve">arm </w:t>
      </w:r>
      <w:r w:rsidR="00FB68F4">
        <w:rPr>
          <w:rFonts w:ascii="Times New Roman" w:eastAsia="Times New Roman" w:hAnsi="Times New Roman" w:cs="Times New Roman"/>
          <w:i/>
          <w:iCs/>
        </w:rPr>
        <w:t>w</w:t>
      </w:r>
      <w:r w:rsidRPr="00F94B7E">
        <w:rPr>
          <w:rFonts w:ascii="Times New Roman" w:eastAsia="Times New Roman" w:hAnsi="Times New Roman" w:cs="Times New Roman"/>
          <w:i/>
          <w:iCs/>
        </w:rPr>
        <w:t xml:space="preserve">ithin the </w:t>
      </w:r>
      <w:r w:rsidR="00FB68F4">
        <w:rPr>
          <w:rFonts w:ascii="Times New Roman" w:eastAsia="Times New Roman" w:hAnsi="Times New Roman" w:cs="Times New Roman"/>
          <w:i/>
          <w:iCs/>
        </w:rPr>
        <w:t>r</w:t>
      </w:r>
      <w:r w:rsidRPr="00F94B7E">
        <w:rPr>
          <w:rFonts w:ascii="Times New Roman" w:eastAsia="Times New Roman" w:hAnsi="Times New Roman" w:cs="Times New Roman"/>
          <w:i/>
          <w:iCs/>
        </w:rPr>
        <w:t>isk</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 </w:t>
      </w:r>
      <w:r w:rsidR="00FB68F4">
        <w:rPr>
          <w:rFonts w:ascii="Times New Roman" w:eastAsia="Times New Roman" w:hAnsi="Times New Roman" w:cs="Times New Roman"/>
          <w:i/>
          <w:iCs/>
        </w:rPr>
        <w:t>t</w:t>
      </w:r>
      <w:r w:rsidRPr="00F94B7E">
        <w:rPr>
          <w:rFonts w:ascii="Times New Roman" w:eastAsia="Times New Roman" w:hAnsi="Times New Roman" w:cs="Times New Roman"/>
          <w:i/>
          <w:iCs/>
        </w:rPr>
        <w:t>est.</w:t>
      </w:r>
      <w:r w:rsidRPr="00F94B7E">
        <w:rPr>
          <w:rFonts w:ascii="Times New Roman" w:eastAsia="Times New Roman" w:hAnsi="Times New Roman" w:cs="Times New Roman"/>
        </w:rPr>
        <w:t xml:space="preserve">  Imagine that an exterminator leaves a container of rat poison unlabeled near a stove.  Imagine further that it was wrongful or negligent to have done so because the poison might find its way into food.  Then, when the stove is lit, the container of rat poison explodes.  Is the defendant liable for the burns suffered by the chef?  </w:t>
      </w:r>
      <w:r w:rsidRPr="00F94B7E">
        <w:rPr>
          <w:rFonts w:ascii="Times New Roman" w:eastAsia="Times New Roman" w:hAnsi="Times New Roman" w:cs="Times New Roman"/>
          <w:i/>
          <w:iCs/>
        </w:rPr>
        <w:t>See Larrimore v. American National Ins. Co</w:t>
      </w:r>
      <w:r w:rsidRPr="00F94B7E">
        <w:rPr>
          <w:rFonts w:ascii="Times New Roman" w:eastAsia="Times New Roman" w:hAnsi="Times New Roman" w:cs="Times New Roman"/>
        </w:rPr>
        <w:t>., 89 P.2d 340 (Ok</w:t>
      </w:r>
      <w:r w:rsidR="003F1CC6" w:rsidRPr="00F94B7E">
        <w:rPr>
          <w:rFonts w:ascii="Times New Roman" w:eastAsia="Times New Roman" w:hAnsi="Times New Roman" w:cs="Times New Roman"/>
        </w:rPr>
        <w:t>la</w:t>
      </w:r>
      <w:r w:rsidRPr="00F94B7E">
        <w:rPr>
          <w:rFonts w:ascii="Times New Roman" w:eastAsia="Times New Roman" w:hAnsi="Times New Roman" w:cs="Times New Roman"/>
        </w:rPr>
        <w:t xml:space="preserve">. 1939).  The conventional answer is no: the negligence in question inhered in the risk of poisoning, not the risk of exploding.  </w:t>
      </w:r>
    </w:p>
    <w:p w14:paraId="0056FDD5" w14:textId="77777777" w:rsidR="0019206E" w:rsidRDefault="0019206E" w:rsidP="0019206E">
      <w:pPr>
        <w:rPr>
          <w:rFonts w:ascii="Times New Roman" w:hAnsi="Times New Roman" w:cs="Times New Roman"/>
        </w:rPr>
      </w:pPr>
    </w:p>
    <w:p w14:paraId="245497D1" w14:textId="0D55E544" w:rsidR="0019206E" w:rsidRDefault="0019206E" w:rsidP="750671CE">
      <w:pPr>
        <w:rPr>
          <w:rFonts w:ascii="Times New Roman" w:eastAsia="Times New Roman" w:hAnsi="Times New Roman" w:cs="Times New Roman"/>
        </w:rPr>
      </w:pPr>
      <w:r>
        <w:rPr>
          <w:rFonts w:ascii="Times New Roman" w:hAnsi="Times New Roman" w:cs="Times New Roman"/>
        </w:rPr>
        <w:tab/>
      </w:r>
      <w:r w:rsidRPr="750671CE">
        <w:rPr>
          <w:rFonts w:ascii="Times New Roman" w:eastAsia="Times New Roman" w:hAnsi="Times New Roman" w:cs="Times New Roman"/>
        </w:rPr>
        <w:t>One way to explain this is to say that the harm of which the plaintiff complains must be within the risk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wrongful conduct produced.  Indeed, for a century leading jurists have offered this </w:t>
      </w:r>
      <w:r w:rsidR="00B05F31">
        <w:rPr>
          <w:rFonts w:ascii="Times New Roman" w:eastAsia="Times New Roman" w:hAnsi="Times New Roman" w:cs="Times New Roman"/>
        </w:rPr>
        <w:t>“</w:t>
      </w:r>
      <w:r w:rsidRPr="750671CE">
        <w:rPr>
          <w:rFonts w:ascii="Times New Roman" w:eastAsia="Times New Roman" w:hAnsi="Times New Roman" w:cs="Times New Roman"/>
        </w:rPr>
        <w:t>harm within the risk</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principle as a way to explain the limits of liability.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Joseph Bingham, </w:t>
      </w:r>
      <w:r w:rsidRPr="750671CE">
        <w:rPr>
          <w:rFonts w:ascii="Times New Roman" w:eastAsia="Times New Roman" w:hAnsi="Times New Roman" w:cs="Times New Roman"/>
          <w:i/>
          <w:iCs/>
        </w:rPr>
        <w:t xml:space="preserve">Some Suggestions Concerning </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Legal Cause</w:t>
      </w:r>
      <w:r w:rsidR="00B05F31">
        <w:rPr>
          <w:rFonts w:ascii="Times New Roman" w:eastAsia="Times New Roman" w:hAnsi="Times New Roman" w:cs="Times New Roman"/>
          <w:i/>
          <w:iCs/>
        </w:rPr>
        <w:t>”</w:t>
      </w:r>
      <w:r w:rsidRPr="750671CE">
        <w:rPr>
          <w:rFonts w:ascii="Times New Roman" w:eastAsia="Times New Roman" w:hAnsi="Times New Roman" w:cs="Times New Roman"/>
          <w:i/>
          <w:iCs/>
        </w:rPr>
        <w:t xml:space="preserve"> at Common Law (Pt. 1)</w:t>
      </w:r>
      <w:r w:rsidRPr="750671CE">
        <w:rPr>
          <w:rFonts w:ascii="Times New Roman" w:eastAsia="Times New Roman" w:hAnsi="Times New Roman" w:cs="Times New Roman"/>
        </w:rPr>
        <w:t xml:space="preserve">, 9 </w:t>
      </w:r>
      <w:r w:rsidRPr="750671CE">
        <w:rPr>
          <w:rFonts w:ascii="Times New Roman" w:eastAsia="Times New Roman" w:hAnsi="Times New Roman" w:cs="Times New Roman"/>
          <w:smallCaps/>
        </w:rPr>
        <w:t>Colum. L. Rev.</w:t>
      </w:r>
      <w:r w:rsidRPr="750671CE">
        <w:rPr>
          <w:rFonts w:ascii="Times New Roman" w:eastAsia="Times New Roman" w:hAnsi="Times New Roman" w:cs="Times New Roman"/>
        </w:rPr>
        <w:t xml:space="preserve"> 16 (1909).  Given the awkwardness of alternative tests such as directness and foreseeability, many have hoped that harm-within-the-risk might offer a substitute test for proximate causation.  The Third Restatement asks </w:t>
      </w:r>
      <w:r w:rsidR="00B05F31">
        <w:rPr>
          <w:rFonts w:ascii="Times New Roman" w:eastAsia="Times New Roman" w:hAnsi="Times New Roman" w:cs="Times New Roman"/>
        </w:rPr>
        <w:t>“</w:t>
      </w:r>
      <w:r w:rsidRPr="750671CE">
        <w:rPr>
          <w:rFonts w:ascii="Times New Roman" w:eastAsia="Times New Roman" w:hAnsi="Times New Roman" w:cs="Times New Roman"/>
        </w:rPr>
        <w:t>whether there is an intuitive relationship between the act(s) alleged and the damages at issue (that is, whether the conduct was wrongful because that type of damage might result).</w:t>
      </w:r>
      <w:r w:rsidR="00B05F31">
        <w:rPr>
          <w:rFonts w:ascii="Times New Roman" w:eastAsia="Times New Roman" w:hAnsi="Times New Roman" w:cs="Times New Roman"/>
        </w:rPr>
        <w:t>”</w:t>
      </w:r>
      <w:r w:rsidRPr="00E123CC">
        <w:t xml:space="preserve"> </w:t>
      </w:r>
      <w:r w:rsidRPr="750671CE">
        <w:rPr>
          <w:rFonts w:ascii="Times New Roman" w:eastAsia="Times New Roman" w:hAnsi="Times New Roman" w:cs="Times New Roman"/>
          <w:smallCaps/>
        </w:rPr>
        <w:t>Restatement (Third) of Torts: Liab. for Phys. and Emot. Harm,</w:t>
      </w:r>
      <w:r w:rsidRPr="750671CE">
        <w:rPr>
          <w:rFonts w:ascii="Times New Roman" w:eastAsia="Times New Roman" w:hAnsi="Times New Roman" w:cs="Times New Roman"/>
        </w:rPr>
        <w:t xml:space="preserve"> §</w:t>
      </w:r>
      <w:r w:rsidR="00D42C49"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29 (2010). </w:t>
      </w:r>
    </w:p>
    <w:p w14:paraId="5C50F2AF" w14:textId="77777777" w:rsidR="0019206E" w:rsidRPr="00E123CC" w:rsidRDefault="0019206E" w:rsidP="0019206E">
      <w:pPr>
        <w:rPr>
          <w:rFonts w:ascii="Times New Roman" w:hAnsi="Times New Roman" w:cs="Times New Roman"/>
        </w:rPr>
      </w:pPr>
    </w:p>
    <w:p w14:paraId="287B0FEC" w14:textId="7302CFEB" w:rsidR="0019206E" w:rsidRDefault="0019206E" w:rsidP="750671CE">
      <w:pPr>
        <w:rPr>
          <w:rFonts w:ascii="Times New Roman" w:eastAsia="Times New Roman" w:hAnsi="Times New Roman" w:cs="Times New Roman"/>
        </w:rPr>
      </w:pPr>
      <w:r w:rsidRPr="00E123CC">
        <w:rPr>
          <w:rFonts w:ascii="Times New Roman" w:hAnsi="Times New Roman" w:cs="Times New Roman"/>
        </w:rPr>
        <w:tab/>
      </w:r>
      <w:r w:rsidRPr="750671CE">
        <w:rPr>
          <w:rFonts w:ascii="Times New Roman" w:eastAsia="Times New Roman" w:hAnsi="Times New Roman" w:cs="Times New Roman"/>
        </w:rPr>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rPr>
          <w:rFonts w:ascii="Times New Roman" w:eastAsia="Times New Roman" w:hAnsi="Times New Roman" w:cs="Times New Roman"/>
        </w:rPr>
        <w:t>“</w:t>
      </w:r>
      <w:r w:rsidRPr="750671CE">
        <w:rPr>
          <w:rFonts w:ascii="Times New Roman" w:eastAsia="Times New Roman" w:hAnsi="Times New Roman" w:cs="Times New Roman"/>
        </w:rPr>
        <w:t>physical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narrowly as </w:t>
      </w:r>
      <w:r w:rsidR="00B05F31">
        <w:rPr>
          <w:rFonts w:ascii="Times New Roman" w:eastAsia="Times New Roman" w:hAnsi="Times New Roman" w:cs="Times New Roman"/>
        </w:rPr>
        <w:t>“</w:t>
      </w:r>
      <w:r w:rsidRPr="750671CE">
        <w:rPr>
          <w:rFonts w:ascii="Times New Roman" w:eastAsia="Times New Roman" w:hAnsi="Times New Roman" w:cs="Times New Roman"/>
        </w:rPr>
        <w:t>choking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141E9D3D" w14:textId="77777777" w:rsidR="0019206E" w:rsidRPr="00E123CC" w:rsidRDefault="0019206E" w:rsidP="0019206E">
      <w:pPr>
        <w:rPr>
          <w:rFonts w:ascii="Times New Roman" w:hAnsi="Times New Roman" w:cs="Times New Roman"/>
        </w:rPr>
      </w:pPr>
    </w:p>
    <w:p w14:paraId="7582F217" w14:textId="0482EC4D" w:rsidR="0019206E" w:rsidRPr="00F9706E" w:rsidRDefault="0019206E" w:rsidP="750671CE">
      <w:pPr>
        <w:rPr>
          <w:rFonts w:ascii="Times New Roman" w:eastAsia="Times New Roman" w:hAnsi="Times New Roman" w:cs="Times New Roman"/>
        </w:rPr>
      </w:pPr>
      <w:r w:rsidRPr="00E123CC">
        <w:rPr>
          <w:rFonts w:ascii="Times New Roman" w:hAnsi="Times New Roman" w:cs="Times New Roman"/>
        </w:rPr>
        <w:tab/>
      </w:r>
      <w:r w:rsidRPr="750671CE">
        <w:rPr>
          <w:rFonts w:ascii="Times New Roman" w:eastAsia="Times New Roman" w:hAnsi="Times New Roman" w:cs="Times New Roman"/>
        </w:rPr>
        <w:t xml:space="preserve">Another difficulty with the harm within the risk test might be that it has difficulty explaining some of the cases.  Is the eggshell skull plaintiff rule from </w:t>
      </w:r>
      <w:r w:rsidRPr="750671CE">
        <w:rPr>
          <w:rFonts w:ascii="Times New Roman" w:eastAsia="Times New Roman" w:hAnsi="Times New Roman" w:cs="Times New Roman"/>
          <w:i/>
          <w:iCs/>
        </w:rPr>
        <w:t>Benn</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v. Thomas</w:t>
      </w:r>
      <w:r w:rsidRPr="750671CE">
        <w:rPr>
          <w:rFonts w:ascii="Times New Roman" w:eastAsia="Times New Roman" w:hAnsi="Times New Roman" w:cs="Times New Roman"/>
        </w:rPr>
        <w:t xml:space="preserve"> reconcilable with the harm within the risk principle?  How about the </w:t>
      </w:r>
      <w:r w:rsidRPr="750671CE">
        <w:rPr>
          <w:rFonts w:ascii="Times New Roman" w:eastAsia="Times New Roman" w:hAnsi="Times New Roman" w:cs="Times New Roman"/>
          <w:i/>
          <w:iCs/>
        </w:rPr>
        <w:t>Polemis</w:t>
      </w:r>
      <w:r w:rsidRPr="750671CE">
        <w:rPr>
          <w:rFonts w:ascii="Times New Roman" w:eastAsia="Times New Roman" w:hAnsi="Times New Roman" w:cs="Times New Roman"/>
        </w:rPr>
        <w:t xml:space="preserve"> case?  For criticism of the harm within the risk principle, see Heidi M. Hurd </w:t>
      </w:r>
      <w:r w:rsidR="00EE6920">
        <w:rPr>
          <w:rFonts w:ascii="Times New Roman" w:eastAsia="Times New Roman" w:hAnsi="Times New Roman" w:cs="Times New Roman"/>
        </w:rPr>
        <w:t>&amp;</w:t>
      </w:r>
      <w:r w:rsidR="00EE6920" w:rsidRPr="750671CE">
        <w:rPr>
          <w:rFonts w:ascii="Times New Roman" w:eastAsia="Times New Roman" w:hAnsi="Times New Roman" w:cs="Times New Roman"/>
        </w:rPr>
        <w:t xml:space="preserve"> </w:t>
      </w:r>
      <w:r w:rsidRPr="750671CE">
        <w:rPr>
          <w:rFonts w:ascii="Times New Roman" w:eastAsia="Times New Roman" w:hAnsi="Times New Roman" w:cs="Times New Roman"/>
        </w:rPr>
        <w:t xml:space="preserve">Michael S. Moore, </w:t>
      </w:r>
      <w:r w:rsidRPr="750671CE">
        <w:rPr>
          <w:rFonts w:ascii="Times New Roman" w:eastAsia="Times New Roman" w:hAnsi="Times New Roman" w:cs="Times New Roman"/>
          <w:i/>
          <w:iCs/>
        </w:rPr>
        <w:t>Negligence in the Air</w:t>
      </w:r>
      <w:r w:rsidRPr="750671CE">
        <w:rPr>
          <w:rFonts w:ascii="Times New Roman" w:eastAsia="Times New Roman" w:hAnsi="Times New Roman" w:cs="Times New Roman"/>
        </w:rPr>
        <w:t xml:space="preserve">, 3 </w:t>
      </w:r>
      <w:r w:rsidRPr="750671CE">
        <w:rPr>
          <w:rFonts w:ascii="Times New Roman" w:eastAsia="Times New Roman" w:hAnsi="Times New Roman" w:cs="Times New Roman"/>
          <w:smallCaps/>
        </w:rPr>
        <w:t>Theoretical Inq. L.</w:t>
      </w:r>
      <w:r w:rsidRPr="750671CE">
        <w:rPr>
          <w:rFonts w:ascii="Times New Roman" w:eastAsia="Times New Roman" w:hAnsi="Times New Roman" w:cs="Times New Roman"/>
        </w:rPr>
        <w:t xml:space="preserve"> 33 (2002).</w:t>
      </w:r>
    </w:p>
    <w:p w14:paraId="3B8E60C1" w14:textId="77777777" w:rsidR="0019206E" w:rsidRPr="0052300D" w:rsidRDefault="0019206E" w:rsidP="0019206E">
      <w:pPr>
        <w:rPr>
          <w:rFonts w:ascii="Times New Roman" w:hAnsi="Times New Roman" w:cs="Times New Roman"/>
        </w:rPr>
      </w:pPr>
    </w:p>
    <w:p w14:paraId="6022A474" w14:textId="77777777" w:rsidR="0019206E" w:rsidRPr="0052300D" w:rsidRDefault="0019206E" w:rsidP="0019206E">
      <w:pPr>
        <w:ind w:firstLine="720"/>
        <w:rPr>
          <w:rFonts w:ascii="Times New Roman" w:hAnsi="Times New Roman" w:cs="Times New Roman"/>
        </w:rPr>
      </w:pPr>
    </w:p>
    <w:p w14:paraId="2C0BD5E7" w14:textId="0A2B34E8" w:rsidR="0019206E" w:rsidRPr="0052300D" w:rsidRDefault="00213F5C" w:rsidP="00C817D4">
      <w:pPr>
        <w:pStyle w:val="Heading2"/>
      </w:pPr>
      <w:bookmarkStart w:id="692" w:name="_Toc364636191"/>
      <w:bookmarkStart w:id="693" w:name="_Toc518323422"/>
      <w:r>
        <w:t xml:space="preserve">C. </w:t>
      </w:r>
      <w:r w:rsidR="0019206E" w:rsidRPr="0052300D">
        <w:t>Unexpected Manner</w:t>
      </w:r>
      <w:bookmarkEnd w:id="692"/>
      <w:bookmarkEnd w:id="693"/>
    </w:p>
    <w:p w14:paraId="5D19B7A3" w14:textId="77777777" w:rsidR="0019206E" w:rsidRPr="0052300D" w:rsidRDefault="0019206E" w:rsidP="0019206E">
      <w:pPr>
        <w:rPr>
          <w:rFonts w:ascii="Times New Roman" w:hAnsi="Times New Roman" w:cs="Times New Roman"/>
        </w:rPr>
      </w:pPr>
    </w:p>
    <w:p w14:paraId="3EA6D550" w14:textId="1B1E452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Injuries sometimes happen in the darndest ways, and when they do</w:t>
      </w:r>
      <w:r w:rsidR="00EE6920">
        <w:rPr>
          <w:rFonts w:ascii="Times New Roman" w:eastAsia="Times New Roman" w:hAnsi="Times New Roman" w:cs="Times New Roman"/>
        </w:rPr>
        <w:t>,</w:t>
      </w:r>
      <w:r w:rsidRPr="750671CE">
        <w:rPr>
          <w:rFonts w:ascii="Times New Roman" w:eastAsia="Times New Roman" w:hAnsi="Times New Roman" w:cs="Times New Roman"/>
        </w:rPr>
        <w:t xml:space="preserve"> proximate causation questions often arise.  A recurring problem arises when intervening actors contribute to, aggravate, or are otherwise involved in the harm about which the plaintiff complains.  Consider the following classic example: </w:t>
      </w:r>
    </w:p>
    <w:p w14:paraId="21522386" w14:textId="77777777" w:rsidR="0019206E" w:rsidRPr="0052300D" w:rsidRDefault="0019206E" w:rsidP="0019206E">
      <w:pPr>
        <w:rPr>
          <w:rFonts w:ascii="Times New Roman" w:hAnsi="Times New Roman" w:cs="Times New Roman"/>
          <w:b/>
        </w:rPr>
      </w:pPr>
    </w:p>
    <w:p w14:paraId="67298DC4" w14:textId="77777777" w:rsidR="0019206E" w:rsidRPr="0052300D" w:rsidRDefault="0019206E" w:rsidP="0019206E">
      <w:pPr>
        <w:rPr>
          <w:rFonts w:ascii="Times New Roman" w:hAnsi="Times New Roman" w:cs="Times New Roman"/>
        </w:rPr>
      </w:pPr>
    </w:p>
    <w:p w14:paraId="403079FC" w14:textId="77777777" w:rsidR="0019206E" w:rsidRPr="0052300D" w:rsidRDefault="0019206E" w:rsidP="750671CE">
      <w:pPr>
        <w:rPr>
          <w:rFonts w:ascii="Times New Roman" w:eastAsia="Times New Roman" w:hAnsi="Times New Roman" w:cs="Times New Roman"/>
          <w:b/>
          <w:bCs/>
        </w:rPr>
      </w:pPr>
      <w:bookmarkStart w:id="694" w:name="_Toc518323423"/>
      <w:r w:rsidRPr="00634D66">
        <w:rPr>
          <w:rStyle w:val="Heading3Char"/>
          <w:i/>
        </w:rPr>
        <w:t>Brauer v. New York Cent. &amp; H.R.R. Co</w:t>
      </w:r>
      <w:bookmarkEnd w:id="694"/>
      <w:r w:rsidRPr="00634D66">
        <w:rPr>
          <w:rFonts w:ascii="Times New Roman" w:eastAsia="Times New Roman" w:hAnsi="Times New Roman" w:cs="Times New Roman"/>
          <w:b/>
          <w:bCs/>
          <w:i/>
        </w:rPr>
        <w:t>.</w:t>
      </w:r>
      <w:r w:rsidRPr="750671CE">
        <w:rPr>
          <w:rFonts w:ascii="Times New Roman" w:eastAsia="Times New Roman" w:hAnsi="Times New Roman" w:cs="Times New Roman"/>
          <w:b/>
          <w:bCs/>
        </w:rPr>
        <w:t>, 103 A. 166, 168 (N.J. 1918)</w:t>
      </w:r>
    </w:p>
    <w:p w14:paraId="1EC493F6" w14:textId="77777777" w:rsidR="0019206E" w:rsidRPr="0052300D" w:rsidRDefault="0019206E" w:rsidP="0019206E">
      <w:pPr>
        <w:rPr>
          <w:rFonts w:ascii="Times New Roman" w:hAnsi="Times New Roman" w:cs="Times New Roman"/>
        </w:rPr>
      </w:pPr>
    </w:p>
    <w:p w14:paraId="766D0EEB" w14:textId="27A31346"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This is a case of a grade crossing collision. . . .</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property. The controversy on the question of damages is as to the right of the plaintiff to recover the value of the barrels, cider, and blanket. . . .  It is . . . argued that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52300D" w:rsidRDefault="0019206E" w:rsidP="0019206E">
      <w:pPr>
        <w:rPr>
          <w:rFonts w:ascii="Times New Roman" w:hAnsi="Times New Roman" w:cs="Times New Roman"/>
        </w:rPr>
      </w:pPr>
    </w:p>
    <w:p w14:paraId="133D03F2" w14:textId="1700579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negligence which caused the collision resulted immediately in such a condition of the driver of the wagon that he was no longer able to protect his employer</w:t>
      </w:r>
      <w:r w:rsidR="00B05F31">
        <w:rPr>
          <w:rFonts w:ascii="Times New Roman" w:eastAsia="Times New Roman" w:hAnsi="Times New Roman" w:cs="Times New Roman"/>
        </w:rPr>
        <w:t>’</w:t>
      </w:r>
      <w:r w:rsidRPr="750671CE">
        <w:rPr>
          <w:rFonts w:ascii="Times New Roman" w:eastAsia="Times New Roman" w:hAnsi="Times New Roman" w:cs="Times New Roman"/>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52300D" w:rsidRDefault="0019206E" w:rsidP="0019206E">
      <w:pPr>
        <w:rPr>
          <w:rFonts w:ascii="Times New Roman" w:hAnsi="Times New Roman" w:cs="Times New Roman"/>
        </w:rPr>
      </w:pPr>
    </w:p>
    <w:p w14:paraId="24127F7A" w14:textId="4B16C771" w:rsidR="0019206E" w:rsidRPr="0052300D" w:rsidRDefault="0019206E" w:rsidP="750671CE">
      <w:pPr>
        <w:rPr>
          <w:rFonts w:ascii="Times New Roman" w:eastAsia="Times New Roman" w:hAnsi="Times New Roman" w:cs="Times New Roman"/>
        </w:rPr>
      </w:pPr>
      <w:r w:rsidRPr="0052300D">
        <w:rPr>
          <w:rFonts w:ascii="Times New Roman" w:hAnsi="Times New Roman" w:cs="Times New Roman"/>
        </w:rPr>
        <w:tab/>
      </w:r>
      <w:r w:rsidRPr="750671CE">
        <w:rPr>
          <w:rFonts w:ascii="Times New Roman" w:eastAsia="Times New Roman" w:hAnsi="Times New Roman" w:cs="Times New Roman"/>
        </w:rPr>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and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loss; the two causes were to all practical intent simultaneous and concurrent; it is rather a case of a joint tort than an intervening cause. . . .</w:t>
      </w:r>
    </w:p>
    <w:p w14:paraId="74B1278F" w14:textId="77777777" w:rsidR="0019206E" w:rsidRPr="0052300D" w:rsidRDefault="0019206E" w:rsidP="0019206E">
      <w:pPr>
        <w:rPr>
          <w:rFonts w:ascii="Times New Roman" w:hAnsi="Times New Roman" w:cs="Times New Roman"/>
        </w:rPr>
      </w:pPr>
    </w:p>
    <w:p w14:paraId="4B479AA6"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is affirmed, with costs.</w:t>
      </w:r>
    </w:p>
    <w:p w14:paraId="1504BC55" w14:textId="77777777" w:rsidR="0019206E" w:rsidRPr="0052300D" w:rsidRDefault="0019206E" w:rsidP="0019206E">
      <w:pPr>
        <w:rPr>
          <w:rFonts w:ascii="Times New Roman" w:hAnsi="Times New Roman" w:cs="Times New Roman"/>
        </w:rPr>
      </w:pPr>
    </w:p>
    <w:p w14:paraId="71B9BD2D" w14:textId="516674F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smallCaps/>
        </w:rPr>
        <w:t>Garrison</w:t>
      </w:r>
      <w:r w:rsidRPr="750671CE">
        <w:rPr>
          <w:rFonts w:ascii="Times New Roman" w:eastAsia="Times New Roman" w:hAnsi="Times New Roman" w:cs="Times New Roman"/>
        </w:rPr>
        <w:t>, J.</w:t>
      </w:r>
      <w:r w:rsidR="00D46E0D">
        <w:rPr>
          <w:rFonts w:ascii="Times New Roman" w:eastAsia="Times New Roman" w:hAnsi="Times New Roman" w:cs="Times New Roman"/>
        </w:rPr>
        <w:t xml:space="preserve">, </w:t>
      </w:r>
      <w:r w:rsidRPr="750671CE">
        <w:rPr>
          <w:rFonts w:ascii="Times New Roman" w:eastAsia="Times New Roman" w:hAnsi="Times New Roman" w:cs="Times New Roman"/>
        </w:rPr>
        <w:t>dissenting.</w:t>
      </w:r>
    </w:p>
    <w:p w14:paraId="7D9B5F4E" w14:textId="77777777" w:rsidR="0019206E" w:rsidRPr="0052300D" w:rsidRDefault="0019206E" w:rsidP="0019206E">
      <w:pPr>
        <w:rPr>
          <w:rFonts w:ascii="Times New Roman" w:hAnsi="Times New Roman" w:cs="Times New Roman"/>
        </w:rPr>
      </w:pPr>
    </w:p>
    <w:p w14:paraId="4CA42C32"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criminal intervention should be foreseen, for this implies that crime is to be presumed, and the law is directly otherwise. . . . </w:t>
      </w:r>
    </w:p>
    <w:p w14:paraId="5140538E" w14:textId="77777777" w:rsidR="0019206E" w:rsidRDefault="0019206E" w:rsidP="0019206E">
      <w:pPr>
        <w:rPr>
          <w:rFonts w:ascii="Times New Roman" w:hAnsi="Times New Roman" w:cs="Times New Roman"/>
        </w:rPr>
      </w:pPr>
    </w:p>
    <w:p w14:paraId="6ED719DF" w14:textId="77777777" w:rsidR="00C04514" w:rsidRPr="0052300D" w:rsidRDefault="00C04514" w:rsidP="0019206E">
      <w:pPr>
        <w:rPr>
          <w:rFonts w:ascii="Times New Roman" w:hAnsi="Times New Roman" w:cs="Times New Roman"/>
        </w:rPr>
      </w:pPr>
    </w:p>
    <w:p w14:paraId="2BD23CD0" w14:textId="77777777" w:rsidR="0019206E" w:rsidRPr="0052300D" w:rsidRDefault="0019206E" w:rsidP="002502CC">
      <w:pPr>
        <w:pStyle w:val="Heading4"/>
      </w:pPr>
      <w:bookmarkStart w:id="695" w:name="_Toc364636192"/>
      <w:bookmarkStart w:id="696" w:name="_Toc518323424"/>
      <w:r w:rsidRPr="0052300D">
        <w:t>Notes</w:t>
      </w:r>
      <w:bookmarkEnd w:id="695"/>
      <w:bookmarkEnd w:id="696"/>
    </w:p>
    <w:p w14:paraId="3B73C351" w14:textId="77777777" w:rsidR="0019206E" w:rsidRDefault="0019206E" w:rsidP="0019206E">
      <w:pPr>
        <w:rPr>
          <w:rFonts w:ascii="Times New Roman" w:hAnsi="Times New Roman" w:cs="Times New Roman"/>
        </w:rPr>
      </w:pPr>
    </w:p>
    <w:p w14:paraId="4D087BDE" w14:textId="77777777" w:rsidR="00C04514" w:rsidRPr="0052300D" w:rsidRDefault="00C04514" w:rsidP="0019206E">
      <w:pPr>
        <w:rPr>
          <w:rFonts w:ascii="Times New Roman" w:hAnsi="Times New Roman" w:cs="Times New Roman"/>
        </w:rPr>
      </w:pPr>
    </w:p>
    <w:p w14:paraId="6318C667" w14:textId="5BA725D9" w:rsidR="0019206E" w:rsidRPr="00F94B7E" w:rsidRDefault="750671CE" w:rsidP="00F94B7E">
      <w:pPr>
        <w:pStyle w:val="ListParagraph"/>
        <w:numPr>
          <w:ilvl w:val="0"/>
          <w:numId w:val="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rationale?</w:t>
      </w:r>
      <w:r w:rsidRPr="00F94B7E">
        <w:rPr>
          <w:rFonts w:ascii="Times New Roman" w:eastAsia="Times New Roman" w:hAnsi="Times New Roman" w:cs="Times New Roman"/>
        </w:rPr>
        <w:t xml:space="preserve">  What is the court</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rationale for extending the damages to the loss of the cider?  Does it matter that the driver was stunned?  </w:t>
      </w:r>
    </w:p>
    <w:p w14:paraId="48803E4D" w14:textId="77777777" w:rsidR="0019206E" w:rsidRPr="00A86835" w:rsidRDefault="0019206E" w:rsidP="0019206E">
      <w:pPr>
        <w:rPr>
          <w:rFonts w:ascii="Times New Roman" w:hAnsi="Times New Roman" w:cs="Times New Roman"/>
        </w:rPr>
      </w:pPr>
    </w:p>
    <w:p w14:paraId="7AE2E47D" w14:textId="77777777" w:rsidR="0019206E" w:rsidRPr="00A86835" w:rsidRDefault="0019206E" w:rsidP="0019206E">
      <w:pPr>
        <w:rPr>
          <w:rFonts w:ascii="Times New Roman" w:hAnsi="Times New Roman" w:cs="Times New Roman"/>
        </w:rPr>
      </w:pPr>
    </w:p>
    <w:p w14:paraId="6D648B6A" w14:textId="3280F8D9" w:rsidR="0019206E" w:rsidRPr="00F94B7E" w:rsidRDefault="750671CE" w:rsidP="00F94B7E">
      <w:pPr>
        <w:pStyle w:val="ListParagraph"/>
        <w:numPr>
          <w:ilvl w:val="0"/>
          <w:numId w:val="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Bealism to the rescue?  </w:t>
      </w:r>
      <w:r w:rsidRPr="00F94B7E">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F94B7E">
        <w:rPr>
          <w:rFonts w:ascii="Times New Roman" w:eastAsia="Times New Roman" w:hAnsi="Times New Roman" w:cs="Times New Roman"/>
          <w:i/>
          <w:iCs/>
          <w:color w:val="000000" w:themeColor="text1"/>
        </w:rPr>
        <w:t>Pittsburg Reduction Co. v. Horton</w:t>
      </w:r>
      <w:r w:rsidRPr="00F94B7E">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 knew that the caps were for some kind of explosive, even if she didn</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mother</w:t>
      </w:r>
      <w:r w:rsidR="00B05F31">
        <w:rPr>
          <w:rFonts w:ascii="Times New Roman" w:eastAsia="Times New Roman" w:hAnsi="Times New Roman" w:cs="Times New Roman"/>
          <w:color w:val="000000" w:themeColor="text1"/>
        </w:rPr>
        <w:t>’</w:t>
      </w:r>
      <w:r w:rsidRPr="00F94B7E">
        <w:rPr>
          <w:rFonts w:ascii="Times New Roman" w:eastAsia="Times New Roman" w:hAnsi="Times New Roman" w:cs="Times New Roman"/>
          <w:color w:val="000000" w:themeColor="text1"/>
        </w:rPr>
        <w:t>s conduct</w:t>
      </w:r>
    </w:p>
    <w:p w14:paraId="45455306" w14:textId="77777777" w:rsidR="0019206E" w:rsidRPr="00A86835" w:rsidRDefault="0019206E" w:rsidP="0019206E">
      <w:pPr>
        <w:rPr>
          <w:rFonts w:ascii="Times New Roman" w:eastAsia="Times New Roman" w:hAnsi="Times New Roman" w:cs="Times New Roman"/>
        </w:rPr>
      </w:pPr>
    </w:p>
    <w:p w14:paraId="0F8EEE37" w14:textId="532F338C" w:rsidR="0019206E" w:rsidRDefault="750671CE" w:rsidP="00F94B7E">
      <w:pPr>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455D47" w:rsidRDefault="00C817D4" w:rsidP="0019206E">
      <w:pPr>
        <w:ind w:left="720" w:right="720"/>
        <w:rPr>
          <w:rFonts w:ascii="Times New Roman" w:hAnsi="Times New Roman" w:cs="Times New Roman"/>
        </w:rPr>
      </w:pPr>
    </w:p>
    <w:p w14:paraId="79557012" w14:textId="18D77E64" w:rsidR="0019206E" w:rsidRDefault="00903F59" w:rsidP="750671CE">
      <w:pPr>
        <w:rPr>
          <w:rFonts w:ascii="Times New Roman" w:eastAsia="Times New Roman" w:hAnsi="Times New Roman" w:cs="Times New Roman"/>
          <w:color w:val="000000" w:themeColor="text1"/>
        </w:rPr>
      </w:pPr>
      <w:r>
        <w:rPr>
          <w:rFonts w:ascii="Times New Roman" w:eastAsia="Times New Roman" w:hAnsi="Times New Roman" w:cs="Times New Roman"/>
          <w:i/>
          <w:color w:val="000000" w:themeColor="text1"/>
        </w:rPr>
        <w:t>Id.</w:t>
      </w:r>
      <w:r>
        <w:rPr>
          <w:rFonts w:ascii="Times New Roman" w:eastAsia="Times New Roman" w:hAnsi="Times New Roman" w:cs="Times New Roman"/>
          <w:color w:val="000000" w:themeColor="text1"/>
        </w:rPr>
        <w:t xml:space="preserve"> </w:t>
      </w:r>
      <w:r w:rsidR="00EA7EAE">
        <w:rPr>
          <w:rFonts w:ascii="Times New Roman" w:eastAsia="Times New Roman" w:hAnsi="Times New Roman" w:cs="Times New Roman"/>
          <w:color w:val="000000" w:themeColor="text1"/>
        </w:rPr>
        <w:t>a</w:t>
      </w:r>
      <w:r>
        <w:rPr>
          <w:rFonts w:ascii="Times New Roman" w:eastAsia="Times New Roman" w:hAnsi="Times New Roman" w:cs="Times New Roman"/>
          <w:color w:val="000000" w:themeColor="text1"/>
        </w:rPr>
        <w:t xml:space="preserve">t 649. </w:t>
      </w:r>
      <w:r w:rsidR="750671CE" w:rsidRPr="750671CE">
        <w:rPr>
          <w:rFonts w:ascii="Times New Roman" w:eastAsia="Times New Roman" w:hAnsi="Times New Roman" w:cs="Times New Roman"/>
          <w:color w:val="000000" w:themeColor="text1"/>
        </w:rPr>
        <w:t>Some scholars at the time, notably Joseph Henry Beale, embraced the formalism of discrete causal connections and agencies that could be newly established or cleanly broken by the parties</w:t>
      </w:r>
      <w:r w:rsidR="00B05F31">
        <w:rPr>
          <w:rFonts w:ascii="Times New Roman" w:eastAsia="Times New Roman" w:hAnsi="Times New Roman" w:cs="Times New Roman"/>
          <w:color w:val="000000" w:themeColor="text1"/>
        </w:rPr>
        <w:t>’</w:t>
      </w:r>
      <w:r w:rsidR="750671CE" w:rsidRPr="750671CE">
        <w:rPr>
          <w:rFonts w:ascii="Times New Roman" w:eastAsia="Times New Roman" w:hAnsi="Times New Roman" w:cs="Times New Roman"/>
          <w:color w:val="000000" w:themeColor="text1"/>
        </w:rPr>
        <w:t xml:space="preserve"> actions. Beale even introduced the quasi-Newtonian language of active force and coming to rest to explain proximate cause:</w:t>
      </w:r>
    </w:p>
    <w:p w14:paraId="6C47047F" w14:textId="77777777" w:rsidR="00C817D4" w:rsidRPr="00A86835" w:rsidRDefault="00C817D4" w:rsidP="0019206E">
      <w:pPr>
        <w:rPr>
          <w:rFonts w:ascii="Times New Roman" w:hAnsi="Times New Roman" w:cs="Times New Roman"/>
        </w:rPr>
      </w:pPr>
    </w:p>
    <w:p w14:paraId="5DB9564D" w14:textId="30EA2787" w:rsidR="0019206E" w:rsidRDefault="750671CE" w:rsidP="00F94B7E">
      <w:pPr>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If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 . . . .</w:t>
      </w:r>
    </w:p>
    <w:p w14:paraId="7350BA1E" w14:textId="77777777" w:rsidR="00EE6920" w:rsidRPr="00455D47" w:rsidRDefault="00EE6920" w:rsidP="00F94B7E">
      <w:pPr>
        <w:ind w:left="720" w:right="720"/>
        <w:jc w:val="both"/>
        <w:rPr>
          <w:rFonts w:ascii="Times New Roman" w:eastAsia="Times New Roman" w:hAnsi="Times New Roman" w:cs="Times New Roman"/>
        </w:rPr>
      </w:pPr>
    </w:p>
    <w:p w14:paraId="2A30BA3D" w14:textId="7CB3021C" w:rsidR="0019206E" w:rsidRPr="00455D47"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color w:val="000000" w:themeColor="text1"/>
        </w:rPr>
        <w:t>On the other hand, where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active force has come to rest in a position of apparent safety, the court will follow it no longer; if some new force later combines with this condition to create harm, the result is remote from the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act. </w:t>
      </w:r>
    </w:p>
    <w:p w14:paraId="7B846C27" w14:textId="77777777" w:rsidR="00C817D4" w:rsidRDefault="00C817D4" w:rsidP="0019206E">
      <w:pPr>
        <w:rPr>
          <w:rFonts w:ascii="Times New Roman" w:hAnsi="Times New Roman" w:cs="Times New Roman"/>
          <w:color w:val="000000"/>
        </w:rPr>
      </w:pPr>
    </w:p>
    <w:p w14:paraId="2A659013" w14:textId="77777777" w:rsidR="0019206E" w:rsidRPr="00455D47" w:rsidRDefault="750671CE" w:rsidP="750671CE">
      <w:pPr>
        <w:rPr>
          <w:rFonts w:ascii="Times New Roman" w:eastAsia="Times New Roman" w:hAnsi="Times New Roman" w:cs="Times New Roman"/>
        </w:rPr>
      </w:pPr>
      <w:r w:rsidRPr="750671CE">
        <w:rPr>
          <w:rFonts w:ascii="Times New Roman" w:eastAsia="Times New Roman" w:hAnsi="Times New Roman" w:cs="Times New Roman"/>
          <w:color w:val="000000" w:themeColor="text1"/>
        </w:rPr>
        <w:t xml:space="preserve">Beale, </w:t>
      </w:r>
      <w:r w:rsidRPr="00F94B7E">
        <w:rPr>
          <w:rFonts w:ascii="Times New Roman" w:eastAsia="Times New Roman" w:hAnsi="Times New Roman" w:cs="Times New Roman"/>
          <w:i/>
          <w:color w:val="000000" w:themeColor="text1"/>
        </w:rPr>
        <w:t>The Proximate Consequences of An Act</w:t>
      </w:r>
      <w:r w:rsidRPr="750671CE">
        <w:rPr>
          <w:rFonts w:ascii="Times New Roman" w:eastAsia="Times New Roman" w:hAnsi="Times New Roman" w:cs="Times New Roman"/>
          <w:color w:val="000000" w:themeColor="text1"/>
        </w:rPr>
        <w:t xml:space="preserve">, 33 </w:t>
      </w:r>
      <w:r w:rsidRPr="00F94B7E">
        <w:rPr>
          <w:rFonts w:ascii="Times New Roman" w:eastAsia="Times New Roman" w:hAnsi="Times New Roman" w:cs="Times New Roman"/>
          <w:iCs/>
          <w:smallCaps/>
          <w:color w:val="000000" w:themeColor="text1"/>
        </w:rPr>
        <w:t>Harv. L. Rev.</w:t>
      </w:r>
      <w:r w:rsidRPr="00F94B7E">
        <w:rPr>
          <w:rFonts w:ascii="Times New Roman" w:eastAsia="Times New Roman" w:hAnsi="Times New Roman" w:cs="Times New Roman"/>
          <w:smallCaps/>
          <w:color w:val="000000" w:themeColor="text1"/>
        </w:rPr>
        <w:t xml:space="preserve"> </w:t>
      </w:r>
      <w:r w:rsidRPr="750671CE">
        <w:rPr>
          <w:rFonts w:ascii="Times New Roman" w:eastAsia="Times New Roman" w:hAnsi="Times New Roman" w:cs="Times New Roman"/>
          <w:color w:val="000000" w:themeColor="text1"/>
        </w:rPr>
        <w:t>633, 650, 651, 656 (1920).</w:t>
      </w:r>
    </w:p>
    <w:p w14:paraId="2236034A" w14:textId="77777777" w:rsidR="00C817D4" w:rsidRDefault="00C817D4" w:rsidP="0019206E">
      <w:pPr>
        <w:ind w:firstLine="720"/>
        <w:rPr>
          <w:rFonts w:ascii="Times New Roman" w:hAnsi="Times New Roman" w:cs="Times New Roman"/>
          <w:color w:val="000000"/>
        </w:rPr>
      </w:pPr>
    </w:p>
    <w:p w14:paraId="1555018C" w14:textId="1F3629B8" w:rsidR="0019206E"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Objecting </w:t>
      </w:r>
      <w:r w:rsidR="000556F3">
        <w:rPr>
          <w:rFonts w:ascii="Times New Roman" w:eastAsia="Times New Roman" w:hAnsi="Times New Roman" w:cs="Times New Roman"/>
          <w:color w:val="000000" w:themeColor="text1"/>
        </w:rPr>
        <w:t>that</w:t>
      </w:r>
      <w:r w:rsidR="000556F3"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color w:val="000000" w:themeColor="text1"/>
        </w:rPr>
        <w:t>Beale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w:t>
      </w:r>
      <w:r w:rsidR="000556F3">
        <w:rPr>
          <w:rFonts w:ascii="Times New Roman" w:eastAsia="Times New Roman" w:hAnsi="Times New Roman" w:cs="Times New Roman"/>
          <w:color w:val="000000" w:themeColor="text1"/>
        </w:rPr>
        <w:t xml:space="preserve">approach was a </w:t>
      </w:r>
      <w:r w:rsidRPr="750671CE">
        <w:rPr>
          <w:rFonts w:ascii="Times New Roman" w:eastAsia="Times New Roman" w:hAnsi="Times New Roman" w:cs="Times New Roman"/>
          <w:color w:val="000000" w:themeColor="text1"/>
        </w:rPr>
        <w:t xml:space="preserve">retreat into meaningless abstractions, the legal realist scholar and later judge Jerome Frank wasted no time in </w:t>
      </w:r>
      <w:r w:rsidR="000556F3">
        <w:rPr>
          <w:rFonts w:ascii="Times New Roman" w:eastAsia="Times New Roman" w:hAnsi="Times New Roman" w:cs="Times New Roman"/>
          <w:color w:val="000000" w:themeColor="text1"/>
        </w:rPr>
        <w:t>attacking</w:t>
      </w:r>
      <w:r w:rsidRPr="750671CE">
        <w:rPr>
          <w:rFonts w:ascii="Times New Roman" w:eastAsia="Times New Roman" w:hAnsi="Times New Roman" w:cs="Times New Roman"/>
          <w:color w:val="000000" w:themeColor="text1"/>
        </w:rPr>
        <w:t xml:space="preserve"> what he perjoratively termed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Bealism.</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Bealist,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Frank objected, </w:t>
      </w:r>
    </w:p>
    <w:p w14:paraId="55B8158D" w14:textId="77777777" w:rsidR="00C975CF" w:rsidRPr="00A86835" w:rsidRDefault="00C975CF" w:rsidP="750671CE">
      <w:pPr>
        <w:ind w:firstLine="720"/>
        <w:rPr>
          <w:rFonts w:ascii="Times New Roman" w:eastAsia="Times New Roman" w:hAnsi="Times New Roman" w:cs="Times New Roman"/>
          <w:color w:val="000000" w:themeColor="text1"/>
        </w:rPr>
      </w:pPr>
    </w:p>
    <w:p w14:paraId="792906C3" w14:textId="2C5CC0F4" w:rsidR="0019206E" w:rsidRDefault="750671CE" w:rsidP="00F94B7E">
      <w:pPr>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a stable verbal support for inexact, nebulous and fluctuating conceptions.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455D47" w:rsidRDefault="00C817D4" w:rsidP="0019206E">
      <w:pPr>
        <w:ind w:left="720" w:right="720"/>
        <w:rPr>
          <w:rFonts w:ascii="Times New Roman" w:hAnsi="Times New Roman" w:cs="Times New Roman"/>
        </w:rPr>
      </w:pPr>
    </w:p>
    <w:p w14:paraId="35F55BCE" w14:textId="1E1888D7" w:rsidR="0019206E" w:rsidRPr="00455D47" w:rsidRDefault="0019206E" w:rsidP="750671CE">
      <w:pPr>
        <w:rPr>
          <w:rFonts w:ascii="Times New Roman" w:eastAsia="Times New Roman" w:hAnsi="Times New Roman" w:cs="Times New Roman"/>
          <w:color w:val="000000" w:themeColor="text1"/>
        </w:rPr>
      </w:pPr>
      <w:r w:rsidRPr="00F94B7E">
        <w:rPr>
          <w:rFonts w:ascii="Times New Roman" w:eastAsia="Times New Roman" w:hAnsi="Times New Roman" w:cs="Times New Roman"/>
          <w:smallCaps/>
          <w:color w:val="000000"/>
          <w:shd w:val="clear" w:color="auto" w:fill="FFFFFF"/>
        </w:rPr>
        <w:t xml:space="preserve">Jerome Frank, </w:t>
      </w:r>
      <w:r w:rsidRPr="00F94B7E">
        <w:rPr>
          <w:rFonts w:ascii="Times New Roman" w:eastAsia="Times New Roman" w:hAnsi="Times New Roman" w:cs="Times New Roman"/>
          <w:iCs/>
          <w:smallCaps/>
          <w:color w:val="000000"/>
          <w:shd w:val="clear" w:color="auto" w:fill="FFFFFF"/>
        </w:rPr>
        <w:t>Law and the Modern Mind</w:t>
      </w:r>
      <w:r w:rsidRPr="750671CE">
        <w:rPr>
          <w:rFonts w:ascii="Times New Roman" w:eastAsia="Times New Roman" w:hAnsi="Times New Roman" w:cs="Times New Roman"/>
          <w:color w:val="000000"/>
          <w:shd w:val="clear" w:color="auto" w:fill="FFFFFF"/>
        </w:rPr>
        <w:t xml:space="preserve"> 67 (1930). </w:t>
      </w:r>
      <w:r w:rsidRPr="750671CE">
        <w:rPr>
          <w:rFonts w:ascii="Times New Roman" w:eastAsia="Times New Roman" w:hAnsi="Times New Roman" w:cs="Times New Roman"/>
          <w:color w:val="000000"/>
        </w:rPr>
        <w:t xml:space="preserve">In </w:t>
      </w:r>
      <w:r w:rsidRPr="750671CE">
        <w:rPr>
          <w:rFonts w:ascii="Times New Roman" w:eastAsia="Times New Roman" w:hAnsi="Times New Roman" w:cs="Times New Roman"/>
          <w:i/>
          <w:iCs/>
          <w:color w:val="000000"/>
        </w:rPr>
        <w:t>Scott v. Shepherd</w:t>
      </w:r>
      <w:r w:rsidRPr="750671CE">
        <w:rPr>
          <w:rFonts w:ascii="Times New Roman" w:eastAsia="Times New Roman" w:hAnsi="Times New Roman" w:cs="Times New Roman"/>
          <w:color w:val="000000"/>
        </w:rPr>
        <w:t xml:space="preserve">, which we read in </w:t>
      </w:r>
      <w:r w:rsidR="00903F59">
        <w:rPr>
          <w:rFonts w:ascii="Times New Roman" w:eastAsia="Times New Roman" w:hAnsi="Times New Roman" w:cs="Times New Roman"/>
          <w:color w:val="000000"/>
        </w:rPr>
        <w:t>C</w:t>
      </w:r>
      <w:r w:rsidRPr="750671CE">
        <w:rPr>
          <w:rFonts w:ascii="Times New Roman" w:eastAsia="Times New Roman" w:hAnsi="Times New Roman" w:cs="Times New Roman"/>
          <w:color w:val="000000"/>
        </w:rPr>
        <w:t>hapter 3, Blackstone sought to resolve the distinction between proximate and remote damages with the concepts of directness and indirectness.  Does Blackstone</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 xml:space="preserve">s effort give you confidence that courts might be able to resolve questions of proximate causation with metaphysical concepts like the ones Beale offers? </w:t>
      </w:r>
    </w:p>
    <w:p w14:paraId="20CFB625" w14:textId="77777777" w:rsidR="0019206E" w:rsidRPr="00A86835" w:rsidRDefault="0019206E" w:rsidP="0019206E">
      <w:pPr>
        <w:rPr>
          <w:rFonts w:ascii="Times New Roman" w:hAnsi="Times New Roman" w:cs="Times New Roman"/>
        </w:rPr>
      </w:pPr>
    </w:p>
    <w:p w14:paraId="5B8B67C8" w14:textId="5A9131D8" w:rsidR="0019206E" w:rsidRPr="00F94B7E" w:rsidRDefault="750671CE" w:rsidP="00F94B7E">
      <w:pPr>
        <w:pStyle w:val="ListParagraph"/>
        <w:numPr>
          <w:ilvl w:val="0"/>
          <w:numId w:val="25"/>
        </w:numPr>
        <w:ind w:left="0" w:firstLine="360"/>
        <w:rPr>
          <w:rFonts w:ascii="Times New Roman" w:eastAsia="Times New Roman" w:hAnsi="Times New Roman" w:cs="Times New Roman"/>
          <w:b/>
          <w:bCs/>
        </w:rPr>
      </w:pPr>
      <w:r w:rsidRPr="00F94B7E">
        <w:rPr>
          <w:rFonts w:ascii="Times New Roman" w:eastAsia="Times New Roman" w:hAnsi="Times New Roman" w:cs="Times New Roman"/>
          <w:i/>
          <w:iCs/>
        </w:rPr>
        <w:t xml:space="preserve">All things considered judgments.  </w:t>
      </w:r>
      <w:r w:rsidRPr="00F94B7E">
        <w:rPr>
          <w:rFonts w:ascii="Times New Roman" w:eastAsia="Times New Roman" w:hAnsi="Times New Roman" w:cs="Times New Roman"/>
        </w:rPr>
        <w:t xml:space="preserve">The dissenter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xml:space="preserve"> forcefully protests against extending the causal chain when an intervening criminal act occurs.  The majority, however, insists that there is no general rule for proximate cause and intervening criminal acts.  Instead, in the majority</w:t>
      </w:r>
      <w:r w:rsidR="00B05F31">
        <w:rPr>
          <w:rFonts w:ascii="Times New Roman" w:eastAsia="Times New Roman" w:hAnsi="Times New Roman" w:cs="Times New Roman"/>
        </w:rPr>
        <w:t>’</w:t>
      </w:r>
      <w:r w:rsidRPr="00F94B7E">
        <w:rPr>
          <w:rFonts w:ascii="Times New Roman" w:eastAsia="Times New Roman" w:hAnsi="Times New Roman" w:cs="Times New Roman"/>
        </w:rPr>
        <w:t>s approach</w:t>
      </w:r>
      <w:r w:rsidR="00EE6920">
        <w:rPr>
          <w:rFonts w:ascii="Times New Roman" w:eastAsia="Times New Roman" w:hAnsi="Times New Roman" w:cs="Times New Roman"/>
        </w:rPr>
        <w:t>,</w:t>
      </w:r>
      <w:r w:rsidRPr="00F94B7E">
        <w:rPr>
          <w:rFonts w:ascii="Times New Roman" w:eastAsia="Times New Roman" w:hAnsi="Times New Roman" w:cs="Times New Roman"/>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52300D" w:rsidRDefault="0019206E" w:rsidP="0019206E">
      <w:pPr>
        <w:rPr>
          <w:rFonts w:ascii="Times New Roman" w:hAnsi="Times New Roman" w:cs="Times New Roman"/>
          <w:b/>
        </w:rPr>
      </w:pPr>
    </w:p>
    <w:p w14:paraId="7A10FA87" w14:textId="77777777" w:rsidR="0019206E" w:rsidRPr="0052300D" w:rsidRDefault="0019206E" w:rsidP="0019206E">
      <w:pPr>
        <w:rPr>
          <w:rFonts w:ascii="Times New Roman" w:hAnsi="Times New Roman" w:cs="Times New Roman"/>
          <w:b/>
        </w:rPr>
      </w:pPr>
    </w:p>
    <w:p w14:paraId="78681197" w14:textId="77777777" w:rsidR="0019206E" w:rsidRPr="0052300D" w:rsidRDefault="0019206E" w:rsidP="750671CE">
      <w:pPr>
        <w:rPr>
          <w:rFonts w:ascii="Times New Roman" w:eastAsia="Times New Roman" w:hAnsi="Times New Roman" w:cs="Times New Roman"/>
          <w:b/>
          <w:bCs/>
          <w:color w:val="000000" w:themeColor="text1"/>
        </w:rPr>
      </w:pPr>
      <w:bookmarkStart w:id="697" w:name="_Toc518323425"/>
      <w:r w:rsidRPr="00C17A3F">
        <w:rPr>
          <w:rStyle w:val="Heading3Char"/>
          <w:i/>
        </w:rPr>
        <w:t>McLaughlin v. Mine Safety Appliances Co</w:t>
      </w:r>
      <w:bookmarkEnd w:id="697"/>
      <w:r w:rsidRPr="750671CE">
        <w:rPr>
          <w:rFonts w:ascii="Times New Roman" w:eastAsia="Times New Roman" w:hAnsi="Times New Roman" w:cs="Times New Roman"/>
          <w:b/>
          <w:bCs/>
        </w:rPr>
        <w:t>., 181 N.E.2d 430 (N.Y. 1962)</w:t>
      </w:r>
    </w:p>
    <w:p w14:paraId="4B77B422"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A4653F1" w14:textId="0F320C21" w:rsidR="0019206E" w:rsidRPr="006479BB" w:rsidRDefault="750671CE" w:rsidP="00F94B7E">
      <w:pPr>
        <w:widowControl w:val="0"/>
        <w:autoSpaceDE w:val="0"/>
        <w:autoSpaceDN w:val="0"/>
        <w:adjustRightInd w:val="0"/>
        <w:rPr>
          <w:rFonts w:ascii="Times New Roman" w:eastAsia="Times New Roman" w:hAnsi="Times New Roman" w:cs="Times New Roman"/>
          <w:smallCaps/>
          <w:color w:val="000000" w:themeColor="text1"/>
        </w:rPr>
      </w:pPr>
      <w:r w:rsidRPr="00F94B7E">
        <w:rPr>
          <w:rFonts w:ascii="Times New Roman" w:eastAsia="Times New Roman" w:hAnsi="Times New Roman" w:cs="Times New Roman"/>
          <w:smallCaps/>
          <w:color w:val="000000" w:themeColor="text1"/>
        </w:rPr>
        <w:t>Foster</w:t>
      </w:r>
      <w:r w:rsidRPr="750671CE">
        <w:rPr>
          <w:rFonts w:ascii="Times New Roman" w:eastAsia="Times New Roman" w:hAnsi="Times New Roman" w:cs="Times New Roman"/>
          <w:color w:val="000000" w:themeColor="text1"/>
        </w:rPr>
        <w:t>, J</w:t>
      </w:r>
      <w:r w:rsidRPr="750671CE">
        <w:rPr>
          <w:rFonts w:ascii="Times New Roman" w:eastAsia="Times New Roman" w:hAnsi="Times New Roman" w:cs="Times New Roman"/>
          <w:smallCaps/>
          <w:color w:val="000000" w:themeColor="text1"/>
        </w:rPr>
        <w:t>.</w:t>
      </w:r>
    </w:p>
    <w:p w14:paraId="070F2B5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BFEFDA0" w14:textId="30CFC03A"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mouth, and she was wrapped in blankets by a woman who identified herself as a nurse.</w:t>
      </w:r>
    </w:p>
    <w:p w14:paraId="3054CC7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03526C8" w14:textId="7B61C2C6"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More heat was needed to revive the child, so the firemen returned to the truck and obtained some boxes containing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heat blocks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The blocks were removed from their containers by the firemen who activated them and turned them over to the nurse. The nurse proceeded to apply several of them directly to the child</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body under the blankets. Subsequently, the child began to heave about and moan. At this point, the infant was taken, still wrapped in the blankets, to a doctor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car and placed on the back seat. The heat blocks had fallen out from under the blankets. After a short stay at the doctor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21DA4E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64C922D" w14:textId="4276CAC2"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M-S-A Redi-Heat Blocks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which were applied to the infant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body and caused the burns, were manufactured by Catalyst Research Corporation for defendant and packaged in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cardboard container at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flocking</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which appeared and felt like a </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blanket</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or </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flannel</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covering or just ordinary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wool.</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568120C" w14:textId="4A10131E"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Affixed to each block on top of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flocking</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Instructions for use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[included]:  . . . </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Wrap in insulating medium, such as pouch, towel, blanket or folded cloth.</w:t>
      </w:r>
      <w:r w:rsidR="00EE6920">
        <w:rPr>
          <w:rFonts w:ascii="Times New Roman" w:eastAsia="Times New Roman" w:hAnsi="Times New Roman" w:cs="Times New Roman"/>
          <w:color w:val="000000" w:themeColor="text1"/>
        </w:rPr>
        <w:t>’</w:t>
      </w:r>
    </w:p>
    <w:p w14:paraId="54891227"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298A3A10" w14:textId="25B7D5B5"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particular heat blocks involved were sold by defendant for use by the Bennington Fire Department in 1947 or 1948. At the time of the sale,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36E22DC3"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E02634A" w14:textId="0A61B0A8"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Among the firemen who were present at the scene of the accident herein was Paul Traxler. He testified that he had been present when defendant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nurse</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at the scene to wrap up the blocks before using. Nevertheless, the blocks were applied directly to the infant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person under the blankets, while the fireman, Traxler, who had activated the blocks, stood next to her and watched. The infant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aunt could recall no warning given by the firemen to the nurse as to the danger in applying the unwrapped blocks to the infant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body.</w:t>
      </w:r>
    </w:p>
    <w:p w14:paraId="5CA7D25E"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2D3E3ABD" w14:textId="458C7C39"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instruct</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ultimate users as to the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proper application of the said blocks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w:t>
      </w:r>
    </w:p>
    <w:p w14:paraId="47602F4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003006D"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After a jury trial in Supreme Court, Nassau County, a verdict was returned in favor of the infant plaintiff, and in favor of her father. . . .</w:t>
      </w:r>
    </w:p>
    <w:p w14:paraId="1E342792"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1DEDAF0" w14:textId="33269E9D"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Pr>
          <w:rFonts w:ascii="Times New Roman" w:eastAsia="Times New Roman" w:hAnsi="Times New Roman" w:cs="Times New Roman"/>
          <w:color w:val="000000" w:themeColor="text1"/>
        </w:rPr>
        <w:t>’</w:t>
      </w:r>
    </w:p>
    <w:p w14:paraId="6D820D4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3144C380"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The trial court answered as follows: </w:t>
      </w:r>
    </w:p>
    <w:p w14:paraId="360CC377"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p>
    <w:p w14:paraId="22B38E63" w14:textId="6B9FACF2" w:rsidR="0019206E" w:rsidRPr="0052300D" w:rsidRDefault="750671CE" w:rsidP="00F94B7E">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Pr>
          <w:rFonts w:ascii="Times New Roman" w:eastAsia="Times New Roman" w:hAnsi="Times New Roman" w:cs="Times New Roman"/>
          <w:color w:val="000000" w:themeColor="text1"/>
        </w:rPr>
        <w:t>. . .</w:t>
      </w:r>
      <w:r w:rsidRPr="750671CE">
        <w:rPr>
          <w:rFonts w:ascii="Times New Roman" w:eastAsia="Times New Roman" w:hAnsi="Times New Roman" w:cs="Times New Roman"/>
          <w:color w:val="000000" w:themeColor="text1"/>
        </w:rPr>
        <w:t xml:space="preserve"> then the defendant would be liable.</w:t>
      </w:r>
    </w:p>
    <w:p w14:paraId="5D6A43D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50BA04DF" w14:textId="77777777" w:rsidR="0019206E" w:rsidRPr="0052300D"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Counsel for the defendant excepted to that statement. The jury then returned its verdict for the plaintiffs.</w:t>
      </w:r>
    </w:p>
    <w:p w14:paraId="0B59B076"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0AD3635B" w14:textId="447AE063"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From the jury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question, it is obvious that they were concerned with the effect of the fireman</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knowledge that the blocks should have been wrapped, and his apparent failure to so advise the nurse who applied the blocks in his presence. The court in answering the jury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52300D" w:rsidRDefault="0019206E" w:rsidP="0019206E">
      <w:pPr>
        <w:widowControl w:val="0"/>
        <w:autoSpaceDE w:val="0"/>
        <w:autoSpaceDN w:val="0"/>
        <w:adjustRightInd w:val="0"/>
        <w:ind w:firstLine="720"/>
        <w:rPr>
          <w:rFonts w:ascii="Times New Roman" w:hAnsi="Times New Roman" w:cs="Times New Roman"/>
          <w:color w:val="000000"/>
        </w:rPr>
      </w:pPr>
    </w:p>
    <w:p w14:paraId="49A31126" w14:textId="27764E1C"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750671CE">
        <w:rPr>
          <w:rFonts w:ascii="Times New Roman" w:eastAsia="Times New Roman" w:hAnsi="Times New Roman" w:cs="Times New Roman"/>
          <w:b/>
          <w:bCs/>
          <w:color w:val="000000" w:themeColor="text1"/>
        </w:rPr>
        <w:t xml:space="preserve"> </w:t>
      </w:r>
      <w:r w:rsidRPr="750671CE">
        <w:rPr>
          <w:rFonts w:ascii="Times New Roman" w:eastAsia="Times New Roman" w:hAnsi="Times New Roman" w:cs="Times New Roman"/>
          <w:color w:val="000000" w:themeColor="text1"/>
        </w:rPr>
        <w:t>the blocks, turned them over, uninsulated, to the nurse for her use, and stood idly by as they were placed directly on the plaintiff</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wet skin.</w:t>
      </w:r>
    </w:p>
    <w:p w14:paraId="0FD5B55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149AE94E"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787BF5E6"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D6391F3"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judgment should be reversed and a new trial granted, with costs to abide the event.</w:t>
      </w:r>
    </w:p>
    <w:p w14:paraId="1FE2F970"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6187EF5D" w14:textId="3926B7D2" w:rsidR="0019206E" w:rsidRPr="0052300D" w:rsidRDefault="750671CE" w:rsidP="00F94B7E">
      <w:pPr>
        <w:widowControl w:val="0"/>
        <w:autoSpaceDE w:val="0"/>
        <w:autoSpaceDN w:val="0"/>
        <w:adjustRightInd w:val="0"/>
        <w:rPr>
          <w:rFonts w:ascii="Times New Roman" w:eastAsia="Times New Roman" w:hAnsi="Times New Roman" w:cs="Times New Roman"/>
          <w:color w:val="000000" w:themeColor="text1"/>
        </w:rPr>
      </w:pPr>
      <w:r w:rsidRPr="00F94B7E">
        <w:rPr>
          <w:rFonts w:ascii="Times New Roman" w:eastAsia="Times New Roman" w:hAnsi="Times New Roman" w:cs="Times New Roman"/>
          <w:smallCaps/>
          <w:color w:val="000000" w:themeColor="text1"/>
        </w:rPr>
        <w:t>Van Voorhis, J</w:t>
      </w:r>
      <w:r w:rsidR="00121B00" w:rsidRPr="00F94B7E">
        <w:rPr>
          <w:rFonts w:ascii="Times New Roman" w:eastAsia="Times New Roman" w:hAnsi="Times New Roman" w:cs="Times New Roman"/>
          <w:smallCaps/>
          <w:color w:val="000000" w:themeColor="text1"/>
        </w:rPr>
        <w:t>.</w:t>
      </w:r>
      <w:r w:rsidR="00121B00">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color w:val="000000" w:themeColor="text1"/>
        </w:rPr>
        <w:t>dissenting [</w:t>
      </w:r>
      <w:r w:rsidRPr="00F94B7E">
        <w:rPr>
          <w:rFonts w:ascii="Times New Roman" w:eastAsia="Times New Roman" w:hAnsi="Times New Roman" w:cs="Times New Roman"/>
          <w:smallCaps/>
          <w:color w:val="000000" w:themeColor="text1"/>
        </w:rPr>
        <w:t>Dye</w:t>
      </w:r>
      <w:r w:rsidRPr="750671CE">
        <w:rPr>
          <w:rFonts w:ascii="Times New Roman" w:eastAsia="Times New Roman" w:hAnsi="Times New Roman" w:cs="Times New Roman"/>
          <w:color w:val="000000" w:themeColor="text1"/>
        </w:rPr>
        <w:t>, J., concurring in the dissent].</w:t>
      </w:r>
    </w:p>
    <w:p w14:paraId="36F6AD09"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3058FB7A" w14:textId="7E04E619" w:rsidR="0019206E" w:rsidRPr="0052300D" w:rsidRDefault="750671CE" w:rsidP="750671CE">
      <w:pPr>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insulating</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media, </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such as pouch, towel, blanket or folded cloth</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as the 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52300D" w:rsidRDefault="0019206E" w:rsidP="0019206E">
      <w:pPr>
        <w:rPr>
          <w:rFonts w:ascii="Times New Roman" w:hAnsi="Times New Roman" w:cs="Times New Roman"/>
          <w:color w:val="000000"/>
        </w:rPr>
      </w:pPr>
    </w:p>
    <w:p w14:paraId="7D83E721" w14:textId="77777777" w:rsidR="0019206E" w:rsidRPr="0052300D" w:rsidRDefault="0019206E" w:rsidP="0019206E">
      <w:pPr>
        <w:rPr>
          <w:rFonts w:ascii="Times New Roman" w:hAnsi="Times New Roman" w:cs="Times New Roman"/>
          <w:color w:val="000000"/>
        </w:rPr>
      </w:pPr>
    </w:p>
    <w:p w14:paraId="4846CB22" w14:textId="77777777" w:rsidR="0019206E" w:rsidRPr="0052300D" w:rsidRDefault="0019206E" w:rsidP="002502CC">
      <w:pPr>
        <w:pStyle w:val="Heading4"/>
      </w:pPr>
      <w:bookmarkStart w:id="698" w:name="_Toc364636193"/>
      <w:bookmarkStart w:id="699" w:name="_Toc518323426"/>
      <w:r w:rsidRPr="0052300D">
        <w:t>Note</w:t>
      </w:r>
      <w:bookmarkEnd w:id="698"/>
      <w:bookmarkEnd w:id="699"/>
    </w:p>
    <w:p w14:paraId="5EEBB1CA" w14:textId="77777777" w:rsidR="0019206E" w:rsidRDefault="0019206E" w:rsidP="0019206E">
      <w:pPr>
        <w:rPr>
          <w:rFonts w:ascii="Times New Roman" w:hAnsi="Times New Roman" w:cs="Times New Roman"/>
          <w:b/>
          <w:color w:val="000000"/>
        </w:rPr>
      </w:pPr>
    </w:p>
    <w:p w14:paraId="6BD3F2CD" w14:textId="77777777" w:rsidR="00C04514" w:rsidRPr="0052300D" w:rsidRDefault="00C04514" w:rsidP="0019206E">
      <w:pPr>
        <w:rPr>
          <w:rFonts w:ascii="Times New Roman" w:hAnsi="Times New Roman" w:cs="Times New Roman"/>
          <w:b/>
          <w:color w:val="000000"/>
        </w:rPr>
      </w:pPr>
    </w:p>
    <w:p w14:paraId="13107571" w14:textId="085D3BC2" w:rsidR="0019206E" w:rsidRPr="00F94B7E" w:rsidRDefault="750671CE" w:rsidP="00F94B7E">
      <w:pPr>
        <w:pStyle w:val="ListParagraph"/>
        <w:numPr>
          <w:ilvl w:val="0"/>
          <w:numId w:val="26"/>
        </w:numPr>
        <w:ind w:left="0" w:firstLine="360"/>
        <w:rPr>
          <w:rFonts w:ascii="Times New Roman" w:eastAsia="Times New Roman" w:hAnsi="Times New Roman" w:cs="Times New Roman"/>
        </w:rPr>
      </w:pPr>
      <w:r w:rsidRPr="00F94B7E">
        <w:rPr>
          <w:rFonts w:ascii="Times New Roman" w:eastAsia="Times New Roman" w:hAnsi="Times New Roman" w:cs="Times New Roman"/>
        </w:rPr>
        <w:t>What</w:t>
      </w:r>
      <w:r w:rsidR="00121B00">
        <w:rPr>
          <w:rFonts w:ascii="Times New Roman" w:eastAsia="Times New Roman" w:hAnsi="Times New Roman" w:cs="Times New Roman"/>
          <w:color w:val="000000" w:themeColor="text1"/>
        </w:rPr>
        <w:t>—</w:t>
      </w:r>
      <w:r w:rsidRPr="00F94B7E">
        <w:rPr>
          <w:rFonts w:ascii="Times New Roman" w:eastAsia="Times New Roman" w:hAnsi="Times New Roman" w:cs="Times New Roman"/>
        </w:rPr>
        <w:t>if anything</w:t>
      </w:r>
      <w:r w:rsidR="00121B00">
        <w:rPr>
          <w:rFonts w:ascii="Times New Roman" w:eastAsia="Times New Roman" w:hAnsi="Times New Roman" w:cs="Times New Roman"/>
        </w:rPr>
        <w:t>—</w:t>
      </w:r>
      <w:r w:rsidRPr="00F94B7E">
        <w:rPr>
          <w:rFonts w:ascii="Times New Roman" w:eastAsia="Times New Roman" w:hAnsi="Times New Roman" w:cs="Times New Roman"/>
        </w:rPr>
        <w:t xml:space="preserve">makes the behavior of Traxler, the bystanding firefighter, so different from the bystanders in </w:t>
      </w:r>
      <w:r w:rsidRPr="00F94B7E">
        <w:rPr>
          <w:rFonts w:ascii="Times New Roman" w:eastAsia="Times New Roman" w:hAnsi="Times New Roman" w:cs="Times New Roman"/>
          <w:i/>
          <w:iCs/>
        </w:rPr>
        <w:t>Brower</w:t>
      </w:r>
      <w:r w:rsidRPr="00F94B7E">
        <w:rPr>
          <w:rFonts w:ascii="Times New Roman" w:eastAsia="Times New Roman" w:hAnsi="Times New Roman" w:cs="Times New Roman"/>
        </w:rPr>
        <w:t>? Do you think the court is right in assuming that the jury, in asking a question to the trial judge, was actually concerned with Traxler</w:t>
      </w:r>
      <w:r w:rsidR="00B05F31">
        <w:rPr>
          <w:rFonts w:ascii="Times New Roman" w:eastAsia="Times New Roman" w:hAnsi="Times New Roman" w:cs="Times New Roman"/>
        </w:rPr>
        <w:t>’</w:t>
      </w:r>
      <w:r w:rsidRPr="00F94B7E">
        <w:rPr>
          <w:rFonts w:ascii="Times New Roman" w:eastAsia="Times New Roman" w:hAnsi="Times New Roman" w:cs="Times New Roman"/>
        </w:rPr>
        <w:t>s behavior?</w:t>
      </w:r>
    </w:p>
    <w:p w14:paraId="79762878" w14:textId="77777777" w:rsidR="0019206E" w:rsidRDefault="0019206E" w:rsidP="0019206E">
      <w:pPr>
        <w:rPr>
          <w:rFonts w:ascii="Times New Roman" w:hAnsi="Times New Roman" w:cs="Times New Roman"/>
        </w:rPr>
      </w:pPr>
    </w:p>
    <w:p w14:paraId="44FB7B2E"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How much of </w:t>
      </w:r>
      <w:r w:rsidRPr="750671CE">
        <w:rPr>
          <w:rFonts w:ascii="Times New Roman" w:eastAsia="Times New Roman" w:hAnsi="Times New Roman" w:cs="Times New Roman"/>
          <w:i/>
          <w:iCs/>
        </w:rPr>
        <w:t>McLaughlin</w:t>
      </w:r>
      <w:r w:rsidRPr="750671CE">
        <w:rPr>
          <w:rFonts w:ascii="Times New Roman" w:eastAsia="Times New Roman" w:hAnsi="Times New Roman" w:cs="Times New Roman"/>
        </w:rPr>
        <w:t xml:space="preserve"> survived the next case?</w:t>
      </w:r>
    </w:p>
    <w:p w14:paraId="63EA276A" w14:textId="77777777" w:rsidR="0019206E" w:rsidRPr="0052300D" w:rsidRDefault="0019206E" w:rsidP="0019206E">
      <w:pPr>
        <w:rPr>
          <w:rFonts w:ascii="Times New Roman" w:hAnsi="Times New Roman" w:cs="Times New Roman"/>
          <w:b/>
        </w:rPr>
      </w:pPr>
    </w:p>
    <w:p w14:paraId="28F6FCA1" w14:textId="77777777" w:rsidR="0019206E" w:rsidRPr="0052300D" w:rsidRDefault="0019206E" w:rsidP="0019206E">
      <w:pPr>
        <w:rPr>
          <w:rFonts w:ascii="Times New Roman" w:hAnsi="Times New Roman" w:cs="Times New Roman"/>
          <w:u w:val="single"/>
        </w:rPr>
      </w:pPr>
    </w:p>
    <w:p w14:paraId="26466E47" w14:textId="77777777" w:rsidR="0019206E" w:rsidRPr="0052300D" w:rsidRDefault="0019206E" w:rsidP="750671CE">
      <w:pPr>
        <w:rPr>
          <w:rFonts w:ascii="Times New Roman" w:eastAsia="Times New Roman" w:hAnsi="Times New Roman" w:cs="Times New Roman"/>
          <w:b/>
          <w:bCs/>
        </w:rPr>
      </w:pPr>
      <w:bookmarkStart w:id="700" w:name="_Toc518323427"/>
      <w:r w:rsidRPr="00C17A3F">
        <w:rPr>
          <w:rStyle w:val="Heading3Char"/>
          <w:i/>
        </w:rPr>
        <w:t>Nallan v. Helmsley-Spear, Inc</w:t>
      </w:r>
      <w:bookmarkEnd w:id="700"/>
      <w:r w:rsidRPr="00C17A3F">
        <w:rPr>
          <w:rFonts w:ascii="Times New Roman" w:eastAsia="Times New Roman" w:hAnsi="Times New Roman" w:cs="Times New Roman"/>
          <w:b/>
          <w:bCs/>
          <w:i/>
        </w:rPr>
        <w:t>.</w:t>
      </w:r>
      <w:r w:rsidRPr="750671CE">
        <w:rPr>
          <w:rFonts w:ascii="Times New Roman" w:eastAsia="Times New Roman" w:hAnsi="Times New Roman" w:cs="Times New Roman"/>
          <w:b/>
          <w:bCs/>
        </w:rPr>
        <w:t>, 407 N.E.2d 451 (N.Y. 1980)</w:t>
      </w:r>
    </w:p>
    <w:p w14:paraId="77015FB3" w14:textId="77777777" w:rsidR="0019206E" w:rsidRPr="0052300D" w:rsidRDefault="0019206E" w:rsidP="0019206E">
      <w:pPr>
        <w:rPr>
          <w:rFonts w:ascii="Times New Roman" w:hAnsi="Times New Roman" w:cs="Times New Roman"/>
        </w:rPr>
      </w:pPr>
    </w:p>
    <w:p w14:paraId="0AC141ED"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52300D" w:rsidRDefault="0019206E" w:rsidP="0019206E">
      <w:pPr>
        <w:rPr>
          <w:rFonts w:ascii="Times New Roman" w:hAnsi="Times New Roman" w:cs="Times New Roman"/>
        </w:rPr>
      </w:pPr>
    </w:p>
    <w:p w14:paraId="1A7974DF" w14:textId="3404B69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rPr>
          <w:rFonts w:ascii="Times New Roman" w:eastAsia="Times New Roman" w:hAnsi="Times New Roman" w:cs="Times New Roman"/>
        </w:rPr>
        <w:t>’</w:t>
      </w:r>
      <w:r w:rsidRPr="750671CE">
        <w:rPr>
          <w:rFonts w:ascii="Times New Roman" w:eastAsia="Times New Roman" w:hAnsi="Times New Roman" w:cs="Times New Roman"/>
        </w:rPr>
        <w:t>s absence from his assigned post, according to plaintiffs, represented a lack of due care in the performance of this assumed obligation. Hence, plaintiffs argued, Helmsley-Spear was liable for plaintiff Nallan</w:t>
      </w:r>
      <w:r w:rsidR="00B05F31">
        <w:rPr>
          <w:rFonts w:ascii="Times New Roman" w:eastAsia="Times New Roman" w:hAnsi="Times New Roman" w:cs="Times New Roman"/>
        </w:rPr>
        <w:t>’</w:t>
      </w:r>
      <w:r w:rsidRPr="750671CE">
        <w:rPr>
          <w:rFonts w:ascii="Times New Roman" w:eastAsia="Times New Roman" w:hAnsi="Times New Roman" w:cs="Times New Roman"/>
        </w:rPr>
        <w:t>s injuries to the extent that the injuries were a foreseeable and proximate consequence of its negligence. . . .</w:t>
      </w:r>
    </w:p>
    <w:p w14:paraId="408549FB" w14:textId="77777777" w:rsidR="0019206E" w:rsidRPr="0052300D" w:rsidRDefault="0019206E" w:rsidP="0019206E">
      <w:pPr>
        <w:rPr>
          <w:rFonts w:ascii="Times New Roman" w:hAnsi="Times New Roman" w:cs="Times New Roman"/>
        </w:rPr>
      </w:pPr>
      <w:r w:rsidRPr="0052300D">
        <w:rPr>
          <w:rFonts w:ascii="Times New Roman" w:hAnsi="Times New Roman" w:cs="Times New Roman"/>
        </w:rPr>
        <w:t xml:space="preserve"> </w:t>
      </w:r>
    </w:p>
    <w:p w14:paraId="5473FA26" w14:textId="4A9396A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turn our attention to the question whether there was evidence on the record from which the jury could have concluded that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omission was the legal or proximate cause of plaintiff Nallan</w:t>
      </w:r>
      <w:r w:rsidR="00B05F31">
        <w:rPr>
          <w:rFonts w:ascii="Times New Roman" w:eastAsia="Times New Roman" w:hAnsi="Times New Roman" w:cs="Times New Roman"/>
        </w:rPr>
        <w:t>’</w:t>
      </w:r>
      <w:r w:rsidRPr="750671CE">
        <w:rPr>
          <w:rFonts w:ascii="Times New Roman" w:eastAsia="Times New Roman" w:hAnsi="Times New Roman" w:cs="Times New Roman"/>
        </w:rPr>
        <w:t>s injury. In this regard, it was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burden to show that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conduct was a substantial causative factor in the sequence of events that led to Nallan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injury. Of course, the fact that the </w:t>
      </w:r>
      <w:r w:rsidR="00B05F31">
        <w:rPr>
          <w:rFonts w:ascii="Times New Roman" w:eastAsia="Times New Roman" w:hAnsi="Times New Roman" w:cs="Times New Roman"/>
        </w:rPr>
        <w:t>“</w:t>
      </w:r>
      <w:r w:rsidRPr="750671CE">
        <w:rPr>
          <w:rFonts w:ascii="Times New Roman" w:eastAsia="Times New Roman" w:hAnsi="Times New Roman" w:cs="Times New Roman"/>
        </w:rPr>
        <w:t>instrumentality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which produced the injury was the criminal conduct of a third person would not preclude a finding of </w:t>
      </w:r>
      <w:r w:rsidR="00B05F31">
        <w:rPr>
          <w:rFonts w:ascii="Times New Roman" w:eastAsia="Times New Roman" w:hAnsi="Times New Roman" w:cs="Times New Roman"/>
        </w:rPr>
        <w:t>“</w:t>
      </w:r>
      <w:r w:rsidRPr="750671CE">
        <w:rPr>
          <w:rFonts w:ascii="Times New Roman" w:eastAsia="Times New Roman" w:hAnsi="Times New Roman" w:cs="Times New Roman"/>
        </w:rPr>
        <w:t>proximate cause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if the intervening agency was itself a foreseeable hazard.</w:t>
      </w:r>
    </w:p>
    <w:p w14:paraId="00506717" w14:textId="5A962BD5"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Here, there was expert testimony in the record that the mere presence of an official attendant, even if unarmed, would have had the effect of deterring criminal activity in the building</w:t>
      </w:r>
      <w:r w:rsidR="00B05F31">
        <w:rPr>
          <w:rFonts w:ascii="Times New Roman" w:eastAsia="Times New Roman" w:hAnsi="Times New Roman" w:cs="Times New Roman"/>
        </w:rPr>
        <w:t>’</w:t>
      </w:r>
      <w:r w:rsidRPr="750671CE">
        <w:rPr>
          <w:rFonts w:ascii="Times New Roman" w:eastAsia="Times New Roman" w:hAnsi="Times New Roman" w:cs="Times New Roman"/>
        </w:rPr>
        <w:t>s lobby. This was so, according to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expert, whether the crime in question was one of random violence or was a deliberate, planned </w:t>
      </w:r>
      <w:r w:rsidR="00B05F31">
        <w:rPr>
          <w:rFonts w:ascii="Times New Roman" w:eastAsia="Times New Roman" w:hAnsi="Times New Roman" w:cs="Times New Roman"/>
        </w:rPr>
        <w:t>“</w:t>
      </w:r>
      <w:r w:rsidRPr="750671CE">
        <w:rPr>
          <w:rFonts w:ascii="Times New Roman" w:eastAsia="Times New Roman" w:hAnsi="Times New Roman" w:cs="Times New Roman"/>
        </w:rPr>
        <w:t>assassination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attempt such as apparently occurred in this case. The clear implication of the expert testimony was that a would-be assailant of any type would be hesitant to act if he knew he was being watched by a representative of the building</w:t>
      </w:r>
      <w:r w:rsidR="00B05F31">
        <w:rPr>
          <w:rFonts w:ascii="Times New Roman" w:eastAsia="Times New Roman" w:hAnsi="Times New Roman" w:cs="Times New Roman"/>
        </w:rPr>
        <w:t>’</w:t>
      </w:r>
      <w:r w:rsidRPr="750671CE">
        <w:rPr>
          <w:rFonts w:ascii="Times New Roman" w:eastAsia="Times New Roman" w:hAnsi="Times New Roman" w:cs="Times New Roman"/>
        </w:rPr>
        <w:t>s security staff. Contrary to the reasoning of the majority at the Appellate Division, it would seem to us that the deterrent effect described by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expert witness would exist whether the lobby guard was a </w:t>
      </w:r>
      <w:r w:rsidR="00B05F31">
        <w:rPr>
          <w:rFonts w:ascii="Times New Roman" w:eastAsia="Times New Roman" w:hAnsi="Times New Roman" w:cs="Times New Roman"/>
        </w:rPr>
        <w:t>“</w:t>
      </w:r>
      <w:r w:rsidRPr="750671CE">
        <w:rPr>
          <w:rFonts w:ascii="Times New Roman" w:eastAsia="Times New Roman" w:hAnsi="Times New Roman" w:cs="Times New Roman"/>
        </w:rPr>
        <w:t>trained observer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as here, was an ordinary attendant with no special expertise in the area of building security, since that fact would make no difference from the potential assailant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point of view. Thus, the jury in this case might well have inferred from the available evidence that the absence of an attendant in the lobby at the moment plaintiff Nallan arrived was a </w:t>
      </w:r>
      <w:r w:rsidR="00B05F31">
        <w:rPr>
          <w:rFonts w:ascii="Times New Roman" w:eastAsia="Times New Roman" w:hAnsi="Times New Roman" w:cs="Times New Roman"/>
        </w:rPr>
        <w:t>“</w:t>
      </w:r>
      <w:r w:rsidRPr="750671CE">
        <w:rPr>
          <w:rFonts w:ascii="Times New Roman" w:eastAsia="Times New Roman" w:hAnsi="Times New Roman" w:cs="Times New Roman"/>
        </w:rPr>
        <w:t>proximate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cause of Nallan</w:t>
      </w:r>
      <w:r w:rsidR="00B05F31">
        <w:rPr>
          <w:rFonts w:ascii="Times New Roman" w:eastAsia="Times New Roman" w:hAnsi="Times New Roman" w:cs="Times New Roman"/>
        </w:rPr>
        <w:t>’</w:t>
      </w:r>
      <w:r w:rsidRPr="750671CE">
        <w:rPr>
          <w:rFonts w:ascii="Times New Roman" w:eastAsia="Times New Roman" w:hAnsi="Times New Roman" w:cs="Times New Roman"/>
        </w:rPr>
        <w:t>s injury. Accordingly, it cannot be said that plaintiffs failed to introduce evidence sufficient to make out a prima facie case. For all of the foregoing reasons, the order of the Appellate Division should be reversed. . .</w:t>
      </w:r>
      <w:r w:rsidR="00EE6920">
        <w:rPr>
          <w:rFonts w:ascii="Times New Roman" w:eastAsia="Times New Roman" w:hAnsi="Times New Roman" w:cs="Times New Roman"/>
        </w:rPr>
        <w:t xml:space="preserve"> .</w:t>
      </w:r>
    </w:p>
    <w:p w14:paraId="278F8452" w14:textId="77777777" w:rsidR="0019206E" w:rsidRPr="0052300D" w:rsidRDefault="0019206E" w:rsidP="0019206E">
      <w:pPr>
        <w:rPr>
          <w:rFonts w:ascii="Times New Roman" w:hAnsi="Times New Roman" w:cs="Times New Roman"/>
        </w:rPr>
      </w:pPr>
    </w:p>
    <w:p w14:paraId="47D402A6" w14:textId="77777777" w:rsidR="0019206E" w:rsidRPr="0052300D" w:rsidRDefault="0019206E" w:rsidP="0019206E">
      <w:pPr>
        <w:rPr>
          <w:rFonts w:ascii="Times New Roman" w:hAnsi="Times New Roman" w:cs="Times New Roman"/>
        </w:rPr>
      </w:pPr>
    </w:p>
    <w:p w14:paraId="2B767FC2" w14:textId="77777777" w:rsidR="0019206E" w:rsidRPr="0052300D" w:rsidRDefault="0019206E" w:rsidP="002502CC">
      <w:pPr>
        <w:pStyle w:val="Heading4"/>
      </w:pPr>
      <w:bookmarkStart w:id="701" w:name="_Toc364636194"/>
      <w:bookmarkStart w:id="702" w:name="_Toc518323428"/>
      <w:r w:rsidRPr="0052300D">
        <w:t>Notes</w:t>
      </w:r>
      <w:bookmarkEnd w:id="701"/>
      <w:bookmarkEnd w:id="702"/>
    </w:p>
    <w:p w14:paraId="7C100D10" w14:textId="77777777" w:rsidR="0019206E" w:rsidRDefault="0019206E" w:rsidP="0019206E">
      <w:pPr>
        <w:rPr>
          <w:rFonts w:ascii="Times New Roman" w:hAnsi="Times New Roman" w:cs="Times New Roman"/>
        </w:rPr>
      </w:pPr>
    </w:p>
    <w:p w14:paraId="3D16A167" w14:textId="77777777" w:rsidR="00C04514" w:rsidRPr="0052300D" w:rsidRDefault="00C04514" w:rsidP="0019206E">
      <w:pPr>
        <w:rPr>
          <w:rFonts w:ascii="Times New Roman" w:hAnsi="Times New Roman" w:cs="Times New Roman"/>
        </w:rPr>
      </w:pPr>
    </w:p>
    <w:p w14:paraId="0ED22BFB" w14:textId="17ABE2D3" w:rsidR="0019206E" w:rsidRPr="00F94B7E" w:rsidRDefault="750671CE" w:rsidP="00F94B7E">
      <w:pPr>
        <w:pStyle w:val="ListParagraph"/>
        <w:numPr>
          <w:ilvl w:val="0"/>
          <w:numId w:val="27"/>
        </w:numPr>
        <w:ind w:left="0" w:firstLine="360"/>
        <w:rPr>
          <w:rFonts w:ascii="Times New Roman" w:eastAsia="Times New Roman" w:hAnsi="Times New Roman" w:cs="Times New Roman"/>
        </w:rPr>
      </w:pPr>
      <w:r w:rsidRPr="00F94B7E">
        <w:rPr>
          <w:rFonts w:ascii="Times New Roman" w:eastAsia="Times New Roman" w:hAnsi="Times New Roman" w:cs="Times New Roman"/>
          <w:iCs/>
        </w:rPr>
        <w:t>Nallan</w:t>
      </w:r>
      <w:r w:rsidRPr="00F94B7E">
        <w:rPr>
          <w:rFonts w:ascii="Times New Roman" w:eastAsia="Times New Roman" w:hAnsi="Times New Roman" w:cs="Times New Roman"/>
          <w:i/>
          <w:iCs/>
        </w:rPr>
        <w:t xml:space="preserve"> versus </w:t>
      </w:r>
      <w:r w:rsidRPr="00F94B7E">
        <w:rPr>
          <w:rFonts w:ascii="Times New Roman" w:eastAsia="Times New Roman" w:hAnsi="Times New Roman" w:cs="Times New Roman"/>
          <w:iCs/>
        </w:rPr>
        <w:t>McLaughlin</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Does it make sense that the criminal conduct in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doesn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 cut off liability, but the grossly negligent conduct in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 xml:space="preserve"> does?  Or does </w:t>
      </w:r>
      <w:r w:rsidRPr="00F94B7E">
        <w:rPr>
          <w:rFonts w:ascii="Times New Roman" w:eastAsia="Times New Roman" w:hAnsi="Times New Roman" w:cs="Times New Roman"/>
          <w:i/>
          <w:iCs/>
        </w:rPr>
        <w:t>Nallan</w:t>
      </w:r>
      <w:r w:rsidRPr="00F94B7E">
        <w:rPr>
          <w:rFonts w:ascii="Times New Roman" w:eastAsia="Times New Roman" w:hAnsi="Times New Roman" w:cs="Times New Roman"/>
        </w:rPr>
        <w:t xml:space="preserve"> overrule </w:t>
      </w:r>
      <w:r w:rsidRPr="00F94B7E">
        <w:rPr>
          <w:rFonts w:ascii="Times New Roman" w:eastAsia="Times New Roman" w:hAnsi="Times New Roman" w:cs="Times New Roman"/>
          <w:i/>
          <w:iCs/>
        </w:rPr>
        <w:t>McLaughlin</w:t>
      </w:r>
      <w:r w:rsidRPr="00F94B7E">
        <w:rPr>
          <w:rFonts w:ascii="Times New Roman" w:eastAsia="Times New Roman" w:hAnsi="Times New Roman" w:cs="Times New Roman"/>
        </w:rPr>
        <w:t>?</w:t>
      </w:r>
    </w:p>
    <w:p w14:paraId="2FEDF7C1" w14:textId="77777777" w:rsidR="0019206E" w:rsidRPr="0052300D" w:rsidRDefault="0019206E" w:rsidP="0019206E">
      <w:pPr>
        <w:rPr>
          <w:rFonts w:ascii="Times New Roman" w:hAnsi="Times New Roman" w:cs="Times New Roman"/>
        </w:rPr>
      </w:pPr>
    </w:p>
    <w:p w14:paraId="57466A19" w14:textId="77777777" w:rsidR="0019206E" w:rsidRPr="0052300D" w:rsidRDefault="0019206E" w:rsidP="0019206E">
      <w:pPr>
        <w:rPr>
          <w:rFonts w:ascii="Times New Roman" w:hAnsi="Times New Roman" w:cs="Times New Roman"/>
        </w:rPr>
      </w:pPr>
    </w:p>
    <w:p w14:paraId="436129C2" w14:textId="28AA39B6" w:rsidR="0019206E" w:rsidRPr="00F94B7E" w:rsidRDefault="750671CE" w:rsidP="00F94B7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Restatement approach</w:t>
      </w:r>
      <w:r w:rsidRPr="00F94B7E">
        <w:rPr>
          <w:rFonts w:ascii="Times New Roman" w:eastAsia="Times New Roman" w:hAnsi="Times New Roman" w:cs="Times New Roman"/>
          <w:b/>
          <w:bCs/>
          <w:i/>
          <w:iCs/>
        </w:rPr>
        <w:t>.</w:t>
      </w:r>
      <w:r w:rsidRPr="00F94B7E">
        <w:rPr>
          <w:rFonts w:ascii="Times New Roman" w:eastAsia="Times New Roman" w:hAnsi="Times New Roman" w:cs="Times New Roman"/>
        </w:rPr>
        <w:t xml:space="preserve">  Both the Second and Third Restatements address the question of intervening actors, but in slightly different ways. The Second Restatement uses the language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superseding causes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that cut off liability, but specifically excludes criminal or negligent acts from being a superseding cause if those acts were a foreseeable consequence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or if the likelihood of those acts was the reason why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conduct was negligent. </w:t>
      </w:r>
      <w:r w:rsidRPr="00F94B7E">
        <w:rPr>
          <w:rFonts w:ascii="Times New Roman" w:eastAsia="Times New Roman" w:hAnsi="Times New Roman" w:cs="Times New Roman"/>
          <w:smallCaps/>
        </w:rPr>
        <w:t>Restatement (Second) of Torts, §§ 448, 449</w:t>
      </w:r>
      <w:r w:rsidRPr="00F94B7E">
        <w:rPr>
          <w:rFonts w:ascii="Times New Roman" w:eastAsia="Times New Roman" w:hAnsi="Times New Roman" w:cs="Times New Roman"/>
        </w:rPr>
        <w:t xml:space="preserve">. The Third Restatement abandons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superseding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language from the Second Restatement, but it arrives at much the same conclusions.  The Third Restatement holds that defendants will be liable, despite intervening actors, for all damages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result from the risks that made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conduct tortious.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Restatement (Third) of Torts: Liab. for Phys. and Emot. Harm, § 34 (2010).</w:t>
      </w:r>
      <w:r w:rsidRPr="00F94B7E">
        <w:rPr>
          <w:rFonts w:ascii="Times New Roman" w:eastAsia="Times New Roman" w:hAnsi="Times New Roman" w:cs="Times New Roman"/>
        </w:rPr>
        <w:t xml:space="preserve"> The Third Restatement explicitly states that this extends to harm that befalls rescuers.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 32.</w:t>
      </w:r>
    </w:p>
    <w:p w14:paraId="018BC7CE" w14:textId="77777777" w:rsidR="0019206E" w:rsidRPr="0052300D" w:rsidRDefault="0019206E" w:rsidP="0019206E">
      <w:pPr>
        <w:widowControl w:val="0"/>
        <w:autoSpaceDE w:val="0"/>
        <w:autoSpaceDN w:val="0"/>
        <w:adjustRightInd w:val="0"/>
        <w:rPr>
          <w:rFonts w:ascii="Times New Roman" w:hAnsi="Times New Roman" w:cs="Times New Roman"/>
        </w:rPr>
      </w:pPr>
    </w:p>
    <w:p w14:paraId="6A7CD285"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The </w:t>
      </w:r>
      <w:r w:rsidRPr="00F94B7E">
        <w:rPr>
          <w:rFonts w:ascii="Times New Roman" w:eastAsia="Times New Roman" w:hAnsi="Times New Roman" w:cs="Times New Roman"/>
          <w:i/>
          <w:color w:val="000000" w:themeColor="text1"/>
        </w:rPr>
        <w:t>Restatement (Second) of Torts</w:t>
      </w:r>
      <w:r w:rsidRPr="750671CE">
        <w:rPr>
          <w:rFonts w:ascii="Times New Roman" w:eastAsia="Times New Roman" w:hAnsi="Times New Roman" w:cs="Times New Roman"/>
          <w:color w:val="000000" w:themeColor="text1"/>
        </w:rPr>
        <w:t xml:space="preserve"> offers this principle to try to make sense of the cases: </w:t>
      </w:r>
    </w:p>
    <w:p w14:paraId="51A52A5C"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856DBE5" w14:textId="672A687E" w:rsidR="0019206E" w:rsidRPr="0052300D" w:rsidRDefault="750671CE" w:rsidP="750671CE">
      <w:pPr>
        <w:widowControl w:val="0"/>
        <w:autoSpaceDE w:val="0"/>
        <w:autoSpaceDN w:val="0"/>
        <w:adjustRightInd w:val="0"/>
        <w:ind w:left="720" w:right="720"/>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The happening of the very event the likelihood of which makes the actor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CEC5125" w14:textId="77777777" w:rsidR="0019206E" w:rsidRPr="0052300D" w:rsidRDefault="0019206E" w:rsidP="750671CE">
      <w:pPr>
        <w:widowControl w:val="0"/>
        <w:autoSpaceDE w:val="0"/>
        <w:autoSpaceDN w:val="0"/>
        <w:adjustRightInd w:val="0"/>
        <w:rPr>
          <w:rFonts w:ascii="Times New Roman" w:eastAsia="Times New Roman" w:hAnsi="Times New Roman" w:cs="Times New Roman"/>
          <w:color w:val="000000" w:themeColor="text1"/>
        </w:rPr>
      </w:pPr>
      <w:r w:rsidRPr="00F94B7E">
        <w:rPr>
          <w:rFonts w:ascii="Times New Roman" w:eastAsia="Times New Roman" w:hAnsi="Times New Roman" w:cs="Times New Roman"/>
          <w:smallCaps/>
          <w:color w:val="000000" w:themeColor="text1"/>
        </w:rPr>
        <w:t>Restatement (Second) of Torts  § 449</w:t>
      </w:r>
      <w:r w:rsidRPr="750671CE">
        <w:rPr>
          <w:rFonts w:ascii="Times New Roman" w:eastAsia="Times New Roman" w:hAnsi="Times New Roman" w:cs="Times New Roman"/>
          <w:color w:val="000000"/>
        </w:rPr>
        <w:t xml:space="preserve"> cmt. b.</w:t>
      </w:r>
      <w:bookmarkStart w:id="703" w:name="Document1zzF00882016192056"/>
      <w:bookmarkEnd w:id="703"/>
      <w:r w:rsidRPr="750671CE">
        <w:rPr>
          <w:rFonts w:ascii="Times New Roman" w:eastAsia="Times New Roman" w:hAnsi="Times New Roman" w:cs="Times New Roman"/>
          <w:color w:val="000000"/>
        </w:rPr>
        <w:t xml:space="preserve">  The Restatement approach evokes the harm-within-the-risk principle.  Is it susceptible to the same difficulties?</w:t>
      </w:r>
    </w:p>
    <w:p w14:paraId="20F1E491" w14:textId="77777777" w:rsidR="0019206E" w:rsidRPr="0052300D" w:rsidRDefault="0019206E" w:rsidP="0019206E">
      <w:pPr>
        <w:rPr>
          <w:rFonts w:ascii="Times New Roman" w:hAnsi="Times New Roman" w:cs="Times New Roman"/>
          <w:b/>
        </w:rPr>
      </w:pPr>
    </w:p>
    <w:p w14:paraId="7ADA4645" w14:textId="77777777" w:rsidR="0019206E" w:rsidRPr="0052300D" w:rsidRDefault="0019206E" w:rsidP="0019206E">
      <w:pPr>
        <w:rPr>
          <w:rFonts w:ascii="Times New Roman" w:hAnsi="Times New Roman" w:cs="Times New Roman"/>
        </w:rPr>
      </w:pPr>
    </w:p>
    <w:p w14:paraId="22C6BCBB" w14:textId="783EF8D3" w:rsidR="0019206E" w:rsidRPr="00F94B7E" w:rsidRDefault="750671CE" w:rsidP="00F94B7E">
      <w:pPr>
        <w:pStyle w:val="ListParagraph"/>
        <w:numPr>
          <w:ilvl w:val="0"/>
          <w:numId w:val="27"/>
        </w:numPr>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i/>
          <w:iCs/>
        </w:rPr>
        <w:t>Proximate Cause in Iraq.</w:t>
      </w:r>
      <w:r w:rsidRPr="00F94B7E">
        <w:rPr>
          <w:rFonts w:ascii="Times New Roman" w:eastAsia="Times New Roman" w:hAnsi="Times New Roman" w:cs="Times New Roman"/>
        </w:rPr>
        <w:t xml:space="preserve">  In recent litigation arising in the Fifth Circuit, drivers working as independent contractors for Halliburton </w:t>
      </w:r>
      <w:r w:rsidR="00115598">
        <w:rPr>
          <w:rFonts w:ascii="Times New Roman" w:eastAsia="Times New Roman" w:hAnsi="Times New Roman" w:cs="Times New Roman"/>
        </w:rPr>
        <w:t xml:space="preserve">/ KBR </w:t>
      </w:r>
      <w:r w:rsidRPr="00F94B7E">
        <w:rPr>
          <w:rFonts w:ascii="Times New Roman" w:eastAsia="Times New Roman" w:hAnsi="Times New Roman" w:cs="Times New Roman"/>
        </w:rPr>
        <w:t xml:space="preserve">in Iraq sought to recover damages for injuries they received in the so-called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Good Friday Massacre,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2004 attack on a convoy in which several drivers were killed and others injured.  Halliburton</w:t>
      </w:r>
      <w:r w:rsidR="00115598">
        <w:rPr>
          <w:rFonts w:ascii="Times New Roman" w:eastAsia="Times New Roman" w:hAnsi="Times New Roman" w:cs="Times New Roman"/>
        </w:rPr>
        <w:t xml:space="preserve"> / KBR</w:t>
      </w:r>
      <w:r w:rsidRPr="00F94B7E">
        <w:rPr>
          <w:rFonts w:ascii="Times New Roman" w:eastAsia="Times New Roman" w:hAnsi="Times New Roman" w:cs="Times New Roman"/>
        </w:rPr>
        <w:t xml:space="preserve"> responded by citing the intervening actions of the Army, which chose the convoy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route, and of the Iraqi insurgents, who fired on the convoy.  The Fifth Circuit rejected the Halliburton argument and allowed the suit to proceed:</w:t>
      </w:r>
    </w:p>
    <w:p w14:paraId="3D43088F"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4FAC1962" w14:textId="5CC519E4" w:rsidR="0019206E" w:rsidRPr="0052300D" w:rsidRDefault="750671CE" w:rsidP="00F94B7E">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themeColor="text1"/>
        </w:rPr>
        <w:t xml:space="preserve">KBR </w:t>
      </w:r>
      <w:r w:rsidR="00115598">
        <w:rPr>
          <w:rFonts w:ascii="Times New Roman" w:eastAsia="Times New Roman" w:hAnsi="Times New Roman" w:cs="Times New Roman"/>
          <w:color w:val="000000" w:themeColor="text1"/>
        </w:rPr>
        <w:t xml:space="preserve">[the defendant] </w:t>
      </w:r>
      <w:r w:rsidRPr="750671CE">
        <w:rPr>
          <w:rFonts w:ascii="Times New Roman" w:eastAsia="Times New Roman" w:hAnsi="Times New Roman" w:cs="Times New Roman"/>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as opposed to those of the Army or Iraqi insurgents</w:t>
      </w:r>
      <w:r w:rsidR="00EE6920">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proximately caused their injuries. KBR has made clear that, were a trial to be held, its defense would involve the alleged inadequacy of the Army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intelligence gathering, route selection and defensive response to the attacks that actually occurred. In other words, KBR would make the case that Plaintiffs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injuries were not caused by KBR</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actions or inactions, but by the insurgents</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 xml:space="preserve"> attack and the Army</w:t>
      </w:r>
      <w:r w:rsidR="00B05F31">
        <w:rPr>
          <w:rFonts w:ascii="Times New Roman" w:eastAsia="Times New Roman" w:hAnsi="Times New Roman" w:cs="Times New Roman"/>
          <w:color w:val="000000" w:themeColor="text1"/>
        </w:rPr>
        <w:t>’</w:t>
      </w:r>
      <w:r w:rsidRPr="750671CE">
        <w:rPr>
          <w:rFonts w:ascii="Times New Roman" w:eastAsia="Times New Roman" w:hAnsi="Times New Roman" w:cs="Times New Roman"/>
          <w:color w:val="000000" w:themeColor="text1"/>
        </w:rPr>
        <w:t>s failure to provide adequate protection of the convoy.</w:t>
      </w:r>
    </w:p>
    <w:p w14:paraId="1856B0BA" w14:textId="77777777" w:rsidR="0019206E" w:rsidRPr="0052300D" w:rsidRDefault="0019206E" w:rsidP="00F94B7E">
      <w:pPr>
        <w:widowControl w:val="0"/>
        <w:autoSpaceDE w:val="0"/>
        <w:autoSpaceDN w:val="0"/>
        <w:adjustRightInd w:val="0"/>
        <w:ind w:left="720" w:right="720"/>
        <w:jc w:val="both"/>
        <w:rPr>
          <w:rFonts w:ascii="Times New Roman" w:hAnsi="Times New Roman" w:cs="Times New Roman"/>
          <w:color w:val="000000"/>
        </w:rPr>
      </w:pPr>
    </w:p>
    <w:p w14:paraId="50C6872B" w14:textId="019A23E8" w:rsidR="0019206E" w:rsidRPr="0052300D" w:rsidRDefault="0019206E" w:rsidP="00F94B7E">
      <w:pPr>
        <w:widowControl w:val="0"/>
        <w:autoSpaceDE w:val="0"/>
        <w:autoSpaceDN w:val="0"/>
        <w:adjustRightInd w:val="0"/>
        <w:ind w:left="720" w:right="720"/>
        <w:jc w:val="both"/>
        <w:rPr>
          <w:rFonts w:ascii="Times New Roman" w:eastAsia="Times New Roman" w:hAnsi="Times New Roman" w:cs="Times New Roman"/>
          <w:color w:val="000000" w:themeColor="text1"/>
        </w:rPr>
      </w:pPr>
      <w:r w:rsidRPr="750671CE">
        <w:rPr>
          <w:rFonts w:ascii="Times New Roman" w:eastAsia="Times New Roman" w:hAnsi="Times New Roman" w:cs="Times New Roman"/>
          <w:color w:val="000000"/>
        </w:rPr>
        <w:t>The Plaintiffs counter KBR</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s argument by pointing to a familiar theory of tort law that permits recovery even though another actor or cause intervenes to be the direct cause of injury.</w:t>
      </w:r>
      <w:r w:rsidR="00746162">
        <w:rPr>
          <w:rFonts w:ascii="Times New Roman" w:eastAsia="Times New Roman" w:hAnsi="Times New Roman" w:cs="Times New Roman"/>
          <w:color w:val="000000"/>
        </w:rPr>
        <w:t xml:space="preserve"> . . . </w:t>
      </w:r>
      <w:r w:rsidRPr="750671CE">
        <w:rPr>
          <w:rFonts w:ascii="Times New Roman" w:eastAsia="Times New Roman" w:hAnsi="Times New Roman" w:cs="Times New Roman"/>
          <w:color w:val="000000"/>
        </w:rPr>
        <w:t xml:space="preserve">According to the Restatement, </w:t>
      </w:r>
      <w:r w:rsidR="00B05F31">
        <w:rPr>
          <w:rFonts w:ascii="Times New Roman" w:eastAsia="Times New Roman" w:hAnsi="Times New Roman" w:cs="Times New Roman"/>
          <w:color w:val="000000"/>
        </w:rPr>
        <w:t>“</w:t>
      </w:r>
      <w:r w:rsidRPr="750671CE">
        <w:rPr>
          <w:rFonts w:ascii="Times New Roman" w:eastAsia="Times New Roman" w:hAnsi="Times New Roman" w:cs="Times New Roman"/>
          <w:color w:val="000000"/>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Pr>
          <w:rFonts w:ascii="Times New Roman" w:eastAsia="Times New Roman" w:hAnsi="Times New Roman" w:cs="Times New Roman"/>
          <w:color w:val="000000"/>
        </w:rPr>
        <w:t>”</w:t>
      </w:r>
      <w:r w:rsidR="00746162">
        <w:rPr>
          <w:rFonts w:ascii="Times New Roman" w:eastAsia="Times New Roman" w:hAnsi="Times New Roman" w:cs="Times New Roman"/>
          <w:color w:val="000000"/>
        </w:rPr>
        <w:t xml:space="preserve"> . . .</w:t>
      </w:r>
      <w:r w:rsidRPr="750671CE">
        <w:rPr>
          <w:rFonts w:ascii="Times New Roman" w:eastAsia="Times New Roman" w:hAnsi="Times New Roman" w:cs="Times New Roman"/>
          <w:color w:val="000000"/>
        </w:rPr>
        <w:t xml:space="preserve">  Texas courts have applied this theory of liability in previous cases.</w:t>
      </w:r>
      <w:bookmarkStart w:id="704" w:name="Document1zzSDUNumber7"/>
      <w:bookmarkEnd w:id="704"/>
      <w:r w:rsidR="00746162">
        <w:rPr>
          <w:rFonts w:ascii="Times New Roman" w:eastAsia="Times New Roman" w:hAnsi="Times New Roman" w:cs="Times New Roman"/>
          <w:color w:val="000000"/>
        </w:rPr>
        <w:t xml:space="preserve"> . . .</w:t>
      </w:r>
    </w:p>
    <w:p w14:paraId="6B3C4DEA" w14:textId="77777777" w:rsidR="0019206E" w:rsidRPr="0052300D" w:rsidRDefault="0019206E" w:rsidP="0019206E">
      <w:pPr>
        <w:widowControl w:val="0"/>
        <w:autoSpaceDE w:val="0"/>
        <w:autoSpaceDN w:val="0"/>
        <w:adjustRightInd w:val="0"/>
        <w:rPr>
          <w:rFonts w:ascii="Times New Roman" w:hAnsi="Times New Roman" w:cs="Times New Roman"/>
          <w:color w:val="000000"/>
        </w:rPr>
      </w:pPr>
    </w:p>
    <w:p w14:paraId="03860D49" w14:textId="77777777" w:rsidR="0019206E" w:rsidRPr="0052300D" w:rsidRDefault="750671CE" w:rsidP="750671CE">
      <w:pPr>
        <w:widowControl w:val="0"/>
        <w:autoSpaceDE w:val="0"/>
        <w:autoSpaceDN w:val="0"/>
        <w:adjustRightInd w:val="0"/>
        <w:rPr>
          <w:rFonts w:ascii="Times New Roman" w:eastAsia="Times New Roman" w:hAnsi="Times New Roman" w:cs="Times New Roman"/>
          <w:color w:val="000000" w:themeColor="text1"/>
        </w:rPr>
      </w:pPr>
      <w:r w:rsidRPr="750671CE">
        <w:rPr>
          <w:rFonts w:ascii="Times New Roman" w:eastAsia="Times New Roman" w:hAnsi="Times New Roman" w:cs="Times New Roman"/>
          <w:i/>
          <w:iCs/>
        </w:rPr>
        <w:t>Lane v. Halliburton</w:t>
      </w:r>
      <w:r w:rsidRPr="750671CE">
        <w:rPr>
          <w:rFonts w:ascii="Times New Roman" w:eastAsia="Times New Roman" w:hAnsi="Times New Roman" w:cs="Times New Roman"/>
        </w:rPr>
        <w:t xml:space="preserve">, 529 F.3d 548 (5th Cir. 2008).  </w:t>
      </w:r>
    </w:p>
    <w:p w14:paraId="48B865FD" w14:textId="77777777" w:rsidR="0019206E" w:rsidRPr="0052300D" w:rsidRDefault="0019206E" w:rsidP="0019206E">
      <w:pPr>
        <w:rPr>
          <w:rFonts w:ascii="Times New Roman" w:hAnsi="Times New Roman" w:cs="Times New Roman"/>
        </w:rPr>
      </w:pPr>
    </w:p>
    <w:p w14:paraId="652D64CA" w14:textId="32D636F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w:t>
      </w:r>
      <w:r w:rsidRPr="750671CE">
        <w:rPr>
          <w:rFonts w:ascii="Times New Roman" w:eastAsia="Times New Roman" w:hAnsi="Times New Roman" w:cs="Times New Roman"/>
          <w:i/>
          <w:iCs/>
        </w:rPr>
        <w:t>Lane</w:t>
      </w:r>
      <w:r w:rsidRPr="750671CE">
        <w:rPr>
          <w:rFonts w:ascii="Times New Roman" w:eastAsia="Times New Roman" w:hAnsi="Times New Roman" w:cs="Times New Roman"/>
        </w:rPr>
        <w:t xml:space="preserve"> litigation was one of several suits arising out of the same accident. After the plaintiffs survived Halliburton</w:t>
      </w:r>
      <w:r w:rsidR="002E44B2">
        <w:rPr>
          <w:rFonts w:ascii="Times New Roman" w:eastAsia="Times New Roman" w:hAnsi="Times New Roman" w:cs="Times New Roman"/>
        </w:rPr>
        <w:t xml:space="preserve"> / KBR</w:t>
      </w:r>
      <w:r w:rsidR="00B05F31">
        <w:rPr>
          <w:rFonts w:ascii="Times New Roman" w:eastAsia="Times New Roman" w:hAnsi="Times New Roman" w:cs="Times New Roman"/>
        </w:rPr>
        <w:t>’</w:t>
      </w:r>
      <w:r w:rsidRPr="750671CE">
        <w:rPr>
          <w:rFonts w:ascii="Times New Roman" w:eastAsia="Times New Roman" w:hAnsi="Times New Roman" w:cs="Times New Roman"/>
        </w:rPr>
        <w:t>s motion to dismiss at the Fifth Circuit in 2008, the defendants filed a separate motion for summary judgment. The defendants successfully argued that the plaintiffs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claim was precluded by the Defense Base Act, a federal law that includes a workers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compensation program applicable to civilian employees of American contractors working on or around overseas military bases.  </w:t>
      </w:r>
      <w:r w:rsidRPr="750671CE">
        <w:rPr>
          <w:rFonts w:ascii="Times New Roman" w:eastAsia="Times New Roman" w:hAnsi="Times New Roman" w:cs="Times New Roman"/>
          <w:i/>
          <w:iCs/>
        </w:rPr>
        <w:t>Fisher v. Halliburton</w:t>
      </w:r>
      <w:r w:rsidRPr="750671CE">
        <w:rPr>
          <w:rFonts w:ascii="Times New Roman" w:eastAsia="Times New Roman" w:hAnsi="Times New Roman" w:cs="Times New Roman"/>
        </w:rPr>
        <w:t xml:space="preserve">, 667 F.3d 602 (5th Cir. 2012). The </w:t>
      </w:r>
      <w:r w:rsidRPr="750671CE">
        <w:rPr>
          <w:rFonts w:ascii="Times New Roman" w:eastAsia="Times New Roman" w:hAnsi="Times New Roman" w:cs="Times New Roman"/>
          <w:i/>
          <w:iCs/>
        </w:rPr>
        <w:t>Lane</w:t>
      </w:r>
      <w:r w:rsidRPr="750671CE">
        <w:rPr>
          <w:rFonts w:ascii="Times New Roman" w:eastAsia="Times New Roman" w:hAnsi="Times New Roman" w:cs="Times New Roman"/>
        </w:rPr>
        <w:t xml:space="preserve"> plaintiffs had already settled before the 2012 decision of the Fifth Circuit, but the </w:t>
      </w:r>
      <w:r w:rsidRPr="750671CE">
        <w:rPr>
          <w:rFonts w:ascii="Times New Roman" w:eastAsia="Times New Roman" w:hAnsi="Times New Roman" w:cs="Times New Roman"/>
          <w:i/>
          <w:iCs/>
        </w:rPr>
        <w:t>Fisher</w:t>
      </w:r>
      <w:r w:rsidRPr="750671CE">
        <w:rPr>
          <w:rFonts w:ascii="Times New Roman" w:eastAsia="Times New Roman" w:hAnsi="Times New Roman" w:cs="Times New Roman"/>
        </w:rPr>
        <w:t xml:space="preserve"> plaintiffs had refused to settle and found themselves out of luck. </w:t>
      </w:r>
    </w:p>
    <w:p w14:paraId="198076F9" w14:textId="77777777" w:rsidR="0019206E" w:rsidRPr="0052300D" w:rsidRDefault="0019206E" w:rsidP="0019206E">
      <w:pPr>
        <w:ind w:firstLine="720"/>
        <w:rPr>
          <w:rFonts w:ascii="Times New Roman" w:hAnsi="Times New Roman" w:cs="Times New Roman"/>
        </w:rPr>
      </w:pPr>
    </w:p>
    <w:p w14:paraId="7060DCE9" w14:textId="15445713"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Another example of proximate causation at work in Iraq arises out of the Foreign Claims Act, 10 U.S.C. </w:t>
      </w:r>
      <w:r w:rsidRPr="750671CE">
        <w:rPr>
          <w:rFonts w:ascii="Times New Roman" w:eastAsia="Times New Roman" w:hAnsi="Times New Roman" w:cs="Times New Roman"/>
          <w:color w:val="000000" w:themeColor="text1"/>
        </w:rPr>
        <w:t xml:space="preserve">§ </w:t>
      </w:r>
      <w:r w:rsidRPr="750671CE">
        <w:rPr>
          <w:rFonts w:ascii="Times New Roman" w:eastAsia="Times New Roman" w:hAnsi="Times New Roman" w:cs="Times New Roman"/>
        </w:rPr>
        <w:t xml:space="preserve">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itself between coalition forces and the Taliban.  How did the judge advocates circumvent the statutory prohibition on compensating victims injured in combat?  They went further back the causal chain to a </w:t>
      </w:r>
      <w:r w:rsidR="00B05F31">
        <w:rPr>
          <w:rFonts w:ascii="Times New Roman" w:eastAsia="Times New Roman" w:hAnsi="Times New Roman" w:cs="Times New Roman"/>
        </w:rPr>
        <w:t>“</w:t>
      </w:r>
      <w:r w:rsidRPr="750671CE">
        <w:rPr>
          <w:rFonts w:ascii="Times New Roman" w:eastAsia="Times New Roman" w:hAnsi="Times New Roman" w:cs="Times New Roman"/>
        </w:rPr>
        <w:t>skidding, out-of-control, no-brakes descent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a U.S. armored truck down the mountain road into Kabul that had preceded the firefight.  </w:t>
      </w:r>
    </w:p>
    <w:p w14:paraId="4F07C829" w14:textId="77777777" w:rsidR="0019206E" w:rsidRPr="0052300D" w:rsidRDefault="0019206E" w:rsidP="0019206E">
      <w:pPr>
        <w:ind w:firstLine="720"/>
        <w:rPr>
          <w:rFonts w:ascii="Times New Roman" w:eastAsia="Times New Roman" w:hAnsi="Times New Roman" w:cs="Times New Roman"/>
        </w:rPr>
      </w:pPr>
    </w:p>
    <w:p w14:paraId="7896ADEC" w14:textId="77777777" w:rsidR="0019206E" w:rsidRPr="0052300D"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52300D" w:rsidRDefault="0019206E" w:rsidP="0019206E">
      <w:pPr>
        <w:rPr>
          <w:rFonts w:ascii="Times New Roman" w:eastAsia="Times New Roman" w:hAnsi="Times New Roman" w:cs="Times New Roman"/>
        </w:rPr>
      </w:pPr>
    </w:p>
    <w:p w14:paraId="29E1F823" w14:textId="77777777"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John Fabian Witt, </w:t>
      </w:r>
      <w:r w:rsidRPr="750671CE">
        <w:rPr>
          <w:rFonts w:ascii="Times New Roman" w:eastAsia="Times New Roman" w:hAnsi="Times New Roman" w:cs="Times New Roman"/>
          <w:i/>
          <w:iCs/>
        </w:rPr>
        <w:t>Form and Substance in the Law of Counterinsurgency Damages</w:t>
      </w:r>
      <w:r w:rsidRPr="750671CE">
        <w:rPr>
          <w:rFonts w:ascii="Times New Roman" w:eastAsia="Times New Roman" w:hAnsi="Times New Roman" w:cs="Times New Roman"/>
        </w:rPr>
        <w:t xml:space="preserve">, 41 </w:t>
      </w:r>
      <w:r w:rsidRPr="750671CE">
        <w:rPr>
          <w:rFonts w:ascii="Times New Roman" w:eastAsia="Times New Roman" w:hAnsi="Times New Roman" w:cs="Times New Roman"/>
          <w:smallCaps/>
        </w:rPr>
        <w:t>Loyola L.A. L. Rev</w:t>
      </w:r>
      <w:r w:rsidRPr="750671CE">
        <w:rPr>
          <w:rFonts w:ascii="Times New Roman" w:eastAsia="Times New Roman" w:hAnsi="Times New Roman" w:cs="Times New Roman"/>
        </w:rPr>
        <w:t>. 1455, 1479 (2008).</w:t>
      </w:r>
    </w:p>
    <w:p w14:paraId="5CF9307A" w14:textId="77777777" w:rsidR="0019206E" w:rsidRPr="0052300D" w:rsidRDefault="0019206E" w:rsidP="0019206E">
      <w:pPr>
        <w:rPr>
          <w:rFonts w:ascii="Times New Roman" w:hAnsi="Times New Roman" w:cs="Times New Roman"/>
        </w:rPr>
      </w:pPr>
    </w:p>
    <w:p w14:paraId="5EC5A963" w14:textId="76DA50E1" w:rsidR="00D22391" w:rsidRDefault="00D22391">
      <w:pPr>
        <w:rPr>
          <w:rFonts w:ascii="Times New Roman" w:hAnsi="Times New Roman" w:cs="Times New Roman"/>
        </w:rPr>
      </w:pPr>
      <w:r>
        <w:rPr>
          <w:rFonts w:ascii="Times New Roman" w:hAnsi="Times New Roman" w:cs="Times New Roman"/>
        </w:rPr>
        <w:br w:type="page"/>
      </w:r>
    </w:p>
    <w:p w14:paraId="60001879" w14:textId="77777777" w:rsidR="0019206E" w:rsidRPr="0052300D" w:rsidRDefault="0019206E" w:rsidP="00322687">
      <w:pPr>
        <w:pStyle w:val="Heading3"/>
      </w:pPr>
      <w:bookmarkStart w:id="705" w:name="_Toc364636195"/>
      <w:bookmarkStart w:id="706" w:name="_Toc518323429"/>
      <w:r w:rsidRPr="0052300D">
        <w:t>A Proximate Cause Case Study: Subsequent Negligent Medical Care</w:t>
      </w:r>
      <w:bookmarkEnd w:id="705"/>
      <w:bookmarkEnd w:id="706"/>
    </w:p>
    <w:p w14:paraId="7EB7CE2B" w14:textId="77777777" w:rsidR="0019206E" w:rsidRPr="0052300D" w:rsidRDefault="0019206E" w:rsidP="0019206E">
      <w:pPr>
        <w:rPr>
          <w:rFonts w:ascii="Times New Roman" w:hAnsi="Times New Roman" w:cs="Times New Roman"/>
        </w:rPr>
      </w:pPr>
    </w:p>
    <w:p w14:paraId="6C6D3D42" w14:textId="77777777" w:rsidR="0019206E" w:rsidRPr="0052300D" w:rsidRDefault="0019206E" w:rsidP="0019206E">
      <w:pPr>
        <w:rPr>
          <w:rFonts w:ascii="Times New Roman" w:hAnsi="Times New Roman" w:cs="Times New Roman"/>
        </w:rPr>
      </w:pPr>
    </w:p>
    <w:p w14:paraId="35D3EDB6" w14:textId="49069C20"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For the most part, the law deals with unexpected intervening causes in an ad hoc, all-things-considered style.  But now and then, a particular type of fact sequence recurs with sufficient frequency that the law crystalizes its contextual standards (</w:t>
      </w:r>
      <w:r w:rsidR="00B05F31">
        <w:rPr>
          <w:rFonts w:ascii="Times New Roman" w:eastAsia="Times New Roman" w:hAnsi="Times New Roman" w:cs="Times New Roman"/>
        </w:rPr>
        <w:t>“</w:t>
      </w:r>
      <w:r w:rsidRPr="750671CE">
        <w:rPr>
          <w:rFonts w:ascii="Times New Roman" w:eastAsia="Times New Roman" w:hAnsi="Times New Roman" w:cs="Times New Roman"/>
        </w:rPr>
        <w:t>foreseeability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w:t>
      </w:r>
      <w:r w:rsidR="00B05F31">
        <w:rPr>
          <w:rFonts w:ascii="Times New Roman" w:eastAsia="Times New Roman" w:hAnsi="Times New Roman" w:cs="Times New Roman"/>
        </w:rPr>
        <w:t>“</w:t>
      </w:r>
      <w:r w:rsidRPr="750671CE">
        <w:rPr>
          <w:rFonts w:ascii="Times New Roman" w:eastAsia="Times New Roman" w:hAnsi="Times New Roman" w:cs="Times New Roman"/>
        </w:rPr>
        <w:t>directness,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for example) into hard-edged rules.  The eggshell skull plaintiff rule is one such doctrine.  The effort of the New York Court of Appeals in </w:t>
      </w:r>
      <w:r w:rsidRPr="750671CE">
        <w:rPr>
          <w:rFonts w:ascii="Times New Roman" w:eastAsia="Times New Roman" w:hAnsi="Times New Roman" w:cs="Times New Roman"/>
          <w:i/>
          <w:iCs/>
        </w:rPr>
        <w:t>McLaughlin</w:t>
      </w:r>
      <w:r w:rsidRPr="750671CE">
        <w:rPr>
          <w:rFonts w:ascii="Times New Roman" w:eastAsia="Times New Roman" w:hAnsi="Times New Roman" w:cs="Times New Roman"/>
        </w:rPr>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52300D" w:rsidRDefault="0019206E" w:rsidP="0019206E">
      <w:pPr>
        <w:rPr>
          <w:rFonts w:ascii="Times New Roman" w:hAnsi="Times New Roman" w:cs="Times New Roman"/>
        </w:rPr>
      </w:pPr>
    </w:p>
    <w:p w14:paraId="76DD01C8" w14:textId="236B6814"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In </w:t>
      </w:r>
      <w:r w:rsidRPr="750671CE">
        <w:rPr>
          <w:rFonts w:ascii="Times New Roman" w:eastAsia="Times New Roman" w:hAnsi="Times New Roman" w:cs="Times New Roman"/>
          <w:i/>
          <w:iCs/>
        </w:rPr>
        <w:t>Stoleson v. United States</w:t>
      </w:r>
      <w:r w:rsidRPr="750671CE">
        <w:rPr>
          <w:rFonts w:ascii="Times New Roman" w:eastAsia="Times New Roman" w:hAnsi="Times New Roman" w:cs="Times New Roman"/>
        </w:rPr>
        <w:t>, Judge Posner reviewed the claim of Helen Stoleson</w:t>
      </w:r>
      <w:r w:rsidR="00121B00">
        <w:rPr>
          <w:rFonts w:ascii="Times New Roman" w:eastAsia="Times New Roman" w:hAnsi="Times New Roman" w:cs="Times New Roman"/>
        </w:rPr>
        <w:t>—</w:t>
      </w:r>
      <w:r w:rsidRPr="750671CE">
        <w:rPr>
          <w:rFonts w:ascii="Times New Roman" w:eastAsia="Times New Roman" w:hAnsi="Times New Roman" w:cs="Times New Roman"/>
        </w:rPr>
        <w:t xml:space="preserve">the woman with the </w:t>
      </w:r>
      <w:r w:rsidR="00B05F31">
        <w:rPr>
          <w:rFonts w:ascii="Times New Roman" w:eastAsia="Times New Roman" w:hAnsi="Times New Roman" w:cs="Times New Roman"/>
        </w:rPr>
        <w:t>“</w:t>
      </w:r>
      <w:r w:rsidRPr="750671CE">
        <w:rPr>
          <w:rFonts w:ascii="Times New Roman" w:eastAsia="Times New Roman" w:hAnsi="Times New Roman" w:cs="Times New Roman"/>
        </w:rPr>
        <w:t>dynamite heart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w:t>
      </w:r>
      <w:r w:rsidRPr="750671CE">
        <w:rPr>
          <w:rFonts w:ascii="Times New Roman" w:eastAsia="Times New Roman" w:hAnsi="Times New Roman" w:cs="Times New Roman"/>
          <w:i/>
          <w:iCs/>
        </w:rPr>
        <w:t>Time Magazine</w:t>
      </w:r>
      <w:r w:rsidRPr="750671CE">
        <w:rPr>
          <w:rFonts w:ascii="Times New Roman" w:eastAsia="Times New Roman" w:hAnsi="Times New Roman" w:cs="Times New Roman"/>
        </w:rPr>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rPr>
          <w:rFonts w:ascii="Times New Roman" w:eastAsia="Times New Roman" w:hAnsi="Times New Roman" w:cs="Times New Roman"/>
        </w:rPr>
        <w:t>“</w:t>
      </w:r>
      <w:r w:rsidRPr="750671CE">
        <w:rPr>
          <w:rFonts w:ascii="Times New Roman" w:eastAsia="Times New Roman" w:hAnsi="Times New Roman" w:cs="Times New Roman"/>
        </w:rPr>
        <w:t>the treatment</w:t>
      </w:r>
      <w:r w:rsidR="00EE6920">
        <w:rPr>
          <w:rFonts w:ascii="Times New Roman" w:eastAsia="Times New Roman" w:hAnsi="Times New Roman" w:cs="Times New Roman"/>
        </w:rPr>
        <w:t>—</w:t>
      </w:r>
      <w:r w:rsidRPr="750671CE">
        <w:rPr>
          <w:rFonts w:ascii="Times New Roman" w:eastAsia="Times New Roman" w:hAnsi="Times New Roman" w:cs="Times New Roman"/>
        </w:rPr>
        <w:t>even the negligent treatment</w:t>
      </w:r>
      <w:r w:rsidR="00121B00">
        <w:rPr>
          <w:rFonts w:ascii="Times New Roman" w:eastAsia="Times New Roman" w:hAnsi="Times New Roman" w:cs="Times New Roman"/>
        </w:rPr>
        <w:t>—</w:t>
      </w:r>
      <w:r w:rsidRPr="750671CE">
        <w:rPr>
          <w:rFonts w:ascii="Times New Roman" w:eastAsia="Times New Roman" w:hAnsi="Times New Roman" w:cs="Times New Roman"/>
        </w:rPr>
        <w:t>of the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by a third party such as a treating physician: </w:t>
      </w:r>
    </w:p>
    <w:p w14:paraId="179A423B" w14:textId="77777777" w:rsidR="0019206E" w:rsidRPr="0052300D" w:rsidRDefault="0019206E" w:rsidP="0019206E">
      <w:pPr>
        <w:ind w:firstLine="720"/>
        <w:rPr>
          <w:rFonts w:ascii="Times New Roman" w:eastAsia="Times New Roman" w:hAnsi="Times New Roman" w:cs="Times New Roman"/>
        </w:rPr>
      </w:pPr>
    </w:p>
    <w:p w14:paraId="13EB8C8E" w14:textId="52FC9F28" w:rsidR="0019206E" w:rsidRPr="0052300D"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If a pedestrian who has been run down by a car is taken to a hospital and because of the hospital</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Stoleson would have had no occasion to consult Dr. Lange and might therefore not have become a hypochondriac.</w:t>
      </w:r>
    </w:p>
    <w:p w14:paraId="4E7BE320" w14:textId="77777777" w:rsidR="0019206E" w:rsidRPr="0052300D" w:rsidRDefault="0019206E" w:rsidP="0019206E">
      <w:pPr>
        <w:rPr>
          <w:rFonts w:ascii="Times New Roman" w:eastAsia="Times New Roman" w:hAnsi="Times New Roman" w:cs="Times New Roman"/>
        </w:rPr>
      </w:pPr>
    </w:p>
    <w:p w14:paraId="01C51DAB" w14:textId="3E508962" w:rsidR="0019206E" w:rsidRPr="0052300D" w:rsidRDefault="00121B00" w:rsidP="750671CE">
      <w:pPr>
        <w:rPr>
          <w:rFonts w:ascii="Times New Roman" w:eastAsia="Times New Roman" w:hAnsi="Times New Roman" w:cs="Times New Roman"/>
        </w:rPr>
      </w:pPr>
      <w:r>
        <w:rPr>
          <w:rFonts w:ascii="Times New Roman" w:eastAsia="Times New Roman" w:hAnsi="Times New Roman" w:cs="Times New Roman"/>
          <w:i/>
        </w:rPr>
        <w:t>Stoleson v. United</w:t>
      </w:r>
      <w:r w:rsidRPr="00121B00">
        <w:rPr>
          <w:rFonts w:ascii="Times New Roman" w:eastAsia="Times New Roman" w:hAnsi="Times New Roman" w:cs="Times New Roman"/>
          <w:i/>
        </w:rPr>
        <w:t xml:space="preserve"> States</w:t>
      </w:r>
      <w:r>
        <w:rPr>
          <w:rFonts w:ascii="Times New Roman" w:eastAsia="Times New Roman" w:hAnsi="Times New Roman" w:cs="Times New Roman"/>
        </w:rPr>
        <w:t xml:space="preserve">, </w:t>
      </w:r>
      <w:r w:rsidR="750671CE" w:rsidRPr="00121B00">
        <w:rPr>
          <w:rFonts w:ascii="Times New Roman" w:eastAsia="Times New Roman" w:hAnsi="Times New Roman" w:cs="Times New Roman"/>
        </w:rPr>
        <w:t>708</w:t>
      </w:r>
      <w:r w:rsidR="750671CE" w:rsidRPr="750671CE">
        <w:rPr>
          <w:rFonts w:ascii="Times New Roman" w:eastAsia="Times New Roman" w:hAnsi="Times New Roman" w:cs="Times New Roman"/>
        </w:rPr>
        <w:t xml:space="preserve"> F.2d 1217, 1221 (7th Cir. 1983).</w:t>
      </w:r>
    </w:p>
    <w:p w14:paraId="020FD0D6" w14:textId="77777777" w:rsidR="0019206E" w:rsidRPr="0052300D" w:rsidRDefault="0019206E" w:rsidP="0019206E">
      <w:pPr>
        <w:rPr>
          <w:rFonts w:ascii="Times New Roman" w:eastAsia="Times New Roman" w:hAnsi="Times New Roman" w:cs="Times New Roman"/>
        </w:rPr>
      </w:pPr>
    </w:p>
    <w:p w14:paraId="33CB5F90"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principle described by Posner in </w:t>
      </w:r>
      <w:r w:rsidRPr="750671CE">
        <w:rPr>
          <w:rFonts w:ascii="Times New Roman" w:eastAsia="Times New Roman" w:hAnsi="Times New Roman" w:cs="Times New Roman"/>
          <w:i/>
          <w:iCs/>
        </w:rPr>
        <w:t>Stoleson</w:t>
      </w:r>
      <w:r w:rsidRPr="750671CE">
        <w:rPr>
          <w:rFonts w:ascii="Times New Roman" w:eastAsia="Times New Roman" w:hAnsi="Times New Roman" w:cs="Times New Roman"/>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52300D" w:rsidRDefault="0019206E" w:rsidP="0019206E">
      <w:pPr>
        <w:rPr>
          <w:rFonts w:ascii="Times New Roman" w:eastAsia="Times New Roman" w:hAnsi="Times New Roman" w:cs="Times New Roman"/>
        </w:rPr>
      </w:pPr>
    </w:p>
    <w:p w14:paraId="40942D0C" w14:textId="1A6855B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Consider </w:t>
      </w:r>
      <w:r w:rsidRPr="750671CE">
        <w:rPr>
          <w:rFonts w:ascii="Times New Roman" w:eastAsia="Times New Roman" w:hAnsi="Times New Roman" w:cs="Times New Roman"/>
          <w:i/>
          <w:iCs/>
        </w:rPr>
        <w:t>Pridham v. Cash &amp; Carry Building Center</w:t>
      </w:r>
      <w:r w:rsidRPr="750671CE">
        <w:rPr>
          <w:rFonts w:ascii="Times New Roman" w:eastAsia="Times New Roman" w:hAnsi="Times New Roman" w:cs="Times New Roman"/>
        </w:rPr>
        <w:t xml:space="preserve">, a wrongful death case. In </w:t>
      </w:r>
      <w:r w:rsidRPr="750671CE">
        <w:rPr>
          <w:rFonts w:ascii="Times New Roman" w:eastAsia="Times New Roman" w:hAnsi="Times New Roman" w:cs="Times New Roman"/>
          <w:i/>
          <w:iCs/>
        </w:rPr>
        <w:t>Pridham</w:t>
      </w:r>
      <w:r w:rsidRPr="750671CE">
        <w:rPr>
          <w:rFonts w:ascii="Times New Roman" w:eastAsia="Times New Roman" w:hAnsi="Times New Roman" w:cs="Times New Roman"/>
        </w:rPr>
        <w:t xml:space="preserve">, the decedent was shopping at a retail building supplies store when paneling fell on him, knocking him down and covering his body. As the court described, it, </w:t>
      </w:r>
      <w:r w:rsidR="00B05F31">
        <w:rPr>
          <w:rFonts w:ascii="Times New Roman" w:eastAsia="Times New Roman" w:hAnsi="Times New Roman" w:cs="Times New Roman"/>
        </w:rPr>
        <w:t>“</w:t>
      </w:r>
      <w:r w:rsidRPr="750671CE">
        <w:rPr>
          <w:rFonts w:ascii="Times New Roman" w:eastAsia="Times New Roman" w:hAnsi="Times New Roman" w:cs="Times New Roman"/>
        </w:rPr>
        <w:t>When the panels were removed, [decedent] lay flat on his back on the floor, his head in a pool of blood.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Decedent </w:t>
      </w:r>
      <w:r w:rsidR="00B05F31">
        <w:rPr>
          <w:rFonts w:ascii="Times New Roman" w:eastAsia="Times New Roman" w:hAnsi="Times New Roman" w:cs="Times New Roman"/>
        </w:rPr>
        <w:t>“</w:t>
      </w:r>
      <w:r w:rsidRPr="750671CE">
        <w:rPr>
          <w:rFonts w:ascii="Times New Roman" w:eastAsia="Times New Roman" w:hAnsi="Times New Roman" w:cs="Times New Roman"/>
        </w:rPr>
        <w:t>was placed on an orthopedic stretcher which was in turn placed upon the ambulance cot and carried into the vehicle.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En route to the hospital, however, the driver suffered a heart attack, causing the ambulance </w:t>
      </w:r>
      <w:r w:rsidR="00B05F31">
        <w:rPr>
          <w:rFonts w:ascii="Times New Roman" w:eastAsia="Times New Roman" w:hAnsi="Times New Roman" w:cs="Times New Roman"/>
        </w:rPr>
        <w:t>“</w:t>
      </w:r>
      <w:r w:rsidRPr="750671CE">
        <w:rPr>
          <w:rFonts w:ascii="Times New Roman" w:eastAsia="Times New Roman" w:hAnsi="Times New Roman" w:cs="Times New Roman"/>
        </w:rPr>
        <w:t>to swerve from the road and strike a tree. The cot was pushed forward through the glass partition separating the driver compartment from the rear of the ambulance.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decedent died later that same day.  </w:t>
      </w:r>
    </w:p>
    <w:p w14:paraId="0F90ED85" w14:textId="77777777" w:rsidR="0019206E" w:rsidRPr="0052300D" w:rsidRDefault="0019206E" w:rsidP="0019206E">
      <w:pPr>
        <w:rPr>
          <w:rFonts w:ascii="Times New Roman" w:eastAsia="Times New Roman" w:hAnsi="Times New Roman" w:cs="Times New Roman"/>
        </w:rPr>
      </w:pPr>
    </w:p>
    <w:p w14:paraId="45F4B7B8" w14:textId="080B5CDB" w:rsidR="0019206E" w:rsidRPr="0052300D" w:rsidRDefault="0019206E" w:rsidP="750671C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The trial court in </w:t>
      </w:r>
      <w:r w:rsidRPr="750671CE">
        <w:rPr>
          <w:rFonts w:ascii="Times New Roman" w:eastAsia="Times New Roman" w:hAnsi="Times New Roman" w:cs="Times New Roman"/>
          <w:i/>
          <w:iCs/>
        </w:rPr>
        <w:t>Pridham</w:t>
      </w:r>
      <w:r w:rsidRPr="0052300D">
        <w:rPr>
          <w:rFonts w:ascii="Times New Roman" w:eastAsia="Times New Roman" w:hAnsi="Times New Roman" w:cs="Times New Roman"/>
        </w:rPr>
        <w:t xml:space="preserve"> charged the jury that </w:t>
      </w:r>
      <w:r w:rsidR="00B05F31">
        <w:rPr>
          <w:rFonts w:ascii="Times New Roman" w:eastAsia="Times New Roman" w:hAnsi="Times New Roman" w:cs="Times New Roman"/>
        </w:rPr>
        <w:t>“</w:t>
      </w:r>
      <w:r w:rsidRPr="0052300D">
        <w:rPr>
          <w:rFonts w:ascii="Times New Roman" w:eastAsia="Times New Roman" w:hAnsi="Times New Roman" w:cs="Times New Roman"/>
        </w:rPr>
        <w:t>if the defendant is liable to the plaintiff-decedent in this case, he is also liable for any additional bodily harm resulting from</w:t>
      </w:r>
      <w:bookmarkStart w:id="707" w:name="2"/>
      <w:bookmarkEnd w:id="707"/>
      <w:r w:rsidRPr="0052300D">
        <w:rPr>
          <w:rFonts w:ascii="Times New Roman" w:eastAsia="Times New Roman" w:hAnsi="Times New Roman" w:cs="Times New Roman"/>
        </w:rPr>
        <w:t xml:space="preserve"> normal efforts of third persons in rendering aid . . . which the other</w:t>
      </w:r>
      <w:r w:rsidR="00B05F31">
        <w:rPr>
          <w:rFonts w:ascii="Times New Roman" w:eastAsia="Times New Roman" w:hAnsi="Times New Roman" w:cs="Times New Roman"/>
        </w:rPr>
        <w:t>’</w:t>
      </w:r>
      <w:r w:rsidRPr="0052300D">
        <w:rPr>
          <w:rFonts w:ascii="Times New Roman" w:eastAsia="Times New Roman" w:hAnsi="Times New Roman" w:cs="Times New Roman"/>
        </w:rPr>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rPr>
          <w:rFonts w:ascii="Times New Roman" w:eastAsia="Times New Roman" w:hAnsi="Times New Roman" w:cs="Times New Roman"/>
        </w:rPr>
        <w:t>”</w:t>
      </w:r>
      <w:r w:rsidRPr="0052300D">
        <w:rPr>
          <w:rFonts w:ascii="Times New Roman" w:eastAsia="Times New Roman" w:hAnsi="Times New Roman" w:cs="Times New Roman"/>
        </w:rPr>
        <w:t xml:space="preserve"> The New Hampshire Supreme Court upheld the instruction:</w:t>
      </w:r>
    </w:p>
    <w:p w14:paraId="5838F4B8" w14:textId="77777777" w:rsidR="0019206E" w:rsidRPr="0052300D" w:rsidRDefault="0019206E" w:rsidP="0019206E">
      <w:pPr>
        <w:ind w:firstLine="720"/>
        <w:rPr>
          <w:rFonts w:ascii="Times New Roman" w:eastAsia="Times New Roman" w:hAnsi="Times New Roman" w:cs="Times New Roman"/>
        </w:rPr>
      </w:pPr>
    </w:p>
    <w:p w14:paraId="1C111FBF" w14:textId="6A84905B" w:rsidR="0019206E" w:rsidRPr="0052300D"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 instruction given by the trial court is based on the principle that if a tortfeasor</w:t>
      </w:r>
      <w:r w:rsidR="00B05F31">
        <w:rPr>
          <w:rFonts w:ascii="Times New Roman" w:eastAsia="Times New Roman" w:hAnsi="Times New Roman" w:cs="Times New Roman"/>
        </w:rPr>
        <w:t>’</w:t>
      </w:r>
      <w:r w:rsidRPr="750671CE">
        <w:rPr>
          <w:rFonts w:ascii="Times New Roman" w:eastAsia="Times New Roman" w:hAnsi="Times New Roman" w:cs="Times New Roman"/>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Pr>
          <w:rFonts w:ascii="Times New Roman" w:eastAsia="Times New Roman" w:hAnsi="Times New Roman" w:cs="Times New Roman"/>
        </w:rPr>
        <w:t>’</w:t>
      </w:r>
      <w:r w:rsidRPr="750671CE">
        <w:rPr>
          <w:rFonts w:ascii="Times New Roman" w:eastAsia="Times New Roman" w:hAnsi="Times New Roman" w:cs="Times New Roman"/>
        </w:rPr>
        <w:t>s negligence is a legal cause of the injuries received because of the injury party</w:t>
      </w:r>
      <w:r w:rsidR="00B05F31">
        <w:rPr>
          <w:rFonts w:ascii="Times New Roman" w:eastAsia="Times New Roman" w:hAnsi="Times New Roman" w:cs="Times New Roman"/>
        </w:rPr>
        <w:t>’</w:t>
      </w:r>
      <w:r w:rsidRPr="750671CE">
        <w:rPr>
          <w:rFonts w:ascii="Times New Roman" w:eastAsia="Times New Roman" w:hAnsi="Times New Roman" w:cs="Times New Roman"/>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52300D" w:rsidRDefault="0019206E" w:rsidP="0019206E">
      <w:pPr>
        <w:rPr>
          <w:rFonts w:ascii="Times New Roman" w:eastAsia="Times New Roman" w:hAnsi="Times New Roman" w:cs="Times New Roman"/>
        </w:rPr>
      </w:pPr>
    </w:p>
    <w:p w14:paraId="6B65FD4C" w14:textId="77777777"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359 A.2d 193, 197-98 (N.H. 1976).  </w:t>
      </w:r>
    </w:p>
    <w:p w14:paraId="42B33FC6" w14:textId="77777777" w:rsidR="0019206E" w:rsidRPr="0052300D" w:rsidRDefault="0019206E" w:rsidP="0019206E">
      <w:pPr>
        <w:rPr>
          <w:rFonts w:ascii="Times New Roman" w:eastAsia="Times New Roman" w:hAnsi="Times New Roman" w:cs="Times New Roman"/>
        </w:rPr>
      </w:pPr>
    </w:p>
    <w:p w14:paraId="71A26FCF"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i/>
          <w:iCs/>
        </w:rPr>
        <w:t>Pridham</w:t>
      </w:r>
      <w:r w:rsidRPr="750671CE">
        <w:rPr>
          <w:rFonts w:ascii="Times New Roman" w:eastAsia="Times New Roman" w:hAnsi="Times New Roman" w:cs="Times New Roman"/>
        </w:rPr>
        <w:t xml:space="preserve"> was cited and followed recently in </w:t>
      </w:r>
      <w:r w:rsidRPr="750671CE">
        <w:rPr>
          <w:rFonts w:ascii="Times New Roman" w:eastAsia="Times New Roman" w:hAnsi="Times New Roman" w:cs="Times New Roman"/>
          <w:i/>
          <w:iCs/>
        </w:rPr>
        <w:t>Anaya v. Superior Court</w:t>
      </w:r>
      <w:r w:rsidRPr="750671CE">
        <w:rPr>
          <w:rFonts w:ascii="Times New Roman" w:eastAsia="Times New Roman" w:hAnsi="Times New Roman" w:cs="Times New Roman"/>
        </w:rPr>
        <w:t>, in which a wrongful death claim against the City of Los Angeles was upheld against a motion to dismiss for remoteness grounds. The decedent was injured in an automobile accident involving a city garbage truck and then killed when the helicopter transporting her to the hospital crashed. 93 Cal. Rptr. 2d 228 (Cal. App. 2000).</w:t>
      </w:r>
    </w:p>
    <w:p w14:paraId="7FA85314" w14:textId="77777777" w:rsidR="0019206E" w:rsidRPr="0052300D" w:rsidRDefault="0019206E" w:rsidP="0019206E">
      <w:pPr>
        <w:rPr>
          <w:rFonts w:ascii="Times New Roman" w:eastAsia="Times New Roman" w:hAnsi="Times New Roman" w:cs="Times New Roman"/>
        </w:rPr>
      </w:pPr>
    </w:p>
    <w:p w14:paraId="77882245" w14:textId="522F311B" w:rsidR="0019206E" w:rsidRPr="0052300D" w:rsidRDefault="0019206E" w:rsidP="750671CE">
      <w:pPr>
        <w:ind w:firstLine="720"/>
        <w:rPr>
          <w:rFonts w:ascii="Times New Roman" w:eastAsia="Times New Roman" w:hAnsi="Times New Roman" w:cs="Times New Roman"/>
        </w:rPr>
      </w:pPr>
      <w:r w:rsidRPr="0052300D">
        <w:rPr>
          <w:rFonts w:ascii="Times New Roman" w:eastAsia="Times New Roman" w:hAnsi="Times New Roman" w:cs="Times New Roman"/>
        </w:rPr>
        <w:t xml:space="preserve">What about other kinds of injury aggravations? In </w:t>
      </w:r>
      <w:r w:rsidRPr="750671CE">
        <w:rPr>
          <w:rFonts w:ascii="Times New Roman" w:eastAsia="Times New Roman" w:hAnsi="Times New Roman" w:cs="Times New Roman"/>
          <w:i/>
          <w:iCs/>
        </w:rPr>
        <w:t>Wagner v. Mittendorf</w:t>
      </w:r>
      <w:r w:rsidRPr="0052300D">
        <w:rPr>
          <w:rFonts w:ascii="Times New Roman" w:eastAsia="Times New Roman" w:hAnsi="Times New Roman" w:cs="Times New Roman"/>
        </w:rPr>
        <w:t>, 134 N.E. 539 (N.Y. 1922), plaintiff broke his leg because of defendant</w:t>
      </w:r>
      <w:r w:rsidR="00B05F31">
        <w:rPr>
          <w:rFonts w:ascii="Times New Roman" w:eastAsia="Times New Roman" w:hAnsi="Times New Roman" w:cs="Times New Roman"/>
        </w:rPr>
        <w:t>’</w:t>
      </w:r>
      <w:r w:rsidRPr="0052300D">
        <w:rPr>
          <w:rFonts w:ascii="Times New Roman" w:eastAsia="Times New Roman" w:hAnsi="Times New Roman" w:cs="Times New Roman"/>
        </w:rPr>
        <w:t>s negligence. After the plaster cast was removed, plaintiff</w:t>
      </w:r>
      <w:r w:rsidR="00B05F31">
        <w:rPr>
          <w:rFonts w:ascii="Times New Roman" w:eastAsia="Times New Roman" w:hAnsi="Times New Roman" w:cs="Times New Roman"/>
        </w:rPr>
        <w:t>’</w:t>
      </w:r>
      <w:r w:rsidRPr="0052300D">
        <w:rPr>
          <w:rFonts w:ascii="Times New Roman" w:eastAsia="Times New Roman" w:hAnsi="Times New Roman" w:cs="Times New Roman"/>
        </w:rPr>
        <w:t>s physicians encouraged him to walk to strengthen his leg muscles.  Plaintiff</w:t>
      </w:r>
      <w:r w:rsidR="00B05F31">
        <w:rPr>
          <w:rFonts w:ascii="Times New Roman" w:eastAsia="Times New Roman" w:hAnsi="Times New Roman" w:cs="Times New Roman"/>
        </w:rPr>
        <w:t>’</w:t>
      </w:r>
      <w:r w:rsidRPr="0052300D">
        <w:rPr>
          <w:rFonts w:ascii="Times New Roman" w:eastAsia="Times New Roman" w:hAnsi="Times New Roman" w:cs="Times New Roman"/>
        </w:rPr>
        <w:t>s crutches slipped and he fell, rebreaking the leg at the same point at which it had first been broken by defendant</w:t>
      </w:r>
      <w:r w:rsidR="00B05F31">
        <w:rPr>
          <w:rFonts w:ascii="Times New Roman" w:eastAsia="Times New Roman" w:hAnsi="Times New Roman" w:cs="Times New Roman"/>
        </w:rPr>
        <w:t>’</w:t>
      </w:r>
      <w:r w:rsidRPr="0052300D">
        <w:rPr>
          <w:rFonts w:ascii="Times New Roman" w:eastAsia="Times New Roman" w:hAnsi="Times New Roman" w:cs="Times New Roman"/>
        </w:rPr>
        <w:t>s negligence. The New York Court of Appeals upheld the award to the plaintiff of the incremental damages arising out of the second break.</w:t>
      </w:r>
      <w:bookmarkStart w:id="708" w:name="3"/>
      <w:bookmarkEnd w:id="708"/>
    </w:p>
    <w:p w14:paraId="3C97A295" w14:textId="77777777" w:rsidR="0019206E" w:rsidRPr="0052300D" w:rsidRDefault="0019206E" w:rsidP="0019206E">
      <w:pPr>
        <w:rPr>
          <w:rFonts w:ascii="Times New Roman" w:eastAsia="Times New Roman" w:hAnsi="Times New Roman" w:cs="Times New Roman"/>
        </w:rPr>
      </w:pPr>
    </w:p>
    <w:p w14:paraId="20450F2A" w14:textId="54B8AC9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Torts commentators have often wondered whether </w:t>
      </w:r>
      <w:r w:rsidRPr="750671CE">
        <w:rPr>
          <w:rFonts w:ascii="Times New Roman" w:eastAsia="Times New Roman" w:hAnsi="Times New Roman" w:cs="Times New Roman"/>
          <w:i/>
          <w:iCs/>
        </w:rPr>
        <w:t>Wagner</w:t>
      </w:r>
      <w:r w:rsidRPr="750671CE">
        <w:rPr>
          <w:rFonts w:ascii="Times New Roman" w:eastAsia="Times New Roman" w:hAnsi="Times New Roman" w:cs="Times New Roman"/>
        </w:rPr>
        <w:t xml:space="preserve"> allows for a stopping point. </w:t>
      </w:r>
      <w:r w:rsidR="00B05F31">
        <w:rPr>
          <w:rFonts w:ascii="Times New Roman" w:eastAsia="Times New Roman" w:hAnsi="Times New Roman" w:cs="Times New Roman"/>
        </w:rPr>
        <w:t>“</w:t>
      </w:r>
      <w:r w:rsidRPr="750671CE">
        <w:rPr>
          <w:rFonts w:ascii="Times New Roman" w:eastAsia="Times New Roman" w:hAnsi="Times New Roman" w:cs="Times New Roman"/>
        </w:rPr>
        <w:t>What if the plaintiff must use crutches permanently and is killed ten years later in a fire because of his inability to run away?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Does the defendant become an insurer for all foreseeable downstream injuries that would not have happened but for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negligent act?  </w:t>
      </w:r>
      <w:r w:rsidRPr="750671CE">
        <w:rPr>
          <w:rFonts w:ascii="Times New Roman" w:eastAsia="Times New Roman" w:hAnsi="Times New Roman" w:cs="Times New Roman"/>
          <w:i/>
          <w:iCs/>
        </w:rPr>
        <w:t xml:space="preserve">See </w:t>
      </w:r>
      <w:r w:rsidRPr="750671CE">
        <w:rPr>
          <w:rFonts w:ascii="Times New Roman" w:eastAsia="Times New Roman" w:hAnsi="Times New Roman" w:cs="Times New Roman"/>
          <w:smallCaps/>
        </w:rPr>
        <w:t>Mark Franklin &amp; Robert Rabin, Tort Law and Alternatives</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404 (7th ed. 2001).</w:t>
      </w:r>
    </w:p>
    <w:p w14:paraId="14637A5A" w14:textId="77777777" w:rsidR="0019206E" w:rsidRPr="0052300D" w:rsidRDefault="0019206E" w:rsidP="0019206E">
      <w:pPr>
        <w:rPr>
          <w:rFonts w:ascii="Times New Roman" w:hAnsi="Times New Roman" w:cs="Times New Roman"/>
        </w:rPr>
      </w:pPr>
    </w:p>
    <w:p w14:paraId="53C636E9" w14:textId="77777777" w:rsidR="0019206E" w:rsidRPr="0052300D" w:rsidRDefault="0019206E" w:rsidP="0019206E">
      <w:pPr>
        <w:rPr>
          <w:rFonts w:ascii="Times New Roman" w:hAnsi="Times New Roman" w:cs="Times New Roman"/>
          <w:b/>
        </w:rPr>
      </w:pPr>
    </w:p>
    <w:p w14:paraId="1578035E" w14:textId="66951EA4" w:rsidR="00792857" w:rsidRDefault="00792857" w:rsidP="00322687">
      <w:pPr>
        <w:pStyle w:val="Heading3"/>
      </w:pPr>
      <w:bookmarkStart w:id="709" w:name="_Toc364636196"/>
      <w:bookmarkStart w:id="710" w:name="_Toc518323430"/>
      <w:r>
        <w:t>Rule of Thumb for No Proximate Cause?</w:t>
      </w:r>
      <w:bookmarkEnd w:id="709"/>
      <w:bookmarkEnd w:id="710"/>
    </w:p>
    <w:p w14:paraId="3825F18F" w14:textId="77777777" w:rsidR="00792857" w:rsidRPr="00F509EC" w:rsidRDefault="00792857" w:rsidP="00F94B7E"/>
    <w:p w14:paraId="6F2B1E80" w14:textId="3E817B4E" w:rsidR="0082045D" w:rsidRPr="002F6607" w:rsidRDefault="0082045D" w:rsidP="00F94B7E">
      <w:pPr>
        <w:ind w:firstLine="720"/>
        <w:rPr>
          <w:rFonts w:ascii="Times New Roman" w:hAnsi="Times New Roman" w:cs="Times New Roman"/>
        </w:rPr>
      </w:pPr>
      <w:r w:rsidRPr="002F6607">
        <w:rPr>
          <w:rFonts w:ascii="Times New Roman" w:hAnsi="Times New Roman" w:cs="Times New Roman"/>
        </w:rPr>
        <w:t xml:space="preserve">In Ohio, the common law embraces a </w:t>
      </w:r>
      <w:r w:rsidR="00B05F31">
        <w:rPr>
          <w:rFonts w:ascii="Times New Roman" w:hAnsi="Times New Roman" w:cs="Times New Roman"/>
        </w:rPr>
        <w:t>“</w:t>
      </w:r>
      <w:r w:rsidRPr="002F6607">
        <w:rPr>
          <w:rFonts w:ascii="Times New Roman" w:hAnsi="Times New Roman" w:cs="Times New Roman"/>
        </w:rPr>
        <w:t>no proximate cause</w:t>
      </w:r>
      <w:r w:rsidR="00B05F31">
        <w:rPr>
          <w:rFonts w:ascii="Times New Roman" w:hAnsi="Times New Roman" w:cs="Times New Roman"/>
        </w:rPr>
        <w:t>”</w:t>
      </w:r>
      <w:r w:rsidRPr="002F6607">
        <w:rPr>
          <w:rFonts w:ascii="Times New Roman" w:hAnsi="Times New Roman" w:cs="Times New Roman"/>
        </w:rPr>
        <w:t xml:space="preserve"> rule for police officers involved in police chases that injure third parties. The rule states that </w:t>
      </w:r>
      <w:r w:rsidR="00B05F31">
        <w:rPr>
          <w:rFonts w:ascii="Times New Roman" w:hAnsi="Times New Roman" w:cs="Times New Roman"/>
        </w:rPr>
        <w:t>“</w:t>
      </w:r>
      <w:r w:rsidRPr="002F6607">
        <w:rPr>
          <w:rFonts w:ascii="Times New Roman" w:hAnsi="Times New Roman" w:cs="Times New Roman"/>
        </w:rPr>
        <w:t>when a law enforcement officer pursues a fleeing violator and the violator injures a third party as a result of the chase, the officer</w:t>
      </w:r>
      <w:r w:rsidR="00B05F31">
        <w:rPr>
          <w:rFonts w:ascii="Times New Roman" w:hAnsi="Times New Roman" w:cs="Times New Roman"/>
        </w:rPr>
        <w:t>’</w:t>
      </w:r>
      <w:r w:rsidRPr="002F6607">
        <w:rPr>
          <w:rFonts w:ascii="Times New Roman" w:hAnsi="Times New Roman" w:cs="Times New Roman"/>
        </w:rPr>
        <w:t>s pursuit is not the proximate cause of those injuries,</w:t>
      </w:r>
      <w:r w:rsidR="00B05F31">
        <w:rPr>
          <w:rFonts w:ascii="Times New Roman" w:hAnsi="Times New Roman" w:cs="Times New Roman"/>
        </w:rPr>
        <w:t>”</w:t>
      </w:r>
      <w:r w:rsidRPr="002F6607">
        <w:rPr>
          <w:rFonts w:ascii="Times New Roman" w:hAnsi="Times New Roman" w:cs="Times New Roman"/>
        </w:rPr>
        <w:t xml:space="preserve"> unless the officer acts in an </w:t>
      </w:r>
      <w:r w:rsidR="00B05F31">
        <w:rPr>
          <w:rFonts w:ascii="Times New Roman" w:hAnsi="Times New Roman" w:cs="Times New Roman"/>
        </w:rPr>
        <w:t>“</w:t>
      </w:r>
      <w:r w:rsidRPr="002F6607">
        <w:rPr>
          <w:rFonts w:ascii="Times New Roman" w:hAnsi="Times New Roman" w:cs="Times New Roman"/>
        </w:rPr>
        <w:t>extreme or outrageous</w:t>
      </w:r>
      <w:r w:rsidR="00B05F31">
        <w:rPr>
          <w:rFonts w:ascii="Times New Roman" w:hAnsi="Times New Roman" w:cs="Times New Roman"/>
        </w:rPr>
        <w:t>”</w:t>
      </w:r>
      <w:r w:rsidRPr="002F6607">
        <w:rPr>
          <w:rFonts w:ascii="Times New Roman" w:hAnsi="Times New Roman" w:cs="Times New Roman"/>
        </w:rPr>
        <w:t xml:space="preserve"> manner. </w:t>
      </w:r>
      <w:r w:rsidRPr="002F6607">
        <w:rPr>
          <w:rFonts w:ascii="Times New Roman" w:hAnsi="Times New Roman" w:cs="Times New Roman"/>
          <w:i/>
        </w:rPr>
        <w:t>Whitfield v. Dayton</w:t>
      </w:r>
      <w:r w:rsidRPr="002F6607">
        <w:rPr>
          <w:rFonts w:ascii="Times New Roman" w:hAnsi="Times New Roman" w:cs="Times New Roman"/>
        </w:rPr>
        <w:t xml:space="preserve">, 167 Ohio App.3d 172 (2d Dist. 2006). </w:t>
      </w:r>
    </w:p>
    <w:p w14:paraId="643DFD06" w14:textId="77777777" w:rsidR="0082045D" w:rsidRPr="002F6607" w:rsidRDefault="0082045D" w:rsidP="0082045D">
      <w:pPr>
        <w:rPr>
          <w:rFonts w:ascii="Times New Roman" w:hAnsi="Times New Roman" w:cs="Times New Roman"/>
        </w:rPr>
      </w:pPr>
    </w:p>
    <w:p w14:paraId="3920B801" w14:textId="47E9920F" w:rsidR="0082045D" w:rsidRPr="002F6607" w:rsidRDefault="0082045D" w:rsidP="00F94B7E">
      <w:pPr>
        <w:ind w:firstLine="720"/>
        <w:rPr>
          <w:rFonts w:ascii="Times New Roman" w:hAnsi="Times New Roman" w:cs="Times New Roman"/>
        </w:rPr>
      </w:pPr>
      <w:r w:rsidRPr="002F6607">
        <w:rPr>
          <w:rFonts w:ascii="Times New Roman" w:hAnsi="Times New Roman" w:cs="Times New Roman"/>
        </w:rPr>
        <w:t xml:space="preserve">The </w:t>
      </w:r>
      <w:r w:rsidR="00B05F31">
        <w:rPr>
          <w:rFonts w:ascii="Times New Roman" w:hAnsi="Times New Roman" w:cs="Times New Roman"/>
        </w:rPr>
        <w:t>“</w:t>
      </w:r>
      <w:r w:rsidRPr="002F6607">
        <w:rPr>
          <w:rFonts w:ascii="Times New Roman" w:hAnsi="Times New Roman" w:cs="Times New Roman"/>
        </w:rPr>
        <w:t>no proximate cause</w:t>
      </w:r>
      <w:r w:rsidR="00B05F31">
        <w:rPr>
          <w:rFonts w:ascii="Times New Roman" w:hAnsi="Times New Roman" w:cs="Times New Roman"/>
        </w:rPr>
        <w:t>”</w:t>
      </w:r>
      <w:r w:rsidRPr="002F6607">
        <w:rPr>
          <w:rFonts w:ascii="Times New Roman" w:hAnsi="Times New Roman" w:cs="Times New Roman"/>
        </w:rPr>
        <w:t xml:space="preserve"> rule allows Ohio courts to supplant a fact-intensive proximate cause inquiry with a general rule of thumb that police </w:t>
      </w:r>
      <w:r w:rsidR="00A51E45">
        <w:rPr>
          <w:rFonts w:ascii="Times New Roman" w:hAnsi="Times New Roman" w:cs="Times New Roman"/>
        </w:rPr>
        <w:t>are</w:t>
      </w:r>
      <w:r w:rsidRPr="002F6607">
        <w:rPr>
          <w:rFonts w:ascii="Times New Roman" w:hAnsi="Times New Roman" w:cs="Times New Roman"/>
        </w:rPr>
        <w:t xml:space="preserve"> not liable for these kinds of injuries. </w:t>
      </w:r>
      <w:r>
        <w:rPr>
          <w:rFonts w:ascii="Times New Roman" w:hAnsi="Times New Roman" w:cs="Times New Roman"/>
        </w:rPr>
        <w:t>The Ohio police chase rule is the inverse of the rule in many states for subsequent negligent medical care.</w:t>
      </w:r>
    </w:p>
    <w:p w14:paraId="373FDCA0" w14:textId="77777777" w:rsidR="0082045D" w:rsidRPr="002F6607" w:rsidRDefault="0082045D" w:rsidP="0082045D">
      <w:pPr>
        <w:rPr>
          <w:rFonts w:ascii="Times New Roman" w:hAnsi="Times New Roman" w:cs="Times New Roman"/>
        </w:rPr>
      </w:pPr>
    </w:p>
    <w:p w14:paraId="169A1941" w14:textId="01C575F7" w:rsidR="0082045D" w:rsidRDefault="0082045D" w:rsidP="00F94B7E">
      <w:pPr>
        <w:ind w:firstLine="720"/>
        <w:rPr>
          <w:rFonts w:ascii="Times New Roman" w:hAnsi="Times New Roman" w:cs="Times New Roman"/>
        </w:rPr>
      </w:pPr>
      <w:r w:rsidRPr="002F6607">
        <w:rPr>
          <w:rFonts w:ascii="Times New Roman" w:hAnsi="Times New Roman" w:cs="Times New Roman"/>
        </w:rPr>
        <w:t>Should courts use the doctrine of proximate cause to grant immunity to police officers in chase cases, or ought they use some other doctrine? Does it matter what doctrinal hook courts use to deliver these kinds of outcomes?</w:t>
      </w:r>
    </w:p>
    <w:p w14:paraId="36240EE6" w14:textId="77777777" w:rsidR="00792857" w:rsidRDefault="00792857" w:rsidP="00F94B7E"/>
    <w:p w14:paraId="1C4262A1" w14:textId="77777777" w:rsidR="00792857" w:rsidRPr="00F509EC" w:rsidRDefault="00792857" w:rsidP="00F94B7E"/>
    <w:p w14:paraId="76355B96" w14:textId="3438BA14" w:rsidR="0019206E" w:rsidRPr="0052300D" w:rsidRDefault="0098365B" w:rsidP="003C74AD">
      <w:pPr>
        <w:pStyle w:val="Heading2"/>
      </w:pPr>
      <w:bookmarkStart w:id="711" w:name="_Toc364636197"/>
      <w:bookmarkStart w:id="712" w:name="_Toc518323431"/>
      <w:r>
        <w:t>D.</w:t>
      </w:r>
      <w:r w:rsidR="0019206E" w:rsidRPr="0052300D">
        <w:t>Unexpected Person</w:t>
      </w:r>
      <w:bookmarkEnd w:id="711"/>
      <w:bookmarkEnd w:id="712"/>
    </w:p>
    <w:p w14:paraId="78078C9D" w14:textId="77777777" w:rsidR="0019206E" w:rsidRPr="0052300D" w:rsidRDefault="0019206E" w:rsidP="0019206E">
      <w:pPr>
        <w:rPr>
          <w:rFonts w:ascii="Times New Roman" w:hAnsi="Times New Roman" w:cs="Times New Roman"/>
        </w:rPr>
      </w:pPr>
    </w:p>
    <w:p w14:paraId="54AA5E71" w14:textId="77777777" w:rsidR="0019206E" w:rsidRPr="0052300D" w:rsidRDefault="750671CE" w:rsidP="00F94B7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Just as accidents can happen in the darndest of ways, they can happen to the darndest of people as well. </w:t>
      </w:r>
    </w:p>
    <w:p w14:paraId="26F5F530" w14:textId="77777777" w:rsidR="0019206E" w:rsidRDefault="0019206E" w:rsidP="0019206E">
      <w:pPr>
        <w:rPr>
          <w:rFonts w:ascii="Times New Roman" w:hAnsi="Times New Roman" w:cs="Times New Roman"/>
          <w:b/>
        </w:rPr>
      </w:pPr>
    </w:p>
    <w:p w14:paraId="283ABADF" w14:textId="77777777" w:rsidR="00C04514" w:rsidRPr="0052300D" w:rsidRDefault="00C04514" w:rsidP="0019206E">
      <w:pPr>
        <w:rPr>
          <w:rFonts w:ascii="Times New Roman" w:hAnsi="Times New Roman" w:cs="Times New Roman"/>
          <w:b/>
        </w:rPr>
      </w:pPr>
    </w:p>
    <w:p w14:paraId="44CBE7A3" w14:textId="77777777" w:rsidR="0019206E" w:rsidRPr="0052300D" w:rsidRDefault="0019206E" w:rsidP="750671CE">
      <w:pPr>
        <w:rPr>
          <w:rFonts w:ascii="Times New Roman" w:eastAsia="Times New Roman" w:hAnsi="Times New Roman" w:cs="Times New Roman"/>
          <w:b/>
          <w:bCs/>
        </w:rPr>
      </w:pPr>
      <w:bookmarkStart w:id="713" w:name="_Toc518323432"/>
      <w:r w:rsidRPr="00C17A3F">
        <w:rPr>
          <w:rStyle w:val="Heading3Char"/>
          <w:i/>
        </w:rPr>
        <w:t>Palsgraf v. Long Island R. Co.</w:t>
      </w:r>
      <w:bookmarkEnd w:id="713"/>
      <w:r w:rsidRPr="750671CE">
        <w:rPr>
          <w:rFonts w:ascii="Times New Roman" w:eastAsia="Times New Roman" w:hAnsi="Times New Roman" w:cs="Times New Roman"/>
          <w:b/>
          <w:bCs/>
        </w:rPr>
        <w:t>, 248 N.Y. 339 (N.Y. 1928)</w:t>
      </w:r>
    </w:p>
    <w:p w14:paraId="5D8230B4" w14:textId="77777777" w:rsidR="0019206E" w:rsidRPr="0052300D" w:rsidRDefault="0019206E" w:rsidP="0019206E">
      <w:pPr>
        <w:rPr>
          <w:rFonts w:ascii="Times New Roman" w:hAnsi="Times New Roman" w:cs="Times New Roman"/>
        </w:rPr>
      </w:pPr>
    </w:p>
    <w:p w14:paraId="701FB74E" w14:textId="77777777" w:rsidR="00C04514" w:rsidRDefault="750671CE" w:rsidP="0098365B">
      <w:pPr>
        <w:rPr>
          <w:rFonts w:ascii="Times New Roman" w:eastAsia="Times New Roman" w:hAnsi="Times New Roman" w:cs="Times New Roman"/>
        </w:rPr>
      </w:pPr>
      <w:r w:rsidRPr="750671CE">
        <w:rPr>
          <w:rFonts w:ascii="Times New Roman" w:eastAsia="Times New Roman" w:hAnsi="Times New Roman" w:cs="Times New Roman"/>
          <w:smallCaps/>
        </w:rPr>
        <w:t>Cardozo</w:t>
      </w:r>
      <w:r w:rsidRPr="750671CE">
        <w:rPr>
          <w:rFonts w:ascii="Times New Roman" w:eastAsia="Times New Roman" w:hAnsi="Times New Roman" w:cs="Times New Roman"/>
        </w:rPr>
        <w:t xml:space="preserve"> J: </w:t>
      </w:r>
    </w:p>
    <w:p w14:paraId="154D0C26" w14:textId="77777777" w:rsidR="00C04514" w:rsidRDefault="00C04514" w:rsidP="750671CE">
      <w:pPr>
        <w:ind w:firstLine="720"/>
        <w:rPr>
          <w:rFonts w:ascii="Times New Roman" w:eastAsia="Times New Roman" w:hAnsi="Times New Roman" w:cs="Times New Roman"/>
        </w:rPr>
      </w:pPr>
    </w:p>
    <w:p w14:paraId="66935715" w14:textId="0BC8115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Plaintiff was standing on a platform of defendant</w:t>
      </w:r>
      <w:r w:rsidR="00B05F31">
        <w:rPr>
          <w:rFonts w:ascii="Times New Roman" w:eastAsia="Times New Roman" w:hAnsi="Times New Roman" w:cs="Times New Roman"/>
        </w:rPr>
        <w:t>’</w:t>
      </w:r>
      <w:r w:rsidRPr="750671CE">
        <w:rPr>
          <w:rFonts w:ascii="Times New Roman" w:eastAsia="Times New Roman" w:hAnsi="Times New Roman" w:cs="Times New Roman"/>
        </w:rPr>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52300D" w:rsidRDefault="0019206E" w:rsidP="0019206E">
      <w:pPr>
        <w:rPr>
          <w:rFonts w:ascii="Times New Roman" w:hAnsi="Times New Roman" w:cs="Times New Roman"/>
        </w:rPr>
      </w:pPr>
    </w:p>
    <w:p w14:paraId="0EFF823A" w14:textId="19101615"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conduct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rPr>
          <w:rFonts w:ascii="Times New Roman" w:eastAsia="Times New Roman" w:hAnsi="Times New Roman" w:cs="Times New Roman"/>
        </w:rPr>
        <w:t>“</w:t>
      </w:r>
      <w:r w:rsidRPr="750671CE">
        <w:rPr>
          <w:rFonts w:ascii="Times New Roman" w:eastAsia="Times New Roman" w:hAnsi="Times New Roman" w:cs="Times New Roman"/>
        </w:rPr>
        <w:t>Proof of negligence in the air, so to speak, will not do.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7C62A4" w:rsidRPr="00F94B7E">
        <w:rPr>
          <w:rFonts w:ascii="Times New Roman" w:eastAsia="Times New Roman" w:hAnsi="Times New Roman" w:cs="Times New Roman"/>
          <w:smallCaps/>
        </w:rPr>
        <w:t xml:space="preserve">Frederick </w:t>
      </w:r>
      <w:r w:rsidRPr="00F94B7E">
        <w:rPr>
          <w:rFonts w:ascii="Times New Roman" w:eastAsia="Times New Roman" w:hAnsi="Times New Roman" w:cs="Times New Roman"/>
          <w:smallCaps/>
        </w:rPr>
        <w:t xml:space="preserve">Pollock, </w:t>
      </w:r>
      <w:r w:rsidR="007C62A4" w:rsidRPr="00F94B7E">
        <w:rPr>
          <w:rFonts w:ascii="Times New Roman" w:eastAsia="Times New Roman" w:hAnsi="Times New Roman" w:cs="Times New Roman"/>
          <w:smallCaps/>
        </w:rPr>
        <w:t xml:space="preserve">The Law of </w:t>
      </w:r>
      <w:r w:rsidRPr="00F94B7E">
        <w:rPr>
          <w:rFonts w:ascii="Times New Roman" w:eastAsia="Times New Roman" w:hAnsi="Times New Roman" w:cs="Times New Roman"/>
          <w:smallCaps/>
        </w:rPr>
        <w:t>Torts</w:t>
      </w:r>
      <w:r w:rsidR="007C62A4">
        <w:rPr>
          <w:rFonts w:ascii="Times New Roman" w:eastAsia="Times New Roman" w:hAnsi="Times New Roman" w:cs="Times New Roman"/>
        </w:rPr>
        <w:t xml:space="preserve"> 455 (11th ed. 1920)</w:t>
      </w:r>
      <w:r w:rsidRPr="750671CE">
        <w:rPr>
          <w:rFonts w:ascii="Times New Roman" w:eastAsia="Times New Roman" w:hAnsi="Times New Roman" w:cs="Times New Roman"/>
        </w:rPr>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rPr>
          <w:rFonts w:ascii="Times New Roman" w:eastAsia="Times New Roman" w:hAnsi="Times New Roman" w:cs="Times New Roman"/>
        </w:rPr>
        <w:t>“</w:t>
      </w:r>
      <w:r w:rsidRPr="750671CE">
        <w:rPr>
          <w:rFonts w:ascii="Times New Roman" w:eastAsia="Times New Roman" w:hAnsi="Times New Roman" w:cs="Times New Roman"/>
        </w:rPr>
        <w:t>In every instance, before negligence can be predicated of a given act, back of the act must be sought and found a duty to the individual complaining, the observance of which would have averted or avoided the injury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 </w:t>
      </w:r>
      <w:r w:rsidR="00EE6920">
        <w:rPr>
          <w:rFonts w:ascii="Times New Roman" w:eastAsia="Times New Roman" w:hAnsi="Times New Roman" w:cs="Times New Roman"/>
        </w:rPr>
        <w:t xml:space="preserve">. </w:t>
      </w:r>
      <w:r w:rsidRPr="750671CE">
        <w:rPr>
          <w:rFonts w:ascii="Times New Roman" w:eastAsia="Times New Roman" w:hAnsi="Times New Roman" w:cs="Times New Roman"/>
        </w:rPr>
        <w:t>The plaintiff sues in her own right for a wrong personal to her, and not as the vicarious beneficiary of a breach of duty to another.</w:t>
      </w:r>
    </w:p>
    <w:p w14:paraId="7B33A97B" w14:textId="77777777" w:rsidR="0019206E" w:rsidRPr="0052300D" w:rsidRDefault="0019206E" w:rsidP="0019206E">
      <w:pPr>
        <w:ind w:firstLine="720"/>
        <w:rPr>
          <w:rFonts w:ascii="Times New Roman" w:hAnsi="Times New Roman" w:cs="Times New Roman"/>
        </w:rPr>
      </w:pPr>
    </w:p>
    <w:p w14:paraId="07F9DFA7" w14:textId="32FF527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right upon the basis of a wrong to some one else. . . . [T]he orbit of the danger as disclosed to the eye of reasonable vigilance would be the orbit of the duty. One who jostles one</w:t>
      </w:r>
      <w:r w:rsidR="00B05F31">
        <w:rPr>
          <w:rFonts w:ascii="Times New Roman" w:eastAsia="Times New Roman" w:hAnsi="Times New Roman" w:cs="Times New Roman"/>
        </w:rPr>
        <w:t>’</w:t>
      </w:r>
      <w:r w:rsidRPr="750671CE">
        <w:rPr>
          <w:rFonts w:ascii="Times New Roman" w:eastAsia="Times New Roman" w:hAnsi="Times New Roman" w:cs="Times New Roman"/>
        </w:rPr>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52300D" w:rsidRDefault="0019206E" w:rsidP="0019206E">
      <w:pPr>
        <w:rPr>
          <w:rFonts w:ascii="Times New Roman" w:hAnsi="Times New Roman" w:cs="Times New Roman"/>
        </w:rPr>
      </w:pPr>
    </w:p>
    <w:p w14:paraId="30F671F1" w14:textId="225FDDE5"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argument for the plaintiff is built upon the shifting meanings of such words as </w:t>
      </w:r>
      <w:r w:rsidR="00B05F31">
        <w:rPr>
          <w:rFonts w:ascii="Times New Roman" w:eastAsia="Times New Roman" w:hAnsi="Times New Roman" w:cs="Times New Roman"/>
        </w:rPr>
        <w:t>“</w:t>
      </w:r>
      <w:r w:rsidRPr="750671CE">
        <w:rPr>
          <w:rFonts w:ascii="Times New Roman" w:eastAsia="Times New Roman" w:hAnsi="Times New Roman" w:cs="Times New Roman"/>
        </w:rPr>
        <w:t>wrong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w:t>
      </w:r>
      <w:r w:rsidR="00B05F31">
        <w:rPr>
          <w:rFonts w:ascii="Times New Roman" w:eastAsia="Times New Roman" w:hAnsi="Times New Roman" w:cs="Times New Roman"/>
        </w:rPr>
        <w:t>“</w:t>
      </w:r>
      <w:r w:rsidRPr="750671CE">
        <w:rPr>
          <w:rFonts w:ascii="Times New Roman" w:eastAsia="Times New Roman" w:hAnsi="Times New Roman" w:cs="Times New Roman"/>
        </w:rPr>
        <w:t>wrongful,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shares their instability. What the plaintiff must show is </w:t>
      </w:r>
      <w:r w:rsidR="00B05F31">
        <w:rPr>
          <w:rFonts w:ascii="Times New Roman" w:eastAsia="Times New Roman" w:hAnsi="Times New Roman" w:cs="Times New Roman"/>
        </w:rPr>
        <w:t>“</w:t>
      </w:r>
      <w:r w:rsidRPr="750671CE">
        <w:rPr>
          <w:rFonts w:ascii="Times New Roman" w:eastAsia="Times New Roman" w:hAnsi="Times New Roman" w:cs="Times New Roman"/>
        </w:rPr>
        <w:t>a wrong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herself, i.e., a violation of her own right, and not merely a wrong to some one else, nor conduct </w:t>
      </w:r>
      <w:r w:rsidR="00B05F31">
        <w:rPr>
          <w:rFonts w:ascii="Times New Roman" w:eastAsia="Times New Roman" w:hAnsi="Times New Roman" w:cs="Times New Roman"/>
        </w:rPr>
        <w:t>“</w:t>
      </w:r>
      <w:r w:rsidRPr="750671CE">
        <w:rPr>
          <w:rFonts w:ascii="Times New Roman" w:eastAsia="Times New Roman" w:hAnsi="Times New Roman" w:cs="Times New Roman"/>
        </w:rPr>
        <w:t>wrongful</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because unsocial, but not </w:t>
      </w:r>
      <w:r w:rsidR="00B05F31">
        <w:rPr>
          <w:rFonts w:ascii="Times New Roman" w:eastAsia="Times New Roman" w:hAnsi="Times New Roman" w:cs="Times New Roman"/>
        </w:rPr>
        <w:t>“</w:t>
      </w:r>
      <w:r w:rsidRPr="750671CE">
        <w:rPr>
          <w:rFonts w:ascii="Times New Roman" w:eastAsia="Times New Roman" w:hAnsi="Times New Roman" w:cs="Times New Roman"/>
        </w:rPr>
        <w:t>a wrong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rPr>
          <w:rFonts w:ascii="Times New Roman" w:eastAsia="Times New Roman" w:hAnsi="Times New Roman" w:cs="Times New Roman"/>
        </w:rPr>
        <w:t>. . .</w:t>
      </w:r>
      <w:r w:rsidRPr="750671CE">
        <w:rPr>
          <w:rFonts w:ascii="Times New Roman" w:eastAsia="Times New Roman" w:hAnsi="Times New Roman" w:cs="Times New Roman"/>
        </w:rPr>
        <w:t xml:space="preserve"> It was not necessary that the defendant should have had notice of the particular method in which an accident would occur, if the possibility of an accident was clear to the ordinarily prudent eye.</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rPr>
          <w:rFonts w:ascii="Times New Roman" w:eastAsia="Times New Roman" w:hAnsi="Times New Roman" w:cs="Times New Roman"/>
        </w:rPr>
        <w:t>’</w:t>
      </w:r>
      <w:r w:rsidRPr="750671CE">
        <w:rPr>
          <w:rFonts w:ascii="Times New Roman" w:eastAsia="Times New Roman" w:hAnsi="Times New Roman" w:cs="Times New Roman"/>
        </w:rPr>
        <w:t>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safety, so far as appearances could warn him. His conduct would not have involved, even then, an unreasonable probability of invasion of her bodily security. Liability can be no greater where the act is inadvertent.</w:t>
      </w:r>
    </w:p>
    <w:p w14:paraId="797DE6DD" w14:textId="77777777" w:rsidR="0019206E" w:rsidRPr="0052300D" w:rsidRDefault="0019206E" w:rsidP="0019206E">
      <w:pPr>
        <w:rPr>
          <w:rFonts w:ascii="Times New Roman" w:hAnsi="Times New Roman" w:cs="Times New Roman"/>
        </w:rPr>
      </w:pPr>
    </w:p>
    <w:p w14:paraId="6E0EB4F4" w14:textId="61CA6BCB"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rPr>
          <w:rFonts w:ascii="Times New Roman" w:eastAsia="Times New Roman" w:hAnsi="Times New Roman" w:cs="Times New Roman"/>
        </w:rPr>
        <w:t>’</w:t>
      </w:r>
      <w:r w:rsidRPr="750671CE">
        <w:rPr>
          <w:rFonts w:ascii="Times New Roman" w:eastAsia="Times New Roman" w:hAnsi="Times New Roman" w:cs="Times New Roman"/>
        </w:rPr>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52300D" w:rsidRDefault="0019206E" w:rsidP="0019206E">
      <w:pPr>
        <w:rPr>
          <w:rFonts w:ascii="Times New Roman" w:hAnsi="Times New Roman" w:cs="Times New Roman"/>
        </w:rPr>
      </w:pPr>
    </w:p>
    <w:p w14:paraId="640A01BD"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52300D" w:rsidRDefault="0019206E" w:rsidP="0019206E">
      <w:pPr>
        <w:ind w:firstLine="720"/>
        <w:rPr>
          <w:rFonts w:ascii="Times New Roman" w:hAnsi="Times New Roman" w:cs="Times New Roman"/>
        </w:rPr>
      </w:pPr>
    </w:p>
    <w:p w14:paraId="431AE656"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of the Appellate Division and that of the Trial Term should be reversed, and the complaint dismissed, with costs in all courts.</w:t>
      </w:r>
    </w:p>
    <w:p w14:paraId="7A03496E" w14:textId="77777777" w:rsidR="0019206E" w:rsidRPr="0052300D" w:rsidRDefault="0019206E" w:rsidP="0019206E">
      <w:pPr>
        <w:rPr>
          <w:rFonts w:ascii="Times New Roman" w:hAnsi="Times New Roman" w:cs="Times New Roman"/>
        </w:rPr>
      </w:pPr>
    </w:p>
    <w:p w14:paraId="0476E7C6" w14:textId="26C8E5C9" w:rsidR="0019206E" w:rsidRDefault="750671CE" w:rsidP="0098365B">
      <w:pPr>
        <w:rPr>
          <w:rFonts w:ascii="Times New Roman" w:hAnsi="Times New Roman" w:cs="Times New Roman"/>
        </w:rPr>
      </w:pPr>
      <w:r w:rsidRPr="750671CE">
        <w:rPr>
          <w:rFonts w:ascii="Times New Roman" w:eastAsia="Times New Roman" w:hAnsi="Times New Roman" w:cs="Times New Roman"/>
          <w:smallCaps/>
        </w:rPr>
        <w:t>Andrews, J.</w:t>
      </w:r>
      <w:r w:rsidR="007C62A4">
        <w:rPr>
          <w:rFonts w:ascii="Times New Roman" w:eastAsia="Times New Roman" w:hAnsi="Times New Roman" w:cs="Times New Roman"/>
          <w:smallCaps/>
        </w:rPr>
        <w:t>,</w:t>
      </w:r>
      <w:r w:rsidRPr="750671CE">
        <w:rPr>
          <w:rFonts w:ascii="Times New Roman" w:eastAsia="Times New Roman" w:hAnsi="Times New Roman" w:cs="Times New Roman"/>
        </w:rPr>
        <w:t xml:space="preserve"> dissenting.</w:t>
      </w:r>
    </w:p>
    <w:p w14:paraId="638A6B98" w14:textId="4CC21E99" w:rsidR="0019206E" w:rsidRPr="0052300D" w:rsidRDefault="00C04514"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 . . </w:t>
      </w:r>
      <w:r w:rsidR="750671CE" w:rsidRPr="750671CE">
        <w:rPr>
          <w:rFonts w:ascii="Times New Roman" w:eastAsia="Times New Roman" w:hAnsi="Times New Roman" w:cs="Times New Roman"/>
        </w:rPr>
        <w:t>Upon these facts may [the plaintiff] recover the damages she has suffered in an action brought against the master? The result we shall reach depends upon our theory as to the nature of negligence. Is it a relative concept</w:t>
      </w:r>
      <w:r w:rsidR="00832826">
        <w:rPr>
          <w:rFonts w:ascii="Times New Roman" w:eastAsia="Times New Roman" w:hAnsi="Times New Roman" w:cs="Times New Roman"/>
          <w:lang w:eastAsia="en-US"/>
        </w:rPr>
        <w:t>—</w:t>
      </w:r>
      <w:r w:rsidR="750671CE" w:rsidRPr="750671CE">
        <w:rPr>
          <w:rFonts w:ascii="Times New Roman" w:eastAsia="Times New Roman" w:hAnsi="Times New Roman" w:cs="Times New Roman"/>
        </w:rPr>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52300D" w:rsidRDefault="0019206E" w:rsidP="0019206E">
      <w:pPr>
        <w:rPr>
          <w:rFonts w:ascii="Times New Roman" w:hAnsi="Times New Roman" w:cs="Times New Roman"/>
        </w:rPr>
      </w:pPr>
    </w:p>
    <w:p w14:paraId="70933A19" w14:textId="4E1CA6E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But we are told that </w:t>
      </w:r>
      <w:r w:rsidR="00B05F31">
        <w:rPr>
          <w:rFonts w:ascii="Times New Roman" w:eastAsia="Times New Roman" w:hAnsi="Times New Roman" w:cs="Times New Roman"/>
        </w:rPr>
        <w:t>“</w:t>
      </w:r>
      <w:r w:rsidRPr="750671CE">
        <w:rPr>
          <w:rFonts w:ascii="Times New Roman" w:eastAsia="Times New Roman" w:hAnsi="Times New Roman" w:cs="Times New Roman"/>
        </w:rPr>
        <w:t>there is no negligence unless there is in the particular case a legal duty to take care, and this duty must be one which is owed to the plaintiff himself and not merely to others.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wrong not only to those who happen to be within the radius of danger but to all who might have been there</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 xml:space="preserve">a wrong to the public at large. Such is the language of the street. Such is the language of the courts when speaking of contributory negligence. . . . As was said by Mr. Justice Holmes many years ago, </w:t>
      </w:r>
      <w:r w:rsidR="00B05F31">
        <w:rPr>
          <w:rFonts w:ascii="Times New Roman" w:eastAsia="Times New Roman" w:hAnsi="Times New Roman" w:cs="Times New Roman"/>
        </w:rPr>
        <w:t>“</w:t>
      </w:r>
      <w:r w:rsidRPr="750671CE">
        <w:rPr>
          <w:rFonts w:ascii="Times New Roman" w:eastAsia="Times New Roman" w:hAnsi="Times New Roman" w:cs="Times New Roman"/>
        </w:rPr>
        <w:t>the measure of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duty in determining whether a wrong has been committed is one thing, the measure of liability when a wrong has been committed is another.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Due care is a duty imposed on each one of us to protect society from unnecessary danger, not to protect A, B or C alone.</w:t>
      </w:r>
    </w:p>
    <w:p w14:paraId="5B28CC30" w14:textId="77777777" w:rsidR="0019206E" w:rsidRPr="0052300D" w:rsidRDefault="0019206E" w:rsidP="0019206E">
      <w:pPr>
        <w:ind w:firstLine="720"/>
        <w:rPr>
          <w:rFonts w:ascii="Times New Roman" w:hAnsi="Times New Roman" w:cs="Times New Roman"/>
        </w:rPr>
      </w:pPr>
    </w:p>
    <w:p w14:paraId="472E380F" w14:textId="3C3BC528"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It may well be that there is no such thing as negligence in the abstract. </w:t>
      </w:r>
      <w:r w:rsidR="00B05F31">
        <w:rPr>
          <w:rFonts w:ascii="Times New Roman" w:eastAsia="Times New Roman" w:hAnsi="Times New Roman" w:cs="Times New Roman"/>
        </w:rPr>
        <w:t>“</w:t>
      </w:r>
      <w:r w:rsidRPr="750671CE">
        <w:rPr>
          <w:rFonts w:ascii="Times New Roman" w:eastAsia="Times New Roman" w:hAnsi="Times New Roman" w:cs="Times New Roman"/>
        </w:rPr>
        <w:t>Proof of negligence in the air, so to speak, will not do.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rPr>
          <w:rFonts w:ascii="Times New Roman" w:eastAsia="Times New Roman" w:hAnsi="Times New Roman" w:cs="Times New Roman"/>
        </w:rPr>
        <w:t>’</w:t>
      </w:r>
      <w:r w:rsidRPr="750671CE">
        <w:rPr>
          <w:rFonts w:ascii="Times New Roman" w:eastAsia="Times New Roman" w:hAnsi="Times New Roman" w:cs="Times New Roman"/>
        </w:rPr>
        <w:t>s services. To say that the wrongdoer was negligent as to the husband as well as to the wife is merely an attempt to fit facts to theory. An insurance company paying a fire loss recovers its payment of the negligent incendiary. We speak of subrogation</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5329837F" w14:textId="2B3E6A86"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 xml:space="preserve">In the well-known </w:t>
      </w:r>
      <w:r w:rsidRPr="750671CE">
        <w:rPr>
          <w:rFonts w:ascii="Times New Roman" w:eastAsia="Times New Roman" w:hAnsi="Times New Roman" w:cs="Times New Roman"/>
          <w:i/>
          <w:iCs/>
        </w:rPr>
        <w:t>Polemis Case</w:t>
      </w:r>
      <w:r w:rsidRPr="750671CE">
        <w:rPr>
          <w:rFonts w:ascii="Times New Roman" w:eastAsia="Times New Roman" w:hAnsi="Times New Roman" w:cs="Times New Roman"/>
        </w:rPr>
        <w:t xml:space="preserve">, Scrutton, L. J., said that the dropping of a plank was negligent for it might injure </w:t>
      </w:r>
      <w:r w:rsidR="00B05F31">
        <w:rPr>
          <w:rFonts w:ascii="Times New Roman" w:eastAsia="Times New Roman" w:hAnsi="Times New Roman" w:cs="Times New Roman"/>
        </w:rPr>
        <w:t>“</w:t>
      </w:r>
      <w:r w:rsidRPr="750671CE">
        <w:rPr>
          <w:rFonts w:ascii="Times New Roman" w:eastAsia="Times New Roman" w:hAnsi="Times New Roman" w:cs="Times New Roman"/>
        </w:rPr>
        <w:t>workman or cargo or ship.</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52300D" w:rsidRDefault="0019206E" w:rsidP="0019206E">
      <w:pPr>
        <w:rPr>
          <w:rFonts w:ascii="Times New Roman" w:hAnsi="Times New Roman" w:cs="Times New Roman"/>
        </w:rPr>
      </w:pPr>
    </w:p>
    <w:p w14:paraId="5F0EA568"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b/>
      </w:r>
    </w:p>
    <w:p w14:paraId="3AAB00C7" w14:textId="5C07762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If this be so, we do not have a plaintiff suing by </w:t>
      </w:r>
      <w:r w:rsidR="00B05F31">
        <w:rPr>
          <w:rFonts w:ascii="Times New Roman" w:eastAsia="Times New Roman" w:hAnsi="Times New Roman" w:cs="Times New Roman"/>
        </w:rPr>
        <w:t>“</w:t>
      </w:r>
      <w:r w:rsidRPr="750671CE">
        <w:rPr>
          <w:rFonts w:ascii="Times New Roman" w:eastAsia="Times New Roman" w:hAnsi="Times New Roman" w:cs="Times New Roman"/>
        </w:rPr>
        <w:t>derivation or succession.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Her action is original and primary. Her claim is for a breach of duty to herself</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not that she is subrogated to any right of action of the owner of the parcel or of a passenger standing at the scene of the explosion.</w:t>
      </w:r>
    </w:p>
    <w:p w14:paraId="4D49B0C7" w14:textId="77777777" w:rsidR="0019206E" w:rsidRPr="0052300D" w:rsidRDefault="0019206E" w:rsidP="0019206E">
      <w:pPr>
        <w:ind w:firstLine="720"/>
        <w:rPr>
          <w:rFonts w:ascii="Times New Roman" w:hAnsi="Times New Roman" w:cs="Times New Roman"/>
        </w:rPr>
      </w:pPr>
    </w:p>
    <w:p w14:paraId="1F0F9E02" w14:textId="2E292199"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right to recover damages rests on additional considerations.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are unusual, unexpected, unforeseen and unforseeable. But there is one limitation.</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 xml:space="preserve">The damages must be so connected with the negligence that the latter may be said to be the proximate cause of the former. . . . </w:t>
      </w:r>
    </w:p>
    <w:p w14:paraId="352D72CB" w14:textId="77777777" w:rsidR="0019206E" w:rsidRPr="0052300D" w:rsidRDefault="0019206E" w:rsidP="0019206E">
      <w:pPr>
        <w:ind w:firstLine="720"/>
        <w:rPr>
          <w:rFonts w:ascii="Times New Roman" w:hAnsi="Times New Roman" w:cs="Times New Roman"/>
        </w:rPr>
      </w:pPr>
    </w:p>
    <w:p w14:paraId="2B9994D6" w14:textId="1E28804B"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What we do mean by the word </w:t>
      </w:r>
      <w:r w:rsidR="00B05F31">
        <w:rPr>
          <w:rFonts w:ascii="Times New Roman" w:eastAsia="Times New Roman" w:hAnsi="Times New Roman" w:cs="Times New Roman"/>
        </w:rPr>
        <w:t>“</w:t>
      </w:r>
      <w:r w:rsidRPr="750671CE">
        <w:rPr>
          <w:rFonts w:ascii="Times New Roman" w:eastAsia="Times New Roman" w:hAnsi="Times New Roman" w:cs="Times New Roman"/>
        </w:rPr>
        <w:t>proximate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rPr>
          <w:rFonts w:ascii="Times New Roman" w:eastAsia="Times New Roman" w:hAnsi="Times New Roman" w:cs="Times New Roman"/>
        </w:rPr>
        <w:t>’</w:t>
      </w:r>
      <w:r w:rsidRPr="750671CE">
        <w:rPr>
          <w:rFonts w:ascii="Times New Roman" w:eastAsia="Times New Roman" w:hAnsi="Times New Roman" w:cs="Times New Roman"/>
        </w:rPr>
        <w:t>s. I may recover from a negligent railroad. He may not. Yet the wrongful act as directly harmed the one as the other. We may regret that the line was drawn just where it was, but drawn somewhere it had to be. We said the act of the railroad was not the proximate cause of our neighbor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fire. Cause it surely was. The words we used were simply indicative of our notions of public policy. Other courts think differently. . . . </w:t>
      </w:r>
    </w:p>
    <w:p w14:paraId="3DEFAD55" w14:textId="77777777" w:rsidR="0019206E" w:rsidRPr="0052300D" w:rsidRDefault="0019206E" w:rsidP="0019206E">
      <w:pPr>
        <w:ind w:firstLine="720"/>
        <w:rPr>
          <w:rFonts w:ascii="Times New Roman" w:hAnsi="Times New Roman" w:cs="Times New Roman"/>
        </w:rPr>
      </w:pPr>
    </w:p>
    <w:p w14:paraId="2ED97CAF"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It is all a question of expediency. There are no fixed rules to govern our judgment. There are simply matters of which we may take account. . . . This is rather rhetoric than law. There is in truth little to guide us other than common sense.</w:t>
      </w:r>
    </w:p>
    <w:p w14:paraId="68910124" w14:textId="77777777" w:rsidR="0019206E" w:rsidRPr="0052300D" w:rsidRDefault="0019206E" w:rsidP="0019206E">
      <w:pPr>
        <w:rPr>
          <w:rFonts w:ascii="Times New Roman" w:hAnsi="Times New Roman" w:cs="Times New Roman"/>
        </w:rPr>
      </w:pPr>
    </w:p>
    <w:p w14:paraId="1DE5AB6E" w14:textId="254DBD12"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the force of the wind, the direction and width of streets, the character of intervening structures, other factors. We draw an uncertain and wavering line, but draw it we must as best we can.</w:t>
      </w:r>
    </w:p>
    <w:p w14:paraId="0EEE5D47" w14:textId="77777777" w:rsidR="0019206E" w:rsidRPr="0052300D" w:rsidRDefault="0019206E" w:rsidP="0019206E">
      <w:pPr>
        <w:rPr>
          <w:rFonts w:ascii="Times New Roman" w:hAnsi="Times New Roman" w:cs="Times New Roman"/>
        </w:rPr>
      </w:pPr>
    </w:p>
    <w:p w14:paraId="697D16C0"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52300D" w:rsidRDefault="0019206E" w:rsidP="0019206E">
      <w:pPr>
        <w:ind w:firstLine="720"/>
        <w:rPr>
          <w:rFonts w:ascii="Times New Roman" w:hAnsi="Times New Roman" w:cs="Times New Roman"/>
        </w:rPr>
      </w:pPr>
    </w:p>
    <w:p w14:paraId="41724BF0" w14:textId="1B7AF71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Mrs. Palsgraf was standing some distance away. How far cannot be told from the record</w:t>
      </w:r>
      <w:r w:rsidR="00332B7A">
        <w:rPr>
          <w:rFonts w:ascii="Times New Roman" w:eastAsia="Times New Roman" w:hAnsi="Times New Roman" w:cs="Times New Roman"/>
        </w:rPr>
        <w:t>—</w:t>
      </w:r>
      <w:r w:rsidRPr="750671CE">
        <w:rPr>
          <w:rFonts w:ascii="Times New Roman" w:eastAsia="Times New Roman" w:hAnsi="Times New Roman" w:cs="Times New Roman"/>
        </w:rPr>
        <w:t xml:space="preserve">apparently twenty-five or thirty feet. Perhaps less. Except for the explosion, she would not have been injured. We are told by the appellant in his brief </w:t>
      </w:r>
      <w:r w:rsidR="00B05F31">
        <w:rPr>
          <w:rFonts w:ascii="Times New Roman" w:eastAsia="Times New Roman" w:hAnsi="Times New Roman" w:cs="Times New Roman"/>
        </w:rPr>
        <w:t>“</w:t>
      </w:r>
      <w:r w:rsidRPr="750671CE">
        <w:rPr>
          <w:rFonts w:ascii="Times New Roman" w:eastAsia="Times New Roman" w:hAnsi="Times New Roman" w:cs="Times New Roman"/>
        </w:rPr>
        <w:t>it cannot be denied that the explosion was the direct cause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So it was a substantial factor in producing the result</w:t>
      </w:r>
      <w:r w:rsidR="00332B7A">
        <w:rPr>
          <w:rFonts w:ascii="Times New Roman" w:eastAsia="Times New Roman" w:hAnsi="Times New Roman" w:cs="Times New Roman"/>
        </w:rPr>
        <w:t>—</w:t>
      </w:r>
      <w:r w:rsidRPr="750671CE">
        <w:rPr>
          <w:rFonts w:ascii="Times New Roman" w:eastAsia="Times New Roman" w:hAnsi="Times New Roman" w:cs="Times New Roman"/>
        </w:rPr>
        <w:t>there was here a natural and continuous sequence</w:t>
      </w:r>
      <w:r w:rsidR="00332B7A">
        <w:rPr>
          <w:rFonts w:ascii="Times New Roman" w:eastAsia="Times New Roman" w:hAnsi="Times New Roman" w:cs="Times New Roman"/>
        </w:rPr>
        <w:t>—</w:t>
      </w:r>
      <w:r w:rsidRPr="750671CE">
        <w:rPr>
          <w:rFonts w:ascii="Times New Roman" w:eastAsia="Times New Roman" w:hAnsi="Times New Roman" w:cs="Times New Roman"/>
        </w:rPr>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Under these circumstances I cannot say as a matter of law that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injuries were not the proximate result of the negligence. That is all we have before us. The court refused to so charge. No request was made to submit the matter to the jury as a question of fact, even would that have been proper upon the record before us.</w:t>
      </w:r>
    </w:p>
    <w:p w14:paraId="0569F2C3" w14:textId="77777777" w:rsidR="00EE6920" w:rsidRDefault="00EE6920" w:rsidP="750671CE">
      <w:pPr>
        <w:rPr>
          <w:rFonts w:ascii="Times New Roman" w:eastAsia="Times New Roman" w:hAnsi="Times New Roman" w:cs="Times New Roman"/>
        </w:rPr>
      </w:pPr>
    </w:p>
    <w:p w14:paraId="70D251E8" w14:textId="77777777"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The judgment appealed from should be affirmed, with costs.</w:t>
      </w:r>
    </w:p>
    <w:p w14:paraId="4F9D238C" w14:textId="77777777" w:rsidR="0019206E" w:rsidRPr="0052300D" w:rsidRDefault="0019206E" w:rsidP="0019206E">
      <w:pPr>
        <w:rPr>
          <w:rFonts w:ascii="Times New Roman" w:hAnsi="Times New Roman" w:cs="Times New Roman"/>
        </w:rPr>
      </w:pPr>
    </w:p>
    <w:p w14:paraId="2EE815CB" w14:textId="57669CC0" w:rsidR="00E06E60" w:rsidRDefault="00E06E60">
      <w:pPr>
        <w:rPr>
          <w:rFonts w:ascii="Times New Roman" w:eastAsiaTheme="minorHAnsi" w:hAnsi="Times New Roman" w:cs="Times New Roman"/>
          <w:b/>
          <w:bCs/>
          <w:i/>
          <w:szCs w:val="28"/>
          <w:lang w:eastAsia="en-US"/>
        </w:rPr>
      </w:pPr>
    </w:p>
    <w:p w14:paraId="1E26E371" w14:textId="389E607B" w:rsidR="0019206E" w:rsidRPr="0052300D" w:rsidRDefault="750671CE" w:rsidP="002502CC">
      <w:pPr>
        <w:pStyle w:val="Heading4"/>
      </w:pPr>
      <w:bookmarkStart w:id="714" w:name="_Toc364636198"/>
      <w:bookmarkStart w:id="715" w:name="_Toc518323433"/>
      <w:r>
        <w:t>Notes</w:t>
      </w:r>
      <w:bookmarkEnd w:id="714"/>
      <w:bookmarkEnd w:id="715"/>
    </w:p>
    <w:p w14:paraId="54F03732" w14:textId="77777777" w:rsidR="0019206E" w:rsidRDefault="0019206E" w:rsidP="0019206E">
      <w:pPr>
        <w:rPr>
          <w:rFonts w:ascii="Times New Roman" w:hAnsi="Times New Roman" w:cs="Times New Roman"/>
        </w:rPr>
      </w:pPr>
    </w:p>
    <w:p w14:paraId="51FF0E27" w14:textId="77777777" w:rsidR="00C04514" w:rsidRPr="0052300D" w:rsidRDefault="00C04514" w:rsidP="0019206E">
      <w:pPr>
        <w:rPr>
          <w:rFonts w:ascii="Times New Roman" w:hAnsi="Times New Roman" w:cs="Times New Roman"/>
        </w:rPr>
      </w:pPr>
    </w:p>
    <w:p w14:paraId="1E826E81" w14:textId="6D8FBAE5" w:rsidR="0019206E" w:rsidRPr="00F94B7E" w:rsidRDefault="750671CE" w:rsidP="00F94B7E">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Cardozo versus Andrews.  </w:t>
      </w:r>
      <w:r w:rsidRPr="00F94B7E">
        <w:rPr>
          <w:rFonts w:ascii="Times New Roman" w:eastAsia="Times New Roman" w:hAnsi="Times New Roman" w:cs="Times New Roman"/>
        </w:rPr>
        <w:t xml:space="preserve">Are Judges Cardozo and Andrews debating how to define proximate cause or whether this is a case about proximate cause?  What is it, precisely, that divides them? </w:t>
      </w:r>
    </w:p>
    <w:p w14:paraId="0CD60F93" w14:textId="77777777" w:rsidR="0019206E" w:rsidRDefault="0019206E" w:rsidP="0019206E">
      <w:pPr>
        <w:rPr>
          <w:rFonts w:ascii="Times New Roman" w:hAnsi="Times New Roman" w:cs="Times New Roman"/>
        </w:rPr>
      </w:pPr>
    </w:p>
    <w:p w14:paraId="0B204389" w14:textId="77777777" w:rsidR="0019206E" w:rsidRPr="0052300D" w:rsidRDefault="0019206E" w:rsidP="0019206E">
      <w:pPr>
        <w:rPr>
          <w:rFonts w:ascii="Times New Roman" w:hAnsi="Times New Roman" w:cs="Times New Roman"/>
        </w:rPr>
      </w:pPr>
    </w:p>
    <w:p w14:paraId="6FCB9D08" w14:textId="64D48108" w:rsidR="0019206E" w:rsidRPr="00F94B7E" w:rsidRDefault="750671CE" w:rsidP="00F94B7E">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Where</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the negligence?  </w:t>
      </w:r>
      <w:r w:rsidRPr="00F94B7E">
        <w:rPr>
          <w:rFonts w:ascii="Times New Roman" w:eastAsia="Times New Roman" w:hAnsi="Times New Roman" w:cs="Times New Roman"/>
        </w:rPr>
        <w:t>Was the guard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Pr>
          <w:rFonts w:ascii="Times New Roman" w:eastAsia="Times New Roman" w:hAnsi="Times New Roman" w:cs="Times New Roman"/>
        </w:rPr>
        <w:t>“</w:t>
      </w:r>
      <w:r w:rsidRPr="00F94B7E">
        <w:rPr>
          <w:rFonts w:ascii="Times New Roman" w:eastAsia="Times New Roman" w:hAnsi="Times New Roman" w:cs="Times New Roman"/>
        </w:rPr>
        <w:t>WARNING: CONTAINS EXPLOSIVES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p>
    <w:p w14:paraId="715439EF" w14:textId="77777777" w:rsidR="0019206E" w:rsidRDefault="0019206E" w:rsidP="0019206E">
      <w:pPr>
        <w:rPr>
          <w:rFonts w:ascii="Times New Roman" w:hAnsi="Times New Roman" w:cs="Times New Roman"/>
        </w:rPr>
      </w:pPr>
    </w:p>
    <w:p w14:paraId="473F73BE" w14:textId="77777777" w:rsidR="0019206E" w:rsidRPr="0052300D" w:rsidRDefault="0019206E" w:rsidP="0019206E">
      <w:pPr>
        <w:rPr>
          <w:rFonts w:ascii="Times New Roman" w:hAnsi="Times New Roman" w:cs="Times New Roman"/>
        </w:rPr>
      </w:pPr>
    </w:p>
    <w:p w14:paraId="68482BD8" w14:textId="5566906C" w:rsidR="0019206E" w:rsidRPr="00F94B7E" w:rsidRDefault="750671CE" w:rsidP="00F94B7E">
      <w:pPr>
        <w:pStyle w:val="ListParagraph"/>
        <w:numPr>
          <w:ilvl w:val="0"/>
          <w:numId w:val="2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Cardozo</w:t>
      </w:r>
      <w:r w:rsidR="00B05F31">
        <w:rPr>
          <w:rFonts w:ascii="Times New Roman" w:eastAsia="Times New Roman" w:hAnsi="Times New Roman" w:cs="Times New Roman"/>
          <w:i/>
          <w:iCs/>
        </w:rPr>
        <w:t>’</w:t>
      </w:r>
      <w:r w:rsidRPr="00F94B7E">
        <w:rPr>
          <w:rFonts w:ascii="Times New Roman" w:eastAsia="Times New Roman" w:hAnsi="Times New Roman" w:cs="Times New Roman"/>
          <w:i/>
          <w:iCs/>
        </w:rPr>
        <w:t xml:space="preserve">s inconsistency?  </w:t>
      </w:r>
      <w:r w:rsidRPr="00F94B7E">
        <w:rPr>
          <w:rFonts w:ascii="Times New Roman" w:eastAsia="Times New Roman" w:hAnsi="Times New Roman" w:cs="Times New Roman"/>
        </w:rPr>
        <w:t xml:space="preserve">Judge Cardozo, the author of the majority opinion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reached a different conclusion when asked whether a defendant is liable for harm that befalls the rescuer of someone the defendant injured.  What, if anything, distinguishes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from the next case?</w:t>
      </w:r>
    </w:p>
    <w:p w14:paraId="33C6E5EB" w14:textId="77777777" w:rsidR="0019206E" w:rsidRPr="0052300D" w:rsidRDefault="0019206E" w:rsidP="0019206E">
      <w:pPr>
        <w:rPr>
          <w:rFonts w:ascii="Times New Roman" w:hAnsi="Times New Roman" w:cs="Times New Roman"/>
        </w:rPr>
      </w:pPr>
    </w:p>
    <w:p w14:paraId="706F4A26" w14:textId="77777777" w:rsidR="0019206E" w:rsidRPr="0052300D" w:rsidRDefault="0019206E" w:rsidP="0019206E">
      <w:pPr>
        <w:rPr>
          <w:rFonts w:ascii="Times New Roman" w:hAnsi="Times New Roman" w:cs="Times New Roman"/>
        </w:rPr>
      </w:pPr>
    </w:p>
    <w:p w14:paraId="787C9594" w14:textId="77777777" w:rsidR="0019206E" w:rsidRPr="0052300D" w:rsidRDefault="0019206E" w:rsidP="750671CE">
      <w:pPr>
        <w:rPr>
          <w:rFonts w:ascii="Times New Roman" w:eastAsia="Times New Roman" w:hAnsi="Times New Roman" w:cs="Times New Roman"/>
          <w:b/>
          <w:bCs/>
        </w:rPr>
      </w:pPr>
      <w:bookmarkStart w:id="716" w:name="_Toc518323434"/>
      <w:r w:rsidRPr="00C17A3F">
        <w:rPr>
          <w:rStyle w:val="Heading3Char"/>
          <w:i/>
        </w:rPr>
        <w:t>Wagner v. International R. Co</w:t>
      </w:r>
      <w:bookmarkEnd w:id="716"/>
      <w:r w:rsidRPr="00C17A3F">
        <w:rPr>
          <w:rFonts w:ascii="Times New Roman" w:eastAsia="Times New Roman" w:hAnsi="Times New Roman" w:cs="Times New Roman"/>
          <w:b/>
          <w:bCs/>
          <w:i/>
        </w:rPr>
        <w:t>.</w:t>
      </w:r>
      <w:r w:rsidRPr="750671CE">
        <w:rPr>
          <w:rFonts w:ascii="Times New Roman" w:eastAsia="Times New Roman" w:hAnsi="Times New Roman" w:cs="Times New Roman"/>
          <w:b/>
          <w:bCs/>
        </w:rPr>
        <w:t>, 232 N.Y. 176, 178-182 (N.Y. 1921)</w:t>
      </w:r>
    </w:p>
    <w:p w14:paraId="5E833FAE" w14:textId="77777777" w:rsidR="0019206E" w:rsidRPr="0052300D" w:rsidRDefault="0019206E" w:rsidP="0019206E">
      <w:pPr>
        <w:rPr>
          <w:rFonts w:ascii="Times New Roman" w:hAnsi="Times New Roman" w:cs="Times New Roman"/>
        </w:rPr>
      </w:pPr>
    </w:p>
    <w:p w14:paraId="58BA2762" w14:textId="5ABF7505" w:rsidR="008651F6" w:rsidRDefault="750671CE" w:rsidP="0098365B">
      <w:pPr>
        <w:rPr>
          <w:rFonts w:ascii="Times New Roman" w:eastAsia="Times New Roman" w:hAnsi="Times New Roman" w:cs="Times New Roman"/>
        </w:rPr>
      </w:pPr>
      <w:r w:rsidRPr="750671CE">
        <w:rPr>
          <w:rFonts w:ascii="Times New Roman" w:eastAsia="Times New Roman" w:hAnsi="Times New Roman" w:cs="Times New Roman"/>
          <w:smallCaps/>
        </w:rPr>
        <w:t>Cardozo</w:t>
      </w:r>
      <w:r w:rsidRPr="750671CE">
        <w:rPr>
          <w:rFonts w:ascii="Times New Roman" w:eastAsia="Times New Roman" w:hAnsi="Times New Roman" w:cs="Times New Roman"/>
        </w:rPr>
        <w:t>, J</w:t>
      </w:r>
      <w:r w:rsidR="008651F6">
        <w:rPr>
          <w:rFonts w:ascii="Times New Roman" w:eastAsia="Times New Roman" w:hAnsi="Times New Roman" w:cs="Times New Roman"/>
        </w:rPr>
        <w:t>.</w:t>
      </w:r>
      <w:r w:rsidRPr="750671CE">
        <w:rPr>
          <w:rFonts w:ascii="Times New Roman" w:eastAsia="Times New Roman" w:hAnsi="Times New Roman" w:cs="Times New Roman"/>
        </w:rPr>
        <w:t xml:space="preserve"> </w:t>
      </w:r>
    </w:p>
    <w:p w14:paraId="3FCC3DAB" w14:textId="77777777" w:rsidR="008651F6" w:rsidRDefault="008651F6" w:rsidP="750671CE">
      <w:pPr>
        <w:ind w:firstLine="720"/>
        <w:rPr>
          <w:rFonts w:ascii="Times New Roman" w:eastAsia="Times New Roman" w:hAnsi="Times New Roman" w:cs="Times New Roman"/>
        </w:rPr>
      </w:pPr>
    </w:p>
    <w:p w14:paraId="6C2EEC38" w14:textId="7885CB1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52300D" w:rsidRDefault="0019206E" w:rsidP="0019206E">
      <w:pPr>
        <w:rPr>
          <w:rFonts w:ascii="Times New Roman" w:hAnsi="Times New Roman" w:cs="Times New Roman"/>
        </w:rPr>
      </w:pPr>
    </w:p>
    <w:p w14:paraId="484E071F" w14:textId="00660DA5"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rPr>
          <w:rFonts w:ascii="Times New Roman" w:eastAsia="Times New Roman" w:hAnsi="Times New Roman" w:cs="Times New Roman"/>
        </w:rPr>
        <w:t>“</w:t>
      </w:r>
      <w:r w:rsidRPr="750671CE">
        <w:rPr>
          <w:rFonts w:ascii="Times New Roman" w:eastAsia="Times New Roman" w:hAnsi="Times New Roman" w:cs="Times New Roman"/>
        </w:rPr>
        <w:t>Man overboard.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car went on across the bridge, and stopped near the foot of the incline. Night and darkness had come on. Plaintiff walked along the trestle, a distance of four hundred and forty-five feet, until he arrived at the bridge, where he thought to find his cousin</w:t>
      </w:r>
      <w:r w:rsidR="00B05F31">
        <w:rPr>
          <w:rFonts w:ascii="Times New Roman" w:eastAsia="Times New Roman" w:hAnsi="Times New Roman" w:cs="Times New Roman"/>
        </w:rPr>
        <w:t>’</w:t>
      </w:r>
      <w:r w:rsidRPr="750671CE">
        <w:rPr>
          <w:rFonts w:ascii="Times New Roman" w:eastAsia="Times New Roman" w:hAnsi="Times New Roman" w:cs="Times New Roman"/>
        </w:rPr>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body struck the ground beside them. Reaching the bridge, he had found upon a beam his cousin</w:t>
      </w:r>
      <w:r w:rsidR="00B05F31">
        <w:rPr>
          <w:rFonts w:ascii="Times New Roman" w:eastAsia="Times New Roman" w:hAnsi="Times New Roman" w:cs="Times New Roman"/>
        </w:rPr>
        <w:t>’</w:t>
      </w:r>
      <w:r w:rsidRPr="750671CE">
        <w:rPr>
          <w:rFonts w:ascii="Times New Roman" w:eastAsia="Times New Roman" w:hAnsi="Times New Roman" w:cs="Times New Roman"/>
        </w:rPr>
        <w:t>s hat, but nothing else. About him, there was darkness. He missed his footing, and fell.</w:t>
      </w:r>
    </w:p>
    <w:p w14:paraId="7473FFD5" w14:textId="77777777" w:rsidR="0019206E" w:rsidRPr="0052300D" w:rsidRDefault="0019206E" w:rsidP="0019206E">
      <w:pPr>
        <w:rPr>
          <w:rFonts w:ascii="Times New Roman" w:hAnsi="Times New Roman" w:cs="Times New Roman"/>
        </w:rPr>
      </w:pPr>
    </w:p>
    <w:p w14:paraId="212A8AD6"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52300D" w:rsidRDefault="0019206E" w:rsidP="0019206E">
      <w:pPr>
        <w:rPr>
          <w:rFonts w:ascii="Times New Roman" w:hAnsi="Times New Roman" w:cs="Times New Roman"/>
        </w:rPr>
      </w:pPr>
    </w:p>
    <w:p w14:paraId="0BEFB234"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52300D" w:rsidRDefault="0019206E" w:rsidP="0019206E">
      <w:pPr>
        <w:ind w:firstLine="720"/>
        <w:rPr>
          <w:rFonts w:ascii="Times New Roman" w:hAnsi="Times New Roman" w:cs="Times New Roman"/>
        </w:rPr>
      </w:pPr>
    </w:p>
    <w:p w14:paraId="2072E919" w14:textId="0FD90904"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defendant says that we must stop, in following the chain of causes, when action ceases to be </w:t>
      </w:r>
      <w:r w:rsidR="00B05F31">
        <w:rPr>
          <w:rFonts w:ascii="Times New Roman" w:eastAsia="Times New Roman" w:hAnsi="Times New Roman" w:cs="Times New Roman"/>
        </w:rPr>
        <w:t>“</w:t>
      </w:r>
      <w:r w:rsidRPr="750671CE">
        <w:rPr>
          <w:rFonts w:ascii="Times New Roman" w:eastAsia="Times New Roman" w:hAnsi="Times New Roman" w:cs="Times New Roman"/>
        </w:rPr>
        <w:t>instinctive.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rPr>
          <w:rFonts w:ascii="Times New Roman" w:eastAsia="Times New Roman" w:hAnsi="Times New Roman" w:cs="Times New Roman"/>
        </w:rPr>
        <w:t>’</w:t>
      </w:r>
      <w:r w:rsidRPr="750671CE">
        <w:rPr>
          <w:rFonts w:ascii="Times New Roman" w:eastAsia="Times New Roman" w:hAnsi="Times New Roman" w:cs="Times New Roman"/>
        </w:rPr>
        <w:t>s aid. He had time to reflect and weigh; impulse had been followed by choice; and choice, in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view, intercepts and breaks the sequence.</w:t>
      </w:r>
      <w:r w:rsidRPr="750671CE">
        <w:rPr>
          <w:rFonts w:ascii="Times New Roman" w:eastAsia="Times New Roman" w:hAnsi="Times New Roman" w:cs="Times New Roman"/>
          <w:b/>
          <w:bCs/>
        </w:rPr>
        <w:t xml:space="preserve"> </w:t>
      </w:r>
      <w:r w:rsidRPr="750671CE">
        <w:rPr>
          <w:rFonts w:ascii="Times New Roman" w:eastAsia="Times New Roman" w:hAnsi="Times New Roman" w:cs="Times New Roman"/>
        </w:rPr>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rPr>
          <w:rFonts w:ascii="Times New Roman" w:eastAsia="Times New Roman" w:hAnsi="Times New Roman" w:cs="Times New Roman"/>
        </w:rPr>
        <w:t>“</w:t>
      </w:r>
      <w:r w:rsidRPr="750671CE">
        <w:rPr>
          <w:rFonts w:ascii="Times New Roman" w:eastAsia="Times New Roman" w:hAnsi="Times New Roman" w:cs="Times New Roman"/>
        </w:rPr>
        <w:t>The human mind,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as we have said, </w:t>
      </w:r>
      <w:r w:rsidR="00B05F31">
        <w:rPr>
          <w:rFonts w:ascii="Times New Roman" w:eastAsia="Times New Roman" w:hAnsi="Times New Roman" w:cs="Times New Roman"/>
        </w:rPr>
        <w:t>“</w:t>
      </w:r>
      <w:r w:rsidRPr="750671CE">
        <w:rPr>
          <w:rFonts w:ascii="Times New Roman" w:eastAsia="Times New Roman" w:hAnsi="Times New Roman" w:cs="Times New Roman"/>
        </w:rPr>
        <w:t>acts with celerity which it is sometimes impossible to measure.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52300D" w:rsidRDefault="0019206E" w:rsidP="0019206E">
      <w:pPr>
        <w:ind w:firstLine="720"/>
        <w:rPr>
          <w:rFonts w:ascii="Times New Roman" w:hAnsi="Times New Roman" w:cs="Times New Roman"/>
        </w:rPr>
      </w:pPr>
    </w:p>
    <w:p w14:paraId="0A95BFFC" w14:textId="2E055450"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defendant finds another obstacle, however, in the futility of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rPr>
          <w:rFonts w:ascii="Times New Roman" w:eastAsia="Times New Roman" w:hAnsi="Times New Roman" w:cs="Times New Roman"/>
        </w:rPr>
        <w:t>“</w:t>
      </w:r>
      <w:r w:rsidRPr="750671CE">
        <w:rPr>
          <w:rFonts w:ascii="Times New Roman" w:eastAsia="Times New Roman" w:hAnsi="Times New Roman" w:cs="Times New Roman"/>
        </w:rPr>
        <w:t>Errors of judgment,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however, would not count against him, if they resulted </w:t>
      </w:r>
      <w:r w:rsidR="00B05F31">
        <w:rPr>
          <w:rFonts w:ascii="Times New Roman" w:eastAsia="Times New Roman" w:hAnsi="Times New Roman" w:cs="Times New Roman"/>
        </w:rPr>
        <w:t>“</w:t>
      </w:r>
      <w:r w:rsidRPr="750671CE">
        <w:rPr>
          <w:rFonts w:ascii="Times New Roman" w:eastAsia="Times New Roman" w:hAnsi="Times New Roman" w:cs="Times New Roman"/>
        </w:rPr>
        <w:t>from the excitement and confusion of the moment</w:t>
      </w:r>
      <w:r w:rsidR="00B05F31">
        <w:rPr>
          <w:rFonts w:ascii="Times New Roman" w:eastAsia="Times New Roman" w:hAnsi="Times New Roman" w:cs="Times New Roman"/>
        </w:rPr>
        <w:t>”</w:t>
      </w:r>
      <w:r w:rsidRPr="750671CE">
        <w:rPr>
          <w:rFonts w:ascii="Times New Roman" w:eastAsia="Times New Roman" w:hAnsi="Times New Roman" w:cs="Times New Roman"/>
        </w:rPr>
        <w:t>. The reason that was exacted of him was not the reason of the morrow. It was reason fitted and proportioned to the time and the event.</w:t>
      </w:r>
    </w:p>
    <w:p w14:paraId="2DF2D4A1" w14:textId="77777777" w:rsidR="0019206E" w:rsidRPr="0052300D" w:rsidRDefault="0019206E" w:rsidP="0019206E">
      <w:pPr>
        <w:ind w:firstLine="720"/>
        <w:rPr>
          <w:rFonts w:ascii="Times New Roman" w:hAnsi="Times New Roman" w:cs="Times New Roman"/>
        </w:rPr>
      </w:pPr>
    </w:p>
    <w:p w14:paraId="57D3F329" w14:textId="7B5C2CF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Whether Herbert Wagner</w:t>
      </w:r>
      <w:r w:rsidR="00B05F31">
        <w:rPr>
          <w:rFonts w:ascii="Times New Roman" w:eastAsia="Times New Roman" w:hAnsi="Times New Roman" w:cs="Times New Roman"/>
        </w:rPr>
        <w:t>’</w:t>
      </w:r>
      <w:r w:rsidRPr="750671CE">
        <w:rPr>
          <w:rFonts w:ascii="Times New Roman" w:eastAsia="Times New Roman" w:hAnsi="Times New Roman" w:cs="Times New Roman"/>
        </w:rPr>
        <w:t>s fall was due to the defendant</w:t>
      </w:r>
      <w:r w:rsidR="00B05F31">
        <w:rPr>
          <w:rFonts w:ascii="Times New Roman" w:eastAsia="Times New Roman" w:hAnsi="Times New Roman" w:cs="Times New Roman"/>
        </w:rPr>
        <w:t>’</w:t>
      </w:r>
      <w:r w:rsidRPr="750671CE">
        <w:rPr>
          <w:rFonts w:ascii="Times New Roman" w:eastAsia="Times New Roman" w:hAnsi="Times New Roman" w:cs="Times New Roman"/>
        </w:rPr>
        <w:t>s negligence, and whether plaintiff in going to the rescue, as he did, was foolhardy or reasonable in the light of the emergency confronting him, were questions for the jury.</w:t>
      </w:r>
    </w:p>
    <w:p w14:paraId="79246174" w14:textId="77777777" w:rsidR="0019206E" w:rsidRPr="0052300D" w:rsidRDefault="0019206E" w:rsidP="0019206E">
      <w:pPr>
        <w:ind w:firstLine="720"/>
        <w:rPr>
          <w:rFonts w:ascii="Times New Roman" w:hAnsi="Times New Roman" w:cs="Times New Roman"/>
        </w:rPr>
      </w:pPr>
    </w:p>
    <w:p w14:paraId="03BB9F1F"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judgment of the Appellate Division and that of the Trial Term should be reversed, and a new trial granted, with costs to abide the event.</w:t>
      </w:r>
    </w:p>
    <w:p w14:paraId="25762D8E" w14:textId="77777777" w:rsidR="00C04514" w:rsidRPr="0052300D" w:rsidRDefault="00C04514" w:rsidP="0019206E">
      <w:pPr>
        <w:rPr>
          <w:rFonts w:ascii="Times New Roman" w:hAnsi="Times New Roman" w:cs="Times New Roman"/>
        </w:rPr>
      </w:pPr>
    </w:p>
    <w:p w14:paraId="189D634C" w14:textId="77777777" w:rsidR="0019206E" w:rsidRPr="0052300D" w:rsidRDefault="0019206E" w:rsidP="0019206E">
      <w:pPr>
        <w:rPr>
          <w:rFonts w:ascii="Times New Roman" w:hAnsi="Times New Roman" w:cs="Times New Roman"/>
        </w:rPr>
      </w:pPr>
    </w:p>
    <w:p w14:paraId="68F727B5" w14:textId="77777777" w:rsidR="0019206E" w:rsidRPr="0052300D" w:rsidRDefault="0019206E" w:rsidP="002502CC">
      <w:pPr>
        <w:pStyle w:val="Heading4"/>
      </w:pPr>
      <w:bookmarkStart w:id="717" w:name="_Toc364636199"/>
      <w:bookmarkStart w:id="718" w:name="_Toc518323435"/>
      <w:r w:rsidRPr="0052300D">
        <w:t>Notes</w:t>
      </w:r>
      <w:bookmarkEnd w:id="717"/>
      <w:bookmarkEnd w:id="718"/>
      <w:r w:rsidRPr="0052300D">
        <w:t xml:space="preserve"> </w:t>
      </w:r>
    </w:p>
    <w:p w14:paraId="6CBB476F" w14:textId="77777777" w:rsidR="0019206E" w:rsidRDefault="0019206E" w:rsidP="0019206E">
      <w:pPr>
        <w:rPr>
          <w:rFonts w:ascii="Times New Roman" w:hAnsi="Times New Roman" w:cs="Times New Roman"/>
        </w:rPr>
      </w:pPr>
    </w:p>
    <w:p w14:paraId="41BE5676" w14:textId="77777777" w:rsidR="00C04514" w:rsidRPr="0052300D" w:rsidRDefault="00C04514" w:rsidP="0019206E">
      <w:pPr>
        <w:rPr>
          <w:rFonts w:ascii="Times New Roman" w:hAnsi="Times New Roman" w:cs="Times New Roman"/>
        </w:rPr>
      </w:pPr>
    </w:p>
    <w:p w14:paraId="67B050C1" w14:textId="5B99CD02" w:rsidR="0019206E" w:rsidRPr="00F94B7E" w:rsidRDefault="750671CE" w:rsidP="00F94B7E">
      <w:pPr>
        <w:pStyle w:val="ListParagraph"/>
        <w:numPr>
          <w:ilvl w:val="0"/>
          <w:numId w:val="2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Rules versus standards.</w:t>
      </w:r>
      <w:r w:rsidRPr="00F94B7E">
        <w:rPr>
          <w:rFonts w:ascii="Times New Roman" w:eastAsia="Times New Roman" w:hAnsi="Times New Roman" w:cs="Times New Roman"/>
        </w:rPr>
        <w:t xml:space="preserve">  In this opinion, Cardozo asserts that a defendant should always foresee harm to a rescuer, because </w:t>
      </w:r>
      <w:r w:rsidR="00B05F31">
        <w:rPr>
          <w:rFonts w:ascii="Times New Roman" w:eastAsia="Times New Roman" w:hAnsi="Times New Roman" w:cs="Times New Roman"/>
        </w:rPr>
        <w:t>“</w:t>
      </w:r>
      <w:r w:rsidRPr="00F94B7E">
        <w:rPr>
          <w:rFonts w:ascii="Times New Roman" w:eastAsia="Times New Roman" w:hAnsi="Times New Roman" w:cs="Times New Roman"/>
        </w:rPr>
        <w:t>danger invites rescue.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Cardozo</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Default="0019206E" w:rsidP="0019206E">
      <w:pPr>
        <w:rPr>
          <w:rFonts w:ascii="Times New Roman" w:hAnsi="Times New Roman" w:cs="Times New Roman"/>
        </w:rPr>
      </w:pPr>
    </w:p>
    <w:p w14:paraId="715440B9" w14:textId="77777777" w:rsidR="0019206E" w:rsidRPr="0052300D" w:rsidRDefault="0019206E" w:rsidP="0019206E">
      <w:pPr>
        <w:rPr>
          <w:rFonts w:ascii="Times New Roman" w:hAnsi="Times New Roman" w:cs="Times New Roman"/>
        </w:rPr>
      </w:pPr>
    </w:p>
    <w:p w14:paraId="4843F36A" w14:textId="4FA23896" w:rsidR="0019206E" w:rsidRPr="00F94B7E" w:rsidRDefault="750671CE" w:rsidP="00F94B7E">
      <w:pPr>
        <w:pStyle w:val="ListParagraph"/>
        <w:numPr>
          <w:ilvl w:val="0"/>
          <w:numId w:val="2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Reconciling </w:t>
      </w:r>
      <w:r w:rsidRPr="00F94B7E">
        <w:rPr>
          <w:rFonts w:ascii="Times New Roman" w:eastAsia="Times New Roman" w:hAnsi="Times New Roman" w:cs="Times New Roman"/>
          <w:iCs/>
        </w:rPr>
        <w:t>Palsgraf</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Wagner</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In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Cardozo was concerned that the tortious act, pushing by the guard, was not a wrong with respect to Mrs. Palsgraf.  Yet in </w:t>
      </w:r>
      <w:r w:rsidRPr="00F94B7E">
        <w:rPr>
          <w:rFonts w:ascii="Times New Roman" w:eastAsia="Times New Roman" w:hAnsi="Times New Roman" w:cs="Times New Roman"/>
          <w:i/>
          <w:iCs/>
        </w:rPr>
        <w:t>Wagner</w:t>
      </w:r>
      <w:r w:rsidRPr="00F94B7E">
        <w:rPr>
          <w:rFonts w:ascii="Times New Roman" w:eastAsia="Times New Roman" w:hAnsi="Times New Roman" w:cs="Times New Roman"/>
        </w:rPr>
        <w:t xml:space="preserve">, he maintains that any tortious act is a wrong with respect to a rescuer. What explains the different treatment of two people who were in fact injured by the tortious act? </w:t>
      </w:r>
    </w:p>
    <w:p w14:paraId="71DE0D3C" w14:textId="77777777" w:rsidR="0019206E" w:rsidRPr="0052300D" w:rsidRDefault="0019206E" w:rsidP="0019206E">
      <w:pPr>
        <w:rPr>
          <w:rFonts w:ascii="Times New Roman" w:hAnsi="Times New Roman" w:cs="Times New Roman"/>
        </w:rPr>
      </w:pPr>
    </w:p>
    <w:p w14:paraId="393DE36B" w14:textId="1D61AF7B" w:rsidR="00E06E60" w:rsidRDefault="00E06E60">
      <w:pPr>
        <w:rPr>
          <w:rFonts w:ascii="Times New Roman" w:eastAsiaTheme="majorEastAsia" w:hAnsi="Times New Roman" w:cstheme="majorBidi"/>
          <w:b/>
          <w:bCs/>
          <w:i/>
        </w:rPr>
      </w:pPr>
    </w:p>
    <w:p w14:paraId="210C99B8" w14:textId="6EE25F23" w:rsidR="0019206E" w:rsidRPr="0052300D" w:rsidRDefault="0098365B" w:rsidP="005A3386">
      <w:pPr>
        <w:pStyle w:val="Heading2"/>
      </w:pPr>
      <w:bookmarkStart w:id="719" w:name="_Toc364636200"/>
      <w:bookmarkStart w:id="720" w:name="_Toc518323436"/>
      <w:r>
        <w:t xml:space="preserve">E. </w:t>
      </w:r>
      <w:r w:rsidR="0019206E" w:rsidRPr="0052300D">
        <w:t>Completely Unexpected?</w:t>
      </w:r>
      <w:bookmarkEnd w:id="719"/>
      <w:bookmarkEnd w:id="720"/>
    </w:p>
    <w:p w14:paraId="7B71F458" w14:textId="77777777" w:rsidR="0019206E" w:rsidRPr="0052300D" w:rsidRDefault="0019206E" w:rsidP="0019206E">
      <w:pPr>
        <w:rPr>
          <w:rFonts w:ascii="Times New Roman" w:hAnsi="Times New Roman" w:cs="Times New Roman"/>
          <w:b/>
        </w:rPr>
      </w:pPr>
    </w:p>
    <w:p w14:paraId="5DB7BF44" w14:textId="4C92CC46"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Late in the winter of 1959</w:t>
      </w:r>
      <w:r w:rsidR="00EE6920">
        <w:rPr>
          <w:rFonts w:ascii="Times New Roman" w:eastAsia="Times New Roman" w:hAnsi="Times New Roman" w:cs="Times New Roman"/>
        </w:rPr>
        <w:t>,</w:t>
      </w:r>
      <w:r w:rsidRPr="750671CE">
        <w:rPr>
          <w:rFonts w:ascii="Times New Roman" w:eastAsia="Times New Roman" w:hAnsi="Times New Roman" w:cs="Times New Roman"/>
        </w:rPr>
        <w:t xml:space="preserve"> each of the strands of proximate causation came together in a spectacular, and thankfully not catastrophic, accident on the Buffalo River in upstate New York.</w:t>
      </w:r>
    </w:p>
    <w:p w14:paraId="6D3171BC" w14:textId="77777777" w:rsidR="0019206E" w:rsidRPr="0052300D" w:rsidRDefault="0019206E" w:rsidP="0019206E">
      <w:pPr>
        <w:rPr>
          <w:rFonts w:ascii="Times New Roman" w:hAnsi="Times New Roman" w:cs="Times New Roman"/>
          <w:b/>
        </w:rPr>
      </w:pPr>
    </w:p>
    <w:p w14:paraId="1CE537EE" w14:textId="77777777" w:rsidR="0019206E" w:rsidRPr="0052300D" w:rsidRDefault="0019206E" w:rsidP="0019206E">
      <w:pPr>
        <w:rPr>
          <w:rFonts w:ascii="Times New Roman" w:hAnsi="Times New Roman" w:cs="Times New Roman"/>
          <w:b/>
        </w:rPr>
      </w:pPr>
    </w:p>
    <w:p w14:paraId="1C01426A" w14:textId="3F0EA133" w:rsidR="0019206E" w:rsidRPr="00021538" w:rsidRDefault="0019206E" w:rsidP="0098365B">
      <w:bookmarkStart w:id="721" w:name="_Toc518323437"/>
      <w:bookmarkStart w:id="722" w:name="_Toc364636201"/>
      <w:r w:rsidRPr="0098365B">
        <w:rPr>
          <w:rStyle w:val="Heading3Char"/>
          <w:i/>
        </w:rPr>
        <w:t>Petition of Kinsman Transit Co. (Kinsman Transit I)</w:t>
      </w:r>
      <w:bookmarkEnd w:id="721"/>
      <w:r w:rsidR="008651F6" w:rsidRPr="0098365B">
        <w:t>,</w:t>
      </w:r>
      <w:bookmarkEnd w:id="722"/>
      <w:r w:rsidR="008651F6" w:rsidRPr="0098365B">
        <w:t xml:space="preserve"> </w:t>
      </w:r>
      <w:bookmarkStart w:id="723" w:name="_Toc364636202"/>
      <w:r w:rsidR="750671CE" w:rsidRPr="0098365B">
        <w:rPr>
          <w:rFonts w:ascii="Times New Roman" w:hAnsi="Times New Roman" w:cs="Times New Roman"/>
          <w:b/>
        </w:rPr>
        <w:t>338 F.2d 708 (2d Cir. 1964)</w:t>
      </w:r>
      <w:bookmarkEnd w:id="723"/>
    </w:p>
    <w:p w14:paraId="775D9A9F" w14:textId="77777777" w:rsidR="0019206E" w:rsidRPr="00FF3F96" w:rsidRDefault="0019206E" w:rsidP="0019206E">
      <w:pPr>
        <w:rPr>
          <w:rFonts w:ascii="Times New Roman" w:hAnsi="Times New Roman" w:cs="Times New Roman"/>
        </w:rPr>
      </w:pPr>
    </w:p>
    <w:p w14:paraId="5D01B5DA" w14:textId="77777777" w:rsidR="0019206E" w:rsidRPr="00757C2B" w:rsidRDefault="750671CE" w:rsidP="0098365B">
      <w:pPr>
        <w:rPr>
          <w:rFonts w:ascii="Times New Roman" w:eastAsia="Times New Roman" w:hAnsi="Times New Roman" w:cs="Times New Roman"/>
          <w:smallCaps/>
        </w:rPr>
      </w:pPr>
      <w:r w:rsidRPr="750671CE">
        <w:rPr>
          <w:rFonts w:ascii="Times New Roman" w:eastAsia="Times New Roman" w:hAnsi="Times New Roman" w:cs="Times New Roman"/>
          <w:smallCaps/>
        </w:rPr>
        <w:t>Friendly, J.</w:t>
      </w:r>
    </w:p>
    <w:p w14:paraId="25AA6236" w14:textId="77777777" w:rsidR="0019206E" w:rsidRPr="0052300D" w:rsidRDefault="0019206E" w:rsidP="0019206E">
      <w:pPr>
        <w:rPr>
          <w:rFonts w:ascii="Times New Roman" w:hAnsi="Times New Roman" w:cs="Times New Roman"/>
        </w:rPr>
      </w:pPr>
    </w:p>
    <w:p w14:paraId="14866851"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52300D" w:rsidRDefault="0019206E" w:rsidP="0019206E">
      <w:pPr>
        <w:rPr>
          <w:rFonts w:ascii="Times New Roman" w:hAnsi="Times New Roman" w:cs="Times New Roman"/>
        </w:rPr>
      </w:pPr>
    </w:p>
    <w:p w14:paraId="16B86E05"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52300D" w:rsidRDefault="0019206E" w:rsidP="0019206E">
      <w:pPr>
        <w:rPr>
          <w:rFonts w:ascii="Times New Roman" w:hAnsi="Times New Roman" w:cs="Times New Roman"/>
        </w:rPr>
      </w:pPr>
    </w:p>
    <w:p w14:paraId="00BDAC2A"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52300D" w:rsidRDefault="0019206E" w:rsidP="0019206E">
      <w:pPr>
        <w:rPr>
          <w:rFonts w:ascii="Times New Roman" w:hAnsi="Times New Roman" w:cs="Times New Roman"/>
        </w:rPr>
      </w:pPr>
    </w:p>
    <w:p w14:paraId="310AAE3C" w14:textId="2F4AEB09" w:rsidR="0019206E" w:rsidRPr="0052300D"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52300D" w:rsidRDefault="0019206E" w:rsidP="0019206E">
      <w:pPr>
        <w:ind w:firstLine="720"/>
        <w:rPr>
          <w:rFonts w:ascii="Times New Roman" w:hAnsi="Times New Roman" w:cs="Times New Roman"/>
          <w:b/>
        </w:rPr>
      </w:pPr>
    </w:p>
    <w:p w14:paraId="62886DF9" w14:textId="2EDE2517" w:rsidR="0019206E" w:rsidRPr="0052300D"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Careening stern first down the S-shaped river, the Shiras, at about 11 P.M., struck the bow of the Michael K. Tewksbury, owned by Midland Steamship Line, Inc. . . . The collision caused the Tewksbury</w:t>
      </w:r>
      <w:r w:rsidR="00B05F31">
        <w:rPr>
          <w:rFonts w:ascii="Times New Roman" w:eastAsia="Times New Roman" w:hAnsi="Times New Roman" w:cs="Times New Roman"/>
        </w:rPr>
        <w:t>’</w:t>
      </w:r>
      <w:r w:rsidRPr="750671CE">
        <w:rPr>
          <w:rFonts w:ascii="Times New Roman" w:eastAsia="Times New Roman" w:hAnsi="Times New Roman" w:cs="Times New Roman"/>
        </w:rPr>
        <w:t>s mooring lines to part; she too drifted stern first down the river, followed by the Shiras. The collision caused damage to the Steamer Drucken-miller which was moored opposite the Tewksbury.</w:t>
      </w:r>
    </w:p>
    <w:p w14:paraId="26EFC80F" w14:textId="77777777" w:rsidR="0019206E" w:rsidRPr="0052300D" w:rsidRDefault="0019206E" w:rsidP="0019206E">
      <w:pPr>
        <w:rPr>
          <w:rFonts w:ascii="Times New Roman" w:hAnsi="Times New Roman" w:cs="Times New Roman"/>
          <w:b/>
        </w:rPr>
      </w:pPr>
    </w:p>
    <w:p w14:paraId="57DAAB09" w14:textId="7DA74F6C"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rPr>
          <w:rFonts w:ascii="Times New Roman" w:eastAsia="Times New Roman" w:hAnsi="Times New Roman" w:cs="Times New Roman"/>
        </w:rPr>
        <w:t xml:space="preserve">[employed by the City of Buffalo] </w:t>
      </w:r>
      <w:r w:rsidRPr="750671CE">
        <w:rPr>
          <w:rFonts w:ascii="Times New Roman" w:eastAsia="Times New Roman" w:hAnsi="Times New Roman" w:cs="Times New Roman"/>
        </w:rPr>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52300D" w:rsidRDefault="0019206E" w:rsidP="0019206E">
      <w:pPr>
        <w:rPr>
          <w:rFonts w:ascii="Times New Roman" w:hAnsi="Times New Roman" w:cs="Times New Roman"/>
        </w:rPr>
      </w:pPr>
    </w:p>
    <w:p w14:paraId="09CF1874"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52300D" w:rsidRDefault="0019206E" w:rsidP="0019206E">
      <w:pPr>
        <w:rPr>
          <w:rFonts w:ascii="Times New Roman" w:hAnsi="Times New Roman" w:cs="Times New Roman"/>
        </w:rPr>
      </w:pPr>
    </w:p>
    <w:p w14:paraId="6B570585" w14:textId="7777777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w:t>
      </w:r>
    </w:p>
    <w:p w14:paraId="159B1AAD" w14:textId="169ED627"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rPr>
          <w:rFonts w:ascii="Times New Roman" w:eastAsia="Times New Roman" w:hAnsi="Times New Roman" w:cs="Times New Roman"/>
        </w:rPr>
        <w:t xml:space="preserve"> requiring that drawbridges be staffed at all times</w:t>
      </w:r>
      <w:r w:rsidRPr="750671CE">
        <w:rPr>
          <w:rFonts w:ascii="Times New Roman" w:eastAsia="Times New Roman" w:hAnsi="Times New Roman" w:cs="Times New Roman"/>
        </w:rPr>
        <w:t>; and (ii) that the last clear chance doctrine did not make the City the exclusive party bearing the liability.  He then turned to the case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difficult proximate cause issue: </w:t>
      </w:r>
      <w:r w:rsidR="00B05F31">
        <w:rPr>
          <w:rFonts w:ascii="Times New Roman" w:eastAsia="Times New Roman" w:hAnsi="Times New Roman" w:cs="Times New Roman"/>
        </w:rPr>
        <w:t>“</w:t>
      </w:r>
      <w:r w:rsidRPr="750671CE">
        <w:rPr>
          <w:rFonts w:ascii="Times New Roman" w:eastAsia="Times New Roman" w:hAnsi="Times New Roman" w:cs="Times New Roman"/>
        </w:rPr>
        <w:t>(iii) the effect of the allegedly unexpectable character of the events leading to much of the damage</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 xml:space="preserve">and here of the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case.</w:t>
      </w:r>
      <w:r w:rsidR="00B05F31">
        <w:rPr>
          <w:rFonts w:ascii="Times New Roman" w:eastAsia="Times New Roman" w:hAnsi="Times New Roman" w:cs="Times New Roman"/>
        </w:rPr>
        <w:t>”</w:t>
      </w:r>
      <w:r w:rsidRPr="750671CE">
        <w:rPr>
          <w:rFonts w:ascii="Times New Roman" w:eastAsia="Times New Roman" w:hAnsi="Times New Roman" w:cs="Times New Roman"/>
        </w:rPr>
        <w:t>]</w:t>
      </w:r>
    </w:p>
    <w:p w14:paraId="7A5B202F" w14:textId="77777777" w:rsidR="0019206E" w:rsidRPr="0052300D" w:rsidRDefault="0019206E" w:rsidP="0019206E">
      <w:pPr>
        <w:rPr>
          <w:rFonts w:ascii="Times New Roman" w:hAnsi="Times New Roman" w:cs="Times New Roman"/>
        </w:rPr>
      </w:pPr>
    </w:p>
    <w:p w14:paraId="14EE93E7" w14:textId="472EB96D" w:rsidR="0019206E" w:rsidRPr="0052300D"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 xml:space="preserve">The very statement of the case suggests the need for considering </w:t>
      </w:r>
      <w:r w:rsidRPr="750671CE">
        <w:rPr>
          <w:rFonts w:ascii="Times New Roman" w:eastAsia="Times New Roman" w:hAnsi="Times New Roman" w:cs="Times New Roman"/>
          <w:i/>
          <w:iCs/>
        </w:rPr>
        <w:t>Palsgraf v. Long Island R</w:t>
      </w:r>
      <w:r w:rsidR="005F2408">
        <w:rPr>
          <w:rFonts w:ascii="Times New Roman" w:eastAsia="Times New Roman" w:hAnsi="Times New Roman" w:cs="Times New Roman"/>
          <w:i/>
          <w:iCs/>
        </w:rPr>
        <w:t>.</w:t>
      </w:r>
      <w:r w:rsidRPr="750671CE">
        <w:rPr>
          <w:rFonts w:ascii="Times New Roman" w:eastAsia="Times New Roman" w:hAnsi="Times New Roman" w:cs="Times New Roman"/>
        </w:rPr>
        <w:t xml:space="preserve">, </w:t>
      </w:r>
      <w:r w:rsidR="008651F6">
        <w:rPr>
          <w:rFonts w:ascii="Times New Roman" w:eastAsia="Times New Roman" w:hAnsi="Times New Roman" w:cs="Times New Roman"/>
        </w:rPr>
        <w:t>162 N.E. 99</w:t>
      </w:r>
      <w:r w:rsidRPr="750671CE">
        <w:rPr>
          <w:rFonts w:ascii="Times New Roman" w:eastAsia="Times New Roman" w:hAnsi="Times New Roman" w:cs="Times New Roman"/>
        </w:rPr>
        <w:t xml:space="preserve"> (</w:t>
      </w:r>
      <w:r w:rsidR="008651F6">
        <w:rPr>
          <w:rFonts w:ascii="Times New Roman" w:eastAsia="Times New Roman" w:hAnsi="Times New Roman" w:cs="Times New Roman"/>
        </w:rPr>
        <w:t xml:space="preserve">N.Y. </w:t>
      </w:r>
      <w:r w:rsidRPr="750671CE">
        <w:rPr>
          <w:rFonts w:ascii="Times New Roman" w:eastAsia="Times New Roman" w:hAnsi="Times New Roman" w:cs="Times New Roman"/>
        </w:rPr>
        <w:t xml:space="preserve">1928), and the closely related problem of liability for unforeseeable consequences. </w:t>
      </w:r>
    </w:p>
    <w:p w14:paraId="40D7449B" w14:textId="03E6A60F"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w:t>
      </w:r>
      <w:r w:rsidR="00B05F31">
        <w:rPr>
          <w:rFonts w:ascii="Times New Roman" w:eastAsia="Times New Roman" w:hAnsi="Times New Roman" w:cs="Times New Roman"/>
        </w:rPr>
        <w:t>’</w:t>
      </w:r>
      <w:r w:rsidRPr="750671CE">
        <w:rPr>
          <w:rFonts w:ascii="Times New Roman" w:eastAsia="Times New Roman" w:hAnsi="Times New Roman" w:cs="Times New Roman"/>
        </w:rPr>
        <w:t>s opinion are these:</w:t>
      </w:r>
    </w:p>
    <w:p w14:paraId="1D6FB69E" w14:textId="77777777" w:rsidR="0019206E" w:rsidRPr="0052300D" w:rsidRDefault="0019206E" w:rsidP="0019206E">
      <w:pPr>
        <w:ind w:firstLine="720"/>
        <w:rPr>
          <w:rFonts w:ascii="Times New Roman" w:hAnsi="Times New Roman" w:cs="Times New Roman"/>
        </w:rPr>
      </w:pPr>
    </w:p>
    <w:p w14:paraId="61BD89BD" w14:textId="5BCE8325" w:rsidR="0019206E" w:rsidRPr="0052300D" w:rsidRDefault="750671CE" w:rsidP="00F94B7E">
      <w:pPr>
        <w:ind w:left="720" w:right="720"/>
        <w:jc w:val="both"/>
        <w:rPr>
          <w:rFonts w:ascii="Times New Roman" w:eastAsia="Times New Roman" w:hAnsi="Times New Roman" w:cs="Times New Roman"/>
        </w:rPr>
      </w:pPr>
      <w:r w:rsidRPr="750671CE">
        <w:rPr>
          <w:rFonts w:ascii="Times New Roman" w:eastAsia="Times New Roman" w:hAnsi="Times New Roman" w:cs="Times New Roman"/>
        </w:rPr>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Pr>
          <w:rFonts w:ascii="Times New Roman" w:eastAsia="Times New Roman" w:hAnsi="Times New Roman" w:cs="Times New Roman"/>
        </w:rPr>
        <w:t>’</w:t>
      </w:r>
      <w:r w:rsidRPr="750671CE">
        <w:rPr>
          <w:rFonts w:ascii="Times New Roman" w:eastAsia="Times New Roman" w:hAnsi="Times New Roman" w:cs="Times New Roman"/>
        </w:rPr>
        <w:t>s safety, so far as appearances could warn him. Liability can be no greater where the act is inadvertent.</w:t>
      </w:r>
    </w:p>
    <w:p w14:paraId="3F59F64C" w14:textId="77777777" w:rsidR="0019206E" w:rsidRPr="0052300D" w:rsidRDefault="0019206E" w:rsidP="0019206E">
      <w:pPr>
        <w:rPr>
          <w:rFonts w:ascii="Times New Roman" w:hAnsi="Times New Roman" w:cs="Times New Roman"/>
        </w:rPr>
      </w:pPr>
    </w:p>
    <w:p w14:paraId="794A84E4" w14:textId="77777777" w:rsidR="0019206E" w:rsidRPr="0052300D" w:rsidRDefault="750671CE" w:rsidP="750671CE">
      <w:pPr>
        <w:rPr>
          <w:rFonts w:ascii="Times New Roman" w:eastAsia="Times New Roman" w:hAnsi="Times New Roman" w:cs="Times New Roman"/>
        </w:rPr>
      </w:pPr>
      <w:r w:rsidRPr="750671CE">
        <w:rPr>
          <w:rFonts w:ascii="Times New Roman" w:eastAsia="Times New Roman" w:hAnsi="Times New Roman" w:cs="Times New Roman"/>
        </w:rPr>
        <w:t>162 N.E. at 101.</w:t>
      </w:r>
    </w:p>
    <w:p w14:paraId="3AD92360" w14:textId="77777777" w:rsidR="0019206E" w:rsidRPr="0052300D" w:rsidRDefault="0019206E" w:rsidP="0019206E">
      <w:pPr>
        <w:rPr>
          <w:rFonts w:ascii="Times New Roman" w:hAnsi="Times New Roman" w:cs="Times New Roman"/>
        </w:rPr>
      </w:pPr>
    </w:p>
    <w:p w14:paraId="372F0027" w14:textId="76DC7A9D"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We see little similarity between the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case and the situation before us. The point of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rPr>
          <w:rFonts w:ascii="Times New Roman" w:eastAsia="Times New Roman" w:hAnsi="Times New Roman" w:cs="Times New Roman"/>
        </w:rPr>
        <w:t>“</w:t>
      </w:r>
      <w:r w:rsidRPr="750671CE">
        <w:rPr>
          <w:rFonts w:ascii="Times New Roman" w:eastAsia="Times New Roman" w:hAnsi="Times New Roman" w:cs="Times New Roman"/>
        </w:rPr>
        <w:t>knowingly and willfully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failed to secure his ship at a pier on such a river </w:t>
      </w:r>
      <w:r w:rsidR="00B05F31">
        <w:rPr>
          <w:rFonts w:ascii="Times New Roman" w:eastAsia="Times New Roman" w:hAnsi="Times New Roman" w:cs="Times New Roman"/>
        </w:rPr>
        <w:t>“</w:t>
      </w:r>
      <w:r w:rsidRPr="750671CE">
        <w:rPr>
          <w:rFonts w:ascii="Times New Roman" w:eastAsia="Times New Roman" w:hAnsi="Times New Roman" w:cs="Times New Roman"/>
        </w:rPr>
        <w:t>would not have threatened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persons and owners of property downstream in some manner. The shipowner and the wharfinger in this case having thus owed a duty of care to all within the reach of the ship</w:t>
      </w:r>
      <w:r w:rsidR="00B05F31">
        <w:rPr>
          <w:rFonts w:ascii="Times New Roman" w:eastAsia="Times New Roman" w:hAnsi="Times New Roman" w:cs="Times New Roman"/>
        </w:rPr>
        <w:t>’</w:t>
      </w:r>
      <w:r w:rsidRPr="750671CE">
        <w:rPr>
          <w:rFonts w:ascii="Times New Roman" w:eastAsia="Times New Roman" w:hAnsi="Times New Roman" w:cs="Times New Roman"/>
        </w:rPr>
        <w:t>s known destructive power, the impossibility of advance identification of the particular person who would be hurt is without legal consequence. . . . Similarly the foreseeable consequences of the City</w:t>
      </w:r>
      <w:r w:rsidR="00B05F31">
        <w:rPr>
          <w:rFonts w:ascii="Times New Roman" w:eastAsia="Times New Roman" w:hAnsi="Times New Roman" w:cs="Times New Roman"/>
        </w:rPr>
        <w:t>’</w:t>
      </w:r>
      <w:r w:rsidRPr="750671CE">
        <w:rPr>
          <w:rFonts w:ascii="Times New Roman" w:eastAsia="Times New Roman" w:hAnsi="Times New Roman" w:cs="Times New Roman"/>
        </w:rPr>
        <w:t>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 As to the City also, it is useful to consider, by way of contrast, Chief Judge Cardozo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rPr>
          <w:rFonts w:ascii="Times New Roman" w:eastAsia="Times New Roman" w:hAnsi="Times New Roman" w:cs="Times New Roman"/>
        </w:rPr>
        <w:t>“</w:t>
      </w:r>
      <w:r w:rsidRPr="750671CE">
        <w:rPr>
          <w:rFonts w:ascii="Times New Roman" w:eastAsia="Times New Roman" w:hAnsi="Times New Roman" w:cs="Times New Roman"/>
        </w:rPr>
        <w:t>owed no duty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to those who later suffered from the flooding. Unlike Mrs. Palsgraf, they were within the area of hazard.</w:t>
      </w:r>
    </w:p>
    <w:p w14:paraId="2125AFB0" w14:textId="77777777" w:rsidR="0019206E" w:rsidRPr="0052300D" w:rsidRDefault="0019206E" w:rsidP="0019206E">
      <w:pPr>
        <w:ind w:firstLine="720"/>
        <w:rPr>
          <w:rFonts w:ascii="Times New Roman" w:hAnsi="Times New Roman" w:cs="Times New Roman"/>
        </w:rPr>
      </w:pPr>
    </w:p>
    <w:p w14:paraId="3DD1AC68" w14:textId="5CF182C5"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Since all the claimants here met the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requirement of being persons to whom the actors owed a </w:t>
      </w:r>
      <w:r w:rsidR="00B05F31">
        <w:rPr>
          <w:rFonts w:ascii="Times New Roman" w:eastAsia="Times New Roman" w:hAnsi="Times New Roman" w:cs="Times New Roman"/>
        </w:rPr>
        <w:t>“</w:t>
      </w:r>
      <w:r w:rsidRPr="750671CE">
        <w:rPr>
          <w:rFonts w:ascii="Times New Roman" w:eastAsia="Times New Roman" w:hAnsi="Times New Roman" w:cs="Times New Roman"/>
        </w:rPr>
        <w:t>duty of care,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Pr>
          <w:rFonts w:ascii="Times New Roman" w:eastAsia="Times New Roman" w:hAnsi="Times New Roman" w:cs="Times New Roman"/>
        </w:rPr>
        <w:t>—</w:t>
      </w:r>
      <w:r w:rsidRPr="750671CE">
        <w:rPr>
          <w:rFonts w:ascii="Times New Roman" w:eastAsia="Times New Roman" w:hAnsi="Times New Roman" w:cs="Times New Roman"/>
        </w:rPr>
        <w:t xml:space="preserve">whether the argument is put in the forthright form that unforeseeable damages are not recoverable or is concealed under a formula of lack of </w:t>
      </w:r>
      <w:r w:rsidR="00B05F31">
        <w:rPr>
          <w:rFonts w:ascii="Times New Roman" w:eastAsia="Times New Roman" w:hAnsi="Times New Roman" w:cs="Times New Roman"/>
        </w:rPr>
        <w:t>“</w:t>
      </w:r>
      <w:r w:rsidRPr="750671CE">
        <w:rPr>
          <w:rFonts w:ascii="Times New Roman" w:eastAsia="Times New Roman" w:hAnsi="Times New Roman" w:cs="Times New Roman"/>
        </w:rPr>
        <w:t>proximate cause.</w:t>
      </w:r>
      <w:r w:rsidR="00B05F31">
        <w:rPr>
          <w:rFonts w:ascii="Times New Roman" w:eastAsia="Times New Roman" w:hAnsi="Times New Roman" w:cs="Times New Roman"/>
        </w:rPr>
        <w:t>”</w:t>
      </w:r>
    </w:p>
    <w:p w14:paraId="2FCFF7D6" w14:textId="77777777" w:rsidR="0019206E" w:rsidRPr="0052300D" w:rsidRDefault="0019206E" w:rsidP="0019206E">
      <w:pPr>
        <w:ind w:firstLine="720"/>
        <w:rPr>
          <w:rFonts w:ascii="Times New Roman" w:hAnsi="Times New Roman" w:cs="Times New Roman"/>
        </w:rPr>
      </w:pPr>
    </w:p>
    <w:p w14:paraId="58638F5A" w14:textId="64308668" w:rsidR="0019206E" w:rsidRPr="0052300D" w:rsidRDefault="750671CE" w:rsidP="750671CE">
      <w:pPr>
        <w:ind w:firstLine="720"/>
        <w:rPr>
          <w:rFonts w:ascii="Times New Roman" w:eastAsia="Times New Roman" w:hAnsi="Times New Roman" w:cs="Times New Roman"/>
          <w:b/>
          <w:bCs/>
        </w:rPr>
      </w:pPr>
      <w:r w:rsidRPr="750671CE">
        <w:rPr>
          <w:rFonts w:ascii="Times New Roman" w:eastAsia="Times New Roman" w:hAnsi="Times New Roman" w:cs="Times New Roman"/>
        </w:rPr>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rPr>
          <w:rFonts w:ascii="Times New Roman" w:eastAsia="Times New Roman" w:hAnsi="Times New Roman" w:cs="Times New Roman"/>
        </w:rPr>
        <w:t>’</w:t>
      </w:r>
      <w:r w:rsidRPr="750671CE">
        <w:rPr>
          <w:rFonts w:ascii="Times New Roman" w:eastAsia="Times New Roman" w:hAnsi="Times New Roman" w:cs="Times New Roman"/>
        </w:rPr>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Pr>
          <w:rFonts w:ascii="Times New Roman" w:eastAsia="Times New Roman" w:hAnsi="Times New Roman" w:cs="Times New Roman"/>
        </w:rPr>
        <w:t>’</w:t>
      </w:r>
      <w:r w:rsidRPr="750671CE">
        <w:rPr>
          <w:rFonts w:ascii="Times New Roman" w:eastAsia="Times New Roman" w:hAnsi="Times New Roman" w:cs="Times New Roman"/>
        </w:rPr>
        <w:t>s bow. At this point the channel . . . was further narrowed by the presence of the Druckenmiller moored on the opposite bank. Had the Tewksbury</w:t>
      </w:r>
      <w:r w:rsidR="00B05F31">
        <w:rPr>
          <w:rFonts w:ascii="Times New Roman" w:eastAsia="Times New Roman" w:hAnsi="Times New Roman" w:cs="Times New Roman"/>
        </w:rPr>
        <w:t>’</w:t>
      </w:r>
      <w:r w:rsidRPr="750671CE">
        <w:rPr>
          <w:rFonts w:ascii="Times New Roman" w:eastAsia="Times New Roman" w:hAnsi="Times New Roman" w:cs="Times New Roman"/>
        </w:rPr>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52300D" w:rsidRDefault="0019206E" w:rsidP="0019206E">
      <w:pPr>
        <w:ind w:firstLine="720"/>
        <w:rPr>
          <w:rFonts w:ascii="Times New Roman" w:hAnsi="Times New Roman" w:cs="Times New Roman"/>
          <w:b/>
        </w:rPr>
      </w:pPr>
    </w:p>
    <w:p w14:paraId="76F51EC1" w14:textId="42ED6A5B"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Continental</w:t>
      </w:r>
      <w:r w:rsidR="00B05F31">
        <w:rPr>
          <w:rFonts w:ascii="Times New Roman" w:eastAsia="Times New Roman" w:hAnsi="Times New Roman" w:cs="Times New Roman"/>
        </w:rPr>
        <w:t>’</w:t>
      </w:r>
      <w:r w:rsidRPr="750671CE">
        <w:rPr>
          <w:rFonts w:ascii="Times New Roman" w:eastAsia="Times New Roman" w:hAnsi="Times New Roman" w:cs="Times New Roman"/>
        </w:rPr>
        <w:t>s position on the facts is stronger. It was indeed foreseeable that the improper construction and lack of inspection of the [mooring] might cause a ship to break loose and damage persons and property on or near the river</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that was what made Continental</w:t>
      </w:r>
      <w:r w:rsidR="00B05F31">
        <w:rPr>
          <w:rFonts w:ascii="Times New Roman" w:eastAsia="Times New Roman" w:hAnsi="Times New Roman" w:cs="Times New Roman"/>
        </w:rPr>
        <w:t>’</w:t>
      </w:r>
      <w:r w:rsidRPr="750671CE">
        <w:rPr>
          <w:rFonts w:ascii="Times New Roman" w:eastAsia="Times New Roman" w:hAnsi="Times New Roman" w:cs="Times New Roman"/>
        </w:rPr>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rPr>
          <w:rFonts w:ascii="Times New Roman" w:eastAsia="Times New Roman" w:hAnsi="Times New Roman" w:cs="Times New Roman"/>
        </w:rPr>
        <w:t xml:space="preserve"> </w:t>
      </w:r>
      <w:r w:rsidRPr="750671CE">
        <w:rPr>
          <w:rFonts w:ascii="Times New Roman" w:eastAsia="Times New Roman" w:hAnsi="Times New Roman" w:cs="Times New Roman"/>
        </w:rPr>
        <w:t>by</w:t>
      </w:r>
      <w:r w:rsidR="004B4ADE">
        <w:rPr>
          <w:rFonts w:ascii="Times New Roman" w:eastAsia="Times New Roman" w:hAnsi="Times New Roman" w:cs="Times New Roman"/>
        </w:rPr>
        <w:t xml:space="preserve"> </w:t>
      </w:r>
      <w:r w:rsidRPr="750671CE">
        <w:rPr>
          <w:rFonts w:ascii="Times New Roman" w:eastAsia="Times New Roman" w:hAnsi="Times New Roman" w:cs="Times New Roman"/>
        </w:rPr>
        <w:t xml:space="preserve">step analysis would render </w:t>
      </w:r>
      <w:r w:rsidR="00B05F31">
        <w:rPr>
          <w:rFonts w:ascii="Times New Roman" w:eastAsia="Times New Roman" w:hAnsi="Times New Roman" w:cs="Times New Roman"/>
        </w:rPr>
        <w:t>‘</w:t>
      </w:r>
      <w:r w:rsidRPr="750671CE">
        <w:rPr>
          <w:rFonts w:ascii="Times New Roman" w:eastAsia="Times New Roman" w:hAnsi="Times New Roman" w:cs="Times New Roman"/>
        </w:rPr>
        <w:t>foreseeable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52300D" w:rsidRDefault="0019206E" w:rsidP="0019206E">
      <w:pPr>
        <w:ind w:firstLine="720"/>
        <w:rPr>
          <w:rFonts w:ascii="Times New Roman" w:hAnsi="Times New Roman" w:cs="Times New Roman"/>
        </w:rPr>
      </w:pPr>
    </w:p>
    <w:p w14:paraId="701354E6" w14:textId="2915FF93"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effect of unforeseeability of damage upon liability for negligence has recently been considered by the Judicial Committee of the Privy Council, </w:t>
      </w:r>
      <w:r w:rsidRPr="750671CE">
        <w:rPr>
          <w:rFonts w:ascii="Times New Roman" w:eastAsia="Times New Roman" w:hAnsi="Times New Roman" w:cs="Times New Roman"/>
          <w:i/>
          <w:iCs/>
        </w:rPr>
        <w:t>Overseas Tankship (U.K.) Ltd. v. Morts Dock &amp; Engineering Co. (The Wagon Mound)</w:t>
      </w:r>
      <w:r w:rsidRPr="750671CE">
        <w:rPr>
          <w:rFonts w:ascii="Times New Roman" w:eastAsia="Times New Roman" w:hAnsi="Times New Roman" w:cs="Times New Roman"/>
        </w:rPr>
        <w:t xml:space="preserve">, (1961) 1 All E.R. 404. The Committee there disapproved the proposition, thought to be supported by </w:t>
      </w:r>
      <w:r w:rsidRPr="750671CE">
        <w:rPr>
          <w:rFonts w:ascii="Times New Roman" w:eastAsia="Times New Roman" w:hAnsi="Times New Roman" w:cs="Times New Roman"/>
          <w:i/>
          <w:iCs/>
        </w:rPr>
        <w:t>In Re Polemis and Furness, Withy &amp; Co. Ltd</w:t>
      </w:r>
      <w:r w:rsidRPr="750671CE">
        <w:rPr>
          <w:rFonts w:ascii="Times New Roman" w:eastAsia="Times New Roman" w:hAnsi="Times New Roman" w:cs="Times New Roman"/>
        </w:rPr>
        <w:t xml:space="preserve">., (1921) 3 K.B. 560 (C.A.),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that unforeseeability is irrelevant if damage is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We have no difficulty with the result of </w:t>
      </w:r>
      <w:r w:rsidRPr="750671CE">
        <w:rPr>
          <w:rFonts w:ascii="Times New Roman" w:eastAsia="Times New Roman" w:hAnsi="Times New Roman" w:cs="Times New Roman"/>
          <w:i/>
          <w:iCs/>
        </w:rPr>
        <w:t>The Wagon Mound</w:t>
      </w:r>
      <w:r w:rsidRPr="750671CE">
        <w:rPr>
          <w:rFonts w:ascii="Times New Roman" w:eastAsia="Times New Roman" w:hAnsi="Times New Roman" w:cs="Times New Roman"/>
        </w:rPr>
        <w:t xml:space="preserve">, in view of the finding, 1 All E.R. at 407, that the appellant had no reason to believe that the floating furnace oil would burn, see also the extended discussion in </w:t>
      </w:r>
      <w:r w:rsidRPr="750671CE">
        <w:rPr>
          <w:rFonts w:ascii="Times New Roman" w:eastAsia="Times New Roman" w:hAnsi="Times New Roman" w:cs="Times New Roman"/>
          <w:i/>
          <w:iCs/>
        </w:rPr>
        <w:t>Miller S.S. Co. v. Overseas Tankship (U.K.) Ltd., The Wagon Mound No. 2</w:t>
      </w:r>
      <w:r w:rsidRPr="750671CE">
        <w:rPr>
          <w:rFonts w:ascii="Times New Roman" w:eastAsia="Times New Roman" w:hAnsi="Times New Roman" w:cs="Times New Roman"/>
        </w:rPr>
        <w:t>, (1963) 1 Lloyd</w:t>
      </w:r>
      <w:r w:rsidR="00B05F31">
        <w:rPr>
          <w:rFonts w:ascii="Times New Roman" w:eastAsia="Times New Roman" w:hAnsi="Times New Roman" w:cs="Times New Roman"/>
        </w:rPr>
        <w:t>’</w:t>
      </w:r>
      <w:r w:rsidRPr="750671CE">
        <w:rPr>
          <w:rFonts w:ascii="Times New Roman" w:eastAsia="Times New Roman" w:hAnsi="Times New Roman" w:cs="Times New Roman"/>
        </w:rPr>
        <w:t>s Law List Rep. 402 (Sup.</w:t>
      </w:r>
      <w:r w:rsidR="008651F6">
        <w:rPr>
          <w:rFonts w:ascii="Times New Roman" w:eastAsia="Times New Roman" w:hAnsi="Times New Roman" w:cs="Times New Roman"/>
        </w:rPr>
        <w:t xml:space="preserve"> </w:t>
      </w:r>
      <w:r w:rsidRPr="750671CE">
        <w:rPr>
          <w:rFonts w:ascii="Times New Roman" w:eastAsia="Times New Roman" w:hAnsi="Times New Roman" w:cs="Times New Roman"/>
        </w:rPr>
        <w:t>Ct.</w:t>
      </w:r>
      <w:r w:rsidR="008651F6">
        <w:rPr>
          <w:rFonts w:ascii="Times New Roman" w:eastAsia="Times New Roman" w:hAnsi="Times New Roman" w:cs="Times New Roman"/>
        </w:rPr>
        <w:t xml:space="preserve"> </w:t>
      </w:r>
      <w:r w:rsidRPr="750671CE">
        <w:rPr>
          <w:rFonts w:ascii="Times New Roman" w:eastAsia="Times New Roman" w:hAnsi="Times New Roman" w:cs="Times New Roman"/>
        </w:rPr>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rPr>
          <w:rFonts w:ascii="Times New Roman" w:eastAsia="Times New Roman" w:hAnsi="Times New Roman" w:cs="Times New Roman"/>
        </w:rPr>
        <w:t>—</w:t>
      </w:r>
      <w:r w:rsidRPr="750671CE">
        <w:rPr>
          <w:rFonts w:ascii="Times New Roman" w:eastAsia="Times New Roman" w:hAnsi="Times New Roman" w:cs="Times New Roman"/>
        </w:rPr>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 xml:space="preserve"> </w:t>
      </w:r>
      <w:r w:rsidRPr="0052300D">
        <w:rPr>
          <w:rFonts w:ascii="Times New Roman" w:hAnsi="Times New Roman" w:cs="Times New Roman"/>
        </w:rPr>
        <w:tab/>
      </w:r>
    </w:p>
    <w:p w14:paraId="72C26728" w14:textId="28F51EAA"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weight of authority in this country rejects the limitation of damages to consequences foreseeable at the time of the negligent conduct when the consequences are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750671CE">
        <w:rPr>
          <w:rFonts w:ascii="Times New Roman" w:eastAsia="Times New Roman" w:hAnsi="Times New Roman" w:cs="Times New Roman"/>
          <w:i/>
          <w:iCs/>
        </w:rPr>
        <w:t>The Wagon Mound</w:t>
      </w:r>
      <w:r w:rsidRPr="750671CE">
        <w:rPr>
          <w:rFonts w:ascii="Times New Roman" w:eastAsia="Times New Roman" w:hAnsi="Times New Roman" w:cs="Times New Roman"/>
        </w:rPr>
        <w:t xml:space="preserve"> as we have indicated.</w:t>
      </w:r>
    </w:p>
    <w:p w14:paraId="26FC53C8" w14:textId="77777777" w:rsidR="0019206E" w:rsidRPr="0052300D" w:rsidRDefault="0019206E" w:rsidP="0019206E">
      <w:pPr>
        <w:ind w:firstLine="720"/>
        <w:rPr>
          <w:rFonts w:ascii="Times New Roman" w:hAnsi="Times New Roman" w:cs="Times New Roman"/>
        </w:rPr>
      </w:pPr>
    </w:p>
    <w:p w14:paraId="3926E903" w14:textId="174C8E19"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rPr>
          <w:rFonts w:ascii="Times New Roman" w:eastAsia="Times New Roman" w:hAnsi="Times New Roman" w:cs="Times New Roman"/>
          <w:lang w:eastAsia="en-US"/>
        </w:rPr>
        <w:t>—</w:t>
      </w:r>
      <w:r w:rsidRPr="750671CE">
        <w:rPr>
          <w:rFonts w:ascii="Times New Roman" w:eastAsia="Times New Roman" w:hAnsi="Times New Roman" w:cs="Times New Roman"/>
        </w:rPr>
        <w:t>that what is claimed to be consequence is only fortuity. Thus, if the destruction of the Michigan Avenue Bridge had delayed the arrival of a doctor, with consequent loss of a patient</w:t>
      </w:r>
      <w:r w:rsidR="00B05F31">
        <w:rPr>
          <w:rFonts w:ascii="Times New Roman" w:eastAsia="Times New Roman" w:hAnsi="Times New Roman" w:cs="Times New Roman"/>
        </w:rPr>
        <w:t>’</w:t>
      </w:r>
      <w:r w:rsidRPr="750671CE">
        <w:rPr>
          <w:rFonts w:ascii="Times New Roman" w:eastAsia="Times New Roman" w:hAnsi="Times New Roman" w:cs="Times New Roman"/>
        </w:rPr>
        <w:t>s life, few judges would impose liability on any of the parties here, although the agreement in result might not be paralleled by similar unanimity in reasoning; perhaps in the long run one returns to Judge Andrews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statement in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162 N.E. at 104 (dissenting opinion).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It is all a question of expediency, </w:t>
      </w:r>
      <w:r w:rsidR="008651F6">
        <w:rPr>
          <w:rFonts w:ascii="Times New Roman" w:eastAsia="Times New Roman" w:hAnsi="Times New Roman" w:cs="Times New Roman"/>
        </w:rPr>
        <w:t>. . .</w:t>
      </w:r>
      <w:r w:rsidRPr="750671CE">
        <w:rPr>
          <w:rFonts w:ascii="Times New Roman" w:eastAsia="Times New Roman" w:hAnsi="Times New Roman" w:cs="Times New Roman"/>
        </w:rPr>
        <w:t xml:space="preserve"> of fair judgment, always keeping in mind the fact that we endeavor to make a rule in each case that will be practical and in keeping with the general understanding of mankind.</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It would be pleasant if greater certainty were possible, see </w:t>
      </w:r>
      <w:r w:rsidRPr="00F94B7E">
        <w:rPr>
          <w:rFonts w:ascii="Times New Roman" w:eastAsia="Times New Roman" w:hAnsi="Times New Roman" w:cs="Times New Roman"/>
          <w:smallCaps/>
        </w:rPr>
        <w:t>Prosser, Torts</w:t>
      </w:r>
      <w:r w:rsidRPr="750671CE">
        <w:rPr>
          <w:rFonts w:ascii="Times New Roman" w:eastAsia="Times New Roman" w:hAnsi="Times New Roman" w:cs="Times New Roman"/>
        </w:rPr>
        <w:t xml:space="preserve"> 262, but the many efforts that have been made at defining the locus of the </w:t>
      </w:r>
      <w:r w:rsidR="00B05F31">
        <w:rPr>
          <w:rFonts w:ascii="Times New Roman" w:eastAsia="Times New Roman" w:hAnsi="Times New Roman" w:cs="Times New Roman"/>
        </w:rPr>
        <w:t>“</w:t>
      </w:r>
      <w:r w:rsidR="008651F6">
        <w:rPr>
          <w:rFonts w:ascii="Times New Roman" w:eastAsia="Times New Roman" w:hAnsi="Times New Roman" w:cs="Times New Roman"/>
        </w:rPr>
        <w:t>[u]</w:t>
      </w:r>
      <w:r w:rsidRPr="750671CE">
        <w:rPr>
          <w:rFonts w:ascii="Times New Roman" w:eastAsia="Times New Roman" w:hAnsi="Times New Roman" w:cs="Times New Roman"/>
        </w:rPr>
        <w:t>ncertain and wavering line,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negligent failure to raise the Michigan Avenue Bridge should be ratably borne by Buffalo</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52300D" w:rsidRDefault="0019206E" w:rsidP="0019206E">
      <w:pPr>
        <w:rPr>
          <w:rFonts w:ascii="Times New Roman" w:hAnsi="Times New Roman" w:cs="Times New Roman"/>
          <w:b/>
        </w:rPr>
      </w:pPr>
    </w:p>
    <w:p w14:paraId="57DF34A4" w14:textId="555B7873" w:rsidR="0019206E" w:rsidRPr="0052300D" w:rsidRDefault="750671CE" w:rsidP="005232A5">
      <w:pPr>
        <w:rPr>
          <w:rFonts w:ascii="Times New Roman" w:eastAsia="Times New Roman" w:hAnsi="Times New Roman" w:cs="Times New Roman"/>
        </w:rPr>
      </w:pPr>
      <w:r w:rsidRPr="750671CE">
        <w:rPr>
          <w:rFonts w:ascii="Times New Roman" w:eastAsia="Times New Roman" w:hAnsi="Times New Roman" w:cs="Times New Roman"/>
          <w:smallCaps/>
        </w:rPr>
        <w:t>Moore</w:t>
      </w:r>
      <w:r w:rsidRPr="750671CE">
        <w:rPr>
          <w:rFonts w:ascii="Times New Roman" w:eastAsia="Times New Roman" w:hAnsi="Times New Roman" w:cs="Times New Roman"/>
        </w:rPr>
        <w:t>, J</w:t>
      </w:r>
      <w:r w:rsidR="008651F6">
        <w:rPr>
          <w:rFonts w:ascii="Times New Roman" w:eastAsia="Times New Roman" w:hAnsi="Times New Roman" w:cs="Times New Roman"/>
        </w:rPr>
        <w:t xml:space="preserve">., </w:t>
      </w:r>
      <w:r w:rsidRPr="750671CE">
        <w:rPr>
          <w:rFonts w:ascii="Times New Roman" w:eastAsia="Times New Roman" w:hAnsi="Times New Roman" w:cs="Times New Roman"/>
        </w:rPr>
        <w:t>concurring and dissenting</w:t>
      </w:r>
      <w:r w:rsidR="008651F6">
        <w:rPr>
          <w:rFonts w:ascii="Times New Roman" w:eastAsia="Times New Roman" w:hAnsi="Times New Roman" w:cs="Times New Roman"/>
        </w:rPr>
        <w:t>.</w:t>
      </w:r>
    </w:p>
    <w:p w14:paraId="28F36679" w14:textId="77777777" w:rsidR="0019206E" w:rsidRPr="0052300D" w:rsidRDefault="0019206E" w:rsidP="0019206E">
      <w:pPr>
        <w:rPr>
          <w:rFonts w:ascii="Times New Roman" w:hAnsi="Times New Roman" w:cs="Times New Roman"/>
        </w:rPr>
      </w:pPr>
    </w:p>
    <w:p w14:paraId="1CAF0334" w14:textId="23C7266D"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I do not hesitate to concur with Judge Friendly</w:t>
      </w:r>
      <w:r w:rsidR="00B05F31">
        <w:rPr>
          <w:rFonts w:ascii="Times New Roman" w:eastAsia="Times New Roman" w:hAnsi="Times New Roman" w:cs="Times New Roman"/>
        </w:rPr>
        <w:t>’</w:t>
      </w:r>
      <w:r w:rsidRPr="750671CE">
        <w:rPr>
          <w:rFonts w:ascii="Times New Roman" w:eastAsia="Times New Roman" w:hAnsi="Times New Roman" w:cs="Times New Roman"/>
        </w:rPr>
        <w:t>s well-reasoned and well-expressed opinion as to limitation of Kinsman</w:t>
      </w:r>
      <w:r w:rsidR="00B05F31">
        <w:rPr>
          <w:rFonts w:ascii="Times New Roman" w:eastAsia="Times New Roman" w:hAnsi="Times New Roman" w:cs="Times New Roman"/>
        </w:rPr>
        <w:t>’</w:t>
      </w:r>
      <w:r w:rsidRPr="750671CE">
        <w:rPr>
          <w:rFonts w:ascii="Times New Roman" w:eastAsia="Times New Roman" w:hAnsi="Times New Roman" w:cs="Times New Roman"/>
        </w:rPr>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52300D" w:rsidRDefault="0019206E" w:rsidP="0019206E">
      <w:pPr>
        <w:rPr>
          <w:rFonts w:ascii="Times New Roman" w:hAnsi="Times New Roman" w:cs="Times New Roman"/>
        </w:rPr>
      </w:pPr>
    </w:p>
    <w:p w14:paraId="787E73AA" w14:textId="2DA38EF6"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I cannot agree, however, merely because </w:t>
      </w:r>
      <w:r w:rsidR="00B05F31">
        <w:rPr>
          <w:rFonts w:ascii="Times New Roman" w:eastAsia="Times New Roman" w:hAnsi="Times New Roman" w:cs="Times New Roman"/>
        </w:rPr>
        <w:t>“</w:t>
      </w:r>
      <w:r w:rsidRPr="750671CE">
        <w:rPr>
          <w:rFonts w:ascii="Times New Roman" w:eastAsia="Times New Roman" w:hAnsi="Times New Roman" w:cs="Times New Roman"/>
        </w:rPr>
        <w:t>society has come to rely increasingly on insurance and other methods of loss-sharing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that the courts should, or have the power to, create a vast judicial insurance company which will adequately compensate all who have suffered damages. Equally disturbing is the suggestion that </w:t>
      </w:r>
      <w:r w:rsidR="00B05F31">
        <w:rPr>
          <w:rFonts w:ascii="Times New Roman" w:eastAsia="Times New Roman" w:hAnsi="Times New Roman" w:cs="Times New Roman"/>
        </w:rPr>
        <w:t>“</w:t>
      </w:r>
      <w:r w:rsidRPr="750671CE">
        <w:rPr>
          <w:rFonts w:ascii="Times New Roman" w:eastAsia="Times New Roman" w:hAnsi="Times New Roman" w:cs="Times New Roman"/>
        </w:rPr>
        <w:t>Here it is surely more equitable that the losses from the operators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negligent failure to raise the Michigan Avenue Bridge should be ratably borne by Buffalo</w:t>
      </w:r>
      <w:r w:rsidR="00B05F31">
        <w:rPr>
          <w:rFonts w:ascii="Times New Roman" w:eastAsia="Times New Roman" w:hAnsi="Times New Roman" w:cs="Times New Roman"/>
        </w:rPr>
        <w:t>’</w:t>
      </w:r>
      <w:r w:rsidRPr="750671CE">
        <w:rPr>
          <w:rFonts w:ascii="Times New Roman" w:eastAsia="Times New Roman" w:hAnsi="Times New Roman" w:cs="Times New Roman"/>
        </w:rPr>
        <w:t>s taxpayers than left with the innocent victims of the flooding.</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 . .</w:t>
      </w:r>
    </w:p>
    <w:p w14:paraId="26283ABF" w14:textId="77777777" w:rsidR="0019206E" w:rsidRPr="0052300D" w:rsidRDefault="0019206E" w:rsidP="0019206E">
      <w:pPr>
        <w:ind w:firstLine="720"/>
        <w:rPr>
          <w:rFonts w:ascii="Times New Roman" w:hAnsi="Times New Roman" w:cs="Times New Roman"/>
        </w:rPr>
      </w:pPr>
    </w:p>
    <w:p w14:paraId="7062654F" w14:textId="55B7AF2D"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rPr>
          <w:rFonts w:ascii="Times New Roman" w:eastAsia="Times New Roman" w:hAnsi="Times New Roman" w:cs="Times New Roman"/>
        </w:rPr>
        <w:t>“</w:t>
      </w:r>
      <w:r w:rsidRPr="750671CE">
        <w:rPr>
          <w:rFonts w:ascii="Times New Roman" w:eastAsia="Times New Roman" w:hAnsi="Times New Roman" w:cs="Times New Roman"/>
        </w:rPr>
        <w:t>of flooding would not have been unforeseeable under the circumstances to anyone who gave them thought.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But believing that </w:t>
      </w:r>
      <w:r w:rsidR="00B05F31">
        <w:rPr>
          <w:rFonts w:ascii="Times New Roman" w:eastAsia="Times New Roman" w:hAnsi="Times New Roman" w:cs="Times New Roman"/>
        </w:rPr>
        <w:t>“</w:t>
      </w:r>
      <w:r w:rsidRPr="750671CE">
        <w:rPr>
          <w:rFonts w:ascii="Times New Roman" w:eastAsia="Times New Roman" w:hAnsi="Times New Roman" w:cs="Times New Roman"/>
        </w:rPr>
        <w:t>anyone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might be too broad, they resort to that most famous of all legal mythological characters, the reasonably </w:t>
      </w:r>
      <w:r w:rsidR="00B05F31">
        <w:rPr>
          <w:rFonts w:ascii="Times New Roman" w:eastAsia="Times New Roman" w:hAnsi="Times New Roman" w:cs="Times New Roman"/>
        </w:rPr>
        <w:t>“</w:t>
      </w:r>
      <w:r w:rsidRPr="750671CE">
        <w:rPr>
          <w:rFonts w:ascii="Times New Roman" w:eastAsia="Times New Roman" w:hAnsi="Times New Roman" w:cs="Times New Roman"/>
        </w:rPr>
        <w:t>prudent man.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Even he, however, </w:t>
      </w:r>
      <w:r w:rsidR="00B05F31">
        <w:rPr>
          <w:rFonts w:ascii="Times New Roman" w:eastAsia="Times New Roman" w:hAnsi="Times New Roman" w:cs="Times New Roman"/>
        </w:rPr>
        <w:t>“</w:t>
      </w:r>
      <w:r w:rsidRPr="750671CE">
        <w:rPr>
          <w:rFonts w:ascii="Times New Roman" w:eastAsia="Times New Roman" w:hAnsi="Times New Roman" w:cs="Times New Roman"/>
        </w:rPr>
        <w:t>carefully pondering the problem,</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is not to be relied upon because they permit him to become prudent </w:t>
      </w:r>
      <w:r w:rsidR="00B05F31">
        <w:rPr>
          <w:rFonts w:ascii="Times New Roman" w:eastAsia="Times New Roman" w:hAnsi="Times New Roman" w:cs="Times New Roman"/>
        </w:rPr>
        <w:t>“</w:t>
      </w:r>
      <w:r w:rsidRPr="750671CE">
        <w:rPr>
          <w:rFonts w:ascii="Times New Roman" w:eastAsia="Times New Roman" w:hAnsi="Times New Roman" w:cs="Times New Roman"/>
        </w:rPr>
        <w:t>With the aid of hindsight.</w:t>
      </w:r>
      <w:r w:rsidR="00B05F31">
        <w:rPr>
          <w:rFonts w:ascii="Times New Roman" w:eastAsia="Times New Roman" w:hAnsi="Times New Roman" w:cs="Times New Roman"/>
        </w:rPr>
        <w:t>”</w:t>
      </w:r>
    </w:p>
    <w:p w14:paraId="09D5832F" w14:textId="77777777" w:rsidR="0019206E" w:rsidRPr="0052300D" w:rsidRDefault="0019206E" w:rsidP="0019206E">
      <w:pPr>
        <w:ind w:firstLine="720"/>
        <w:rPr>
          <w:rFonts w:ascii="Times New Roman" w:hAnsi="Times New Roman" w:cs="Times New Roman"/>
        </w:rPr>
      </w:pPr>
      <w:r w:rsidRPr="0052300D">
        <w:rPr>
          <w:rFonts w:ascii="Times New Roman" w:hAnsi="Times New Roman" w:cs="Times New Roman"/>
        </w:rPr>
        <w:tab/>
      </w:r>
    </w:p>
    <w:p w14:paraId="5F1662BC" w14:textId="1D2EE70E"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majority, in effect, would remove from the law of negligence the concept of foreseeability because, as they say, </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The weight of authority in this country rejects the limitation of damages to consequences foreseeable at the time of the negligent conduct when the consequences are </w:t>
      </w:r>
      <w:r w:rsidR="00B05F31">
        <w:rPr>
          <w:rFonts w:ascii="Times New Roman" w:eastAsia="Times New Roman" w:hAnsi="Times New Roman" w:cs="Times New Roman"/>
        </w:rPr>
        <w:t>‘</w:t>
      </w:r>
      <w:r w:rsidRPr="750671CE">
        <w:rPr>
          <w:rFonts w:ascii="Times New Roman" w:eastAsia="Times New Roman" w:hAnsi="Times New Roman" w:cs="Times New Roman"/>
        </w:rPr>
        <w:t>direct.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Yet lingering thoughts of recognized legal principles create for them lingering doubts because they say: </w:t>
      </w:r>
      <w:r w:rsidR="00B05F31">
        <w:rPr>
          <w:rFonts w:ascii="Times New Roman" w:eastAsia="Times New Roman" w:hAnsi="Times New Roman" w:cs="Times New Roman"/>
        </w:rPr>
        <w:t>“</w:t>
      </w:r>
      <w:r w:rsidRPr="750671CE">
        <w:rPr>
          <w:rFonts w:ascii="Times New Roman" w:eastAsia="Times New Roman" w:hAnsi="Times New Roman" w:cs="Times New Roman"/>
        </w:rPr>
        <w:t>This does not mean that the careless actor will always be held for all damages for which the forces that he risked were a cause in fact. Somewhere a point will be reached when courts will agree that the link has become too tenuous</w:t>
      </w:r>
      <w:r w:rsidR="0044087F">
        <w:rPr>
          <w:rFonts w:ascii="Times New Roman" w:eastAsia="Times New Roman" w:hAnsi="Times New Roman" w:cs="Times New Roman"/>
        </w:rPr>
        <w:t>—</w:t>
      </w:r>
      <w:r w:rsidRPr="750671CE">
        <w:rPr>
          <w:rFonts w:ascii="Times New Roman" w:eastAsia="Times New Roman" w:hAnsi="Times New Roman" w:cs="Times New Roman"/>
        </w:rPr>
        <w:t>that what is claimed to be consequence is only fortuity.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very example given, namely, the patient who dies because the doctor is delayed by the destruction of the bridge, certainly presents a direct consequence as a factual matter yet the majority opinion states that </w:t>
      </w:r>
      <w:r w:rsidR="00B05F31">
        <w:rPr>
          <w:rFonts w:ascii="Times New Roman" w:eastAsia="Times New Roman" w:hAnsi="Times New Roman" w:cs="Times New Roman"/>
        </w:rPr>
        <w:t>“</w:t>
      </w:r>
      <w:r w:rsidRPr="750671CE">
        <w:rPr>
          <w:rFonts w:ascii="Times New Roman" w:eastAsia="Times New Roman" w:hAnsi="Times New Roman" w:cs="Times New Roman"/>
        </w:rPr>
        <w:t>few judges would impose liability on any of the parties here,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under these circumstances.</w:t>
      </w:r>
    </w:p>
    <w:p w14:paraId="78D6BD21" w14:textId="77777777" w:rsidR="0019206E" w:rsidRPr="0052300D" w:rsidRDefault="0019206E" w:rsidP="0019206E">
      <w:pPr>
        <w:rPr>
          <w:rFonts w:ascii="Times New Roman" w:hAnsi="Times New Roman" w:cs="Times New Roman"/>
        </w:rPr>
      </w:pPr>
    </w:p>
    <w:p w14:paraId="61229E56" w14:textId="77777777" w:rsidR="0019206E" w:rsidRPr="0052300D" w:rsidRDefault="0019206E" w:rsidP="0019206E">
      <w:pPr>
        <w:rPr>
          <w:rFonts w:ascii="Times New Roman" w:hAnsi="Times New Roman" w:cs="Times New Roman"/>
        </w:rPr>
      </w:pPr>
    </w:p>
    <w:p w14:paraId="0821331F" w14:textId="77777777" w:rsidR="0019206E" w:rsidRPr="0052300D" w:rsidRDefault="0019206E" w:rsidP="002502CC">
      <w:pPr>
        <w:pStyle w:val="Heading4"/>
      </w:pPr>
      <w:bookmarkStart w:id="724" w:name="_Toc364636203"/>
      <w:bookmarkStart w:id="725" w:name="_Toc518323438"/>
      <w:r w:rsidRPr="0052300D">
        <w:t>Notes</w:t>
      </w:r>
      <w:bookmarkEnd w:id="724"/>
      <w:bookmarkEnd w:id="725"/>
    </w:p>
    <w:p w14:paraId="491199F0" w14:textId="77777777" w:rsidR="00C04514" w:rsidRDefault="00C04514" w:rsidP="750671CE">
      <w:pPr>
        <w:widowControl w:val="0"/>
        <w:autoSpaceDE w:val="0"/>
        <w:autoSpaceDN w:val="0"/>
        <w:adjustRightInd w:val="0"/>
        <w:rPr>
          <w:rFonts w:ascii="Times New Roman" w:eastAsia="Times New Roman" w:hAnsi="Times New Roman" w:cs="Times New Roman"/>
          <w:iCs/>
        </w:rPr>
      </w:pPr>
    </w:p>
    <w:p w14:paraId="5C5B08E2" w14:textId="77777777" w:rsidR="0044087F" w:rsidRPr="0052300D" w:rsidRDefault="0044087F" w:rsidP="0019206E">
      <w:pPr>
        <w:widowControl w:val="0"/>
        <w:autoSpaceDE w:val="0"/>
        <w:autoSpaceDN w:val="0"/>
        <w:adjustRightInd w:val="0"/>
        <w:rPr>
          <w:rFonts w:ascii="Times New Roman" w:hAnsi="Times New Roman" w:cs="Times New Roman"/>
        </w:rPr>
      </w:pPr>
    </w:p>
    <w:p w14:paraId="73471DF6" w14:textId="09773F64" w:rsidR="0019206E" w:rsidRPr="00F94B7E" w:rsidRDefault="750671CE" w:rsidP="00F94B7E">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Pr="00F94B7E">
        <w:rPr>
          <w:rFonts w:ascii="Times New Roman" w:eastAsia="Times New Roman" w:hAnsi="Times New Roman" w:cs="Times New Roman"/>
        </w:rPr>
        <w:t>Palsgraf</w:t>
      </w:r>
      <w:r w:rsidRPr="00F94B7E">
        <w:rPr>
          <w:rFonts w:ascii="Times New Roman" w:eastAsia="Times New Roman" w:hAnsi="Times New Roman" w:cs="Times New Roman"/>
          <w:i/>
          <w:iCs/>
        </w:rPr>
        <w:t xml:space="preserve"> requirement. </w:t>
      </w:r>
      <w:r w:rsidRPr="00F94B7E">
        <w:rPr>
          <w:rFonts w:ascii="Times New Roman" w:eastAsia="Times New Roman" w:hAnsi="Times New Roman" w:cs="Times New Roman"/>
        </w:rPr>
        <w:t xml:space="preserve"> In his opinion in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xml:space="preserve">, Judge Henry Friendly ruled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all the claimants here met the </w:t>
      </w:r>
      <w:r w:rsidRPr="00F94B7E">
        <w:rPr>
          <w:rFonts w:ascii="Times New Roman" w:eastAsia="Times New Roman" w:hAnsi="Times New Roman" w:cs="Times New Roman"/>
          <w:i/>
          <w:iCs/>
        </w:rPr>
        <w:t>Palsgraf</w:t>
      </w:r>
      <w:r w:rsidRPr="00F94B7E">
        <w:rPr>
          <w:rFonts w:ascii="Times New Roman" w:eastAsia="Times New Roman" w:hAnsi="Times New Roman" w:cs="Times New Roman"/>
        </w:rPr>
        <w:t xml:space="preserve"> requirement of being persons to whom the actors owed a duty.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338 F.2d at 722. In making this determination, the court placed considerable weight on the fact that all the claimants were riparian property owners located downstream of the Shiras</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mooring. An insecurely moored ship, Judge Friendly reasoned, posed </w:t>
      </w:r>
      <w:r w:rsidR="00B05F31">
        <w:rPr>
          <w:rFonts w:ascii="Times New Roman" w:eastAsia="Times New Roman" w:hAnsi="Times New Roman" w:cs="Times New Roman"/>
        </w:rPr>
        <w:t>“</w:t>
      </w:r>
      <w:r w:rsidRPr="00F94B7E">
        <w:rPr>
          <w:rFonts w:ascii="Times New Roman" w:eastAsia="Times New Roman" w:hAnsi="Times New Roman" w:cs="Times New Roman"/>
        </w:rPr>
        <w:t>a known danger not only to herself but to the owners of all other ships and structures down-river.</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The court observed in a footnote that </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The facts here do not oblige us to decide whether the [parties liable for negligently mooring the Shiras] could successfully invoke </w:t>
      </w:r>
      <w:r w:rsidRPr="00F94B7E">
        <w:rPr>
          <w:rFonts w:ascii="Times New Roman" w:eastAsia="Times New Roman" w:hAnsi="Times New Roman" w:cs="Times New Roman"/>
          <w:i/>
          <w:iCs/>
        </w:rPr>
        <w:t xml:space="preserve">Palsgraf </w:t>
      </w:r>
      <w:r w:rsidRPr="00F94B7E">
        <w:rPr>
          <w:rFonts w:ascii="Times New Roman" w:eastAsia="Times New Roman" w:hAnsi="Times New Roman" w:cs="Times New Roman"/>
        </w:rPr>
        <w:t>against claims of owners of shore-side property upstream from the [site at which the Shiras had been moored].</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What result if an upstream owner brought claims against Kinsman Transit and the City of Buffalo?</w:t>
      </w:r>
    </w:p>
    <w:p w14:paraId="0A555E7B" w14:textId="77777777" w:rsidR="0019206E" w:rsidRPr="0052300D" w:rsidRDefault="0019206E" w:rsidP="0019206E">
      <w:pPr>
        <w:widowControl w:val="0"/>
        <w:autoSpaceDE w:val="0"/>
        <w:autoSpaceDN w:val="0"/>
        <w:adjustRightInd w:val="0"/>
        <w:rPr>
          <w:rFonts w:ascii="Times New Roman" w:hAnsi="Times New Roman" w:cs="Times New Roman"/>
        </w:rPr>
      </w:pPr>
    </w:p>
    <w:p w14:paraId="08164EC2" w14:textId="77777777" w:rsidR="0019206E" w:rsidRPr="0052300D" w:rsidRDefault="0019206E" w:rsidP="0019206E">
      <w:pPr>
        <w:widowControl w:val="0"/>
        <w:autoSpaceDE w:val="0"/>
        <w:autoSpaceDN w:val="0"/>
        <w:adjustRightInd w:val="0"/>
        <w:rPr>
          <w:rFonts w:ascii="Times New Roman" w:hAnsi="Times New Roman" w:cs="Times New Roman"/>
        </w:rPr>
      </w:pPr>
    </w:p>
    <w:p w14:paraId="5AD8132F" w14:textId="6BB9BD3B" w:rsidR="0019206E" w:rsidRPr="00F94B7E" w:rsidRDefault="750671CE" w:rsidP="00F94B7E">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Deep pockets?  </w:t>
      </w:r>
      <w:r w:rsidRPr="00F94B7E">
        <w:rPr>
          <w:rFonts w:ascii="Times New Roman" w:eastAsia="Times New Roman" w:hAnsi="Times New Roman" w:cs="Times New Roman"/>
        </w:rPr>
        <w:t>Judge Moore</w:t>
      </w:r>
      <w:r w:rsidR="00B05F31">
        <w:rPr>
          <w:rFonts w:ascii="Times New Roman" w:eastAsia="Times New Roman" w:hAnsi="Times New Roman" w:cs="Times New Roman"/>
        </w:rPr>
        <w:t>’</w:t>
      </w:r>
      <w:r w:rsidRPr="00F94B7E">
        <w:rPr>
          <w:rFonts w:ascii="Times New Roman" w:eastAsia="Times New Roman" w:hAnsi="Times New Roman" w:cs="Times New Roman"/>
        </w:rPr>
        <w:t>s dissent specifically criticizes Friendly</w:t>
      </w:r>
      <w:r w:rsidR="00B05F31">
        <w:rPr>
          <w:rFonts w:ascii="Times New Roman" w:eastAsia="Times New Roman" w:hAnsi="Times New Roman" w:cs="Times New Roman"/>
        </w:rPr>
        <w:t>’</w:t>
      </w:r>
      <w:r w:rsidRPr="00F94B7E">
        <w:rPr>
          <w:rFonts w:ascii="Times New Roman" w:eastAsia="Times New Roman" w:hAnsi="Times New Roman" w:cs="Times New Roman"/>
        </w:rPr>
        <w:t>s opinion for placing losses, however unforeseeable, on the party with the best ability to absorb losses</w:t>
      </w:r>
      <w:r w:rsidR="00450F98">
        <w:rPr>
          <w:rFonts w:ascii="Times New Roman" w:eastAsia="Times New Roman" w:hAnsi="Times New Roman" w:cs="Times New Roman"/>
        </w:rPr>
        <w:t>—</w:t>
      </w:r>
      <w:r w:rsidRPr="00F94B7E">
        <w:rPr>
          <w:rFonts w:ascii="Times New Roman" w:eastAsia="Times New Roman" w:hAnsi="Times New Roman" w:cs="Times New Roman"/>
        </w:rPr>
        <w:t>the City. What are his reasons for advocating not taking into account the ability of the parties to bear losses? Do you think there</w:t>
      </w:r>
      <w:r w:rsidR="00B05F31">
        <w:rPr>
          <w:rFonts w:ascii="Times New Roman" w:eastAsia="Times New Roman" w:hAnsi="Times New Roman" w:cs="Times New Roman"/>
        </w:rPr>
        <w:t>’</w:t>
      </w:r>
      <w:r w:rsidRPr="00F94B7E">
        <w:rPr>
          <w:rFonts w:ascii="Times New Roman" w:eastAsia="Times New Roman" w:hAnsi="Times New Roman" w:cs="Times New Roman"/>
        </w:rPr>
        <w:t>s an easy line to draw between the potential plaintiffs who are upstream property owners and the potential plaintiff who suffered due to the delayed doctor?</w:t>
      </w:r>
    </w:p>
    <w:p w14:paraId="2E64E072" w14:textId="77777777" w:rsidR="0019206E" w:rsidRDefault="0019206E" w:rsidP="0019206E">
      <w:pPr>
        <w:rPr>
          <w:rFonts w:ascii="Times New Roman" w:hAnsi="Times New Roman" w:cs="Times New Roman"/>
          <w:b/>
        </w:rPr>
      </w:pPr>
    </w:p>
    <w:p w14:paraId="434B6667" w14:textId="77777777" w:rsidR="00C04514" w:rsidRPr="0052300D" w:rsidRDefault="00C04514" w:rsidP="0019206E">
      <w:pPr>
        <w:rPr>
          <w:rFonts w:ascii="Times New Roman" w:hAnsi="Times New Roman" w:cs="Times New Roman"/>
          <w:b/>
        </w:rPr>
      </w:pPr>
    </w:p>
    <w:p w14:paraId="6F033E3E" w14:textId="2D31F3A9" w:rsidR="0019206E" w:rsidRPr="00F94B7E" w:rsidRDefault="750671CE" w:rsidP="00F94B7E">
      <w:pPr>
        <w:pStyle w:val="ListParagraph"/>
        <w:numPr>
          <w:ilvl w:val="0"/>
          <w:numId w:val="30"/>
        </w:numPr>
        <w:ind w:left="0" w:firstLine="360"/>
        <w:rPr>
          <w:rFonts w:ascii="Times New Roman" w:eastAsia="Times New Roman" w:hAnsi="Times New Roman" w:cs="Times New Roman"/>
        </w:rPr>
      </w:pPr>
      <w:r w:rsidRPr="00F94B7E">
        <w:rPr>
          <w:rFonts w:ascii="Times New Roman" w:eastAsia="Times New Roman" w:hAnsi="Times New Roman" w:cs="Times New Roman"/>
          <w:iCs/>
        </w:rPr>
        <w:t xml:space="preserve">Kinsman Transit </w:t>
      </w:r>
      <w:r w:rsidRPr="00F94B7E">
        <w:rPr>
          <w:rFonts w:ascii="Times New Roman" w:eastAsia="Times New Roman" w:hAnsi="Times New Roman" w:cs="Times New Roman"/>
          <w:i/>
          <w:iCs/>
        </w:rPr>
        <w:t xml:space="preserve">and the </w:t>
      </w:r>
      <w:r w:rsidR="00FB68F4">
        <w:rPr>
          <w:rFonts w:ascii="Times New Roman" w:eastAsia="Times New Roman" w:hAnsi="Times New Roman" w:cs="Times New Roman"/>
          <w:i/>
          <w:iCs/>
        </w:rPr>
        <w:t>f</w:t>
      </w:r>
      <w:r w:rsidRPr="00F94B7E">
        <w:rPr>
          <w:rFonts w:ascii="Times New Roman" w:eastAsia="Times New Roman" w:hAnsi="Times New Roman" w:cs="Times New Roman"/>
          <w:i/>
          <w:iCs/>
        </w:rPr>
        <w:t xml:space="preserve">uture of </w:t>
      </w:r>
      <w:r w:rsidR="00FB68F4">
        <w:rPr>
          <w:rFonts w:ascii="Times New Roman" w:eastAsia="Times New Roman" w:hAnsi="Times New Roman" w:cs="Times New Roman"/>
          <w:i/>
          <w:iCs/>
        </w:rPr>
        <w:t>b</w:t>
      </w:r>
      <w:r w:rsidRPr="00F94B7E">
        <w:rPr>
          <w:rFonts w:ascii="Times New Roman" w:eastAsia="Times New Roman" w:hAnsi="Times New Roman" w:cs="Times New Roman"/>
          <w:i/>
          <w:iCs/>
        </w:rPr>
        <w:t>aseball.</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The ship that touched off the events leading to the </w:t>
      </w:r>
      <w:r w:rsidRPr="00F94B7E">
        <w:rPr>
          <w:rFonts w:ascii="Times New Roman" w:eastAsia="Times New Roman" w:hAnsi="Times New Roman" w:cs="Times New Roman"/>
          <w:i/>
          <w:iCs/>
        </w:rPr>
        <w:t xml:space="preserve">Kinsman Transit </w:t>
      </w:r>
      <w:r w:rsidRPr="00F94B7E">
        <w:rPr>
          <w:rFonts w:ascii="Times New Roman" w:eastAsia="Times New Roman" w:hAnsi="Times New Roman" w:cs="Times New Roman"/>
        </w:rPr>
        <w:t>case was the MacGilvray Shiras. The Shiras was owned by the Kinsman Transit Company, which in turn was owned by Henry Steinbrenner. Its vice president and treasurer was George Steinbrenner, Henry</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52300D" w:rsidRDefault="0019206E" w:rsidP="0019206E">
      <w:pPr>
        <w:rPr>
          <w:rFonts w:ascii="Times New Roman" w:hAnsi="Times New Roman" w:cs="Times New Roman"/>
          <w:b/>
        </w:rPr>
      </w:pPr>
    </w:p>
    <w:p w14:paraId="0EFFDECF" w14:textId="77777777"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091351B7" w14:textId="77777777" w:rsidR="0019206E" w:rsidRPr="0052300D" w:rsidRDefault="0019206E" w:rsidP="0019206E">
      <w:pPr>
        <w:widowControl w:val="0"/>
        <w:autoSpaceDE w:val="0"/>
        <w:autoSpaceDN w:val="0"/>
        <w:adjustRightInd w:val="0"/>
        <w:rPr>
          <w:rFonts w:ascii="Times New Roman" w:hAnsi="Times New Roman" w:cs="Times New Roman"/>
        </w:rPr>
      </w:pPr>
    </w:p>
    <w:p w14:paraId="45329AE5" w14:textId="4FE38374"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 xml:space="preserve">In the litigation leading up to </w:t>
      </w:r>
      <w:r w:rsidRPr="750671CE">
        <w:rPr>
          <w:rFonts w:ascii="Times New Roman" w:eastAsia="Times New Roman" w:hAnsi="Times New Roman" w:cs="Times New Roman"/>
          <w:i/>
          <w:iCs/>
        </w:rPr>
        <w:t>Kinsman Transit</w:t>
      </w:r>
      <w:r w:rsidRPr="750671CE">
        <w:rPr>
          <w:rFonts w:ascii="Times New Roman" w:eastAsia="Times New Roman" w:hAnsi="Times New Roman" w:cs="Times New Roman"/>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liability. Judge Friendly determined that neither Henry nor George knew of the negligent mooring of the Shiras. Moreover, Judge Friendly ruled that </w:t>
      </w:r>
    </w:p>
    <w:p w14:paraId="416D0C9F" w14:textId="77777777" w:rsidR="0019206E" w:rsidRPr="0052300D" w:rsidRDefault="0019206E" w:rsidP="0019206E">
      <w:pPr>
        <w:widowControl w:val="0"/>
        <w:autoSpaceDE w:val="0"/>
        <w:autoSpaceDN w:val="0"/>
        <w:adjustRightInd w:val="0"/>
        <w:rPr>
          <w:rFonts w:ascii="Times New Roman" w:hAnsi="Times New Roman" w:cs="Times New Roman"/>
        </w:rPr>
      </w:pPr>
    </w:p>
    <w:p w14:paraId="0F8A09E7" w14:textId="77777777" w:rsidR="0019206E" w:rsidRPr="0052300D" w:rsidRDefault="750671CE" w:rsidP="00F94B7E">
      <w:pPr>
        <w:widowControl w:val="0"/>
        <w:autoSpaceDE w:val="0"/>
        <w:autoSpaceDN w:val="0"/>
        <w:adjustRightInd w:val="0"/>
        <w:ind w:left="720" w:right="720"/>
        <w:jc w:val="both"/>
        <w:rPr>
          <w:rFonts w:ascii="Times New Roman" w:eastAsia="Times New Roman" w:hAnsi="Times New Roman" w:cs="Times New Roman"/>
        </w:rPr>
      </w:pPr>
      <w:r w:rsidRPr="750671CE">
        <w:rPr>
          <w:rFonts w:ascii="Times New Roman" w:eastAsia="Times New Roman" w:hAnsi="Times New Roman" w:cs="Times New Roman"/>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52300D" w:rsidRDefault="0019206E" w:rsidP="0019206E">
      <w:pPr>
        <w:widowControl w:val="0"/>
        <w:autoSpaceDE w:val="0"/>
        <w:autoSpaceDN w:val="0"/>
        <w:adjustRightInd w:val="0"/>
        <w:rPr>
          <w:rFonts w:ascii="Times New Roman" w:hAnsi="Times New Roman" w:cs="Times New Roman"/>
        </w:rPr>
      </w:pPr>
    </w:p>
    <w:p w14:paraId="574C7059" w14:textId="77777777" w:rsidR="0019206E" w:rsidRPr="0052300D"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i/>
          <w:iCs/>
        </w:rPr>
        <w:t>Kinsman Transit I</w:t>
      </w:r>
      <w:r w:rsidRPr="750671CE">
        <w:rPr>
          <w:rFonts w:ascii="Times New Roman" w:eastAsia="Times New Roman" w:hAnsi="Times New Roman" w:cs="Times New Roman"/>
        </w:rPr>
        <w:t>, 338 F.2d at 715.</w:t>
      </w:r>
    </w:p>
    <w:p w14:paraId="2A7EFC6C" w14:textId="77777777" w:rsidR="0019206E" w:rsidRPr="0052300D" w:rsidRDefault="0019206E" w:rsidP="0019206E">
      <w:pPr>
        <w:widowControl w:val="0"/>
        <w:autoSpaceDE w:val="0"/>
        <w:autoSpaceDN w:val="0"/>
        <w:adjustRightInd w:val="0"/>
        <w:rPr>
          <w:rFonts w:ascii="Times New Roman" w:hAnsi="Times New Roman" w:cs="Times New Roman"/>
        </w:rPr>
      </w:pPr>
    </w:p>
    <w:p w14:paraId="64A678E6" w14:textId="16D0137A" w:rsidR="0019206E"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Judge Friendly</w:t>
      </w:r>
      <w:r w:rsidR="00B05F31">
        <w:rPr>
          <w:rFonts w:ascii="Times New Roman" w:eastAsia="Times New Roman" w:hAnsi="Times New Roman" w:cs="Times New Roman"/>
        </w:rPr>
        <w:t>’</w:t>
      </w:r>
      <w:r w:rsidRPr="750671CE">
        <w:rPr>
          <w:rFonts w:ascii="Times New Roman" w:eastAsia="Times New Roman" w:hAnsi="Times New Roman" w:cs="Times New Roman"/>
        </w:rPr>
        <w:t>s conclusion was therefore that the liability of the Kinsman Transit Company was limited to the value of the Shiras. (This is very likely why the court did not need to resolve the question of Kinsman Transit</w:t>
      </w:r>
      <w:r w:rsidR="00B05F31">
        <w:rPr>
          <w:rFonts w:ascii="Times New Roman" w:eastAsia="Times New Roman" w:hAnsi="Times New Roman" w:cs="Times New Roman"/>
        </w:rPr>
        <w:t>’</w:t>
      </w:r>
      <w:r w:rsidRPr="750671CE">
        <w:rPr>
          <w:rFonts w:ascii="Times New Roman" w:eastAsia="Times New Roman" w:hAnsi="Times New Roman" w:cs="Times New Roman"/>
        </w:rPr>
        <w:t>s liability to upstream riparian property owners.) One result was that the taxpayers of the City of Buffalo bore the lion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share of the damages from the flooding. </w:t>
      </w:r>
    </w:p>
    <w:p w14:paraId="6178FC33" w14:textId="77777777" w:rsidR="0019206E" w:rsidRDefault="0019206E" w:rsidP="0019206E">
      <w:pPr>
        <w:widowControl w:val="0"/>
        <w:autoSpaceDE w:val="0"/>
        <w:autoSpaceDN w:val="0"/>
        <w:adjustRightInd w:val="0"/>
        <w:ind w:firstLine="720"/>
        <w:rPr>
          <w:rFonts w:ascii="Times New Roman" w:hAnsi="Times New Roman" w:cs="Times New Roman"/>
        </w:rPr>
      </w:pPr>
    </w:p>
    <w:p w14:paraId="797018E6" w14:textId="4689D5F3" w:rsidR="0019206E"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A far more important result was that George Steinbrenner went on to purchase and transform the then-moribund New York Yankees with money he had been able to keep by virtue of the fact that he was less competent than his employees.  Steinbrenner</w:t>
      </w:r>
      <w:r w:rsidR="00B05F31">
        <w:rPr>
          <w:rFonts w:ascii="Times New Roman" w:eastAsia="Times New Roman" w:hAnsi="Times New Roman" w:cs="Times New Roman"/>
        </w:rPr>
        <w:t>’</w:t>
      </w:r>
      <w:r w:rsidRPr="750671CE">
        <w:rPr>
          <w:rFonts w:ascii="Times New Roman" w:eastAsia="Times New Roman" w:hAnsi="Times New Roman" w:cs="Times New Roman"/>
        </w:rPr>
        <w:t>s sons own the Yankees to this day.</w:t>
      </w:r>
    </w:p>
    <w:p w14:paraId="5C7830BB"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09F25579" w14:textId="77777777" w:rsidR="0019206E" w:rsidRPr="0052300D" w:rsidRDefault="0019206E" w:rsidP="0019206E">
      <w:pPr>
        <w:rPr>
          <w:rFonts w:ascii="Times New Roman" w:hAnsi="Times New Roman" w:cs="Times New Roman"/>
          <w:b/>
        </w:rPr>
      </w:pPr>
    </w:p>
    <w:p w14:paraId="30C5A6C6" w14:textId="4C60920C" w:rsidR="0019206E" w:rsidRPr="00F94B7E" w:rsidRDefault="750671CE" w:rsidP="00F94B7E">
      <w:pPr>
        <w:pStyle w:val="ListParagraph"/>
        <w:numPr>
          <w:ilvl w:val="0"/>
          <w:numId w:val="30"/>
        </w:numPr>
        <w:ind w:left="0" w:firstLine="360"/>
        <w:rPr>
          <w:rFonts w:ascii="Times New Roman" w:eastAsia="Times New Roman" w:hAnsi="Times New Roman" w:cs="Times New Roman"/>
          <w:b/>
          <w:bCs/>
        </w:rPr>
      </w:pPr>
      <w:r w:rsidRPr="00F94B7E">
        <w:rPr>
          <w:rFonts w:ascii="Times New Roman" w:eastAsia="Times New Roman" w:hAnsi="Times New Roman" w:cs="Times New Roman"/>
          <w:iCs/>
        </w:rPr>
        <w:t>Kinsman Transit II</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In </w:t>
      </w:r>
      <w:r w:rsidRPr="00F94B7E">
        <w:rPr>
          <w:rFonts w:ascii="Times New Roman" w:eastAsia="Times New Roman" w:hAnsi="Times New Roman" w:cs="Times New Roman"/>
          <w:i/>
          <w:iCs/>
        </w:rPr>
        <w:t>Kinsman Transit II</w:t>
      </w:r>
      <w:r w:rsidRPr="00F94B7E">
        <w:rPr>
          <w:rFonts w:ascii="Times New Roman" w:eastAsia="Times New Roman" w:hAnsi="Times New Roman" w:cs="Times New Roman"/>
        </w:rPr>
        <w:t xml:space="preserve">, decided a little more than three years after </w:t>
      </w:r>
      <w:r w:rsidRPr="00F94B7E">
        <w:rPr>
          <w:rFonts w:ascii="Times New Roman" w:eastAsia="Times New Roman" w:hAnsi="Times New Roman" w:cs="Times New Roman"/>
          <w:i/>
          <w:iCs/>
        </w:rPr>
        <w:t>Kinsman Transit I</w:t>
      </w:r>
      <w:r w:rsidRPr="00F94B7E">
        <w:rPr>
          <w:rFonts w:ascii="Times New Roman" w:eastAsia="Times New Roman" w:hAnsi="Times New Roman" w:cs="Times New Roman"/>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Pr>
          <w:rFonts w:ascii="Times New Roman" w:eastAsia="Times New Roman" w:hAnsi="Times New Roman" w:cs="Times New Roman"/>
        </w:rPr>
        <w:t>’</w:t>
      </w:r>
      <w:r w:rsidRPr="00F94B7E">
        <w:rPr>
          <w:rFonts w:ascii="Times New Roman" w:eastAsia="Times New Roman" w:hAnsi="Times New Roman" w:cs="Times New Roman"/>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52300D" w:rsidRDefault="0019206E" w:rsidP="0019206E">
      <w:pPr>
        <w:widowControl w:val="0"/>
        <w:autoSpaceDE w:val="0"/>
        <w:autoSpaceDN w:val="0"/>
        <w:adjustRightInd w:val="0"/>
        <w:rPr>
          <w:rFonts w:ascii="Times New Roman" w:hAnsi="Times New Roman" w:cs="Times New Roman"/>
        </w:rPr>
      </w:pPr>
    </w:p>
    <w:p w14:paraId="591549E0" w14:textId="07EEC889" w:rsidR="0019206E" w:rsidRPr="0052300D" w:rsidRDefault="750671CE" w:rsidP="750671CE">
      <w:pPr>
        <w:widowControl w:val="0"/>
        <w:autoSpaceDE w:val="0"/>
        <w:autoSpaceDN w:val="0"/>
        <w:adjustRightInd w:val="0"/>
        <w:ind w:firstLine="720"/>
        <w:rPr>
          <w:rFonts w:ascii="Times New Roman" w:eastAsia="Times New Roman" w:hAnsi="Times New Roman" w:cs="Times New Roman"/>
        </w:rPr>
      </w:pPr>
      <w:r w:rsidRPr="750671CE">
        <w:rPr>
          <w:rFonts w:ascii="Times New Roman" w:eastAsia="Times New Roman" w:hAnsi="Times New Roman" w:cs="Times New Roman"/>
        </w:rPr>
        <w:t>Judge Irving Kauffman wrote the opinion for the Second Circuit, affirming the dismissal of Cargill</w:t>
      </w:r>
      <w:r w:rsidR="00B05F31">
        <w:rPr>
          <w:rFonts w:ascii="Times New Roman" w:eastAsia="Times New Roman" w:hAnsi="Times New Roman" w:cs="Times New Roman"/>
        </w:rPr>
        <w:t>’</w:t>
      </w:r>
      <w:r w:rsidRPr="750671CE">
        <w:rPr>
          <w:rFonts w:ascii="Times New Roman" w:eastAsia="Times New Roman" w:hAnsi="Times New Roman" w:cs="Times New Roman"/>
        </w:rPr>
        <w:t>s and Cargo Carriers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claims:</w:t>
      </w:r>
    </w:p>
    <w:p w14:paraId="20C00964" w14:textId="77777777" w:rsidR="0019206E" w:rsidRPr="0052300D" w:rsidRDefault="0019206E" w:rsidP="0019206E">
      <w:pPr>
        <w:widowControl w:val="0"/>
        <w:autoSpaceDE w:val="0"/>
        <w:autoSpaceDN w:val="0"/>
        <w:adjustRightInd w:val="0"/>
        <w:ind w:firstLine="720"/>
        <w:rPr>
          <w:rFonts w:ascii="Times New Roman" w:hAnsi="Times New Roman" w:cs="Times New Roman"/>
        </w:rPr>
      </w:pPr>
    </w:p>
    <w:p w14:paraId="02351434" w14:textId="17153B53" w:rsidR="0019206E" w:rsidRPr="0052300D" w:rsidRDefault="0019206E" w:rsidP="00F94B7E">
      <w:pPr>
        <w:widowControl w:val="0"/>
        <w:autoSpaceDE w:val="0"/>
        <w:autoSpaceDN w:val="0"/>
        <w:adjustRightInd w:val="0"/>
        <w:ind w:left="720" w:right="720" w:firstLine="720"/>
        <w:jc w:val="both"/>
        <w:rPr>
          <w:rFonts w:ascii="Times New Roman" w:eastAsia="Times New Roman" w:hAnsi="Times New Roman" w:cs="Times New Roman"/>
        </w:rPr>
      </w:pPr>
      <w:r w:rsidRPr="750671CE">
        <w:rPr>
          <w:rFonts w:ascii="Times New Roman" w:eastAsia="Times New Roman" w:hAnsi="Times New Roman" w:cs="Times New Roman"/>
        </w:rPr>
        <w:t>When the instant case was last here, we held</w:t>
      </w:r>
      <w:r w:rsidR="00450F98">
        <w:rPr>
          <w:rFonts w:ascii="Times New Roman" w:eastAsia="Times New Roman" w:hAnsi="Times New Roman" w:cs="Times New Roman"/>
        </w:rPr>
        <w:t>—</w:t>
      </w:r>
      <w:r w:rsidRPr="750671CE">
        <w:rPr>
          <w:rFonts w:ascii="Times New Roman" w:eastAsia="Times New Roman" w:hAnsi="Times New Roman" w:cs="Times New Roman"/>
        </w:rPr>
        <w:t>although without discussion of the Cargill and Cargo Carriers claims</w:t>
      </w:r>
      <w:r w:rsidR="00450F98">
        <w:rPr>
          <w:rFonts w:ascii="Times New Roman" w:eastAsia="Times New Roman" w:hAnsi="Times New Roman" w:cs="Times New Roman"/>
        </w:rPr>
        <w:t>—</w:t>
      </w:r>
      <w:r w:rsidRPr="750671CE">
        <w:rPr>
          <w:rFonts w:ascii="Times New Roman" w:eastAsia="Times New Roman" w:hAnsi="Times New Roman" w:cs="Times New Roman"/>
        </w:rPr>
        <w:t>that it was a foreseeable consequence of the negligence of the City of Buffalo and Kinsman Transit Company that the river would be dammed.</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750671CE">
        <w:rPr>
          <w:rStyle w:val="FootnoteReference"/>
          <w:rFonts w:ascii="Times New Roman" w:eastAsia="Times New Roman" w:hAnsi="Times New Roman" w:cs="Times New Roman"/>
        </w:rPr>
        <w:footnoteReference w:customMarkFollows="1" w:id="16"/>
        <w:t>5</w:t>
      </w:r>
      <w:r w:rsidRPr="750671CE">
        <w:rPr>
          <w:rFonts w:ascii="Times New Roman" w:eastAsia="Times New Roman" w:hAnsi="Times New Roman" w:cs="Times New Roman"/>
        </w:rPr>
        <w:t xml:space="preserve"> It may be that the specific manner was not foreseeable in which the damages to Cargill and Cargo Carriers would be incurred but such strict foreseeability</w:t>
      </w:r>
      <w:r w:rsidR="00450F98">
        <w:rPr>
          <w:rFonts w:ascii="Times New Roman" w:eastAsia="Times New Roman" w:hAnsi="Times New Roman" w:cs="Times New Roman"/>
        </w:rPr>
        <w:t>—</w:t>
      </w:r>
      <w:r w:rsidRPr="750671CE">
        <w:rPr>
          <w:rFonts w:ascii="Times New Roman" w:eastAsia="Times New Roman" w:hAnsi="Times New Roman" w:cs="Times New Roman"/>
        </w:rPr>
        <w:t>which in practice would rarely exist except in hindsight</w:t>
      </w:r>
      <w:r w:rsidR="00450F98">
        <w:rPr>
          <w:rFonts w:ascii="Times New Roman" w:eastAsia="Times New Roman" w:hAnsi="Times New Roman" w:cs="Times New Roman"/>
        </w:rPr>
        <w:t>—</w:t>
      </w:r>
      <w:r w:rsidRPr="750671CE">
        <w:rPr>
          <w:rFonts w:ascii="Times New Roman" w:eastAsia="Times New Roman" w:hAnsi="Times New Roman" w:cs="Times New Roman"/>
        </w:rPr>
        <w:t>has not been required.</w:t>
      </w:r>
      <w:r w:rsidRPr="750671CE">
        <w:rPr>
          <w:rStyle w:val="FootnoteReference"/>
          <w:rFonts w:ascii="Times New Roman" w:eastAsia="Times New Roman" w:hAnsi="Times New Roman" w:cs="Times New Roman"/>
        </w:rPr>
        <w:footnoteReference w:customMarkFollows="1" w:id="17"/>
        <w:t>6</w:t>
      </w:r>
    </w:p>
    <w:p w14:paraId="4954BE52" w14:textId="77777777" w:rsidR="0019206E" w:rsidRPr="0052300D" w:rsidRDefault="0019206E" w:rsidP="0019206E">
      <w:pPr>
        <w:widowControl w:val="0"/>
        <w:autoSpaceDE w:val="0"/>
        <w:autoSpaceDN w:val="0"/>
        <w:adjustRightInd w:val="0"/>
        <w:ind w:left="720" w:right="720"/>
        <w:rPr>
          <w:rFonts w:ascii="Times New Roman" w:hAnsi="Times New Roman" w:cs="Times New Roman"/>
        </w:rPr>
      </w:pPr>
    </w:p>
    <w:p w14:paraId="531628CE" w14:textId="6C71CC87" w:rsidR="0019206E" w:rsidRPr="0052300D" w:rsidRDefault="750671CE" w:rsidP="00F94B7E">
      <w:pPr>
        <w:widowControl w:val="0"/>
        <w:autoSpaceDE w:val="0"/>
        <w:autoSpaceDN w:val="0"/>
        <w:adjustRightInd w:val="0"/>
        <w:ind w:left="720" w:right="720" w:firstLine="720"/>
        <w:jc w:val="both"/>
        <w:rPr>
          <w:rFonts w:ascii="Times New Roman" w:eastAsia="Times New Roman" w:hAnsi="Times New Roman" w:cs="Times New Roman"/>
        </w:rPr>
      </w:pPr>
      <w:r w:rsidRPr="750671CE">
        <w:rPr>
          <w:rFonts w:ascii="Times New Roman" w:eastAsia="Times New Roman" w:hAnsi="Times New Roman" w:cs="Times New Roman"/>
        </w:rPr>
        <w:t>We need not decide which, if any, defendants owed Cargill a duty of care with respect to its unrelated claims based on the Gillies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[the Gillies was the ship in which Cargill</w:t>
      </w:r>
      <w:r w:rsidR="00B05F31">
        <w:rPr>
          <w:rFonts w:ascii="Times New Roman" w:eastAsia="Times New Roman" w:hAnsi="Times New Roman" w:cs="Times New Roman"/>
        </w:rPr>
        <w:t>’</w:t>
      </w:r>
      <w:r w:rsidRPr="750671CE">
        <w:rPr>
          <w:rFonts w:ascii="Times New Roman" w:eastAsia="Times New Roman" w:hAnsi="Times New Roman" w:cs="Times New Roman"/>
        </w:rPr>
        <w:t>s grain was located] immobility, since even if Palsgraf is satisfied, compensation may be precluded where</w:t>
      </w:r>
      <w:r w:rsidR="00450F98">
        <w:rPr>
          <w:rFonts w:ascii="Times New Roman" w:eastAsia="Times New Roman" w:hAnsi="Times New Roman" w:cs="Times New Roman"/>
        </w:rPr>
        <w:t>—</w:t>
      </w:r>
      <w:r w:rsidRPr="750671CE">
        <w:rPr>
          <w:rFonts w:ascii="Times New Roman" w:eastAsia="Times New Roman" w:hAnsi="Times New Roman" w:cs="Times New Roman"/>
        </w:rPr>
        <w:t>as here</w:t>
      </w:r>
      <w:r w:rsidR="00450F98">
        <w:rPr>
          <w:rFonts w:ascii="Times New Roman" w:eastAsia="Times New Roman" w:hAnsi="Times New Roman" w:cs="Times New Roman"/>
        </w:rPr>
        <w:t>—</w:t>
      </w:r>
      <w:r w:rsidRPr="750671CE">
        <w:rPr>
          <w:rFonts w:ascii="Times New Roman" w:eastAsia="Times New Roman" w:hAnsi="Times New Roman" w:cs="Times New Roman"/>
        </w:rPr>
        <w:t>the relationship between the negligence and the injury becomes too tenuous.</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We recognize that frequently identical questions are involved whether we speak in terms of </w:t>
      </w:r>
      <w:r w:rsidR="00B05F31">
        <w:rPr>
          <w:rFonts w:ascii="Times New Roman" w:eastAsia="Times New Roman" w:hAnsi="Times New Roman" w:cs="Times New Roman"/>
        </w:rPr>
        <w:t>“</w:t>
      </w:r>
      <w:r w:rsidRPr="750671CE">
        <w:rPr>
          <w:rFonts w:ascii="Times New Roman" w:eastAsia="Times New Roman" w:hAnsi="Times New Roman" w:cs="Times New Roman"/>
        </w:rPr>
        <w:t>duty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or some other standard for determining where recovery should be denied. [citing Prosser at 283]</w:t>
      </w:r>
    </w:p>
    <w:p w14:paraId="14284F97" w14:textId="77777777" w:rsidR="0019206E" w:rsidRPr="0052300D" w:rsidRDefault="0019206E" w:rsidP="00F94B7E">
      <w:pPr>
        <w:widowControl w:val="0"/>
        <w:autoSpaceDE w:val="0"/>
        <w:autoSpaceDN w:val="0"/>
        <w:adjustRightInd w:val="0"/>
        <w:ind w:left="720" w:right="720" w:firstLine="720"/>
        <w:jc w:val="both"/>
        <w:rPr>
          <w:rFonts w:ascii="Times New Roman" w:hAnsi="Times New Roman" w:cs="Times New Roman"/>
        </w:rPr>
      </w:pPr>
    </w:p>
    <w:p w14:paraId="698204C8" w14:textId="24DF4656" w:rsidR="0019206E" w:rsidRPr="0052300D" w:rsidRDefault="0019206E" w:rsidP="00F94B7E">
      <w:pPr>
        <w:widowControl w:val="0"/>
        <w:autoSpaceDE w:val="0"/>
        <w:autoSpaceDN w:val="0"/>
        <w:adjustRightInd w:val="0"/>
        <w:ind w:left="720" w:right="720" w:firstLine="720"/>
        <w:jc w:val="both"/>
        <w:rPr>
          <w:rFonts w:ascii="Times New Roman" w:eastAsia="Times New Roman" w:hAnsi="Times New Roman" w:cs="Times New Roman"/>
        </w:rPr>
      </w:pPr>
      <w:r w:rsidRPr="750671CE">
        <w:rPr>
          <w:rFonts w:ascii="Times New Roman" w:eastAsia="Times New Roman" w:hAnsi="Times New Roman" w:cs="Times New Roman"/>
        </w:rPr>
        <w:t xml:space="preserve">On the previous appeal we stated aptly: </w:t>
      </w:r>
      <w:r w:rsidR="00B05F31">
        <w:rPr>
          <w:rFonts w:ascii="Times New Roman" w:eastAsia="Times New Roman" w:hAnsi="Times New Roman" w:cs="Times New Roman"/>
        </w:rPr>
        <w:t>“</w:t>
      </w:r>
      <w:r w:rsidRPr="750671CE">
        <w:rPr>
          <w:rFonts w:ascii="Times New Roman" w:eastAsia="Times New Roman" w:hAnsi="Times New Roman" w:cs="Times New Roman"/>
        </w:rPr>
        <w:t>somewhere a point will be reached when courts will agree that the link has become too tenuous</w:t>
      </w:r>
      <w:r w:rsidR="00450F98">
        <w:rPr>
          <w:rFonts w:ascii="Times New Roman" w:eastAsia="Times New Roman" w:hAnsi="Times New Roman" w:cs="Times New Roman"/>
        </w:rPr>
        <w:t>—</w:t>
      </w:r>
      <w:r w:rsidRPr="750671CE">
        <w:rPr>
          <w:rFonts w:ascii="Times New Roman" w:eastAsia="Times New Roman" w:hAnsi="Times New Roman" w:cs="Times New Roman"/>
        </w:rPr>
        <w:t>that what is claimed to be consequence is only fortuity.</w:t>
      </w:r>
      <w:r w:rsidR="00B05F31">
        <w:rPr>
          <w:rFonts w:ascii="Times New Roman" w:eastAsia="Times New Roman" w:hAnsi="Times New Roman" w:cs="Times New Roman"/>
        </w:rPr>
        <w:t>”</w:t>
      </w:r>
      <w:r w:rsidR="00746162">
        <w:rPr>
          <w:rFonts w:ascii="Times New Roman" w:eastAsia="Times New Roman" w:hAnsi="Times New Roman" w:cs="Times New Roman"/>
        </w:rPr>
        <w:t xml:space="preserve"> . . .</w:t>
      </w:r>
      <w:r w:rsidRPr="750671CE">
        <w:rPr>
          <w:rFonts w:ascii="Times New Roman" w:eastAsia="Times New Roman" w:hAnsi="Times New Roman" w:cs="Times New Roman"/>
        </w:rPr>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750671CE">
        <w:rPr>
          <w:rStyle w:val="FootnoteReference"/>
          <w:rFonts w:ascii="Times New Roman" w:eastAsia="Times New Roman" w:hAnsi="Times New Roman" w:cs="Times New Roman"/>
        </w:rPr>
        <w:footnoteReference w:customMarkFollows="1" w:id="18"/>
        <w:t>7</w:t>
      </w:r>
      <w:r w:rsidRPr="750671CE">
        <w:rPr>
          <w:rFonts w:ascii="Times New Roman" w:eastAsia="Times New Roman" w:hAnsi="Times New Roman" w:cs="Times New Roman"/>
        </w:rPr>
        <w:t xml:space="preserve">  Under all the circumstances of this case, we hold that the connection between the defendants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negligence and the claimants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damages is too tenuous and remote to permit recovery. </w:t>
      </w:r>
      <w:r w:rsidR="00B05F31">
        <w:rPr>
          <w:rFonts w:ascii="Times New Roman" w:eastAsia="Times New Roman" w:hAnsi="Times New Roman" w:cs="Times New Roman"/>
        </w:rPr>
        <w:t>“</w:t>
      </w:r>
      <w:r w:rsidRPr="750671CE">
        <w:rPr>
          <w:rFonts w:ascii="Times New Roman" w:eastAsia="Times New Roman" w:hAnsi="Times New Roman" w:cs="Times New Roman"/>
        </w:rPr>
        <w:t>The law does not spread its protection so far.</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[quoting Justice Holmes in </w:t>
      </w:r>
      <w:r w:rsidRPr="750671CE">
        <w:rPr>
          <w:rFonts w:ascii="Times New Roman" w:eastAsia="Times New Roman" w:hAnsi="Times New Roman" w:cs="Times New Roman"/>
          <w:i/>
          <w:iCs/>
        </w:rPr>
        <w:t>Robins Dry Dock</w:t>
      </w:r>
      <w:r w:rsidR="004B4ADE">
        <w:rPr>
          <w:rFonts w:ascii="Times New Roman" w:eastAsia="Times New Roman" w:hAnsi="Times New Roman" w:cs="Times New Roman"/>
          <w:iCs/>
        </w:rPr>
        <w:t>.</w:t>
      </w:r>
      <w:r w:rsidRPr="750671CE">
        <w:rPr>
          <w:rFonts w:ascii="Times New Roman" w:eastAsia="Times New Roman" w:hAnsi="Times New Roman" w:cs="Times New Roman"/>
        </w:rPr>
        <w:t>]</w:t>
      </w:r>
      <w:r w:rsidRPr="750671CE">
        <w:rPr>
          <w:rStyle w:val="FootnoteReference"/>
          <w:rFonts w:ascii="Times New Roman" w:eastAsia="Times New Roman" w:hAnsi="Times New Roman" w:cs="Times New Roman"/>
        </w:rPr>
        <w:footnoteReference w:customMarkFollows="1" w:id="19"/>
        <w:t>8</w:t>
      </w:r>
    </w:p>
    <w:p w14:paraId="3BFE5DF3" w14:textId="77777777" w:rsidR="0019206E" w:rsidRPr="0052300D" w:rsidRDefault="0019206E" w:rsidP="00F94B7E">
      <w:pPr>
        <w:widowControl w:val="0"/>
        <w:autoSpaceDE w:val="0"/>
        <w:autoSpaceDN w:val="0"/>
        <w:adjustRightInd w:val="0"/>
        <w:ind w:right="720"/>
        <w:jc w:val="both"/>
        <w:rPr>
          <w:rFonts w:ascii="Times New Roman" w:hAnsi="Times New Roman" w:cs="Times New Roman"/>
        </w:rPr>
      </w:pPr>
    </w:p>
    <w:p w14:paraId="2866FF55" w14:textId="0FA951DC" w:rsidR="0019206E" w:rsidRPr="0052300D" w:rsidRDefault="750671CE" w:rsidP="00F94B7E">
      <w:pPr>
        <w:widowControl w:val="0"/>
        <w:autoSpaceDE w:val="0"/>
        <w:autoSpaceDN w:val="0"/>
        <w:adjustRightInd w:val="0"/>
        <w:ind w:left="720" w:right="720" w:firstLine="720"/>
        <w:jc w:val="both"/>
        <w:rPr>
          <w:rFonts w:ascii="Times New Roman" w:eastAsia="Times New Roman" w:hAnsi="Times New Roman" w:cs="Times New Roman"/>
        </w:rPr>
      </w:pPr>
      <w:r w:rsidRPr="750671CE">
        <w:rPr>
          <w:rFonts w:ascii="Times New Roman" w:eastAsia="Times New Roman" w:hAnsi="Times New Roman" w:cs="Times New Roman"/>
        </w:rPr>
        <w:t xml:space="preserve">In the final analysis, the circumlocution whether posed in terms of </w:t>
      </w:r>
      <w:r w:rsidR="00B05F31">
        <w:rPr>
          <w:rFonts w:ascii="Times New Roman" w:eastAsia="Times New Roman" w:hAnsi="Times New Roman" w:cs="Times New Roman"/>
        </w:rPr>
        <w:t>“</w:t>
      </w:r>
      <w:r w:rsidRPr="750671CE">
        <w:rPr>
          <w:rFonts w:ascii="Times New Roman" w:eastAsia="Times New Roman" w:hAnsi="Times New Roman" w:cs="Times New Roman"/>
        </w:rPr>
        <w:t>foreseeability,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duty,</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proximate cause,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remoteness,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etc. seems unavoidable. As we have previously noted,[] we return to Judge Andrews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frequently quoted statement in </w:t>
      </w:r>
      <w:r w:rsidRPr="750671CE">
        <w:rPr>
          <w:rFonts w:ascii="Times New Roman" w:eastAsia="Times New Roman" w:hAnsi="Times New Roman" w:cs="Times New Roman"/>
          <w:i/>
          <w:iCs/>
        </w:rPr>
        <w:t>Palsgraf</w:t>
      </w:r>
      <w:r w:rsidRPr="750671CE">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It is all a question of expediency . . . of fair judgment, always keeping in mind the fact that we endeavor to make a rule in each case that will be practical and in keeping with the general understanding of mankind.</w:t>
      </w:r>
      <w:r w:rsidR="00B05F31">
        <w:rPr>
          <w:rFonts w:ascii="Times New Roman" w:eastAsia="Times New Roman" w:hAnsi="Times New Roman" w:cs="Times New Roman"/>
        </w:rPr>
        <w:t>”</w:t>
      </w:r>
    </w:p>
    <w:p w14:paraId="125E215F" w14:textId="77777777" w:rsidR="0019206E" w:rsidRPr="0052300D" w:rsidRDefault="0019206E" w:rsidP="0019206E">
      <w:pPr>
        <w:widowControl w:val="0"/>
        <w:autoSpaceDE w:val="0"/>
        <w:autoSpaceDN w:val="0"/>
        <w:adjustRightInd w:val="0"/>
        <w:ind w:left="720" w:right="720" w:firstLine="720"/>
        <w:rPr>
          <w:rFonts w:ascii="Times New Roman" w:hAnsi="Times New Roman" w:cs="Times New Roman"/>
        </w:rPr>
      </w:pPr>
      <w:r>
        <w:rPr>
          <w:rFonts w:ascii="Times New Roman" w:hAnsi="Times New Roman" w:cs="Times New Roman"/>
        </w:rPr>
        <w:t xml:space="preserve"> </w:t>
      </w:r>
    </w:p>
    <w:p w14:paraId="4032E38C" w14:textId="77777777" w:rsidR="0019206E" w:rsidRPr="0052300D" w:rsidRDefault="750671CE" w:rsidP="750671CE">
      <w:pPr>
        <w:widowControl w:val="0"/>
        <w:autoSpaceDE w:val="0"/>
        <w:autoSpaceDN w:val="0"/>
        <w:adjustRightInd w:val="0"/>
        <w:rPr>
          <w:rFonts w:ascii="Times New Roman" w:eastAsia="Times New Roman" w:hAnsi="Times New Roman" w:cs="Times New Roman"/>
        </w:rPr>
      </w:pPr>
      <w:r w:rsidRPr="750671CE">
        <w:rPr>
          <w:rFonts w:ascii="Times New Roman" w:eastAsia="Times New Roman" w:hAnsi="Times New Roman" w:cs="Times New Roman"/>
          <w:i/>
          <w:iCs/>
        </w:rPr>
        <w:t>Kinsman Transit II</w:t>
      </w:r>
      <w:r w:rsidRPr="750671CE">
        <w:rPr>
          <w:rFonts w:ascii="Times New Roman" w:eastAsia="Times New Roman" w:hAnsi="Times New Roman" w:cs="Times New Roman"/>
        </w:rPr>
        <w:t>, 388 F.2d at 824-25.</w:t>
      </w:r>
    </w:p>
    <w:p w14:paraId="7B5047E0" w14:textId="77777777" w:rsidR="0019206E" w:rsidRDefault="0019206E" w:rsidP="0019206E">
      <w:pPr>
        <w:widowControl w:val="0"/>
        <w:autoSpaceDE w:val="0"/>
        <w:autoSpaceDN w:val="0"/>
        <w:adjustRightInd w:val="0"/>
        <w:rPr>
          <w:rFonts w:ascii="Times New Roman" w:hAnsi="Times New Roman" w:cs="Times New Roman"/>
        </w:rPr>
      </w:pPr>
    </w:p>
    <w:p w14:paraId="51E24A4B" w14:textId="77777777" w:rsidR="0019206E" w:rsidRDefault="0019206E" w:rsidP="0019206E">
      <w:pPr>
        <w:widowControl w:val="0"/>
        <w:autoSpaceDE w:val="0"/>
        <w:autoSpaceDN w:val="0"/>
        <w:adjustRightInd w:val="0"/>
        <w:rPr>
          <w:rFonts w:ascii="Times New Roman" w:hAnsi="Times New Roman" w:cs="Times New Roman"/>
        </w:rPr>
      </w:pPr>
    </w:p>
    <w:p w14:paraId="71490B11" w14:textId="2D15F7A8" w:rsidR="0019206E" w:rsidRPr="00F94B7E" w:rsidRDefault="750671CE" w:rsidP="00F94B7E">
      <w:pPr>
        <w:pStyle w:val="ListParagraph"/>
        <w:widowControl w:val="0"/>
        <w:numPr>
          <w:ilvl w:val="0"/>
          <w:numId w:val="30"/>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An insurance rationale?</w:t>
      </w:r>
      <w:r w:rsidRPr="00F94B7E">
        <w:rPr>
          <w:rFonts w:ascii="Times New Roman" w:eastAsia="Times New Roman" w:hAnsi="Times New Roman" w:cs="Times New Roman"/>
        </w:rPr>
        <w:t xml:space="preserve">  In deliberating over the </w:t>
      </w:r>
      <w:r w:rsidRPr="00F94B7E">
        <w:rPr>
          <w:rFonts w:ascii="Times New Roman" w:eastAsia="Times New Roman" w:hAnsi="Times New Roman" w:cs="Times New Roman"/>
          <w:i/>
          <w:iCs/>
        </w:rPr>
        <w:t>Kinsman Transit</w:t>
      </w:r>
      <w:r w:rsidRPr="00F94B7E">
        <w:rPr>
          <w:rFonts w:ascii="Times New Roman" w:eastAsia="Times New Roman" w:hAnsi="Times New Roman" w:cs="Times New Roman"/>
        </w:rPr>
        <w:t xml:space="preserve"> case, Judge Friendly recommended to his colleagues that insurance should play a role in the case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s resolution. </w:t>
      </w:r>
      <w:r w:rsidR="00B05F31">
        <w:rPr>
          <w:rFonts w:ascii="Times New Roman" w:eastAsia="Times New Roman" w:hAnsi="Times New Roman" w:cs="Times New Roman"/>
        </w:rPr>
        <w:t>“</w:t>
      </w:r>
      <w:r w:rsidRPr="00F94B7E">
        <w:rPr>
          <w:rFonts w:ascii="Times New Roman" w:eastAsia="Times New Roman" w:hAnsi="Times New Roman" w:cs="Times New Roman"/>
        </w:rPr>
        <w:t>If there were any way in which the doctrine could be manipulated so as to correspond with probable insurance that would be fine,</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he wrote, </w:t>
      </w:r>
      <w:r w:rsidR="00B05F31">
        <w:rPr>
          <w:rFonts w:ascii="Times New Roman" w:eastAsia="Times New Roman" w:hAnsi="Times New Roman" w:cs="Times New Roman"/>
        </w:rPr>
        <w:t>“</w:t>
      </w:r>
      <w:r w:rsidRPr="00F94B7E">
        <w:rPr>
          <w:rFonts w:ascii="Times New Roman" w:eastAsia="Times New Roman" w:hAnsi="Times New Roman" w:cs="Times New Roman"/>
        </w:rPr>
        <w:t>and in our case one may guess there to be more likelihood that the property owners were insured against flood damages than that Continental</w:t>
      </w:r>
      <w:r w:rsidR="00B05F31">
        <w:rPr>
          <w:rFonts w:ascii="Times New Roman" w:eastAsia="Times New Roman" w:hAnsi="Times New Roman" w:cs="Times New Roman"/>
        </w:rPr>
        <w:t>’</w:t>
      </w:r>
      <w:r w:rsidRPr="00F94B7E">
        <w:rPr>
          <w:rFonts w:ascii="Times New Roman" w:eastAsia="Times New Roman" w:hAnsi="Times New Roman" w:cs="Times New Roman"/>
        </w:rPr>
        <w:t>s liability insurance would be equal to the strain.</w:t>
      </w:r>
      <w:r w:rsidR="00B05F31">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David M. Dorsen, Henry Friendly: Greatest Judge of His Era</w:t>
      </w:r>
      <w:r w:rsidRPr="00F94B7E">
        <w:rPr>
          <w:rFonts w:ascii="Times New Roman" w:eastAsia="Times New Roman" w:hAnsi="Times New Roman" w:cs="Times New Roman"/>
        </w:rPr>
        <w:t xml:space="preserve"> 309 (2012).  Did Judge Friendly</w:t>
      </w:r>
      <w:r w:rsidR="00B05F31">
        <w:rPr>
          <w:rFonts w:ascii="Times New Roman" w:eastAsia="Times New Roman" w:hAnsi="Times New Roman" w:cs="Times New Roman"/>
        </w:rPr>
        <w:t>’</w:t>
      </w:r>
      <w:r w:rsidRPr="00F94B7E">
        <w:rPr>
          <w:rFonts w:ascii="Times New Roman" w:eastAsia="Times New Roman" w:hAnsi="Times New Roman" w:cs="Times New Roman"/>
        </w:rPr>
        <w:t>s decision succeed in placing losses with the better insured parties?</w:t>
      </w:r>
    </w:p>
    <w:p w14:paraId="1A3A73A1" w14:textId="77777777" w:rsidR="0019206E" w:rsidRPr="0052300D" w:rsidRDefault="0019206E" w:rsidP="0019206E">
      <w:pPr>
        <w:widowControl w:val="0"/>
        <w:autoSpaceDE w:val="0"/>
        <w:autoSpaceDN w:val="0"/>
        <w:adjustRightInd w:val="0"/>
        <w:rPr>
          <w:rFonts w:ascii="Times New Roman" w:hAnsi="Times New Roman" w:cs="Times New Roman"/>
        </w:rPr>
      </w:pPr>
    </w:p>
    <w:p w14:paraId="7BE6396F" w14:textId="77777777" w:rsidR="0019206E" w:rsidRPr="0052300D" w:rsidRDefault="0019206E" w:rsidP="0019206E">
      <w:pPr>
        <w:widowControl w:val="0"/>
        <w:autoSpaceDE w:val="0"/>
        <w:autoSpaceDN w:val="0"/>
        <w:adjustRightInd w:val="0"/>
        <w:rPr>
          <w:rFonts w:ascii="Times New Roman" w:hAnsi="Times New Roman" w:cs="Times New Roman"/>
        </w:rPr>
      </w:pPr>
    </w:p>
    <w:p w14:paraId="4A364000" w14:textId="77777777" w:rsidR="0019206E" w:rsidRPr="003E6E6C" w:rsidRDefault="0019206E" w:rsidP="005A3386">
      <w:pPr>
        <w:pStyle w:val="Heading2"/>
      </w:pPr>
      <w:bookmarkStart w:id="726" w:name="_Toc364636204"/>
      <w:bookmarkStart w:id="727" w:name="_Toc518323439"/>
      <w:r w:rsidRPr="00485FF2">
        <w:t xml:space="preserve">F.  </w:t>
      </w:r>
      <w:r w:rsidRPr="003E6E6C">
        <w:t xml:space="preserve">Proximate Cause </w:t>
      </w:r>
      <w:r>
        <w:t>Beyond</w:t>
      </w:r>
      <w:r w:rsidRPr="003E6E6C">
        <w:t xml:space="preserve"> Torts</w:t>
      </w:r>
      <w:bookmarkEnd w:id="726"/>
      <w:bookmarkEnd w:id="727"/>
    </w:p>
    <w:p w14:paraId="1E421067" w14:textId="77777777" w:rsidR="0019206E" w:rsidRPr="0052300D" w:rsidRDefault="0019206E" w:rsidP="0019206E">
      <w:pPr>
        <w:rPr>
          <w:rFonts w:ascii="Times New Roman" w:hAnsi="Times New Roman" w:cs="Times New Roman"/>
          <w:b/>
        </w:rPr>
      </w:pPr>
    </w:p>
    <w:p w14:paraId="677BEF12" w14:textId="77777777" w:rsidR="0019206E" w:rsidRPr="0052300D" w:rsidRDefault="0019206E" w:rsidP="0019206E">
      <w:pPr>
        <w:rPr>
          <w:rFonts w:ascii="Times New Roman" w:hAnsi="Times New Roman" w:cs="Times New Roman"/>
          <w:b/>
        </w:rPr>
      </w:pPr>
    </w:p>
    <w:p w14:paraId="188F7376" w14:textId="6569EBE1" w:rsidR="0019206E" w:rsidRPr="00757C2B" w:rsidRDefault="0019206E" w:rsidP="00322687">
      <w:pPr>
        <w:pStyle w:val="Heading3"/>
      </w:pPr>
      <w:bookmarkStart w:id="728" w:name="_Toc364636205"/>
      <w:bookmarkStart w:id="729" w:name="_Toc518323440"/>
      <w:r w:rsidRPr="00757C2B">
        <w:t xml:space="preserve">1.  Proximate </w:t>
      </w:r>
      <w:r w:rsidR="000F54C1">
        <w:t>C</w:t>
      </w:r>
      <w:r w:rsidRPr="00757C2B">
        <w:t xml:space="preserve">ause and </w:t>
      </w:r>
      <w:r w:rsidR="000F54C1">
        <w:t>C</w:t>
      </w:r>
      <w:r w:rsidRPr="00757C2B">
        <w:t xml:space="preserve">riminal </w:t>
      </w:r>
      <w:r w:rsidR="000F54C1">
        <w:t>L</w:t>
      </w:r>
      <w:r w:rsidRPr="00757C2B">
        <w:t>aw</w:t>
      </w:r>
      <w:bookmarkEnd w:id="728"/>
      <w:bookmarkEnd w:id="729"/>
    </w:p>
    <w:p w14:paraId="524D3B40" w14:textId="77777777" w:rsidR="0019206E" w:rsidRPr="0052300D" w:rsidRDefault="0019206E" w:rsidP="0019206E">
      <w:pPr>
        <w:rPr>
          <w:rFonts w:ascii="Times New Roman" w:hAnsi="Times New Roman" w:cs="Times New Roman"/>
          <w:b/>
        </w:rPr>
      </w:pPr>
    </w:p>
    <w:p w14:paraId="77E6E7BB" w14:textId="296034D0"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Proximate causation is an issue that courts wrestle with in contexts outside of torts. For example, the </w:t>
      </w:r>
      <w:r w:rsidR="00B05F31">
        <w:rPr>
          <w:rFonts w:ascii="Times New Roman" w:eastAsia="Times New Roman" w:hAnsi="Times New Roman" w:cs="Times New Roman"/>
        </w:rPr>
        <w:t>“</w:t>
      </w:r>
      <w:r w:rsidRPr="750671CE">
        <w:rPr>
          <w:rFonts w:ascii="Times New Roman" w:eastAsia="Times New Roman" w:hAnsi="Times New Roman" w:cs="Times New Roman"/>
        </w:rPr>
        <w:t>exclusionary rule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in criminal law generally holds that evidence obtained in violation of the Fourth Amendment is inadmissible. For example, in </w:t>
      </w:r>
      <w:r w:rsidRPr="750671CE">
        <w:rPr>
          <w:rFonts w:ascii="Times New Roman" w:eastAsia="Times New Roman" w:hAnsi="Times New Roman" w:cs="Times New Roman"/>
          <w:i/>
          <w:iCs/>
        </w:rPr>
        <w:t>Hudson v. Michigan</w:t>
      </w:r>
      <w:r w:rsidRPr="750671CE">
        <w:rPr>
          <w:rFonts w:ascii="Times New Roman" w:eastAsia="Times New Roman" w:hAnsi="Times New Roman" w:cs="Times New Roman"/>
        </w:rPr>
        <w:t>,</w:t>
      </w:r>
      <w:r w:rsidRPr="750671CE">
        <w:rPr>
          <w:rFonts w:ascii="Times New Roman" w:eastAsia="Times New Roman" w:hAnsi="Times New Roman" w:cs="Times New Roman"/>
          <w:i/>
          <w:iCs/>
        </w:rPr>
        <w:t xml:space="preserve"> </w:t>
      </w:r>
      <w:r w:rsidRPr="750671CE">
        <w:rPr>
          <w:rFonts w:ascii="Times New Roman" w:eastAsia="Times New Roman" w:hAnsi="Times New Roman" w:cs="Times New Roman"/>
        </w:rPr>
        <w:t xml:space="preserve">547 U.S. 586 (2006), a criminal defendant was convicted based on a search of his house that revealed large quantities of guns and firearms. However, the police violated the </w:t>
      </w:r>
      <w:r w:rsidR="00B05F31">
        <w:rPr>
          <w:rFonts w:ascii="Times New Roman" w:eastAsia="Times New Roman" w:hAnsi="Times New Roman" w:cs="Times New Roman"/>
        </w:rPr>
        <w:t>“</w:t>
      </w:r>
      <w:r w:rsidRPr="750671CE">
        <w:rPr>
          <w:rFonts w:ascii="Times New Roman" w:eastAsia="Times New Roman" w:hAnsi="Times New Roman" w:cs="Times New Roman"/>
        </w:rPr>
        <w:t>knock and announce</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rPr>
          <w:rFonts w:ascii="Times New Roman" w:eastAsia="Times New Roman" w:hAnsi="Times New Roman" w:cs="Times New Roman"/>
        </w:rPr>
        <w:t>“</w:t>
      </w:r>
      <w:r w:rsidRPr="750671CE">
        <w:rPr>
          <w:rFonts w:ascii="Times New Roman" w:eastAsia="Times New Roman" w:hAnsi="Times New Roman" w:cs="Times New Roman"/>
        </w:rPr>
        <w:t>taint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illegality. Justice Scalia, writing for the Court, explained that </w:t>
      </w:r>
      <w:r w:rsidR="00B05F31">
        <w:rPr>
          <w:rFonts w:ascii="Times New Roman" w:eastAsia="Times New Roman" w:hAnsi="Times New Roman" w:cs="Times New Roman"/>
        </w:rPr>
        <w:t>“</w:t>
      </w:r>
      <w:r w:rsidRPr="750671CE">
        <w:rPr>
          <w:rFonts w:ascii="Times New Roman" w:eastAsia="Times New Roman" w:hAnsi="Times New Roman" w:cs="Times New Roman"/>
        </w:rPr>
        <w:t>but-for causality is only a necessary, not sufficient, condition for suppression</w:t>
      </w:r>
      <w:r w:rsidR="004B4ADE">
        <w:rPr>
          <w:rFonts w:ascii="Times New Roman" w:eastAsia="Times New Roman" w:hAnsi="Times New Roman" w:cs="Times New Roman"/>
        </w:rPr>
        <w:t xml:space="preserve"> </w:t>
      </w:r>
      <w:r w:rsidRPr="750671CE">
        <w:rPr>
          <w:rFonts w:ascii="Times New Roman" w:eastAsia="Times New Roman" w:hAnsi="Times New Roman" w:cs="Times New Roman"/>
        </w:rPr>
        <w:t>. . . [because it] can be too attenuated to justify exclusion.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He dictated a balancing test to determine whether the exclusion</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s </w:t>
      </w:r>
      <w:r w:rsidR="00B05F31">
        <w:rPr>
          <w:rFonts w:ascii="Times New Roman" w:eastAsia="Times New Roman" w:hAnsi="Times New Roman" w:cs="Times New Roman"/>
        </w:rPr>
        <w:t>“</w:t>
      </w:r>
      <w:r w:rsidRPr="750671CE">
        <w:rPr>
          <w:rFonts w:ascii="Times New Roman" w:eastAsia="Times New Roman" w:hAnsi="Times New Roman" w:cs="Times New Roman"/>
        </w:rPr>
        <w:t>deterrence benefits outweigh its substantial social costs</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of potentially letting guilty defendants avoid conviction to limit excessive exclusion. There are similar proximate cause devices in statutory regimes, including limiting damages in RICO (Racketeer Influenced and Corrupt Organizations Act) cases</w:t>
      </w:r>
      <w:r w:rsidR="00EF1A21">
        <w:rPr>
          <w:rFonts w:ascii="Times New Roman" w:eastAsia="Times New Roman" w:hAnsi="Times New Roman" w:cs="Times New Roman"/>
        </w:rPr>
        <w:t xml:space="preserve">, </w:t>
      </w:r>
      <w:r w:rsidRPr="750671CE">
        <w:rPr>
          <w:rFonts w:ascii="Times New Roman" w:eastAsia="Times New Roman" w:hAnsi="Times New Roman" w:cs="Times New Roman"/>
          <w:i/>
          <w:iCs/>
        </w:rPr>
        <w:t>Holmes v. Sec. Investor Prot. Corp.</w:t>
      </w:r>
      <w:r w:rsidRPr="750671CE">
        <w:rPr>
          <w:rFonts w:ascii="Times New Roman" w:eastAsia="Times New Roman" w:hAnsi="Times New Roman" w:cs="Times New Roman"/>
        </w:rPr>
        <w:t>, 503 U.S. 258 (1992)</w:t>
      </w:r>
      <w:r w:rsidR="00EF1A21">
        <w:rPr>
          <w:rFonts w:ascii="Times New Roman" w:eastAsia="Times New Roman" w:hAnsi="Times New Roman" w:cs="Times New Roman"/>
        </w:rPr>
        <w:t>,</w:t>
      </w:r>
      <w:r w:rsidRPr="750671CE">
        <w:rPr>
          <w:rFonts w:ascii="Times New Roman" w:eastAsia="Times New Roman" w:hAnsi="Times New Roman" w:cs="Times New Roman"/>
        </w:rPr>
        <w:t xml:space="preserve"> and antitrust cases</w:t>
      </w:r>
      <w:r w:rsidR="00EF1A21">
        <w:rPr>
          <w:rFonts w:ascii="Times New Roman" w:eastAsia="Times New Roman" w:hAnsi="Times New Roman" w:cs="Times New Roman"/>
        </w:rPr>
        <w:t>,</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Associated General Contractors v. Cal. State Council of Carpenters</w:t>
      </w:r>
      <w:r w:rsidRPr="750671CE">
        <w:rPr>
          <w:rFonts w:ascii="Times New Roman" w:eastAsia="Times New Roman" w:hAnsi="Times New Roman" w:cs="Times New Roman"/>
        </w:rPr>
        <w:t xml:space="preserve">, 459 U.S. 519 (1983). For a broader discussion of proximate cause in other contexts, see Sandra Sperino, </w:t>
      </w:r>
      <w:r w:rsidRPr="750671CE">
        <w:rPr>
          <w:rFonts w:ascii="Times New Roman" w:eastAsia="Times New Roman" w:hAnsi="Times New Roman" w:cs="Times New Roman"/>
          <w:i/>
          <w:iCs/>
        </w:rPr>
        <w:t>Statutory Proximate Cause</w:t>
      </w:r>
      <w:r w:rsidRPr="750671CE">
        <w:rPr>
          <w:rFonts w:ascii="Times New Roman" w:eastAsia="Times New Roman" w:hAnsi="Times New Roman" w:cs="Times New Roman"/>
        </w:rPr>
        <w:t xml:space="preserve">, 88 </w:t>
      </w:r>
      <w:r w:rsidRPr="750671CE">
        <w:rPr>
          <w:rFonts w:ascii="Times New Roman" w:eastAsia="Times New Roman" w:hAnsi="Times New Roman" w:cs="Times New Roman"/>
          <w:smallCaps/>
        </w:rPr>
        <w:t>Notre Dame L. Rev.</w:t>
      </w:r>
      <w:r w:rsidRPr="750671CE">
        <w:rPr>
          <w:rFonts w:ascii="Times New Roman" w:eastAsia="Times New Roman" w:hAnsi="Times New Roman" w:cs="Times New Roman"/>
        </w:rPr>
        <w:t xml:space="preserve"> 1199 (2013).</w:t>
      </w:r>
    </w:p>
    <w:p w14:paraId="7054D6D5" w14:textId="77777777" w:rsidR="0019206E" w:rsidRPr="0052300D" w:rsidRDefault="0019206E" w:rsidP="0019206E">
      <w:pPr>
        <w:rPr>
          <w:rFonts w:ascii="Times New Roman" w:hAnsi="Times New Roman" w:cs="Times New Roman"/>
        </w:rPr>
      </w:pPr>
    </w:p>
    <w:p w14:paraId="01C2AAC9" w14:textId="77777777" w:rsidR="0019206E" w:rsidRPr="0052300D" w:rsidRDefault="0019206E" w:rsidP="0019206E">
      <w:pPr>
        <w:rPr>
          <w:rFonts w:ascii="Times New Roman" w:hAnsi="Times New Roman" w:cs="Times New Roman"/>
        </w:rPr>
      </w:pPr>
    </w:p>
    <w:p w14:paraId="241E88CF" w14:textId="77777777" w:rsidR="0019206E" w:rsidRPr="00757C2B" w:rsidRDefault="0019206E" w:rsidP="00322687">
      <w:pPr>
        <w:pStyle w:val="Heading3"/>
      </w:pPr>
      <w:bookmarkStart w:id="730" w:name="_Toc364636206"/>
      <w:bookmarkStart w:id="731" w:name="_Toc518323441"/>
      <w:r w:rsidRPr="00757C2B">
        <w:t>2.  Proximate Cause and Consequential Damages</w:t>
      </w:r>
      <w:bookmarkEnd w:id="730"/>
      <w:bookmarkEnd w:id="731"/>
    </w:p>
    <w:p w14:paraId="427331FC" w14:textId="77777777" w:rsidR="0019206E" w:rsidRPr="0052300D" w:rsidRDefault="0019206E" w:rsidP="0019206E">
      <w:pPr>
        <w:rPr>
          <w:rFonts w:ascii="Times New Roman" w:hAnsi="Times New Roman" w:cs="Times New Roman"/>
        </w:rPr>
      </w:pPr>
    </w:p>
    <w:p w14:paraId="585177A6" w14:textId="6531B131"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The famous contracts case, </w:t>
      </w:r>
      <w:r w:rsidRPr="750671CE">
        <w:rPr>
          <w:rFonts w:ascii="Times New Roman" w:eastAsia="Times New Roman" w:hAnsi="Times New Roman" w:cs="Times New Roman"/>
          <w:i/>
          <w:iCs/>
        </w:rPr>
        <w:t>Hadley v. Baxendale</w:t>
      </w:r>
      <w:r w:rsidRPr="750671CE">
        <w:rPr>
          <w:rFonts w:ascii="Times New Roman" w:eastAsia="Times New Roman" w:hAnsi="Times New Roman" w:cs="Times New Roman"/>
        </w:rPr>
        <w:t>, is commonly cited for the proposition that a breaching party in a contract is only liable for those damages that arise naturally from the breach</w:t>
      </w:r>
      <w:r w:rsidR="00295FEE">
        <w:rPr>
          <w:rFonts w:ascii="Times New Roman" w:eastAsia="Times New Roman" w:hAnsi="Times New Roman" w:cs="Times New Roman"/>
        </w:rPr>
        <w:t xml:space="preserve">, or which might “reasonably be supposed to have been </w:t>
      </w:r>
      <w:r w:rsidR="009B5366">
        <w:rPr>
          <w:rFonts w:ascii="Times New Roman" w:eastAsia="Times New Roman" w:hAnsi="Times New Roman" w:cs="Times New Roman"/>
        </w:rPr>
        <w:t>in the contemplation of both parties, a</w:t>
      </w:r>
      <w:r w:rsidR="003A38FD">
        <w:rPr>
          <w:rFonts w:ascii="Times New Roman" w:eastAsia="Times New Roman" w:hAnsi="Times New Roman" w:cs="Times New Roman"/>
        </w:rPr>
        <w:t>t</w:t>
      </w:r>
      <w:r w:rsidR="009B5366">
        <w:rPr>
          <w:rFonts w:ascii="Times New Roman" w:eastAsia="Times New Roman" w:hAnsi="Times New Roman" w:cs="Times New Roman"/>
        </w:rPr>
        <w:t xml:space="preserve"> the t</w:t>
      </w:r>
      <w:r w:rsidR="003A38FD">
        <w:rPr>
          <w:rFonts w:ascii="Times New Roman" w:eastAsia="Times New Roman" w:hAnsi="Times New Roman" w:cs="Times New Roman"/>
        </w:rPr>
        <w:t>i</w:t>
      </w:r>
      <w:r w:rsidR="009B5366">
        <w:rPr>
          <w:rFonts w:ascii="Times New Roman" w:eastAsia="Times New Roman" w:hAnsi="Times New Roman" w:cs="Times New Roman"/>
        </w:rPr>
        <w:t>me they made the contrac</w:t>
      </w:r>
      <w:r w:rsidR="003A38FD">
        <w:rPr>
          <w:rFonts w:ascii="Times New Roman" w:eastAsia="Times New Roman" w:hAnsi="Times New Roman" w:cs="Times New Roman"/>
        </w:rPr>
        <w:t>t</w:t>
      </w:r>
      <w:r w:rsidR="009B5366">
        <w:rPr>
          <w:rFonts w:ascii="Times New Roman" w:eastAsia="Times New Roman" w:hAnsi="Times New Roman" w:cs="Times New Roman"/>
        </w:rPr>
        <w:t>, as the probable result of the breach of it</w:t>
      </w:r>
      <w:r w:rsidRPr="750671CE">
        <w:rPr>
          <w:rFonts w:ascii="Times New Roman" w:eastAsia="Times New Roman" w:hAnsi="Times New Roman" w:cs="Times New Roman"/>
        </w:rPr>
        <w:t>.</w:t>
      </w:r>
      <w:r w:rsidR="009B5366">
        <w:rPr>
          <w:rFonts w:ascii="Times New Roman" w:eastAsia="Times New Roman" w:hAnsi="Times New Roman" w:cs="Times New Roman"/>
        </w:rPr>
        <w:t>”  The</w:t>
      </w:r>
      <w:r w:rsidRPr="750671CE">
        <w:rPr>
          <w:rFonts w:ascii="Times New Roman" w:eastAsia="Times New Roman" w:hAnsi="Times New Roman" w:cs="Times New Roman"/>
        </w:rPr>
        <w:t>s</w:t>
      </w:r>
      <w:r w:rsidR="009B5366">
        <w:rPr>
          <w:rFonts w:ascii="Times New Roman" w:eastAsia="Times New Roman" w:hAnsi="Times New Roman" w:cs="Times New Roman"/>
        </w:rPr>
        <w:t>e</w:t>
      </w:r>
      <w:r w:rsidRPr="750671CE">
        <w:rPr>
          <w:rFonts w:ascii="Times New Roman" w:eastAsia="Times New Roman" w:hAnsi="Times New Roman" w:cs="Times New Roman"/>
        </w:rPr>
        <w:t xml:space="preserve"> formulation</w:t>
      </w:r>
      <w:r w:rsidR="009B5366">
        <w:rPr>
          <w:rFonts w:ascii="Times New Roman" w:eastAsia="Times New Roman" w:hAnsi="Times New Roman" w:cs="Times New Roman"/>
        </w:rPr>
        <w:t>s</w:t>
      </w:r>
      <w:r w:rsidRPr="750671CE">
        <w:rPr>
          <w:rFonts w:ascii="Times New Roman" w:eastAsia="Times New Roman" w:hAnsi="Times New Roman" w:cs="Times New Roman"/>
        </w:rPr>
        <w:t xml:space="preserve"> </w:t>
      </w:r>
      <w:r w:rsidR="009B5366">
        <w:rPr>
          <w:rFonts w:ascii="Times New Roman" w:eastAsia="Times New Roman" w:hAnsi="Times New Roman" w:cs="Times New Roman"/>
        </w:rPr>
        <w:t xml:space="preserve"> (</w:t>
      </w:r>
      <w:r w:rsidR="00B05F31">
        <w:rPr>
          <w:rFonts w:ascii="Times New Roman" w:eastAsia="Times New Roman" w:hAnsi="Times New Roman" w:cs="Times New Roman"/>
        </w:rPr>
        <w:t>“</w:t>
      </w:r>
      <w:r w:rsidRPr="750671CE">
        <w:rPr>
          <w:rFonts w:ascii="Times New Roman" w:eastAsia="Times New Roman" w:hAnsi="Times New Roman" w:cs="Times New Roman"/>
        </w:rPr>
        <w:t>arising naturally</w:t>
      </w:r>
      <w:r w:rsidR="009B5366">
        <w:rPr>
          <w:rFonts w:ascii="Times New Roman" w:eastAsia="Times New Roman" w:hAnsi="Times New Roman" w:cs="Times New Roman"/>
        </w:rPr>
        <w:t>,</w:t>
      </w:r>
      <w:r w:rsidR="00B05F31">
        <w:rPr>
          <w:rFonts w:ascii="Times New Roman" w:eastAsia="Times New Roman" w:hAnsi="Times New Roman" w:cs="Times New Roman"/>
        </w:rPr>
        <w:t>”</w:t>
      </w:r>
      <w:r w:rsidRPr="750671CE">
        <w:rPr>
          <w:rFonts w:ascii="Times New Roman" w:eastAsia="Times New Roman" w:hAnsi="Times New Roman" w:cs="Times New Roman"/>
        </w:rPr>
        <w:t xml:space="preserve"> </w:t>
      </w:r>
      <w:r w:rsidR="009B5366">
        <w:rPr>
          <w:rFonts w:ascii="Times New Roman" w:eastAsia="Times New Roman" w:hAnsi="Times New Roman" w:cs="Times New Roman"/>
        </w:rPr>
        <w:t xml:space="preserve">“reasonably . . . in the contemplation,” and “probable result”) </w:t>
      </w:r>
      <w:r w:rsidRPr="750671CE">
        <w:rPr>
          <w:rFonts w:ascii="Times New Roman" w:eastAsia="Times New Roman" w:hAnsi="Times New Roman" w:cs="Times New Roman"/>
        </w:rPr>
        <w:t>sou</w:t>
      </w:r>
      <w:r w:rsidR="009B5366">
        <w:rPr>
          <w:rFonts w:ascii="Times New Roman" w:eastAsia="Times New Roman" w:hAnsi="Times New Roman" w:cs="Times New Roman"/>
        </w:rPr>
        <w:t>nd</w:t>
      </w:r>
      <w:r w:rsidRPr="750671CE">
        <w:rPr>
          <w:rFonts w:ascii="Times New Roman" w:eastAsia="Times New Roman" w:hAnsi="Times New Roman" w:cs="Times New Roman"/>
        </w:rPr>
        <w:t xml:space="preserve"> quite similar to cases on proximate cause</w:t>
      </w:r>
      <w:r w:rsidR="009B5366">
        <w:rPr>
          <w:rFonts w:ascii="Times New Roman" w:eastAsia="Times New Roman" w:hAnsi="Times New Roman" w:cs="Times New Roman"/>
        </w:rPr>
        <w:t xml:space="preserve"> that</w:t>
      </w:r>
      <w:r w:rsidRPr="750671CE">
        <w:rPr>
          <w:rFonts w:ascii="Times New Roman" w:eastAsia="Times New Roman" w:hAnsi="Times New Roman" w:cs="Times New Roman"/>
        </w:rPr>
        <w:t xml:space="preserve"> used language like ordinary and natural, direct consequences, foreseeability, etc. The conventional wisdom</w:t>
      </w:r>
      <w:r w:rsidR="009B5366">
        <w:rPr>
          <w:rFonts w:ascii="Times New Roman" w:eastAsia="Times New Roman" w:hAnsi="Times New Roman" w:cs="Times New Roman"/>
        </w:rPr>
        <w:t>, however,</w:t>
      </w:r>
      <w:r w:rsidRPr="750671CE">
        <w:rPr>
          <w:rFonts w:ascii="Times New Roman" w:eastAsia="Times New Roman" w:hAnsi="Times New Roman" w:cs="Times New Roman"/>
        </w:rPr>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750671CE">
        <w:rPr>
          <w:rFonts w:ascii="Times New Roman" w:eastAsia="Times New Roman" w:hAnsi="Times New Roman" w:cs="Times New Roman"/>
          <w:i/>
          <w:iCs/>
        </w:rPr>
        <w:t>Hadley v. Baxendale</w:t>
      </w:r>
      <w:r w:rsidRPr="750671CE">
        <w:rPr>
          <w:rFonts w:ascii="Times New Roman" w:eastAsia="Times New Roman" w:hAnsi="Times New Roman" w:cs="Times New Roman"/>
        </w:rPr>
        <w:t xml:space="preserve">.  </w:t>
      </w:r>
      <w:r w:rsidRPr="750671CE">
        <w:rPr>
          <w:rFonts w:ascii="Times New Roman" w:eastAsia="Times New Roman" w:hAnsi="Times New Roman" w:cs="Times New Roman"/>
          <w:i/>
          <w:iCs/>
        </w:rPr>
        <w:t>See</w:t>
      </w:r>
      <w:r w:rsidRPr="750671CE">
        <w:rPr>
          <w:rFonts w:ascii="Times New Roman" w:eastAsia="Times New Roman" w:hAnsi="Times New Roman" w:cs="Times New Roman"/>
        </w:rPr>
        <w:t xml:space="preserve"> Banks McDowell, </w:t>
      </w:r>
      <w:r w:rsidRPr="750671CE">
        <w:rPr>
          <w:rFonts w:ascii="Times New Roman" w:eastAsia="Times New Roman" w:hAnsi="Times New Roman" w:cs="Times New Roman"/>
          <w:i/>
          <w:iCs/>
        </w:rPr>
        <w:t>Foreseeability in Contract and Tort: The Problems of Responsibility and Remoteness</w:t>
      </w:r>
      <w:r w:rsidRPr="750671CE">
        <w:rPr>
          <w:rFonts w:ascii="Times New Roman" w:eastAsia="Times New Roman" w:hAnsi="Times New Roman" w:cs="Times New Roman"/>
        </w:rPr>
        <w:t xml:space="preserve">, 26 </w:t>
      </w:r>
      <w:r w:rsidRPr="750671CE">
        <w:rPr>
          <w:rFonts w:ascii="Times New Roman" w:eastAsia="Times New Roman" w:hAnsi="Times New Roman" w:cs="Times New Roman"/>
          <w:smallCaps/>
        </w:rPr>
        <w:t xml:space="preserve">Case. W. Res. L. Rev. </w:t>
      </w:r>
      <w:r w:rsidRPr="750671CE">
        <w:rPr>
          <w:rFonts w:ascii="Times New Roman" w:eastAsia="Times New Roman" w:hAnsi="Times New Roman" w:cs="Times New Roman"/>
        </w:rPr>
        <w:t xml:space="preserve">286 (1985). </w:t>
      </w:r>
    </w:p>
    <w:p w14:paraId="4867F2BF" w14:textId="77777777" w:rsidR="0019206E" w:rsidRPr="0052300D" w:rsidRDefault="0019206E" w:rsidP="0019206E">
      <w:pPr>
        <w:ind w:firstLine="720"/>
        <w:rPr>
          <w:rFonts w:ascii="Times New Roman" w:hAnsi="Times New Roman" w:cs="Times New Roman"/>
        </w:rPr>
      </w:pPr>
    </w:p>
    <w:p w14:paraId="56D86240" w14:textId="4CA4B120" w:rsidR="0019206E" w:rsidRPr="0052300D" w:rsidRDefault="750671CE" w:rsidP="750671CE">
      <w:pPr>
        <w:ind w:firstLine="720"/>
        <w:rPr>
          <w:rFonts w:ascii="Times New Roman" w:eastAsia="Times New Roman" w:hAnsi="Times New Roman" w:cs="Times New Roman"/>
        </w:rPr>
      </w:pPr>
      <w:r w:rsidRPr="750671CE">
        <w:rPr>
          <w:rFonts w:ascii="Times New Roman" w:eastAsia="Times New Roman" w:hAnsi="Times New Roman" w:cs="Times New Roman"/>
        </w:rPr>
        <w:t xml:space="preserve"> Does it make sense to have different foreseeability standards for different causes of action</w:t>
      </w:r>
      <w:r w:rsidR="00EF1A21">
        <w:rPr>
          <w:rFonts w:ascii="Times New Roman" w:eastAsia="Times New Roman" w:hAnsi="Times New Roman" w:cs="Times New Roman"/>
        </w:rPr>
        <w:t>—</w:t>
      </w:r>
      <w:r w:rsidRPr="750671CE">
        <w:rPr>
          <w:rFonts w:ascii="Times New Roman" w:eastAsia="Times New Roman" w:hAnsi="Times New Roman" w:cs="Times New Roman"/>
        </w:rPr>
        <w:t>sometimes causes of action (as in products liability cases) that may appear in the same complaint? Why should contracts have a stricter foreseeability standard than torts?</w:t>
      </w:r>
    </w:p>
    <w:p w14:paraId="125AB353" w14:textId="2525D475" w:rsidR="00FA3CF9" w:rsidRDefault="00FA3CF9">
      <w:pPr>
        <w:rPr>
          <w:rFonts w:ascii="Times New Roman" w:hAnsi="Times New Roman" w:cs="Times New Roman"/>
          <w:u w:val="single"/>
        </w:rPr>
      </w:pPr>
      <w:r>
        <w:rPr>
          <w:rFonts w:ascii="Times New Roman" w:hAnsi="Times New Roman" w:cs="Times New Roman"/>
          <w:u w:val="single"/>
        </w:rPr>
        <w:br w:type="page"/>
      </w:r>
    </w:p>
    <w:p w14:paraId="1D535D3D" w14:textId="77777777" w:rsidR="00FF20BE" w:rsidRDefault="00FF20BE" w:rsidP="00296689">
      <w:pPr>
        <w:pStyle w:val="Heading1"/>
        <w:sectPr w:rsidR="00FF20BE" w:rsidSect="00080A6E">
          <w:headerReference w:type="default" r:id="rId64"/>
          <w:pgSz w:w="12240" w:h="15840"/>
          <w:pgMar w:top="1440" w:right="1800" w:bottom="1440" w:left="1800" w:header="720" w:footer="720" w:gutter="0"/>
          <w:cols w:space="720"/>
          <w:noEndnote/>
          <w:titlePg/>
        </w:sectPr>
      </w:pPr>
    </w:p>
    <w:p w14:paraId="3DCDA10E" w14:textId="45F684D9" w:rsidR="00FA3CF9" w:rsidRPr="00F349EC" w:rsidRDefault="750671CE" w:rsidP="00296689">
      <w:pPr>
        <w:pStyle w:val="Heading1"/>
      </w:pPr>
      <w:bookmarkStart w:id="732" w:name="_Toc364636207"/>
      <w:bookmarkStart w:id="733" w:name="_Toc518323442"/>
      <w:r w:rsidRPr="00F349EC">
        <w:t>CHAPTER 8.  THE DUTY PROBLEM</w:t>
      </w:r>
      <w:bookmarkEnd w:id="732"/>
      <w:bookmarkEnd w:id="733"/>
    </w:p>
    <w:p w14:paraId="14A866B6" w14:textId="77777777" w:rsidR="00FA3CF9" w:rsidRPr="00F94B7E" w:rsidRDefault="00FA3CF9">
      <w:pPr>
        <w:rPr>
          <w:rFonts w:ascii="Times New Roman" w:hAnsi="Times New Roman" w:cs="Times New Roman"/>
        </w:rPr>
      </w:pPr>
    </w:p>
    <w:p w14:paraId="1B7918AE" w14:textId="77777777" w:rsidR="00FA3CF9" w:rsidRPr="00F349EC" w:rsidRDefault="00FA3CF9">
      <w:pPr>
        <w:rPr>
          <w:rFonts w:ascii="Times New Roman" w:hAnsi="Times New Roman" w:cs="Times New Roman"/>
        </w:rPr>
      </w:pPr>
    </w:p>
    <w:p w14:paraId="0FB48668" w14:textId="7F8EBA25"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We have now walked through the basic steps of the tort cause of action in most unintentional torts case.  It turns out, however, that there is still one more hurdle for the enterprising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lawyer and her client.  For even when a defendant has acted negligently, and even when that negligent action was a necessary antecedent and a legal cause of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B06D0A" w:rsidRDefault="00FA3CF9">
      <w:pPr>
        <w:rPr>
          <w:rFonts w:ascii="Times New Roman" w:hAnsi="Times New Roman" w:cs="Times New Roman"/>
        </w:rPr>
      </w:pPr>
    </w:p>
    <w:p w14:paraId="3FB88FCD" w14:textId="00197B5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corrective justice project. </w:t>
      </w:r>
    </w:p>
    <w:p w14:paraId="267179ED" w14:textId="77777777" w:rsidR="00FA3CF9" w:rsidRPr="00B06D0A" w:rsidRDefault="00FA3CF9">
      <w:pPr>
        <w:rPr>
          <w:rFonts w:ascii="Times New Roman" w:hAnsi="Times New Roman" w:cs="Times New Roman"/>
        </w:rPr>
      </w:pPr>
    </w:p>
    <w:p w14:paraId="6A5F3364" w14:textId="652C06B1"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 One thing that the defenders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argument has going for it is that historically, there have been an extraordinary array of areas in our social life to which the common law of torts attaches a special limited tort duty of care</w:t>
      </w:r>
      <w:r w:rsidR="008439A5" w:rsidRPr="00B06D0A">
        <w:rPr>
          <w:rFonts w:ascii="Times New Roman" w:eastAsia="Times New Roman" w:hAnsi="Times New Roman" w:cs="Times New Roman"/>
        </w:rPr>
        <w:t>—</w:t>
      </w:r>
      <w:r w:rsidRPr="00B06D0A">
        <w:rPr>
          <w:rFonts w:ascii="Times New Roman" w:eastAsia="Times New Roman" w:hAnsi="Times New Roman" w:cs="Times New Roman"/>
        </w:rPr>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B06D0A" w:rsidRDefault="00FA3CF9">
      <w:pPr>
        <w:rPr>
          <w:rFonts w:ascii="Times New Roman" w:hAnsi="Times New Roman" w:cs="Times New Roman"/>
        </w:rPr>
      </w:pPr>
    </w:p>
    <w:p w14:paraId="722BB757"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F94B7E">
        <w:rPr>
          <w:rFonts w:ascii="Times New Roman" w:eastAsia="Times New Roman" w:hAnsi="Times New Roman" w:cs="Times New Roman"/>
          <w:i/>
        </w:rPr>
        <w:t>See</w:t>
      </w:r>
      <w:r w:rsidRPr="00B06D0A">
        <w:rPr>
          <w:rFonts w:ascii="Times New Roman" w:eastAsia="Times New Roman" w:hAnsi="Times New Roman" w:cs="Times New Roman"/>
        </w:rPr>
        <w:t xml:space="preserve"> Robert L. Rabin, </w:t>
      </w:r>
      <w:r w:rsidRPr="00B06D0A">
        <w:rPr>
          <w:rFonts w:ascii="Times New Roman" w:eastAsia="Times New Roman" w:hAnsi="Times New Roman" w:cs="Times New Roman"/>
          <w:i/>
          <w:iCs/>
        </w:rPr>
        <w:t>The Historical Development of the Fault Principle: A Reinterpretation</w:t>
      </w:r>
      <w:r w:rsidRPr="00B06D0A">
        <w:rPr>
          <w:rFonts w:ascii="Times New Roman" w:eastAsia="Times New Roman" w:hAnsi="Times New Roman" w:cs="Times New Roman"/>
        </w:rPr>
        <w:t xml:space="preserve">, 15 </w:t>
      </w:r>
      <w:r w:rsidRPr="00B06D0A">
        <w:rPr>
          <w:rFonts w:ascii="Times New Roman" w:eastAsia="Times New Roman" w:hAnsi="Times New Roman" w:cs="Times New Roman"/>
          <w:smallCaps/>
        </w:rPr>
        <w:t>Ga. L. Rev.</w:t>
      </w:r>
      <w:r w:rsidRPr="00B06D0A">
        <w:rPr>
          <w:rFonts w:ascii="Times New Roman" w:eastAsia="Times New Roman" w:hAnsi="Times New Roman" w:cs="Times New Roman"/>
        </w:rPr>
        <w:t xml:space="preserve"> 925 (1981).</w:t>
      </w:r>
    </w:p>
    <w:p w14:paraId="122574ED" w14:textId="77777777" w:rsidR="00FA3CF9" w:rsidRPr="00B06D0A" w:rsidRDefault="00FA3CF9">
      <w:pPr>
        <w:rPr>
          <w:rFonts w:ascii="Times New Roman" w:hAnsi="Times New Roman" w:cs="Times New Roman"/>
        </w:rPr>
      </w:pPr>
    </w:p>
    <w:p w14:paraId="4203665D"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F349EC" w:rsidRDefault="00FA3CF9" w:rsidP="00F349EC">
      <w:pPr>
        <w:ind w:firstLine="720"/>
        <w:rPr>
          <w:rFonts w:ascii="Times New Roman" w:hAnsi="Times New Roman" w:cs="Times New Roman"/>
        </w:rPr>
      </w:pPr>
    </w:p>
    <w:p w14:paraId="5E5B8A8C" w14:textId="77777777" w:rsidR="00FA3CF9" w:rsidRPr="00B06D0A" w:rsidRDefault="00FA3CF9">
      <w:pPr>
        <w:rPr>
          <w:rFonts w:ascii="Times New Roman" w:hAnsi="Times New Roman" w:cs="Times New Roman"/>
        </w:rPr>
      </w:pPr>
    </w:p>
    <w:p w14:paraId="78DEFAAB" w14:textId="77777777" w:rsidR="00FA3CF9" w:rsidRPr="00B06D0A" w:rsidRDefault="00FA3CF9">
      <w:pPr>
        <w:rPr>
          <w:rFonts w:ascii="Times New Roman" w:hAnsi="Times New Roman" w:cs="Times New Roman"/>
        </w:rPr>
      </w:pPr>
    </w:p>
    <w:p w14:paraId="1D435BD9" w14:textId="77777777" w:rsidR="00FA3CF9" w:rsidRPr="00B06D0A" w:rsidRDefault="00FA3CF9">
      <w:pPr>
        <w:rPr>
          <w:rFonts w:ascii="Times New Roman" w:hAnsi="Times New Roman" w:cs="Times New Roman"/>
        </w:rPr>
      </w:pPr>
    </w:p>
    <w:p w14:paraId="3C2752B3" w14:textId="3CA3CDD9" w:rsidR="00FA3CF9" w:rsidRPr="00F349EC" w:rsidRDefault="00B444D7" w:rsidP="00F349EC">
      <w:pPr>
        <w:pStyle w:val="Heading2"/>
        <w:rPr>
          <w:rFonts w:cs="Times New Roman"/>
        </w:rPr>
      </w:pPr>
      <w:bookmarkStart w:id="734" w:name="_Toc364636208"/>
      <w:bookmarkStart w:id="735" w:name="_Toc518323443"/>
      <w:r w:rsidRPr="00C14ACE">
        <w:rPr>
          <w:rFonts w:cs="Times New Roman"/>
        </w:rPr>
        <w:t xml:space="preserve">A.  </w:t>
      </w:r>
      <w:r w:rsidR="00FA3CF9" w:rsidRPr="00A559C4">
        <w:rPr>
          <w:rFonts w:cs="Times New Roman"/>
        </w:rPr>
        <w:t>Is There a Duty to Rescue?</w:t>
      </w:r>
      <w:bookmarkEnd w:id="734"/>
      <w:bookmarkEnd w:id="735"/>
    </w:p>
    <w:p w14:paraId="4B9C5FB7" w14:textId="77777777" w:rsidR="00FA3CF9" w:rsidRPr="00B06D0A" w:rsidRDefault="00FA3CF9">
      <w:pPr>
        <w:rPr>
          <w:rFonts w:ascii="Times New Roman" w:hAnsi="Times New Roman" w:cs="Times New Roman"/>
        </w:rPr>
      </w:pPr>
    </w:p>
    <w:p w14:paraId="4910BC48" w14:textId="3EAEA149"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It is well settled</w:t>
      </w:r>
      <w:r w:rsidR="008439A5" w:rsidRPr="00B06D0A">
        <w:rPr>
          <w:rFonts w:ascii="Times New Roman" w:eastAsia="Times New Roman" w:hAnsi="Times New Roman" w:cs="Times New Roman"/>
        </w:rPr>
        <w:t>—</w:t>
      </w:r>
      <w:r w:rsidRPr="00B06D0A">
        <w:rPr>
          <w:rFonts w:ascii="Times New Roman" w:eastAsia="Times New Roman" w:hAnsi="Times New Roman" w:cs="Times New Roman"/>
        </w:rPr>
        <w:t>and yet enduringly controversial</w:t>
      </w:r>
      <w:r w:rsidR="008439A5" w:rsidRPr="00B06D0A">
        <w:rPr>
          <w:rFonts w:ascii="Times New Roman" w:eastAsia="Times New Roman" w:hAnsi="Times New Roman" w:cs="Times New Roman"/>
        </w:rPr>
        <w:t>—</w:t>
      </w:r>
      <w:r w:rsidRPr="00B06D0A">
        <w:rPr>
          <w:rFonts w:ascii="Times New Roman" w:eastAsia="Times New Roman" w:hAnsi="Times New Roman" w:cs="Times New Roman"/>
        </w:rPr>
        <w:t>that the common law of torts imposes no general duty to rescue.  The person who encounters an unconscious stranger face down in a puddle on the sidewalk has no tort duty to turn the stranger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head, even if the person knows the stranger to be in imminent danger of death by drowning, and even if the person knows that the costs to herself of rescuing the stranger would be </w:t>
      </w:r>
      <w:r w:rsidR="00926F50">
        <w:rPr>
          <w:rFonts w:ascii="Times New Roman" w:eastAsia="Times New Roman" w:hAnsi="Times New Roman" w:cs="Times New Roman"/>
        </w:rPr>
        <w:t>minimal</w:t>
      </w:r>
      <w:r w:rsidRPr="00B06D0A">
        <w:rPr>
          <w:rFonts w:ascii="Times New Roman" w:eastAsia="Times New Roman" w:hAnsi="Times New Roman" w:cs="Times New Roman"/>
        </w:rPr>
        <w:t xml:space="preserve">.  </w:t>
      </w:r>
    </w:p>
    <w:p w14:paraId="2213F6F7" w14:textId="77777777" w:rsidR="00FA3CF9" w:rsidRPr="00B06D0A" w:rsidRDefault="00FA3CF9">
      <w:pPr>
        <w:rPr>
          <w:rFonts w:ascii="Times New Roman" w:hAnsi="Times New Roman" w:cs="Times New Roman"/>
        </w:rPr>
      </w:pPr>
    </w:p>
    <w:p w14:paraId="72F62F47"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Why should tort law adopt such a morally startling proposition?  We have no doubt that the person who declines to assist in such a situation has behaved in a shocking and morally deplorable fashion.  But despite the </w:t>
      </w:r>
      <w:r w:rsidRPr="00B06D0A">
        <w:rPr>
          <w:rFonts w:ascii="Times New Roman" w:eastAsia="Times New Roman" w:hAnsi="Times New Roman" w:cs="Times New Roman"/>
          <w:i/>
          <w:iCs/>
        </w:rPr>
        <w:t>moral</w:t>
      </w:r>
      <w:r w:rsidRPr="00B06D0A">
        <w:rPr>
          <w:rFonts w:ascii="Times New Roman" w:eastAsia="Times New Roman" w:hAnsi="Times New Roman" w:cs="Times New Roman"/>
        </w:rPr>
        <w:t xml:space="preserve"> obligation to assist in such a case, the law declines to attach a </w:t>
      </w:r>
      <w:r w:rsidRPr="00B06D0A">
        <w:rPr>
          <w:rFonts w:ascii="Times New Roman" w:eastAsia="Times New Roman" w:hAnsi="Times New Roman" w:cs="Times New Roman"/>
          <w:i/>
          <w:iCs/>
        </w:rPr>
        <w:t>legal</w:t>
      </w:r>
      <w:r w:rsidRPr="00B06D0A">
        <w:rPr>
          <w:rFonts w:ascii="Times New Roman" w:eastAsia="Times New Roman" w:hAnsi="Times New Roman" w:cs="Times New Roman"/>
        </w:rPr>
        <w:t xml:space="preserve"> obligation.  </w:t>
      </w:r>
    </w:p>
    <w:p w14:paraId="6980B6EB" w14:textId="77777777" w:rsidR="00FA3CF9" w:rsidRPr="00B06D0A" w:rsidRDefault="00FA3CF9">
      <w:pPr>
        <w:rPr>
          <w:rFonts w:ascii="Times New Roman" w:hAnsi="Times New Roman" w:cs="Times New Roman"/>
        </w:rPr>
      </w:pPr>
    </w:p>
    <w:p w14:paraId="09F64697" w14:textId="77777777" w:rsidR="00FA3CF9" w:rsidRPr="00B06D0A" w:rsidRDefault="00FA3CF9">
      <w:pPr>
        <w:rPr>
          <w:rFonts w:ascii="Times New Roman" w:hAnsi="Times New Roman" w:cs="Times New Roman"/>
        </w:rPr>
      </w:pPr>
      <w:r w:rsidRPr="00B06D0A">
        <w:rPr>
          <w:rFonts w:ascii="Times New Roman" w:hAnsi="Times New Roman" w:cs="Times New Roman"/>
        </w:rPr>
        <w:t xml:space="preserve">  </w:t>
      </w:r>
    </w:p>
    <w:p w14:paraId="47FED3F0" w14:textId="7DD66169" w:rsidR="00FA3CF9" w:rsidRPr="00A559C4" w:rsidRDefault="00FA3CF9" w:rsidP="00322687">
      <w:pPr>
        <w:pStyle w:val="Heading3"/>
      </w:pPr>
      <w:bookmarkStart w:id="736" w:name="_Toc364636209"/>
      <w:bookmarkStart w:id="737" w:name="_Toc518323444"/>
      <w:r w:rsidRPr="00C14ACE">
        <w:t>1.  Cases</w:t>
      </w:r>
      <w:bookmarkEnd w:id="736"/>
      <w:bookmarkEnd w:id="737"/>
    </w:p>
    <w:p w14:paraId="16158A29" w14:textId="77777777" w:rsidR="00FA3CF9" w:rsidRDefault="00FA3CF9">
      <w:pPr>
        <w:rPr>
          <w:rFonts w:ascii="Times New Roman" w:hAnsi="Times New Roman" w:cs="Times New Roman"/>
          <w:b/>
          <w:u w:val="single"/>
        </w:rPr>
      </w:pPr>
    </w:p>
    <w:p w14:paraId="0A9E42C1" w14:textId="77777777" w:rsidR="00C04514" w:rsidRPr="00B06D0A" w:rsidRDefault="00C04514">
      <w:pPr>
        <w:rPr>
          <w:rFonts w:ascii="Times New Roman" w:hAnsi="Times New Roman" w:cs="Times New Roman"/>
          <w:b/>
          <w:u w:val="single"/>
        </w:rPr>
      </w:pPr>
    </w:p>
    <w:p w14:paraId="75160EE8" w14:textId="1BED4583" w:rsidR="00FA3CF9" w:rsidRPr="00B06D0A" w:rsidRDefault="00FA3CF9" w:rsidP="005232A5">
      <w:bookmarkStart w:id="738" w:name="_Toc387620652"/>
      <w:bookmarkStart w:id="739" w:name="_Toc518323445"/>
      <w:bookmarkStart w:id="740" w:name="_Toc364636210"/>
      <w:r w:rsidRPr="005232A5">
        <w:rPr>
          <w:rStyle w:val="Heading4Char"/>
        </w:rPr>
        <w:t>Farwell v. Keaton</w:t>
      </w:r>
      <w:bookmarkEnd w:id="738"/>
      <w:bookmarkEnd w:id="739"/>
      <w:r w:rsidR="003C28A4" w:rsidRPr="00511C4B">
        <w:t xml:space="preserve">, </w:t>
      </w:r>
      <w:r w:rsidRPr="005232A5">
        <w:rPr>
          <w:rFonts w:ascii="Times New Roman" w:hAnsi="Times New Roman" w:cs="Times New Roman"/>
          <w:b/>
        </w:rPr>
        <w:t>240 N.W.2d 217 (Mich. 1976)</w:t>
      </w:r>
      <w:bookmarkEnd w:id="740"/>
    </w:p>
    <w:p w14:paraId="6A46DCCE"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6125FF40" w14:textId="387BD4D3" w:rsidR="00E06E60" w:rsidRPr="00F94B7E" w:rsidRDefault="750671CE" w:rsidP="00F94B7E">
      <w:pPr>
        <w:widowControl w:val="0"/>
        <w:overflowPunct w:val="0"/>
        <w:autoSpaceDE w:val="0"/>
        <w:autoSpaceDN w:val="0"/>
        <w:adjustRightInd w:val="0"/>
        <w:rPr>
          <w:rFonts w:ascii="Times New Roman" w:eastAsia="Times New Roman,Cambria" w:hAnsi="Times New Roman" w:cs="Times New Roman"/>
          <w:b/>
          <w:bCs/>
        </w:rPr>
      </w:pPr>
      <w:r w:rsidRPr="00F94B7E">
        <w:rPr>
          <w:rFonts w:ascii="Times New Roman" w:eastAsia="Times New Roman,Cambria" w:hAnsi="Times New Roman" w:cs="Times New Roman"/>
        </w:rPr>
        <w:t>L</w:t>
      </w:r>
      <w:r w:rsidRPr="00F94B7E">
        <w:rPr>
          <w:rFonts w:ascii="Times New Roman" w:eastAsia="Times New Roman,Cambria" w:hAnsi="Times New Roman" w:cs="Times New Roman"/>
          <w:smallCaps/>
        </w:rPr>
        <w:t>evin</w:t>
      </w:r>
      <w:r w:rsidRPr="00F94B7E">
        <w:rPr>
          <w:rFonts w:ascii="Times New Roman" w:eastAsia="Times New Roman,Cambria" w:hAnsi="Times New Roman" w:cs="Times New Roman"/>
        </w:rPr>
        <w:t>, J</w:t>
      </w:r>
      <w:r w:rsidRPr="00F94B7E">
        <w:rPr>
          <w:rFonts w:ascii="Times New Roman" w:eastAsia="Times New Roman,Cambria" w:hAnsi="Times New Roman" w:cs="Times New Roman"/>
          <w:b/>
          <w:bCs/>
        </w:rPr>
        <w:t xml:space="preserve">. </w:t>
      </w:r>
    </w:p>
    <w:p w14:paraId="01A0644B" w14:textId="77777777" w:rsidR="00E06E60" w:rsidRPr="00F349EC" w:rsidRDefault="00E06E60" w:rsidP="00F94B7E">
      <w:pPr>
        <w:widowControl w:val="0"/>
        <w:overflowPunct w:val="0"/>
        <w:autoSpaceDE w:val="0"/>
        <w:autoSpaceDN w:val="0"/>
        <w:adjustRightInd w:val="0"/>
        <w:ind w:firstLine="440"/>
        <w:rPr>
          <w:rFonts w:ascii="Times New Roman" w:hAnsi="Times New Roman" w:cs="Times New Roman"/>
        </w:rPr>
      </w:pPr>
    </w:p>
    <w:p w14:paraId="3B91B4DC" w14:textId="09BE3044" w:rsidR="00FA3CF9" w:rsidRPr="00F94B7E" w:rsidRDefault="750671CE" w:rsidP="00F94B7E">
      <w:pPr>
        <w:widowControl w:val="0"/>
        <w:overflowPunct w:val="0"/>
        <w:autoSpaceDE w:val="0"/>
        <w:autoSpaceDN w:val="0"/>
        <w:adjustRightInd w:val="0"/>
        <w:ind w:firstLine="720"/>
        <w:rPr>
          <w:rFonts w:ascii="Times New Roman" w:eastAsia="Times New Roman,Cambria" w:hAnsi="Times New Roman" w:cs="Times New Roman"/>
          <w:b/>
          <w:bCs/>
        </w:rPr>
      </w:pPr>
      <w:r w:rsidRPr="00B06D0A">
        <w:rPr>
          <w:rFonts w:ascii="Times New Roman" w:eastAsia="Times New Roman" w:hAnsi="Times New Roman" w:cs="Times New Roman"/>
        </w:rPr>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F349EC" w:rsidRDefault="00FA3CF9" w:rsidP="00F94B7E">
      <w:pPr>
        <w:widowControl w:val="0"/>
        <w:overflowPunct w:val="0"/>
        <w:autoSpaceDE w:val="0"/>
        <w:autoSpaceDN w:val="0"/>
        <w:adjustRightInd w:val="0"/>
        <w:rPr>
          <w:rFonts w:ascii="Times New Roman" w:hAnsi="Times New Roman" w:cs="Times New Roman"/>
        </w:rPr>
      </w:pPr>
    </w:p>
    <w:p w14:paraId="6B3EEA16" w14:textId="17A96B06"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Two girls walked by the entrance to the lot. Siegrist and Farwell attempted to engage them in conversation; they left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car and followed the girls to a drive-in restaurant down the street.</w:t>
      </w:r>
    </w:p>
    <w:p w14:paraId="67A746C6" w14:textId="77777777" w:rsidR="00FA3CF9" w:rsidRPr="00F349EC" w:rsidRDefault="00FA3CF9" w:rsidP="00F94B7E">
      <w:pPr>
        <w:widowControl w:val="0"/>
        <w:overflowPunct w:val="0"/>
        <w:autoSpaceDE w:val="0"/>
        <w:autoSpaceDN w:val="0"/>
        <w:adjustRightInd w:val="0"/>
        <w:ind w:firstLine="440"/>
        <w:rPr>
          <w:rFonts w:ascii="Times New Roman" w:hAnsi="Times New Roman" w:cs="Times New Roman"/>
        </w:rPr>
      </w:pPr>
    </w:p>
    <w:p w14:paraId="175312A4" w14:textId="4855B620"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head. Siegrist then drove Farwell around for approximately two hours, stopping at a number of drive-in restaurants. Farwell went to sleep in the back seat of his car. Around midnight Siegrist drove the car to the home of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grandparents, parked it in the driveway, unsuccessfully attempted to rouse Farwell, and left.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grandparents discovered him in the car the next morning and took him to the hospital. He died three days later of an epidural hematoma.</w:t>
      </w:r>
    </w:p>
    <w:p w14:paraId="68FEE8F4"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rPr>
      </w:pPr>
    </w:p>
    <w:p w14:paraId="163BCE81" w14:textId="7A7D1E32"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At trial, plaintiff [the father of the decedent] contended that had Siegrist taken Farwell to the hospital, or had he notified someone of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condition and whereabouts, Farwell would not have died. A neurosurgeon testified that if a person in Farwell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rPr>
      </w:pPr>
    </w:p>
    <w:p w14:paraId="091C318F" w14:textId="17C6487B"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jury returned a verdict for plaintiff and awarded $15,000 in damages. The Court of Appeals reversed, finding that Siegrist had not</w:t>
      </w:r>
      <w:r w:rsidRPr="00F349EC">
        <w:rPr>
          <w:rFonts w:ascii="Times New Roman" w:eastAsia="Times New Roman" w:hAnsi="Times New Roman" w:cs="Times New Roman"/>
        </w:rPr>
        <w:t xml:space="preserve"> assumed the duty of obtaining aid for Farwell and that he neither knew nor should have known of the need for medical treatment</w:t>
      </w:r>
      <w:r w:rsidRPr="00B06D0A">
        <w:rPr>
          <w:rFonts w:ascii="Times New Roman" w:eastAsia="Times New Roman" w:hAnsi="Times New Roman" w:cs="Times New Roman"/>
        </w:rPr>
        <w:t>.</w:t>
      </w:r>
    </w:p>
    <w:p w14:paraId="19A5FBD7"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rPr>
      </w:pPr>
    </w:p>
    <w:p w14:paraId="0FBB2620" w14:textId="3F131651" w:rsidR="00FA3CF9" w:rsidRPr="00B06D0A" w:rsidRDefault="00926F50" w:rsidP="00926F50">
      <w:pPr>
        <w:widowControl w:val="0"/>
        <w:overflowPunct w:val="0"/>
        <w:autoSpaceDE w:val="0"/>
        <w:autoSpaceDN w:val="0"/>
        <w:adjustRightInd w:val="0"/>
        <w:rPr>
          <w:rFonts w:ascii="Times New Roman" w:eastAsia="Times New Roman" w:hAnsi="Times New Roman" w:cs="Times New Roman"/>
        </w:rPr>
      </w:pPr>
      <w:r>
        <w:rPr>
          <w:rFonts w:ascii="Times New Roman" w:eastAsia="Times New Roman" w:hAnsi="Times New Roman" w:cs="Times New Roman"/>
        </w:rPr>
        <w:t>. . . .</w:t>
      </w:r>
    </w:p>
    <w:p w14:paraId="19B243E3"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rPr>
      </w:pPr>
    </w:p>
    <w:p w14:paraId="21D37100" w14:textId="2F46B923" w:rsidR="00FA3CF9" w:rsidRPr="00B06D0A" w:rsidRDefault="00B05F31" w:rsidP="00F94B7E">
      <w:pPr>
        <w:widowControl w:val="0"/>
        <w:overflowPunct w:val="0"/>
        <w:autoSpaceDE w:val="0"/>
        <w:autoSpaceDN w:val="0"/>
        <w:adjustRightInd w:val="0"/>
        <w:ind w:firstLine="440"/>
        <w:rPr>
          <w:rFonts w:ascii="Times New Roman" w:eastAsia="Times New Roman" w:hAnsi="Times New Roman" w:cs="Times New Roman"/>
        </w:rPr>
      </w:pPr>
      <w:r w:rsidRPr="00B06D0A">
        <w:rPr>
          <w:rFonts w:ascii="Times New Roman" w:eastAsia="Times New Roman" w:hAnsi="Times New Roman" w:cs="Times New Roman"/>
        </w:rPr>
        <w:t>“</w:t>
      </w:r>
      <w:r w:rsidR="750671CE" w:rsidRPr="00B06D0A">
        <w:rPr>
          <w:rFonts w:ascii="Times New Roman" w:eastAsia="Times New Roman" w:hAnsi="Times New Roman" w:cs="Times New Roman"/>
        </w:rPr>
        <w:t>A duty, in negligence cases, may be defined as an obligation, to which the law will give recognition and effect, to conform to a particular standard of conduct toward another.</w:t>
      </w:r>
      <w:r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Prosser, Torts (4th ed</w:t>
      </w:r>
      <w:r w:rsidR="00871BF5"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 53, p 324. . . . </w:t>
      </w:r>
    </w:p>
    <w:p w14:paraId="4EE24AE0" w14:textId="77777777" w:rsidR="00FA3CF9" w:rsidRPr="00B06D0A" w:rsidRDefault="00FA3CF9" w:rsidP="00926F50">
      <w:pPr>
        <w:widowControl w:val="0"/>
        <w:overflowPunct w:val="0"/>
        <w:autoSpaceDE w:val="0"/>
        <w:autoSpaceDN w:val="0"/>
        <w:adjustRightInd w:val="0"/>
        <w:rPr>
          <w:rFonts w:ascii="Times New Roman" w:hAnsi="Times New Roman" w:cs="Times New Roman"/>
        </w:rPr>
      </w:pPr>
    </w:p>
    <w:p w14:paraId="5A5F5A07" w14:textId="77777777"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Siegrist contends that he is not liable for failure to obtain medical assistance for Farwell because he had no duty to do so.</w:t>
      </w:r>
    </w:p>
    <w:p w14:paraId="170D928A"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7EBB835B" w14:textId="6EF82CDF"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peril, he is required to render reasonable care under all the circumstances. . . . </w:t>
      </w:r>
    </w:p>
    <w:p w14:paraId="7AAB4858"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r w:rsidRPr="00B06D0A">
        <w:rPr>
          <w:rFonts w:ascii="Times New Roman" w:hAnsi="Times New Roman"/>
          <w:sz w:val="24"/>
          <w:szCs w:val="24"/>
        </w:rPr>
        <w:t xml:space="preserve"> </w:t>
      </w:r>
    </w:p>
    <w:p w14:paraId="180355C7" w14:textId="7297A696"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condition and whereabouts would be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shocking to humanitarian considerations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and fly in the face of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the commonly accepted code of social conduct.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Hutchinson v. Dickie, 162 F.2d 103, 106 (6</w:t>
      </w:r>
      <w:r w:rsidR="00C929D1" w:rsidRPr="00B06D0A">
        <w:rPr>
          <w:rFonts w:ascii="Times New Roman" w:eastAsia="Times New Roman" w:hAnsi="Times New Roman"/>
          <w:sz w:val="24"/>
          <w:szCs w:val="24"/>
        </w:rPr>
        <w:t>th</w:t>
      </w:r>
      <w:r w:rsidRPr="00B06D0A">
        <w:rPr>
          <w:rFonts w:ascii="Times New Roman" w:eastAsia="Times New Roman" w:hAnsi="Times New Roman"/>
          <w:sz w:val="24"/>
          <w:szCs w:val="24"/>
        </w:rPr>
        <w:t xml:space="preserve"> Cir. 1947) [(finding that a host had an affirmative duty to try to rescue a guest who had fallen off the host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yacht)].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[C]ourts will find a duty where, in general, reasonable men would recognize it and agree that it exists.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Prosser, </w:t>
      </w:r>
      <w:r w:rsidRPr="00B06D0A">
        <w:rPr>
          <w:rFonts w:ascii="Times New Roman" w:eastAsia="Times New Roman" w:hAnsi="Times New Roman"/>
          <w:i/>
          <w:iCs/>
          <w:sz w:val="24"/>
          <w:szCs w:val="24"/>
        </w:rPr>
        <w:t>supra</w:t>
      </w:r>
      <w:r w:rsidRPr="00B06D0A">
        <w:rPr>
          <w:rFonts w:ascii="Times New Roman" w:eastAsia="Times New Roman" w:hAnsi="Times New Roman"/>
          <w:sz w:val="24"/>
          <w:szCs w:val="24"/>
        </w:rPr>
        <w:t xml:space="preserve">, § 53, </w:t>
      </w:r>
      <w:r w:rsidR="00A765F9">
        <w:rPr>
          <w:rFonts w:ascii="Times New Roman" w:eastAsia="Times New Roman" w:hAnsi="Times New Roman"/>
          <w:sz w:val="24"/>
          <w:szCs w:val="24"/>
        </w:rPr>
        <w:t>at</w:t>
      </w:r>
      <w:r w:rsidRPr="00B06D0A">
        <w:rPr>
          <w:rFonts w:ascii="Times New Roman" w:eastAsia="Times New Roman" w:hAnsi="Times New Roman"/>
          <w:sz w:val="24"/>
          <w:szCs w:val="24"/>
        </w:rPr>
        <w:t xml:space="preserve"> 327.</w:t>
      </w:r>
    </w:p>
    <w:p w14:paraId="52FE65DE"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0496E6CB" w14:textId="69E595B7" w:rsidR="00FA3CF9"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aid.</w:t>
      </w:r>
    </w:p>
    <w:p w14:paraId="005E75D7" w14:textId="77777777" w:rsidR="004B4ADE" w:rsidRPr="00B06D0A" w:rsidRDefault="004B4AD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p>
    <w:p w14:paraId="6379F728" w14:textId="01D4DCDD" w:rsidR="00C04514" w:rsidRPr="00B06D0A" w:rsidRDefault="750671CE" w:rsidP="00F94B7E">
      <w:pPr>
        <w:ind w:firstLine="720"/>
        <w:rPr>
          <w:rFonts w:ascii="Times New Roman" w:hAnsi="Times New Roman" w:cs="Times New Roman"/>
        </w:rPr>
      </w:pPr>
      <w:r w:rsidRPr="00B06D0A">
        <w:rPr>
          <w:rFonts w:ascii="Times New Roman" w:eastAsia="Times New Roman" w:hAnsi="Times New Roman"/>
        </w:rPr>
        <w:t>The Court of Appeals is reversed and the verdict of the jury reinstated.</w:t>
      </w:r>
    </w:p>
    <w:p w14:paraId="3254C264" w14:textId="77777777" w:rsidR="00C04514" w:rsidRPr="00C04514" w:rsidRDefault="00C04514" w:rsidP="00F94B7E">
      <w:pPr>
        <w:rPr>
          <w:rFonts w:ascii="Times New Roman" w:hAnsi="Times New Roman" w:cs="Times New Roman"/>
        </w:rPr>
      </w:pPr>
    </w:p>
    <w:p w14:paraId="158DFF81" w14:textId="77777777" w:rsidR="00FA3CF9" w:rsidRPr="00B06D0A" w:rsidRDefault="00FA3CF9" w:rsidP="00F94B7E">
      <w:pPr>
        <w:pStyle w:val="NormalWeb"/>
        <w:shd w:val="clear" w:color="auto" w:fill="FFFFFF" w:themeFill="background1"/>
        <w:spacing w:before="0" w:beforeAutospacing="0" w:after="0" w:afterAutospacing="0"/>
        <w:textAlignment w:val="baseline"/>
      </w:pPr>
      <w:bookmarkStart w:id="741" w:name="_Toc387620653"/>
    </w:p>
    <w:p w14:paraId="3B2E3473" w14:textId="1181B327" w:rsidR="00FA3CF9" w:rsidRPr="00B06D0A" w:rsidRDefault="00FA3CF9" w:rsidP="00A019E0">
      <w:bookmarkStart w:id="742" w:name="_Toc518323446"/>
      <w:bookmarkStart w:id="743" w:name="_Toc364636211"/>
      <w:r w:rsidRPr="00A019E0">
        <w:rPr>
          <w:rStyle w:val="Heading4Char"/>
        </w:rPr>
        <w:t>Harper v. Herman</w:t>
      </w:r>
      <w:bookmarkEnd w:id="741"/>
      <w:bookmarkEnd w:id="742"/>
      <w:r w:rsidR="003C28A4" w:rsidRPr="00511C4B">
        <w:t xml:space="preserve">, </w:t>
      </w:r>
      <w:r w:rsidRPr="00A019E0">
        <w:rPr>
          <w:rFonts w:ascii="Times New Roman" w:hAnsi="Times New Roman" w:cs="Times New Roman"/>
          <w:b/>
        </w:rPr>
        <w:t>499 N.W.2d 472 (Minn. 1993)</w:t>
      </w:r>
      <w:bookmarkEnd w:id="743"/>
    </w:p>
    <w:p w14:paraId="769EF8AD" w14:textId="77777777" w:rsidR="00FA3CF9" w:rsidRPr="00B06D0A" w:rsidRDefault="00FA3CF9">
      <w:pPr>
        <w:rPr>
          <w:rFonts w:ascii="Times New Roman" w:hAnsi="Times New Roman" w:cs="Times New Roman"/>
        </w:rPr>
      </w:pPr>
    </w:p>
    <w:p w14:paraId="4BB705B9" w14:textId="61849C85"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This case arises upon a reversal by the court of appeals of summary judgment in favor of the defendant.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We reverse and reinstate judgment in favor of defendant.</w:t>
      </w:r>
    </w:p>
    <w:p w14:paraId="4763743B"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4D6ED619" w14:textId="7E2969C4"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facts are undisputed for the purpose of this appeal.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On Sunday, August 9, 1986, Jeffrey Harper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Harper</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was one of four guests on Theodor 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26-foot boat, sailing on Lake Minnetonka.  Harper was invited on the boat outing by Cindy Alberg Palmer, another guest on 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boat.  Herman and Harper did not know each other prior to this boat outing.  At the time Herman was 64 years old, and Harper was 20 years old. Herman was an experienced boat owner having spent hundreds of hours operating boats on Lake Minnetonka similar to the one involved in this action.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As owner of the boat, Herman considered himself to be in charge of the boat and his passengers.  Harper had some experience swimming in lakes and rivers, but had no formal training in diving.</w:t>
      </w:r>
    </w:p>
    <w:p w14:paraId="30184EAE"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2F8F3BA2" w14:textId="2EDDB174"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After a few hours of boating, the group decided to go swimming and, at 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suggestion, went to Big Island, a popular recreation spot.  Herman was familiar with Big Island, and he was aware that the water remains shallow for a good distance away from its shore.  Harper had been to Big Island on one p</w:t>
      </w:r>
      <w:r w:rsidRPr="00F349EC">
        <w:rPr>
          <w:rFonts w:ascii="Times New Roman" w:eastAsia="Times New Roman" w:hAnsi="Times New Roman" w:cs="Times New Roman"/>
          <w:color w:val="000000" w:themeColor="text1"/>
        </w:rPr>
        <w:t>revious occasion.</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 The bottom of the lake was not visible from the boat.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After positioning the boat Herman proceeded to set the anchor and lower the boat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ladder which was at its stern.</w:t>
      </w:r>
    </w:p>
    <w:p w14:paraId="24EF8833"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1448D7E8" w14:textId="09ED81F1"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While Herman was lowering the ladder, Harper asked him if he was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going in.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When Herman responded yes, Harper, without warning, stepped onto the side of the middle of the boat and dove into approximately two or three feet of water.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As a result of the dive, Harper struck the bottom of the lake, severed his spinal cord, and was rendered a C6 quadriplegic.</w:t>
      </w:r>
    </w:p>
    <w:p w14:paraId="498FAEC8"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2830FDC8" w14:textId="0FB08D85"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Harper then brought suit, alleging that Herman owed him a duty of care to warn him that the water was too shallow for diving.</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 On October 23, 1991, the trial court granted 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dangerously shallow.</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t>
      </w:r>
      <w:r w:rsidR="00CF33E2">
        <w:rPr>
          <w:rFonts w:ascii="Times New Roman" w:eastAsia="Times New Roman" w:hAnsi="Times New Roman" w:cs="Times New Roman"/>
          <w:color w:val="000000" w:themeColor="text1"/>
        </w:rPr>
        <w:t>. . .</w:t>
      </w:r>
    </w:p>
    <w:p w14:paraId="7A84B44D"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5005D539" w14:textId="77777777"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The sole issue on appeal is whether a boat owner who is a social host owes a duty of care to warn a guest on the boat that the water is too shallow for diving.</w:t>
      </w:r>
    </w:p>
    <w:p w14:paraId="0AD1D13D"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2E54C95C" w14:textId="0331EBCE"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Harper alleges that Herman owed him a duty</w:t>
      </w:r>
      <w:r w:rsidRPr="00F349EC">
        <w:rPr>
          <w:rFonts w:ascii="Times New Roman" w:eastAsia="Times New Roman" w:hAnsi="Times New Roman" w:cs="Times New Roman"/>
          <w:color w:val="000000" w:themeColor="text1"/>
        </w:rPr>
        <w:t xml:space="preserve"> to warn of the shallowness of</w:t>
      </w:r>
      <w:r w:rsidRPr="00ED7BEB">
        <w:rPr>
          <w:rFonts w:ascii="Times New Roman" w:eastAsia="Times New Roman" w:hAnsi="Times New Roman" w:cs="Times New Roman"/>
          <w:color w:val="000000" w:themeColor="text1"/>
        </w:rPr>
        <w:t xml:space="preserve"> the water because he was an inexperienced swimmer and diver, whereas Herman was a veteran boater.  Under those circumstances, Harper argues, Herman should have realized that Harper needed his protection.</w:t>
      </w:r>
    </w:p>
    <w:p w14:paraId="05BD8ABE" w14:textId="77777777" w:rsidR="00FA3CF9" w:rsidRPr="00F349EC"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538056F7" w14:textId="1F114E99"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We have previously stated that an affirmative duty to act only arises when a special relationship exists between the parties. </w:t>
      </w:r>
      <w:r w:rsidR="0002622A" w:rsidRPr="00B06D0A">
        <w:rPr>
          <w:rFonts w:ascii="Times New Roman" w:eastAsia="Times New Roman" w:hAnsi="Times New Roman" w:cs="Times New Roman"/>
          <w:color w:val="000000" w:themeColor="text1"/>
        </w:rPr>
        <w:t xml:space="preserve">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The fact that an actor realizes or should realize that action on his part is necessary for another</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aid or protection does not of itself impose upon him a duty to take such action . . . unless a special relationship exists . . . between the actor and the other which gives the other the right to protection.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 . .</w:t>
      </w:r>
    </w:p>
    <w:p w14:paraId="7D95278E"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5E1B6D04" w14:textId="76010C7C" w:rsidR="00FA3CF9" w:rsidRPr="00F349EC" w:rsidRDefault="00FA3CF9"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custody of Harper under circumstances in which Harper was deprived of normal opportunities to protect himself.</w:t>
      </w:r>
      <w:r w:rsidRPr="00B06D0A">
        <w:rPr>
          <w:rStyle w:val="FootnoteReference"/>
          <w:rFonts w:ascii="Times New Roman" w:eastAsia="Times New Roman" w:hAnsi="Times New Roman" w:cs="Times New Roman"/>
          <w:color w:val="000000"/>
        </w:rPr>
        <w:footnoteReference w:customMarkFollows="1" w:id="20"/>
        <w:t>2</w:t>
      </w:r>
      <w:r w:rsidRPr="00B06D0A">
        <w:rPr>
          <w:rFonts w:ascii="Times New Roman" w:eastAsia="Times New Roman" w:hAnsi="Times New Roman" w:cs="Times New Roman"/>
          <w:color w:val="000000"/>
        </w:rPr>
        <w:t xml:space="preserve"> </w:t>
      </w:r>
      <w:r w:rsidR="0002622A" w:rsidRPr="00B06D0A">
        <w:rPr>
          <w:rFonts w:ascii="Times New Roman" w:eastAsia="Times New Roman" w:hAnsi="Times New Roman" w:cs="Times New Roman"/>
          <w:color w:val="000000"/>
        </w:rPr>
        <w:t xml:space="preserve"> </w:t>
      </w:r>
      <w:r w:rsidRPr="00B06D0A">
        <w:rPr>
          <w:rFonts w:ascii="Times New Roman" w:eastAsia="Times New Roman" w:hAnsi="Times New Roman" w:cs="Times New Roman"/>
          <w:color w:val="000000"/>
        </w:rPr>
        <w:t>These elements are not present here.</w:t>
      </w:r>
    </w:p>
    <w:p w14:paraId="5D322B29" w14:textId="77777777" w:rsidR="00FA3CF9" w:rsidRPr="00B06D0A" w:rsidRDefault="00FA3CF9" w:rsidP="00F94B7E">
      <w:pPr>
        <w:widowControl w:val="0"/>
        <w:overflowPunct w:val="0"/>
        <w:autoSpaceDE w:val="0"/>
        <w:autoSpaceDN w:val="0"/>
        <w:adjustRightInd w:val="0"/>
        <w:rPr>
          <w:rFonts w:ascii="Times New Roman" w:hAnsi="Times New Roman" w:cs="Times New Roman"/>
          <w:color w:val="000000"/>
        </w:rPr>
      </w:pPr>
    </w:p>
    <w:p w14:paraId="68AEB5A2" w14:textId="016D7A72"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record before this court does not establish that Harper was either particularly vulnerable or that he lacked the ability to protect himself.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Further, the record does not establish that Herman held considerable power over Harper</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welfare, or that Herman was receiving a financial gain by hosting Harper on his boat.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Finally, there is nothing in the record which would suggest that Harper expected any protection from Herman; indeed, no such allegation has been made.</w:t>
      </w:r>
    </w:p>
    <w:p w14:paraId="117AFDB8"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3664249B" w14:textId="6F207121"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court of appeals found that Herman owed Harper a duty to warn him of the shallowness of the water because Herman knew that it was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dangerously shallow.</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We have previously stated that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[a]ctual knowledge of a dangerous condition tends to impose a special duty to do something about that condition.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t>
      </w:r>
      <w:r w:rsidR="00CF33E2">
        <w:rPr>
          <w:rFonts w:ascii="Times New Roman" w:eastAsia="Times New Roman" w:hAnsi="Times New Roman" w:cs="Times New Roman"/>
          <w:color w:val="000000" w:themeColor="text1"/>
        </w:rPr>
        <w:t xml:space="preserve">. . . </w:t>
      </w:r>
      <w:r w:rsidRPr="00B06D0A">
        <w:rPr>
          <w:rFonts w:ascii="Times New Roman" w:eastAsia="Times New Roman" w:hAnsi="Times New Roman" w:cs="Times New Roman"/>
          <w:color w:val="000000" w:themeColor="text1"/>
        </w:rPr>
        <w:t>.  However, superior knowledge of a dangerous condition by itself, in the absence of a duty to provide protection, is insufficient to establish liability in negligence.</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 xml:space="preserve"> Thus, Herman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knowledge that the water was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dangerously shallow</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without more does not create liability. . . . </w:t>
      </w:r>
      <w:r w:rsidR="0002622A"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In this case, Harper was not deprived of opportunities to protect himself, and Herman was not expected to provide protection.</w:t>
      </w:r>
    </w:p>
    <w:p w14:paraId="3ADD20F5"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504617E4" w14:textId="4AA104E3" w:rsidR="00FA3CF9" w:rsidRPr="00B06D0A" w:rsidRDefault="00B05F31"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w:t>
      </w:r>
      <w:r w:rsidR="750671CE" w:rsidRPr="00B06D0A">
        <w:rPr>
          <w:rFonts w:ascii="Times New Roman" w:eastAsia="Times New Roman" w:hAnsi="Times New Roman" w:cs="Times New Roman"/>
          <w:color w:val="000000" w:themeColor="text1"/>
        </w:rPr>
        <w:t>There are many dangers, such as those of fire and water, . . . which under ordinary conditions may reasonably be expected to be fully understood and appreciated by any child . . . .</w:t>
      </w:r>
      <w:r w:rsidRPr="00B06D0A">
        <w:rPr>
          <w:rFonts w:ascii="Times New Roman" w:eastAsia="Times New Roman" w:hAnsi="Times New Roman" w:cs="Times New Roman"/>
          <w:color w:val="000000" w:themeColor="text1"/>
        </w:rPr>
        <w:t>”</w:t>
      </w:r>
      <w:r w:rsidR="750671CE" w:rsidRPr="00B06D0A">
        <w:rPr>
          <w:rFonts w:ascii="Times New Roman" w:eastAsia="Times New Roman" w:hAnsi="Times New Roman" w:cs="Times New Roman"/>
          <w:color w:val="000000" w:themeColor="text1"/>
        </w:rPr>
        <w:t xml:space="preserve">  Restatement (Second) of Torts § 339 cmt. j (1965).  If a child is expected to understand the inherent dangers of water, so should a 20-year-old adult.</w:t>
      </w:r>
      <w:r w:rsidR="0002622A" w:rsidRPr="00B06D0A">
        <w:rPr>
          <w:rFonts w:ascii="Times New Roman" w:eastAsia="Times New Roman" w:hAnsi="Times New Roman" w:cs="Times New Roman"/>
          <w:color w:val="000000" w:themeColor="text1"/>
        </w:rPr>
        <w:t xml:space="preserve"> </w:t>
      </w:r>
      <w:r w:rsidR="750671CE" w:rsidRPr="00B06D0A">
        <w:rPr>
          <w:rFonts w:ascii="Times New Roman" w:eastAsia="Times New Roman" w:hAnsi="Times New Roman" w:cs="Times New Roman"/>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B06D0A" w:rsidRDefault="00FA3CF9" w:rsidP="00F94B7E">
      <w:pPr>
        <w:widowControl w:val="0"/>
        <w:overflowPunct w:val="0"/>
        <w:autoSpaceDE w:val="0"/>
        <w:autoSpaceDN w:val="0"/>
        <w:adjustRightInd w:val="0"/>
        <w:ind w:firstLine="440"/>
        <w:rPr>
          <w:rFonts w:ascii="Times New Roman" w:hAnsi="Times New Roman" w:cs="Times New Roman"/>
          <w:color w:val="000000"/>
        </w:rPr>
      </w:pPr>
    </w:p>
    <w:p w14:paraId="6690A0E0" w14:textId="77777777" w:rsidR="00FA3CF9" w:rsidRPr="00B06D0A" w:rsidRDefault="750671CE" w:rsidP="00F94B7E">
      <w:pPr>
        <w:widowControl w:val="0"/>
        <w:overflowPunct w:val="0"/>
        <w:autoSpaceDE w:val="0"/>
        <w:autoSpaceDN w:val="0"/>
        <w:adjustRightInd w:val="0"/>
        <w:ind w:firstLine="44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Reversed and judgment in favor of defendant reinstated.</w:t>
      </w:r>
    </w:p>
    <w:p w14:paraId="55789C4C"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0F10F12B"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1800C522" w14:textId="77777777" w:rsidR="00FA3CF9" w:rsidRPr="00A559C4" w:rsidRDefault="00FA3CF9" w:rsidP="002502CC">
      <w:pPr>
        <w:pStyle w:val="Heading4"/>
      </w:pPr>
      <w:bookmarkStart w:id="744" w:name="_Toc364636212"/>
      <w:bookmarkStart w:id="745" w:name="_Toc518323447"/>
      <w:r w:rsidRPr="00C14ACE">
        <w:t>Notes</w:t>
      </w:r>
      <w:bookmarkEnd w:id="744"/>
      <w:bookmarkEnd w:id="745"/>
    </w:p>
    <w:p w14:paraId="709759E7" w14:textId="77777777" w:rsidR="00FA3CF9" w:rsidRDefault="00FA3CF9" w:rsidP="00F94B7E">
      <w:pPr>
        <w:widowControl w:val="0"/>
        <w:overflowPunct w:val="0"/>
        <w:autoSpaceDE w:val="0"/>
        <w:autoSpaceDN w:val="0"/>
        <w:adjustRightInd w:val="0"/>
        <w:rPr>
          <w:rFonts w:ascii="Times New Roman" w:hAnsi="Times New Roman" w:cs="Times New Roman"/>
        </w:rPr>
      </w:pPr>
    </w:p>
    <w:p w14:paraId="78B23D35" w14:textId="77777777" w:rsidR="00C04514" w:rsidRPr="00B06D0A" w:rsidRDefault="00C04514" w:rsidP="00F94B7E">
      <w:pPr>
        <w:widowControl w:val="0"/>
        <w:overflowPunct w:val="0"/>
        <w:autoSpaceDE w:val="0"/>
        <w:autoSpaceDN w:val="0"/>
        <w:adjustRightInd w:val="0"/>
        <w:rPr>
          <w:rFonts w:ascii="Times New Roman" w:hAnsi="Times New Roman" w:cs="Times New Roman"/>
        </w:rPr>
      </w:pPr>
    </w:p>
    <w:p w14:paraId="7960E7BA" w14:textId="50D3A1A7" w:rsidR="00FA3CF9" w:rsidRPr="00F94B7E" w:rsidRDefault="750671CE" w:rsidP="00F94B7E">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stark no duty rule.  </w:t>
      </w:r>
      <w:r w:rsidRPr="00F94B7E">
        <w:rPr>
          <w:rFonts w:ascii="Times New Roman" w:eastAsia="Times New Roman" w:hAnsi="Times New Roman" w:cs="Times New Roman"/>
        </w:rPr>
        <w:t xml:space="preserve">It is worthwhile recalling precisely what the </w:t>
      </w:r>
      <w:r w:rsidRPr="00F94B7E">
        <w:rPr>
          <w:rFonts w:ascii="Times New Roman" w:eastAsia="Times New Roman" w:hAnsi="Times New Roman" w:cs="Times New Roman"/>
          <w:i/>
          <w:iCs/>
        </w:rPr>
        <w:t xml:space="preserve">Harper v. Herman </w:t>
      </w:r>
      <w:r w:rsidRPr="00F94B7E">
        <w:rPr>
          <w:rFonts w:ascii="Times New Roman" w:eastAsia="Times New Roman" w:hAnsi="Times New Roman" w:cs="Times New Roman"/>
        </w:rPr>
        <w:t xml:space="preserve">court means when it holds that Herman had no special relationship with Harper and thus was not obligated to warn Harper.  Even if Herman </w:t>
      </w:r>
      <w:r w:rsidRPr="00F94B7E">
        <w:rPr>
          <w:rFonts w:ascii="Times New Roman" w:eastAsia="Times New Roman" w:hAnsi="Times New Roman" w:cs="Times New Roman"/>
          <w:i/>
          <w:iCs/>
        </w:rPr>
        <w:t>knew</w:t>
      </w:r>
      <w:r w:rsidRPr="00F94B7E">
        <w:rPr>
          <w:rFonts w:ascii="Times New Roman" w:eastAsia="Times New Roman" w:hAnsi="Times New Roman" w:cs="Times New Roman"/>
        </w:rPr>
        <w:t xml:space="preserve"> that Harper was about to dive into dangerously shallow water, even if Harper announced his intention, and even if Herman foresaw with perfect foresight the devastating effects Harper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dive would have and knew that he could save Harper with a simple word at virtually no cost to himself,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analysis would remain the same.  No legal obligation to assist means no liability, no matter how clear the costlessness of the rescue and the costs of the likely injury.  </w:t>
      </w:r>
    </w:p>
    <w:p w14:paraId="15A6D1AB"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3BC653C7"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4288DE26" w14:textId="3C145D80" w:rsidR="00FA3CF9" w:rsidRPr="00F94B7E" w:rsidRDefault="750671CE" w:rsidP="00F94B7E">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Can </w:t>
      </w:r>
      <w:r w:rsidRPr="00F94B7E">
        <w:rPr>
          <w:rFonts w:ascii="Times New Roman" w:eastAsia="Times New Roman" w:hAnsi="Times New Roman" w:cs="Times New Roman"/>
          <w:iCs/>
        </w:rPr>
        <w:t>Farwell</w:t>
      </w:r>
      <w:r w:rsidRPr="00F94B7E">
        <w:rPr>
          <w:rFonts w:ascii="Times New Roman" w:eastAsia="Times New Roman" w:hAnsi="Times New Roman" w:cs="Times New Roman"/>
          <w:i/>
          <w:iCs/>
        </w:rPr>
        <w:t xml:space="preserve"> and </w:t>
      </w:r>
      <w:r w:rsidRPr="00F94B7E">
        <w:rPr>
          <w:rFonts w:ascii="Times New Roman" w:eastAsia="Times New Roman" w:hAnsi="Times New Roman" w:cs="Times New Roman"/>
          <w:iCs/>
        </w:rPr>
        <w:t>Harper</w:t>
      </w:r>
      <w:r w:rsidRPr="00F94B7E">
        <w:rPr>
          <w:rFonts w:ascii="Times New Roman" w:eastAsia="Times New Roman" w:hAnsi="Times New Roman" w:cs="Times New Roman"/>
          <w:i/>
          <w:iCs/>
        </w:rPr>
        <w:t xml:space="preserve"> be reconciled? </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court treats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risky position as grounds for recognizing a special relationship.  The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court, by contrast, seems to suggest that the fact of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knowledge of the risks, then the jury will have considerable influence on the duty determination.  But if the duty determination, as in </w:t>
      </w:r>
      <w:r w:rsidRPr="00F94B7E">
        <w:rPr>
          <w:rFonts w:ascii="Times New Roman" w:eastAsia="Times New Roman" w:hAnsi="Times New Roman" w:cs="Times New Roman"/>
          <w:i/>
          <w:iCs/>
        </w:rPr>
        <w:t>Harper</w:t>
      </w:r>
      <w:r w:rsidRPr="00F94B7E">
        <w:rPr>
          <w:rFonts w:ascii="Times New Roman" w:eastAsia="Times New Roman" w:hAnsi="Times New Roman" w:cs="Times New Roman"/>
        </w:rPr>
        <w:t xml:space="preserve">, is made independent of the particular facts in a particular case, then courts will be able to make those judgments on their own.  Each approach creates its own dilemmas.  The fact-intensive approach of </w:t>
      </w:r>
      <w:r w:rsidRPr="00F94B7E">
        <w:rPr>
          <w:rFonts w:ascii="Times New Roman" w:eastAsia="Times New Roman" w:hAnsi="Times New Roman" w:cs="Times New Roman"/>
          <w:i/>
          <w:iCs/>
        </w:rPr>
        <w:t>Farwell</w:t>
      </w:r>
      <w:r w:rsidRPr="00F94B7E">
        <w:rPr>
          <w:rFonts w:ascii="Times New Roman" w:eastAsia="Times New Roman" w:hAnsi="Times New Roman" w:cs="Times New Roman"/>
        </w:rPr>
        <w:t xml:space="preserve"> begs the question of why the very same factors that help decide the existence of a duty</w:t>
      </w:r>
      <w:r w:rsidR="003C5AF3" w:rsidRPr="00F94B7E">
        <w:rPr>
          <w:rFonts w:ascii="Times New Roman" w:eastAsia="Times New Roman" w:hAnsi="Times New Roman" w:cs="Times New Roman"/>
        </w:rPr>
        <w:t>—</w:t>
      </w:r>
      <w:r w:rsidRPr="00F94B7E">
        <w:rPr>
          <w:rFonts w:ascii="Times New Roman" w:eastAsia="Times New Roman" w:hAnsi="Times New Roman" w:cs="Times New Roman"/>
        </w:rPr>
        <w:t>a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knowledge of the risks, the costs of precautions, etc.</w:t>
      </w:r>
      <w:r w:rsidR="009B3944" w:rsidRPr="00F94B7E">
        <w:rPr>
          <w:rFonts w:ascii="Times New Roman" w:eastAsia="Times New Roman" w:hAnsi="Times New Roman" w:cs="Times New Roman"/>
        </w:rPr>
        <w:t>—</w:t>
      </w:r>
      <w:r w:rsidRPr="00F94B7E">
        <w:rPr>
          <w:rFonts w:ascii="Times New Roman" w:eastAsia="Times New Roman" w:hAnsi="Times New Roman" w:cs="Times New Roman"/>
        </w:rPr>
        <w:t>then reappear at the breach stage of the analysis to help decide whether the defendant breached the duty.  By contrast, the Harper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Default="00E06E60" w:rsidP="00F94B7E">
      <w:pPr>
        <w:widowControl w:val="0"/>
        <w:overflowPunct w:val="0"/>
        <w:autoSpaceDE w:val="0"/>
        <w:autoSpaceDN w:val="0"/>
        <w:adjustRightInd w:val="0"/>
        <w:rPr>
          <w:rFonts w:ascii="Times New Roman" w:hAnsi="Times New Roman" w:cs="Times New Roman"/>
        </w:rPr>
      </w:pPr>
    </w:p>
    <w:p w14:paraId="68E31403" w14:textId="77777777" w:rsidR="00C04514" w:rsidRPr="00B06D0A" w:rsidRDefault="00C04514" w:rsidP="00F94B7E">
      <w:pPr>
        <w:widowControl w:val="0"/>
        <w:overflowPunct w:val="0"/>
        <w:autoSpaceDE w:val="0"/>
        <w:autoSpaceDN w:val="0"/>
        <w:adjustRightInd w:val="0"/>
        <w:rPr>
          <w:rFonts w:ascii="Times New Roman" w:hAnsi="Times New Roman" w:cs="Times New Roman"/>
        </w:rPr>
      </w:pPr>
    </w:p>
    <w:p w14:paraId="09A3F913" w14:textId="2B8FBC4D" w:rsidR="00FA3CF9" w:rsidRPr="00F94B7E" w:rsidRDefault="750671CE" w:rsidP="00F94B7E">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Acts and omissions.</w:t>
      </w:r>
      <w:r w:rsidRPr="00F94B7E">
        <w:rPr>
          <w:rFonts w:ascii="Times New Roman" w:eastAsia="Times New Roman" w:hAnsi="Times New Roman" w:cs="Times New Roman"/>
        </w:rPr>
        <w:t xml:space="preserve">  The </w:t>
      </w:r>
      <w:r w:rsidR="002F2E45">
        <w:rPr>
          <w:rFonts w:ascii="Times New Roman" w:eastAsia="Times New Roman" w:hAnsi="Times New Roman" w:cs="Times New Roman"/>
        </w:rPr>
        <w:t>no-duty rule posits</w:t>
      </w:r>
      <w:r w:rsidRPr="00F94B7E">
        <w:rPr>
          <w:rFonts w:ascii="Times New Roman" w:eastAsia="Times New Roman" w:hAnsi="Times New Roman" w:cs="Times New Roman"/>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26E8CEBB"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255428C4" w14:textId="70777C93"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B06D0A">
        <w:rPr>
          <w:rFonts w:ascii="Times New Roman" w:eastAsia="Times New Roman" w:hAnsi="Times New Roman" w:cs="Times New Roman"/>
        </w:rPr>
        <w:t>—</w:t>
      </w:r>
      <w:r w:rsidRPr="00B06D0A">
        <w:rPr>
          <w:rFonts w:ascii="Times New Roman" w:eastAsia="Times New Roman" w:hAnsi="Times New Roman" w:cs="Times New Roman"/>
        </w:rPr>
        <w:t>as having omitted to apply the brake.  But we don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  Note that one important feature of this hypothetical is that the driver is causally connected to the risk in which the pedestrian finds himself.  Yet the same is true in both </w:t>
      </w:r>
      <w:r w:rsidRPr="00B06D0A">
        <w:rPr>
          <w:rFonts w:ascii="Times New Roman" w:eastAsia="Times New Roman" w:hAnsi="Times New Roman" w:cs="Times New Roman"/>
          <w:i/>
          <w:iCs/>
        </w:rPr>
        <w:t>Farwell</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Harper</w:t>
      </w:r>
      <w:r w:rsidRPr="00B06D0A">
        <w:rPr>
          <w:rFonts w:ascii="Times New Roman" w:eastAsia="Times New Roman" w:hAnsi="Times New Roman" w:cs="Times New Roman"/>
        </w:rPr>
        <w:t>.  Why don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 we see the drinking buddy as having engaged in a negligent course of action in setting out on an adventure in the dangerous parking lots of the American suburban wilderness?  Didn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 Farwell engage in a course of conduct much like the driver who omits to brake?  Herman could be said to have engaged in a kind of negligent boating.  </w:t>
      </w:r>
    </w:p>
    <w:p w14:paraId="28AC9AFB"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00C2565F" w14:textId="70C1E468"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One view is that there are no bedrock principles on which the act / omission distinction rests, but that there are merely social conventions and intuitions about when a person can be said to be in some way responsible for another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Default="00FA3CF9" w:rsidP="00F94B7E">
      <w:pPr>
        <w:widowControl w:val="0"/>
        <w:overflowPunct w:val="0"/>
        <w:autoSpaceDE w:val="0"/>
        <w:autoSpaceDN w:val="0"/>
        <w:adjustRightInd w:val="0"/>
        <w:rPr>
          <w:rFonts w:ascii="Times New Roman" w:hAnsi="Times New Roman" w:cs="Times New Roman"/>
        </w:rPr>
      </w:pPr>
    </w:p>
    <w:p w14:paraId="6A83975F" w14:textId="77777777" w:rsidR="00C04514" w:rsidRPr="00B06D0A" w:rsidRDefault="00C04514" w:rsidP="00F94B7E">
      <w:pPr>
        <w:widowControl w:val="0"/>
        <w:overflowPunct w:val="0"/>
        <w:autoSpaceDE w:val="0"/>
        <w:autoSpaceDN w:val="0"/>
        <w:adjustRightInd w:val="0"/>
        <w:rPr>
          <w:rFonts w:ascii="Times New Roman" w:hAnsi="Times New Roman" w:cs="Times New Roman"/>
        </w:rPr>
      </w:pPr>
    </w:p>
    <w:p w14:paraId="2CFF71D0" w14:textId="32F312A2" w:rsidR="00FA3CF9" w:rsidRPr="00F94B7E" w:rsidRDefault="750671CE" w:rsidP="00F94B7E">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utilitarian critique</w:t>
      </w:r>
      <w:r w:rsidRPr="00F94B7E">
        <w:rPr>
          <w:rFonts w:ascii="Times New Roman" w:eastAsia="Times New Roman" w:hAnsi="Times New Roman" w:cs="Times New Roman"/>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B06D0A" w:rsidRDefault="00FA3CF9" w:rsidP="00F349EC">
      <w:pPr>
        <w:tabs>
          <w:tab w:val="right" w:pos="9360"/>
        </w:tabs>
        <w:rPr>
          <w:rFonts w:ascii="Times New Roman" w:hAnsi="Times New Roman" w:cs="Times New Roman"/>
        </w:rPr>
      </w:pPr>
      <w:r w:rsidRPr="00B06D0A">
        <w:rPr>
          <w:rFonts w:ascii="Times New Roman" w:hAnsi="Times New Roman" w:cs="Times New Roman"/>
        </w:rPr>
        <w:tab/>
      </w:r>
    </w:p>
    <w:p w14:paraId="3A53C7EE" w14:textId="7C9056E0" w:rsidR="00FA3CF9" w:rsidRPr="00E47BD5" w:rsidRDefault="750671CE" w:rsidP="00F94B7E">
      <w:pPr>
        <w:pStyle w:val="blockquote"/>
      </w:pPr>
      <w:r w:rsidRPr="00C14ACE">
        <w:t>The law does not compel active benevolence between man and man. It is left to one</w:t>
      </w:r>
      <w:r w:rsidR="00B05F31" w:rsidRPr="00A559C4">
        <w:t>’</w:t>
      </w:r>
      <w:r w:rsidRPr="00A15645">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w:t>
      </w:r>
      <w:r w:rsidRPr="001B5615">
        <w:t>f the man who refuses to throw a rope to a drowning man or to save a helpless child on the railroad track could be punished and be made to compensate the widow of the man drowned and the wounded child. . . .  These illustrat</w:t>
      </w:r>
      <w:r w:rsidRPr="00E47BD5">
        <w: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Default="00B444D7" w:rsidP="00F349EC">
      <w:pPr>
        <w:ind w:right="720"/>
        <w:rPr>
          <w:rFonts w:ascii="Times New Roman" w:hAnsi="Times New Roman" w:cs="Times New Roman"/>
        </w:rPr>
      </w:pPr>
    </w:p>
    <w:p w14:paraId="55530103" w14:textId="77777777" w:rsidR="00C04514" w:rsidRPr="00B06D0A" w:rsidRDefault="00C04514" w:rsidP="00F349EC">
      <w:pPr>
        <w:ind w:right="720"/>
        <w:rPr>
          <w:rFonts w:ascii="Times New Roman" w:hAnsi="Times New Roman" w:cs="Times New Roman"/>
        </w:rPr>
      </w:pPr>
    </w:p>
    <w:p w14:paraId="3C221243" w14:textId="5405F8D4" w:rsidR="00B444D7" w:rsidRPr="002F2E45" w:rsidRDefault="00B444D7">
      <w:pPr>
        <w:ind w:right="720"/>
        <w:rPr>
          <w:rFonts w:ascii="Times New Roman" w:eastAsia="Times New Roman" w:hAnsi="Times New Roman" w:cs="Times New Roman"/>
          <w:bCs/>
        </w:rPr>
      </w:pPr>
      <w:bookmarkStart w:id="746" w:name="_Toc518323448"/>
      <w:r w:rsidRPr="002F2E45">
        <w:rPr>
          <w:rStyle w:val="Heading4Char"/>
          <w:b w:val="0"/>
          <w:i w:val="0"/>
          <w:szCs w:val="24"/>
        </w:rPr>
        <w:t>James Barr Ames</w:t>
      </w:r>
      <w:r w:rsidRPr="002F2E45">
        <w:rPr>
          <w:rStyle w:val="Heading4Char"/>
          <w:b w:val="0"/>
          <w:szCs w:val="24"/>
        </w:rPr>
        <w:t>, The Law and Morals</w:t>
      </w:r>
      <w:bookmarkEnd w:id="746"/>
      <w:r w:rsidRPr="002F2E45">
        <w:rPr>
          <w:rFonts w:ascii="Times New Roman" w:eastAsia="Times New Roman" w:hAnsi="Times New Roman" w:cs="Times New Roman"/>
          <w:bCs/>
        </w:rPr>
        <w:t xml:space="preserve">, 22 </w:t>
      </w:r>
      <w:r w:rsidRPr="002F2E45">
        <w:rPr>
          <w:rFonts w:ascii="Times New Roman" w:eastAsia="Times New Roman" w:hAnsi="Times New Roman" w:cs="Times New Roman"/>
          <w:bCs/>
          <w:smallCaps/>
        </w:rPr>
        <w:t>Harv. L. Rev</w:t>
      </w:r>
      <w:r w:rsidRPr="002F2E45">
        <w:rPr>
          <w:rFonts w:ascii="Times New Roman" w:eastAsia="Times New Roman" w:hAnsi="Times New Roman" w:cs="Times New Roman"/>
          <w:bCs/>
        </w:rPr>
        <w:t>. 97. 109-10, 112-13 (1908)</w:t>
      </w:r>
      <w:r w:rsidR="002F2E45">
        <w:rPr>
          <w:rFonts w:ascii="Times New Roman" w:eastAsia="Times New Roman" w:hAnsi="Times New Roman" w:cs="Times New Roman"/>
          <w:bCs/>
        </w:rPr>
        <w:t>.</w:t>
      </w:r>
    </w:p>
    <w:p w14:paraId="3B29CD21" w14:textId="77777777" w:rsidR="00FA3CF9" w:rsidRPr="00B06D0A" w:rsidRDefault="00FA3CF9">
      <w:pPr>
        <w:rPr>
          <w:rFonts w:ascii="Times New Roman" w:hAnsi="Times New Roman" w:cs="Times New Roman"/>
        </w:rPr>
      </w:pPr>
    </w:p>
    <w:p w14:paraId="47C621DC" w14:textId="03E9525D" w:rsidR="00FA3CF9" w:rsidRPr="00B06D0A" w:rsidRDefault="00FA3CF9">
      <w:pPr>
        <w:rPr>
          <w:rFonts w:ascii="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More recently, those with a utilitarian streak have tried to find </w:t>
      </w:r>
      <w:r w:rsidR="002F2E45">
        <w:rPr>
          <w:rFonts w:ascii="Times New Roman" w:eastAsia="Times New Roman" w:hAnsi="Times New Roman" w:cs="Times New Roman"/>
        </w:rPr>
        <w:t>welfare-based</w:t>
      </w:r>
      <w:r w:rsidRPr="00B06D0A">
        <w:rPr>
          <w:rFonts w:ascii="Times New Roman" w:eastAsia="Times New Roman" w:hAnsi="Times New Roman" w:cs="Times New Roman"/>
        </w:rPr>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B06D0A" w:rsidRDefault="00FA3CF9">
      <w:pPr>
        <w:tabs>
          <w:tab w:val="left" w:pos="456"/>
        </w:tabs>
        <w:rPr>
          <w:rFonts w:ascii="Times New Roman" w:hAnsi="Times New Roman" w:cs="Times New Roman"/>
        </w:rPr>
      </w:pPr>
    </w:p>
    <w:p w14:paraId="08FE124A" w14:textId="5A3FBFBC" w:rsidR="00FA3CF9" w:rsidRPr="00E47BD5" w:rsidRDefault="750671CE" w:rsidP="00F94B7E">
      <w:pPr>
        <w:pStyle w:val="blockquote"/>
      </w:pPr>
      <w:r w:rsidRPr="00C14ACE">
        <w:t>Various rationales have been offered for the seemingly hardhearted common law rule: people should not count on nonprofessionals for rescue; the circle of potentially liable nonrescuers would be difficult to draw (suppose a person is drowning and n</w:t>
      </w:r>
      <w:r w:rsidRPr="00A559C4">
        <w:t>o one on the crowded beach makes</w:t>
      </w:r>
      <w:r w:rsidRPr="00A15645">
        <w:t xml:space="preserve"> an effort to save him</w:t>
      </w:r>
      <w:r w:rsidR="00E67CC5" w:rsidRPr="00A15645">
        <w:t>—</w:t>
      </w:r>
      <w:r w:rsidRPr="001B5615">
        <w:t>should all be liable?); altruism makes the problem a small one and liability might actually reduce the number of altruistic rescues by depriving people of credit for altruism (how would they prove th</w:t>
      </w:r>
      <w:r w:rsidRPr="00E47BD5">
        <w:t>ey hadn</w:t>
      </w:r>
      <w:r w:rsidR="00B05F31" w:rsidRPr="00E47BD5">
        <w:t>’</w:t>
      </w:r>
      <w:r w:rsidRPr="00E47BD5">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E47BD5" w:rsidRDefault="00FA3CF9" w:rsidP="00F94B7E">
      <w:pPr>
        <w:pStyle w:val="blockquote"/>
      </w:pPr>
    </w:p>
    <w:p w14:paraId="0C7E13B7" w14:textId="6DC73E96" w:rsidR="00FA3CF9" w:rsidRPr="00B06D0A" w:rsidRDefault="00FA3CF9" w:rsidP="00F94B7E">
      <w:pPr>
        <w:pStyle w:val="blockquote"/>
      </w:pPr>
      <w:r w:rsidRPr="00E47BD5">
        <w:tab/>
        <w:t xml:space="preserve">Whatever the validity of these explanations for the common law rule, they have been held to be overborne in three types of case. The three types are typically said to involve a </w:t>
      </w:r>
      <w:r w:rsidR="00B05F31" w:rsidRPr="00B06D0A">
        <w:t>“</w:t>
      </w:r>
      <w:r w:rsidRPr="00B06D0A">
        <w:t>special relationship</w:t>
      </w:r>
      <w:r w:rsidR="00B05F31" w:rsidRPr="00B06D0A">
        <w:t>”</w:t>
      </w:r>
      <w:r w:rsidRPr="00B06D0A">
        <w:t xml:space="preserve"> between rescuer and victim. . . . </w:t>
      </w:r>
    </w:p>
    <w:p w14:paraId="5BC71B7C" w14:textId="77777777" w:rsidR="00FA3CF9" w:rsidRPr="00C14ACE" w:rsidRDefault="00FA3CF9" w:rsidP="00F94B7E">
      <w:pPr>
        <w:pStyle w:val="blockquote"/>
      </w:pPr>
    </w:p>
    <w:p w14:paraId="0076533F" w14:textId="77777777" w:rsidR="00FA3CF9" w:rsidRPr="00B06D0A" w:rsidRDefault="750671CE" w:rsidP="00F94B7E">
      <w:pPr>
        <w:pStyle w:val="blockquote"/>
      </w:pPr>
      <w:r w:rsidRPr="00B06D0A">
        <w:t xml:space="preserve">The first type of case is where the rescuer had either assumed, explicitly or implicitly, a contractual duty to rescue the victim. . . . </w:t>
      </w:r>
    </w:p>
    <w:p w14:paraId="363A4186" w14:textId="77777777" w:rsidR="00CF33E2" w:rsidRDefault="00CF33E2" w:rsidP="00F94B7E">
      <w:pPr>
        <w:pStyle w:val="blockquote"/>
      </w:pPr>
    </w:p>
    <w:p w14:paraId="56643A47" w14:textId="025B4557" w:rsidR="00FA3CF9" w:rsidRPr="00B06D0A" w:rsidRDefault="750671CE" w:rsidP="00F94B7E">
      <w:pPr>
        <w:pStyle w:val="blockquote"/>
      </w:pPr>
      <w:r w:rsidRPr="00B06D0A">
        <w:t>In the second type of case, the victim was in the rescuer</w:t>
      </w:r>
      <w:r w:rsidR="00B05F31" w:rsidRPr="00B06D0A">
        <w:t>’</w:t>
      </w:r>
      <w:r w:rsidRPr="00B06D0A">
        <w:t xml:space="preserve">s custody and thus without access to alternative rescuers. . . . These cases are readily assimilated to cases of the first type </w:t>
      </w:r>
      <w:r w:rsidR="00002E27">
        <w:t>. . . .</w:t>
      </w:r>
    </w:p>
    <w:p w14:paraId="5E1C9DF1" w14:textId="77777777" w:rsidR="00FA3CF9" w:rsidRPr="00A559C4" w:rsidRDefault="00FA3CF9" w:rsidP="00F94B7E">
      <w:pPr>
        <w:pStyle w:val="blockquote"/>
      </w:pPr>
      <w:r w:rsidRPr="00C14ACE">
        <w:tab/>
      </w:r>
    </w:p>
    <w:p w14:paraId="0AE41E4A" w14:textId="5AAB76C6" w:rsidR="00FA3CF9" w:rsidRPr="00A15645" w:rsidRDefault="750671CE" w:rsidP="00F94B7E">
      <w:pPr>
        <w:pStyle w:val="blockquote"/>
      </w:pPr>
      <w:r w:rsidRPr="00B06D0A">
        <w:t>The third class consists of cases in which the victim</w:t>
      </w:r>
      <w:r w:rsidR="00B05F31" w:rsidRPr="00B06D0A">
        <w:t>’</w:t>
      </w:r>
      <w:r w:rsidRPr="00B06D0A">
        <w:t>s peril had been caused by the putative rescuer himself</w:t>
      </w:r>
      <w:r w:rsidR="00E67CC5" w:rsidRPr="00C14ACE">
        <w:t>—</w:t>
      </w:r>
      <w:r w:rsidRPr="00A15645">
        <w:t>even if he had caused it nonnegligently. . . .</w:t>
      </w:r>
    </w:p>
    <w:p w14:paraId="6C6ABA66" w14:textId="77777777" w:rsidR="00FA3CF9" w:rsidRPr="001B5615" w:rsidRDefault="00FA3CF9" w:rsidP="00F94B7E">
      <w:pPr>
        <w:pStyle w:val="blockquote"/>
      </w:pPr>
    </w:p>
    <w:p w14:paraId="557DB9C3" w14:textId="77777777" w:rsidR="00FA3CF9" w:rsidRPr="00E47BD5" w:rsidRDefault="750671CE" w:rsidP="00F94B7E">
      <w:pPr>
        <w:pStyle w:val="blockquote"/>
      </w:pPr>
      <w:r w:rsidRPr="00E47BD5">
        <w:t>In short . . . when the rescuer either has assumed explicitly or implicitly a duty of rescue, or has caused the injury, the reasons behind the common law rule fall away and the rule is bent.</w:t>
      </w:r>
    </w:p>
    <w:p w14:paraId="0ECCA93F" w14:textId="77777777" w:rsidR="00B444D7" w:rsidRPr="00B06D0A" w:rsidRDefault="00B444D7" w:rsidP="00F94B7E">
      <w:pPr>
        <w:pStyle w:val="NormalWeb"/>
        <w:shd w:val="clear" w:color="auto" w:fill="FFFFFF"/>
        <w:spacing w:before="0" w:beforeAutospacing="0" w:after="0" w:afterAutospacing="0"/>
        <w:ind w:right="720"/>
        <w:textAlignment w:val="baseline"/>
        <w:rPr>
          <w:rFonts w:ascii="Times New Roman" w:hAnsi="Times New Roman"/>
          <w:sz w:val="24"/>
          <w:szCs w:val="24"/>
        </w:rPr>
      </w:pPr>
    </w:p>
    <w:p w14:paraId="5C858371" w14:textId="7EF85DD9" w:rsidR="00B444D7" w:rsidRPr="00ED7BEB" w:rsidRDefault="750671CE" w:rsidP="00F94B7E">
      <w:pPr>
        <w:pStyle w:val="NormalWeb"/>
        <w:shd w:val="clear" w:color="auto" w:fill="FFFFFF" w:themeFill="background1"/>
        <w:spacing w:before="0" w:beforeAutospacing="0" w:after="0" w:afterAutospacing="0"/>
        <w:ind w:right="720"/>
        <w:textAlignment w:val="baseline"/>
        <w:rPr>
          <w:rFonts w:ascii="Times New Roman" w:eastAsia="Times New Roman" w:hAnsi="Times New Roman"/>
          <w:sz w:val="24"/>
          <w:szCs w:val="24"/>
        </w:rPr>
      </w:pPr>
      <w:r w:rsidRPr="00F94B7E">
        <w:rPr>
          <w:rFonts w:ascii="Times New Roman" w:hAnsi="Times New Roman"/>
          <w:i/>
          <w:iCs/>
          <w:sz w:val="24"/>
          <w:szCs w:val="24"/>
        </w:rPr>
        <w:t xml:space="preserve">Stockberger v. United States, </w:t>
      </w:r>
      <w:r w:rsidRPr="00F349EC">
        <w:rPr>
          <w:rFonts w:ascii="Times New Roman" w:eastAsia="Times New Roman" w:hAnsi="Times New Roman"/>
          <w:sz w:val="24"/>
          <w:szCs w:val="24"/>
        </w:rPr>
        <w:t>332 F.3d 479 (7</w:t>
      </w:r>
      <w:r w:rsidR="00E67CC5" w:rsidRPr="00F349EC">
        <w:rPr>
          <w:rFonts w:ascii="Times New Roman" w:eastAsia="Times New Roman" w:hAnsi="Times New Roman"/>
          <w:sz w:val="24"/>
          <w:szCs w:val="24"/>
        </w:rPr>
        <w:t>th</w:t>
      </w:r>
      <w:r w:rsidRPr="00ED7BEB">
        <w:rPr>
          <w:rFonts w:ascii="Times New Roman" w:eastAsia="Times New Roman" w:hAnsi="Times New Roman"/>
          <w:sz w:val="24"/>
          <w:szCs w:val="24"/>
        </w:rPr>
        <w:t xml:space="preserve"> Cir. 2003) (Posner, J.)</w:t>
      </w:r>
    </w:p>
    <w:p w14:paraId="534C5E75"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62140940" w14:textId="77777777" w:rsidR="00FA3CF9" w:rsidRPr="00B06D0A" w:rsidRDefault="00FA3CF9" w:rsidP="00F349EC">
      <w:pPr>
        <w:tabs>
          <w:tab w:val="left" w:pos="456"/>
        </w:tabs>
        <w:rPr>
          <w:rFonts w:ascii="Times New Roman" w:hAnsi="Times New Roman" w:cs="Times New Roman"/>
        </w:rPr>
      </w:pPr>
    </w:p>
    <w:p w14:paraId="35B3CFA4" w14:textId="7B17B88D" w:rsidR="00FA3CF9" w:rsidRPr="00F94B7E" w:rsidRDefault="00FA3CF9" w:rsidP="00F94B7E">
      <w:pPr>
        <w:pStyle w:val="ListParagraph"/>
        <w:numPr>
          <w:ilvl w:val="0"/>
          <w:numId w:val="109"/>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rights-based answer.  </w:t>
      </w:r>
      <w:r w:rsidR="00002E27">
        <w:rPr>
          <w:rFonts w:ascii="Times New Roman" w:eastAsia="Times New Roman" w:hAnsi="Times New Roman" w:cs="Times New Roman"/>
        </w:rPr>
        <w:t>T</w:t>
      </w:r>
      <w:r w:rsidRPr="00F94B7E">
        <w:rPr>
          <w:rFonts w:ascii="Times New Roman" w:eastAsia="Times New Roman" w:hAnsi="Times New Roman" w:cs="Times New Roman"/>
        </w:rPr>
        <w:t>he more common observation has been to insist that the rule of no duty to rescue reveals something deeply anti-utilitarian underlying the law of torts.  Richard Epstein made the argument especially energetically four decades ago, insisting that the rule against a duty to rescue was fundamental to human freedom:</w:t>
      </w:r>
      <w:bookmarkStart w:id="747" w:name="_Toc387620656"/>
    </w:p>
    <w:bookmarkEnd w:id="747"/>
    <w:p w14:paraId="4E3195ED"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5F518CA6" w14:textId="406C160F" w:rsidR="00FA3CF9" w:rsidRPr="00E47BD5" w:rsidRDefault="750671CE" w:rsidP="00F94B7E">
      <w:pPr>
        <w:pStyle w:val="blockquote"/>
      </w:pPr>
      <w:r w:rsidRPr="00C14ACE">
        <w:t>Under Ames</w:t>
      </w:r>
      <w:r w:rsidR="00B05F31" w:rsidRPr="00A559C4">
        <w:t>’</w:t>
      </w:r>
      <w:r w:rsidRPr="00A15645">
        <w:t xml:space="preserve"> good Samaritan rule, a defendant in cases of affirmative acts would be required to take only those steps that can be done </w:t>
      </w:r>
      <w:r w:rsidR="00B05F31" w:rsidRPr="001B5615">
        <w:t>“</w:t>
      </w:r>
      <w:r w:rsidRPr="00E47BD5">
        <w:t>with little or no inconvenience.</w:t>
      </w:r>
      <w:r w:rsidR="00B05F31" w:rsidRPr="00E47BD5">
        <w:t>”</w:t>
      </w:r>
      <w:r w:rsidRPr="00E47BD5">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w:t>
      </w:r>
      <w:r w:rsidR="003F7746" w:rsidRPr="00E47BD5">
        <w:t>—</w:t>
      </w:r>
      <w:r w:rsidRPr="00E47BD5">
        <w:t>individual liberty</w:t>
      </w:r>
      <w:r w:rsidR="003F7746" w:rsidRPr="00E47BD5">
        <w:t>—</w:t>
      </w:r>
      <w:r w:rsidRPr="00E47BD5">
        <w:t xml:space="preserve">a good in itself not explainable in terms of its purported social worth. . . . </w:t>
      </w:r>
    </w:p>
    <w:p w14:paraId="568D9731" w14:textId="77777777" w:rsidR="00FA3CF9" w:rsidRPr="00B06D0A" w:rsidRDefault="00FA3CF9" w:rsidP="00F349EC">
      <w:pPr>
        <w:ind w:left="720" w:right="720"/>
        <w:rPr>
          <w:rFonts w:ascii="Times New Roman" w:hAnsi="Times New Roman" w:cs="Times New Roman"/>
        </w:rPr>
      </w:pPr>
    </w:p>
    <w:p w14:paraId="7BA86869" w14:textId="580FF6DF" w:rsidR="003A495A" w:rsidRPr="00B06D0A" w:rsidRDefault="750671CE">
      <w:pPr>
        <w:ind w:right="720"/>
        <w:rPr>
          <w:rFonts w:ascii="Times New Roman" w:eastAsia="Times New Roman" w:hAnsi="Times New Roman" w:cs="Times New Roman"/>
        </w:rPr>
      </w:pPr>
      <w:r w:rsidRPr="00B06D0A">
        <w:rPr>
          <w:rFonts w:ascii="Times New Roman" w:eastAsia="Times New Roman" w:hAnsi="Times New Roman" w:cs="Times New Roman"/>
        </w:rPr>
        <w:t xml:space="preserve">Richard A. Epstein, </w:t>
      </w:r>
      <w:r w:rsidRPr="00B06D0A">
        <w:rPr>
          <w:rFonts w:ascii="Times New Roman" w:eastAsia="Times New Roman" w:hAnsi="Times New Roman" w:cs="Times New Roman"/>
          <w:i/>
          <w:iCs/>
        </w:rPr>
        <w:t>A Theory of Strict Liability</w:t>
      </w:r>
      <w:r w:rsidRPr="00B06D0A">
        <w:rPr>
          <w:rFonts w:ascii="Times New Roman" w:eastAsia="Times New Roman" w:hAnsi="Times New Roman" w:cs="Times New Roman"/>
        </w:rPr>
        <w:t xml:space="preserve">, 2 </w:t>
      </w:r>
      <w:r w:rsidRPr="00B06D0A">
        <w:rPr>
          <w:rFonts w:ascii="Times New Roman" w:eastAsia="Times New Roman" w:hAnsi="Times New Roman" w:cs="Times New Roman"/>
          <w:smallCaps/>
        </w:rPr>
        <w:t>J. Legal Stud</w:t>
      </w:r>
      <w:r w:rsidRPr="00B06D0A">
        <w:rPr>
          <w:rFonts w:ascii="Times New Roman" w:eastAsia="Times New Roman" w:hAnsi="Times New Roman" w:cs="Times New Roman"/>
        </w:rPr>
        <w:t xml:space="preserve">. 151, 197-200 (1973). </w:t>
      </w:r>
    </w:p>
    <w:p w14:paraId="3DAD6DE8" w14:textId="77777777" w:rsidR="003A495A" w:rsidRPr="00B06D0A" w:rsidRDefault="003A495A">
      <w:pPr>
        <w:ind w:right="720"/>
        <w:rPr>
          <w:rFonts w:ascii="Times New Roman" w:hAnsi="Times New Roman" w:cs="Times New Roman"/>
        </w:rPr>
      </w:pPr>
    </w:p>
    <w:p w14:paraId="10EE194E" w14:textId="36A057F7" w:rsidR="00FA3CF9" w:rsidRPr="00B06D0A" w:rsidRDefault="750671CE">
      <w:pPr>
        <w:ind w:right="720" w:firstLine="720"/>
        <w:rPr>
          <w:rFonts w:ascii="Times New Roman" w:eastAsia="Times New Roman" w:hAnsi="Times New Roman" w:cs="Times New Roman"/>
        </w:rPr>
      </w:pPr>
      <w:r w:rsidRPr="00B06D0A">
        <w:rPr>
          <w:rFonts w:ascii="Times New Roman" w:eastAsia="Times New Roman" w:hAnsi="Times New Roman" w:cs="Times New Roman"/>
        </w:rPr>
        <w:t>Epstein goes on to ask whether a middle class resident of a western market economy might be legally obligated under Ames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rule to say yes when asked to provide $10 to a private charity to save the life of a starving child.  What about the second time?  The third? </w:t>
      </w:r>
      <w:r w:rsidR="00002E27">
        <w:rPr>
          <w:rFonts w:ascii="Times New Roman" w:eastAsia="Times New Roman" w:hAnsi="Times New Roman" w:cs="Times New Roman"/>
        </w:rPr>
        <w:t xml:space="preserve"> Epstein </w:t>
      </w:r>
      <w:r w:rsidRPr="00B06D0A">
        <w:rPr>
          <w:rFonts w:ascii="Times New Roman" w:eastAsia="Times New Roman" w:hAnsi="Times New Roman" w:cs="Times New Roman"/>
        </w:rPr>
        <w:t>attack</w:t>
      </w:r>
      <w:r w:rsidR="00002E27">
        <w:rPr>
          <w:rFonts w:ascii="Times New Roman" w:eastAsia="Times New Roman" w:hAnsi="Times New Roman" w:cs="Times New Roman"/>
        </w:rPr>
        <w:t>s</w:t>
      </w:r>
      <w:r w:rsidRPr="00B06D0A">
        <w:rPr>
          <w:rFonts w:ascii="Times New Roman" w:eastAsia="Times New Roman" w:hAnsi="Times New Roman" w:cs="Times New Roman"/>
        </w:rPr>
        <w:t xml:space="preserve"> the idea of a duty to rescue on the grounds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it becomes impossible to tell where liberty ends and obligation begins; where contract ends, and tort begins.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Moreover, and perhaps more interestingly, Epstein observes that compulsory assistance threatens the very existence of the domain of charity. </w:t>
      </w:r>
    </w:p>
    <w:p w14:paraId="194D8B66" w14:textId="77777777" w:rsidR="00FA3CF9" w:rsidRPr="00B06D0A" w:rsidRDefault="00FA3CF9">
      <w:pPr>
        <w:ind w:firstLine="720"/>
        <w:rPr>
          <w:rFonts w:ascii="Times New Roman" w:hAnsi="Times New Roman" w:cs="Times New Roman"/>
        </w:rPr>
      </w:pPr>
    </w:p>
    <w:p w14:paraId="4EE97529"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Judge Posner responds that a duty to rescue, properly understood, would vindicate the contractual liberty that Epstein seeks to achieve, not defeat it:</w:t>
      </w:r>
    </w:p>
    <w:p w14:paraId="6D408D11"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6070C9F2" w14:textId="783465C0" w:rsidR="00FA3CF9" w:rsidRPr="00E47BD5" w:rsidRDefault="750671CE" w:rsidP="00F94B7E">
      <w:pPr>
        <w:pStyle w:val="blockquote"/>
      </w:pPr>
      <w:r w:rsidRPr="00C14ACE">
        <w:t xml:space="preserve">Suppose that if all of the members of society could somehow be assembled they would agree unanimously that, as a reasonable measure of mutual protection, anyone </w:t>
      </w:r>
      <w:r w:rsidRPr="00A559C4">
        <w:t xml:space="preserve">who can warn or rescue someone in distress at negligible cost to himself (in time, danger, or whatever) should be required to do so. These mutual promises of assistance </w:t>
      </w:r>
      <w:r w:rsidRPr="00A15645">
        <w:t>would create a contract that Epstein would presumably enforce since he considers the right to make binding contracts a fundamental one. However, there are technical obstacles</w:t>
      </w:r>
      <w:r w:rsidR="005F4E41" w:rsidRPr="00A15645">
        <w:t>—</w:t>
      </w:r>
      <w:r w:rsidRPr="00E47BD5">
        <w:t>in this case insurmountable ones</w:t>
      </w:r>
      <w:r w:rsidR="005F4E41" w:rsidRPr="00E47BD5">
        <w:t>—</w:t>
      </w:r>
      <w:r w:rsidRPr="00E47BD5">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3F3E5E5D" w14:textId="4B83F39F" w:rsidR="00FA3CF9" w:rsidRPr="00F349EC" w:rsidRDefault="750671CE" w:rsidP="00F349EC">
      <w:pPr>
        <w:rPr>
          <w:rFonts w:ascii="Times New Roman" w:eastAsia="Times New Roman" w:hAnsi="Times New Roman" w:cs="Times New Roman"/>
        </w:rPr>
      </w:pPr>
      <w:r w:rsidRPr="00B06D0A">
        <w:rPr>
          <w:rFonts w:ascii="Times New Roman" w:eastAsia="Times New Roman" w:hAnsi="Times New Roman" w:cs="Times New Roman"/>
        </w:rPr>
        <w:t xml:space="preserve">Richard A. Posner, </w:t>
      </w:r>
      <w:r w:rsidRPr="00F94B7E">
        <w:rPr>
          <w:rFonts w:ascii="Times New Roman" w:eastAsia="Times New Roman" w:hAnsi="Times New Roman" w:cs="Times New Roman"/>
          <w:i/>
        </w:rPr>
        <w:t>Epstein</w:t>
      </w:r>
      <w:r w:rsidR="00B05F31" w:rsidRPr="00F94B7E">
        <w:rPr>
          <w:rFonts w:ascii="Times New Roman" w:eastAsia="Times New Roman" w:hAnsi="Times New Roman" w:cs="Times New Roman"/>
          <w:i/>
        </w:rPr>
        <w:t>’</w:t>
      </w:r>
      <w:r w:rsidRPr="00F94B7E">
        <w:rPr>
          <w:rFonts w:ascii="Times New Roman" w:eastAsia="Times New Roman" w:hAnsi="Times New Roman" w:cs="Times New Roman"/>
          <w:i/>
        </w:rPr>
        <w:t>s Tort Theory: A Critique</w:t>
      </w:r>
      <w:r w:rsidRPr="00F349EC">
        <w:rPr>
          <w:rFonts w:ascii="Times New Roman" w:eastAsia="Times New Roman" w:hAnsi="Times New Roman" w:cs="Times New Roman"/>
        </w:rPr>
        <w:t xml:space="preserve">, 8 </w:t>
      </w:r>
      <w:r w:rsidRPr="00F349EC">
        <w:rPr>
          <w:rFonts w:ascii="Times New Roman" w:eastAsia="Times New Roman" w:hAnsi="Times New Roman" w:cs="Times New Roman"/>
          <w:smallCaps/>
        </w:rPr>
        <w:t>J. Legal Stud</w:t>
      </w:r>
      <w:r w:rsidRPr="00F349EC">
        <w:rPr>
          <w:rFonts w:ascii="Times New Roman" w:eastAsia="Times New Roman" w:hAnsi="Times New Roman" w:cs="Times New Roman"/>
        </w:rPr>
        <w:t>. 457, 460-61 (1979).  Others have argued that taking a potential rescuer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previous contributions into account would supply the principled stopping point that Epstein worries does not exist.  </w:t>
      </w:r>
      <w:r w:rsidRPr="00F94B7E">
        <w:rPr>
          <w:rFonts w:ascii="Times New Roman" w:eastAsia="Times New Roman" w:hAnsi="Times New Roman" w:cs="Times New Roman"/>
          <w:i/>
        </w:rPr>
        <w:t>See</w:t>
      </w:r>
      <w:r w:rsidRPr="00F349EC">
        <w:rPr>
          <w:rFonts w:ascii="Times New Roman" w:eastAsia="Times New Roman" w:hAnsi="Times New Roman" w:cs="Times New Roman"/>
        </w:rPr>
        <w:t xml:space="preserve"> </w:t>
      </w:r>
      <w:r w:rsidRPr="00F94B7E">
        <w:rPr>
          <w:rFonts w:ascii="Times New Roman" w:eastAsia="Times New Roman" w:hAnsi="Times New Roman" w:cs="Times New Roman"/>
          <w:smallCaps/>
        </w:rPr>
        <w:t>T. M. Scanlon, What We Owe Each O</w:t>
      </w:r>
      <w:r w:rsidRPr="00F349EC">
        <w:rPr>
          <w:rFonts w:ascii="Times New Roman" w:eastAsia="Times New Roman" w:hAnsi="Times New Roman" w:cs="Times New Roman"/>
        </w:rPr>
        <w:t>ther 224 (1998).</w:t>
      </w:r>
    </w:p>
    <w:p w14:paraId="56B6FADD" w14:textId="77777777" w:rsidR="00FA3CF9" w:rsidRDefault="00FA3CF9" w:rsidP="00F94B7E">
      <w:pPr>
        <w:widowControl w:val="0"/>
        <w:overflowPunct w:val="0"/>
        <w:autoSpaceDE w:val="0"/>
        <w:autoSpaceDN w:val="0"/>
        <w:adjustRightInd w:val="0"/>
        <w:rPr>
          <w:rFonts w:ascii="Times New Roman" w:hAnsi="Times New Roman" w:cs="Times New Roman"/>
        </w:rPr>
      </w:pPr>
    </w:p>
    <w:p w14:paraId="6C5AA056" w14:textId="77777777" w:rsidR="00C04514" w:rsidRPr="00F349EC" w:rsidRDefault="00C04514" w:rsidP="00F94B7E">
      <w:pPr>
        <w:widowControl w:val="0"/>
        <w:overflowPunct w:val="0"/>
        <w:autoSpaceDE w:val="0"/>
        <w:autoSpaceDN w:val="0"/>
        <w:adjustRightInd w:val="0"/>
        <w:rPr>
          <w:rFonts w:ascii="Times New Roman" w:hAnsi="Times New Roman" w:cs="Times New Roman"/>
        </w:rPr>
      </w:pPr>
    </w:p>
    <w:p w14:paraId="44C2CB66" w14:textId="36D86B1B" w:rsidR="00FA3CF9" w:rsidRPr="00F94B7E" w:rsidRDefault="750671CE" w:rsidP="00F94B7E">
      <w:pPr>
        <w:pStyle w:val="ListParagraph"/>
        <w:widowControl w:val="0"/>
        <w:numPr>
          <w:ilvl w:val="0"/>
          <w:numId w:val="109"/>
        </w:numPr>
        <w:overflowPunct w:val="0"/>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Moral heuristics?  </w:t>
      </w:r>
      <w:r w:rsidRPr="00F94B7E">
        <w:rPr>
          <w:rFonts w:ascii="Times New Roman" w:eastAsia="Times New Roman" w:hAnsi="Times New Roman" w:cs="Times New Roman"/>
        </w:rPr>
        <w:t>Still another view</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one rooted deep in the nineteenth-century intellectual history of utilitarianism</w:t>
      </w:r>
      <w:r w:rsidR="00973911" w:rsidRPr="00F94B7E">
        <w:rPr>
          <w:rFonts w:ascii="Times New Roman" w:eastAsia="Times New Roman" w:hAnsi="Times New Roman" w:cs="Times New Roman"/>
        </w:rPr>
        <w:t>—</w:t>
      </w:r>
      <w:r w:rsidRPr="00F94B7E">
        <w:rPr>
          <w:rFonts w:ascii="Times New Roman" w:eastAsia="Times New Roman" w:hAnsi="Times New Roman" w:cs="Times New Roman"/>
        </w:rPr>
        <w:t xml:space="preserve">is that the rule against a duty to rescue is the kind of moral mistake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common sense morality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philosopher Henry Sidgwick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phrase from his </w:t>
      </w:r>
      <w:r w:rsidRPr="00F94B7E">
        <w:rPr>
          <w:rFonts w:ascii="Times New Roman" w:eastAsia="Times New Roman" w:hAnsi="Times New Roman" w:cs="Times New Roman"/>
          <w:i/>
          <w:iCs/>
        </w:rPr>
        <w:t>The Methods of Ethics</w:t>
      </w:r>
      <w:r w:rsidRPr="00F94B7E">
        <w:rPr>
          <w:rFonts w:ascii="Times New Roman" w:eastAsia="Times New Roman" w:hAnsi="Times New Roman" w:cs="Times New Roman"/>
        </w:rPr>
        <w:t xml:space="preserve"> 425 (1907)) or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morality of the multitude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John Stuart Mill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cutting formulation from his </w:t>
      </w:r>
      <w:r w:rsidRPr="00F94B7E">
        <w:rPr>
          <w:rFonts w:ascii="Times New Roman" w:eastAsia="Times New Roman" w:hAnsi="Times New Roman" w:cs="Times New Roman"/>
          <w:i/>
          <w:iCs/>
        </w:rPr>
        <w:t>Utilitarianism</w:t>
      </w:r>
      <w:r w:rsidRPr="00F94B7E">
        <w:rPr>
          <w:rFonts w:ascii="Times New Roman" w:eastAsia="Times New Roman" w:hAnsi="Times New Roman" w:cs="Times New Roman"/>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B06D0A" w:rsidRDefault="00FA3CF9" w:rsidP="00F349EC">
      <w:pPr>
        <w:autoSpaceDE w:val="0"/>
        <w:autoSpaceDN w:val="0"/>
        <w:adjustRightInd w:val="0"/>
        <w:ind w:right="720"/>
        <w:rPr>
          <w:rFonts w:ascii="Times New Roman" w:hAnsi="Times New Roman" w:cs="Times New Roman"/>
        </w:rPr>
      </w:pPr>
    </w:p>
    <w:p w14:paraId="628BE823" w14:textId="2791ABD9" w:rsidR="00FA3CF9" w:rsidRPr="00B06D0A" w:rsidRDefault="750671CE" w:rsidP="00F94B7E">
      <w:pPr>
        <w:pStyle w:val="blockquote"/>
      </w:pPr>
      <w:r w:rsidRPr="00C14ACE">
        <w:t xml:space="preserve">It is worth considering </w:t>
      </w:r>
      <w:r w:rsidRPr="00A559C4">
        <w:t>the possibility that the act</w:t>
      </w:r>
      <w:r w:rsidR="00973911" w:rsidRPr="00A15645">
        <w:t>-</w:t>
      </w:r>
      <w:r w:rsidRPr="00A15645">
        <w:t>omission distinction operates as a heuristic . . . .  From the moral point of view, harmful acts are generally worse than harmful omissions, in terms of both the state of mind of the wrongdoer and the likely consequ</w:t>
      </w:r>
      <w:r w:rsidRPr="001B5615">
        <w:t>ences of th</w:t>
      </w:r>
      <w:r w:rsidRPr="00E47BD5">
        <w:t>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w:t>
      </w:r>
      <w:r w:rsidR="00B05F31" w:rsidRPr="00B06D0A">
        <w:t>’</w:t>
      </w:r>
      <w:r w:rsidRPr="00B06D0A">
        <w:t xml:space="preserve">s state of mind or the consequences, harmful acts are not </w:t>
      </w:r>
      <w:r w:rsidRPr="00B06D0A">
        <w:rPr>
          <w:i/>
          <w:iCs/>
        </w:rPr>
        <w:t xml:space="preserve">always </w:t>
      </w:r>
      <w:r w:rsidRPr="00B06D0A">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C14ACE" w:rsidRDefault="00FA3CF9" w:rsidP="00F94B7E">
      <w:pPr>
        <w:pStyle w:val="blockquote"/>
      </w:pPr>
    </w:p>
    <w:p w14:paraId="675C8DF5" w14:textId="1A7A70C9" w:rsidR="00FA3CF9" w:rsidRPr="00B06D0A" w:rsidRDefault="750671CE" w:rsidP="00F94B7E">
      <w:pPr>
        <w:pStyle w:val="blockquote"/>
      </w:pPr>
      <w:r w:rsidRPr="00B06D0A">
        <w:t>In such cases, we might hypothesize that moral intuitions reflect an overgeneralization of principles that usually make sense</w:t>
      </w:r>
      <w:r w:rsidR="00494271" w:rsidRPr="00B06D0A">
        <w:t>—</w:t>
      </w:r>
      <w:r w:rsidRPr="00B06D0A">
        <w:t xml:space="preserve">but that fail to make sense in the particular case . . . .  </w:t>
      </w:r>
    </w:p>
    <w:p w14:paraId="64BECE1D" w14:textId="77777777" w:rsidR="00FA3CF9" w:rsidRPr="00B06D0A" w:rsidRDefault="00FA3CF9" w:rsidP="00F349EC">
      <w:pPr>
        <w:autoSpaceDE w:val="0"/>
        <w:autoSpaceDN w:val="0"/>
        <w:adjustRightInd w:val="0"/>
        <w:ind w:firstLine="720"/>
        <w:rPr>
          <w:rFonts w:ascii="Times New Roman" w:hAnsi="Times New Roman" w:cs="Times New Roman"/>
        </w:rPr>
      </w:pPr>
    </w:p>
    <w:p w14:paraId="2F81EBE8" w14:textId="49A9A5BD" w:rsidR="003C28A4" w:rsidRPr="00B06D0A" w:rsidRDefault="00FA3CF9">
      <w:pPr>
        <w:rPr>
          <w:rFonts w:ascii="Times New Roman" w:eastAsia="Times New Roman" w:hAnsi="Times New Roman" w:cs="Times New Roman"/>
        </w:rPr>
      </w:pPr>
      <w:bookmarkStart w:id="748" w:name="_Toc387620659"/>
      <w:r w:rsidRPr="00B06D0A">
        <w:rPr>
          <w:rFonts w:ascii="Times New Roman" w:eastAsia="Times New Roman" w:hAnsi="Times New Roman" w:cs="Times New Roman"/>
        </w:rPr>
        <w:t xml:space="preserve">Cass Sunstein, </w:t>
      </w:r>
      <w:r w:rsidRPr="00B06D0A">
        <w:rPr>
          <w:rFonts w:ascii="Times New Roman" w:eastAsia="Times New Roman" w:hAnsi="Times New Roman" w:cs="Times New Roman"/>
          <w:i/>
          <w:iCs/>
        </w:rPr>
        <w:t>Moral Heuristics</w:t>
      </w:r>
      <w:r w:rsidRPr="00B06D0A">
        <w:rPr>
          <w:rFonts w:ascii="Times New Roman" w:eastAsia="Times New Roman" w:hAnsi="Times New Roman" w:cs="Times New Roman"/>
        </w:rPr>
        <w:t xml:space="preserve">, 28 </w:t>
      </w:r>
      <w:r w:rsidRPr="00B06D0A">
        <w:rPr>
          <w:rFonts w:ascii="Times New Roman" w:eastAsia="Times New Roman" w:hAnsi="Times New Roman" w:cs="Times New Roman"/>
          <w:smallCaps/>
        </w:rPr>
        <w:t xml:space="preserve">Behav. </w:t>
      </w:r>
      <w:r w:rsidR="00372919" w:rsidRPr="00B06D0A">
        <w:rPr>
          <w:rFonts w:ascii="Times New Roman" w:eastAsia="Times New Roman" w:hAnsi="Times New Roman" w:cs="Times New Roman"/>
          <w:smallCaps/>
        </w:rPr>
        <w:t xml:space="preserve">&amp; </w:t>
      </w:r>
      <w:r w:rsidRPr="00B06D0A">
        <w:rPr>
          <w:rFonts w:ascii="Times New Roman" w:eastAsia="Times New Roman" w:hAnsi="Times New Roman" w:cs="Times New Roman"/>
          <w:smallCaps/>
        </w:rPr>
        <w:t xml:space="preserve">Brain Sci. </w:t>
      </w:r>
      <w:r w:rsidRPr="00B06D0A">
        <w:rPr>
          <w:rFonts w:ascii="Times New Roman" w:eastAsia="Times New Roman" w:hAnsi="Times New Roman" w:cs="Times New Roman"/>
        </w:rPr>
        <w:t>531 (2005)</w:t>
      </w:r>
      <w:bookmarkEnd w:id="748"/>
      <w:r w:rsidR="00AF4B24" w:rsidRPr="00B06D0A">
        <w:rPr>
          <w:rFonts w:ascii="Times New Roman" w:eastAsia="Times New Roman" w:hAnsi="Times New Roman" w:cs="Times New Roman"/>
        </w:rPr>
        <w:t>.</w:t>
      </w:r>
    </w:p>
    <w:p w14:paraId="163220E3" w14:textId="7818CA6C" w:rsidR="00B444D7" w:rsidRPr="00F94B7E" w:rsidRDefault="00B444D7">
      <w:pPr>
        <w:rPr>
          <w:rFonts w:ascii="Times New Roman" w:hAnsi="Times New Roman" w:cs="Times New Roman"/>
        </w:rPr>
      </w:pPr>
    </w:p>
    <w:p w14:paraId="06F60DC6" w14:textId="17DBCF96" w:rsidR="00FA3CF9" w:rsidRPr="00ED7BEB" w:rsidRDefault="750671CE">
      <w:pPr>
        <w:ind w:firstLine="720"/>
        <w:rPr>
          <w:rFonts w:ascii="Times New Roman" w:eastAsia="Times New Roman" w:hAnsi="Times New Roman" w:cs="Times New Roman"/>
        </w:rPr>
      </w:pPr>
      <w:r w:rsidRPr="00F349EC">
        <w:rPr>
          <w:rFonts w:ascii="Times New Roman" w:eastAsia="Times New Roman" w:hAnsi="Times New Roman" w:cs="Times New Roman"/>
        </w:rPr>
        <w:t>If Mill, Sidgwick, and Sunstein are correct</w:t>
      </w:r>
      <w:r w:rsidR="00494271" w:rsidRPr="00F349EC">
        <w:rPr>
          <w:rFonts w:ascii="Times New Roman" w:eastAsia="Times New Roman" w:hAnsi="Times New Roman" w:cs="Times New Roman"/>
        </w:rPr>
        <w:t>—</w:t>
      </w:r>
      <w:r w:rsidRPr="00ED7BEB">
        <w:rPr>
          <w:rFonts w:ascii="Times New Roman" w:eastAsia="Times New Roman" w:hAnsi="Times New Roman" w:cs="Times New Roman"/>
        </w:rPr>
        <w:t xml:space="preserve">if the confusion around the no-duty rule is the result of what Sidgwick called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Unconscious Utilitarianism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everyday moral distinctions such as act and omission</w:t>
      </w:r>
      <w:r w:rsidR="00494271" w:rsidRPr="00B06D0A">
        <w:rPr>
          <w:rFonts w:ascii="Times New Roman" w:eastAsia="Times New Roman" w:hAnsi="Times New Roman" w:cs="Times New Roman"/>
        </w:rPr>
        <w:t>—</w:t>
      </w:r>
      <w:r w:rsidRPr="00B06D0A">
        <w:rPr>
          <w:rFonts w:ascii="Times New Roman" w:eastAsia="Times New Roman" w:hAnsi="Times New Roman" w:cs="Times New Roman"/>
        </w:rPr>
        <w:t>what should the law do?  On the one hand, Mill urged us to see such situations as ones of moral confusion to be corrected by an explicit utilitarian calculus such as the one contained in Ames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proposal.  On the other hand, common sense morality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3A38FD">
        <w:rPr>
          <w:rFonts w:ascii="Times New Roman" w:eastAsia="Times New Roman" w:hAnsi="Times New Roman" w:cs="Times New Roman"/>
          <w:smallCaps/>
        </w:rPr>
        <w:t>Henry</w:t>
      </w:r>
      <w:r w:rsidR="00A7600C" w:rsidRPr="00B06D0A">
        <w:rPr>
          <w:rFonts w:ascii="Times New Roman" w:eastAsia="Times New Roman" w:hAnsi="Times New Roman" w:cs="Times New Roman"/>
        </w:rPr>
        <w:t xml:space="preserve"> </w:t>
      </w:r>
      <w:r w:rsidRPr="00F94B7E">
        <w:rPr>
          <w:rFonts w:ascii="Times New Roman" w:eastAsia="Times New Roman" w:hAnsi="Times New Roman" w:cs="Times New Roman"/>
          <w:smallCaps/>
        </w:rPr>
        <w:t xml:space="preserve">Sidgwick, </w:t>
      </w:r>
      <w:r w:rsidRPr="00F94B7E">
        <w:rPr>
          <w:rFonts w:ascii="Times New Roman" w:eastAsia="Times New Roman" w:hAnsi="Times New Roman" w:cs="Times New Roman"/>
          <w:iCs/>
          <w:smallCaps/>
        </w:rPr>
        <w:t>The Methods of Ethics</w:t>
      </w:r>
      <w:r w:rsidR="0072770E" w:rsidRPr="00F349EC">
        <w:rPr>
          <w:rFonts w:ascii="Times New Roman" w:eastAsia="Times New Roman" w:hAnsi="Times New Roman" w:cs="Times New Roman"/>
        </w:rPr>
        <w:t xml:space="preserve"> </w:t>
      </w:r>
      <w:r w:rsidRPr="00F349EC">
        <w:rPr>
          <w:rFonts w:ascii="Times New Roman" w:eastAsia="Times New Roman" w:hAnsi="Times New Roman" w:cs="Times New Roman"/>
        </w:rPr>
        <w:t>447</w:t>
      </w:r>
      <w:r w:rsidR="0072770E" w:rsidRPr="00F349EC">
        <w:rPr>
          <w:rFonts w:ascii="Times New Roman" w:eastAsia="Times New Roman" w:hAnsi="Times New Roman" w:cs="Times New Roman"/>
        </w:rPr>
        <w:t xml:space="preserve"> (</w:t>
      </w:r>
      <w:r w:rsidR="003662E5" w:rsidRPr="00ED7BEB">
        <w:rPr>
          <w:rFonts w:ascii="Times New Roman" w:eastAsia="Times New Roman" w:hAnsi="Times New Roman" w:cs="Times New Roman"/>
        </w:rPr>
        <w:t xml:space="preserve">7th ed. </w:t>
      </w:r>
      <w:r w:rsidR="0072770E" w:rsidRPr="00ED7BEB">
        <w:rPr>
          <w:rFonts w:ascii="Times New Roman" w:eastAsia="Times New Roman" w:hAnsi="Times New Roman" w:cs="Times New Roman"/>
        </w:rPr>
        <w:t>1981)</w:t>
      </w:r>
      <w:r w:rsidRPr="00ED7BEB">
        <w:rPr>
          <w:rFonts w:ascii="Times New Roman" w:eastAsia="Times New Roman" w:hAnsi="Times New Roman" w:cs="Times New Roman"/>
        </w:rPr>
        <w:t>.</w:t>
      </w:r>
    </w:p>
    <w:p w14:paraId="287B133D" w14:textId="77777777" w:rsidR="00FA3CF9" w:rsidRDefault="00FA3CF9">
      <w:pPr>
        <w:rPr>
          <w:rFonts w:ascii="Times New Roman" w:hAnsi="Times New Roman" w:cs="Times New Roman"/>
        </w:rPr>
      </w:pPr>
    </w:p>
    <w:p w14:paraId="59BC231C" w14:textId="77777777" w:rsidR="00C04514" w:rsidRPr="00B06D0A" w:rsidRDefault="00C04514">
      <w:pPr>
        <w:rPr>
          <w:rFonts w:ascii="Times New Roman" w:hAnsi="Times New Roman" w:cs="Times New Roman"/>
        </w:rPr>
      </w:pPr>
    </w:p>
    <w:p w14:paraId="6B5B8444" w14:textId="66B76264" w:rsidR="00494271" w:rsidRPr="00F94B7E" w:rsidRDefault="00494271" w:rsidP="00F94B7E">
      <w:pPr>
        <w:pStyle w:val="ListParagraph"/>
        <w:numPr>
          <w:ilvl w:val="0"/>
          <w:numId w:val="109"/>
        </w:numPr>
        <w:ind w:left="0" w:firstLine="360"/>
        <w:rPr>
          <w:rFonts w:ascii="Times New Roman" w:eastAsia="Times New Roman" w:hAnsi="Times New Roman" w:cs="Times New Roman"/>
        </w:rPr>
      </w:pPr>
      <w:r w:rsidRPr="00F94B7E">
        <w:rPr>
          <w:rFonts w:ascii="Times New Roman" w:eastAsia="Times New Roman" w:hAnsi="Times New Roman" w:cs="Times New Roman"/>
          <w:i/>
        </w:rPr>
        <w:t xml:space="preserve">Unconscious </w:t>
      </w:r>
      <w:r w:rsidR="00AA3C15" w:rsidRPr="00F94B7E">
        <w:rPr>
          <w:rFonts w:ascii="Times New Roman" w:eastAsia="Times New Roman" w:hAnsi="Times New Roman" w:cs="Times New Roman"/>
          <w:i/>
        </w:rPr>
        <w:t>u</w:t>
      </w:r>
      <w:r w:rsidRPr="00F94B7E">
        <w:rPr>
          <w:rFonts w:ascii="Times New Roman" w:eastAsia="Times New Roman" w:hAnsi="Times New Roman" w:cs="Times New Roman"/>
          <w:i/>
        </w:rPr>
        <w:t>tilitarian</w:t>
      </w:r>
      <w:r w:rsidR="00AA3C15" w:rsidRPr="00F94B7E">
        <w:rPr>
          <w:rFonts w:ascii="Times New Roman" w:eastAsia="Times New Roman" w:hAnsi="Times New Roman" w:cs="Times New Roman"/>
          <w:i/>
        </w:rPr>
        <w:t>ism or u</w:t>
      </w:r>
      <w:r w:rsidRPr="00F94B7E">
        <w:rPr>
          <w:rFonts w:ascii="Times New Roman" w:eastAsia="Times New Roman" w:hAnsi="Times New Roman" w:cs="Times New Roman"/>
          <w:i/>
        </w:rPr>
        <w:t xml:space="preserve">nconscious </w:t>
      </w:r>
      <w:r w:rsidR="00AA3C15" w:rsidRPr="00F94B7E">
        <w:rPr>
          <w:rFonts w:ascii="Times New Roman" w:eastAsia="Times New Roman" w:hAnsi="Times New Roman" w:cs="Times New Roman"/>
          <w:i/>
        </w:rPr>
        <w:t>a</w:t>
      </w:r>
      <w:r w:rsidRPr="00F94B7E">
        <w:rPr>
          <w:rFonts w:ascii="Times New Roman" w:eastAsia="Times New Roman" w:hAnsi="Times New Roman" w:cs="Times New Roman"/>
          <w:i/>
        </w:rPr>
        <w:t xml:space="preserve">ltruism?  </w:t>
      </w:r>
      <w:r w:rsidRPr="00F94B7E">
        <w:rPr>
          <w:rFonts w:ascii="Times New Roman" w:eastAsia="Times New Roman" w:hAnsi="Times New Roman" w:cs="Times New Roman"/>
        </w:rPr>
        <w:t>Sunstein suggests that many moral judgments are the product of automatic, prereflective intuitions.  But will conscious reflection produce happier results in the low-cost easy rescue cases?</w:t>
      </w:r>
    </w:p>
    <w:p w14:paraId="30EE2489" w14:textId="77777777" w:rsidR="00494271" w:rsidRPr="00B06D0A" w:rsidRDefault="00494271">
      <w:pPr>
        <w:rPr>
          <w:rFonts w:ascii="Times New Roman" w:eastAsia="Times New Roman" w:hAnsi="Times New Roman" w:cs="Times New Roman"/>
        </w:rPr>
      </w:pPr>
    </w:p>
    <w:p w14:paraId="3AFC61AE" w14:textId="0E5BEA9D" w:rsidR="00494271" w:rsidRPr="00F349EC" w:rsidRDefault="00494271" w:rsidP="00F94B7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B06D0A">
        <w:rPr>
          <w:rFonts w:ascii="Times New Roman" w:eastAsia="Times New Roman" w:hAnsi="Times New Roman" w:cs="Times New Roman"/>
        </w:rPr>
        <w:t xml:space="preserve"> </w:t>
      </w:r>
      <w:r w:rsidRPr="00B06D0A">
        <w:rPr>
          <w:rFonts w:ascii="Times New Roman" w:eastAsia="Times New Roman" w:hAnsi="Times New Roman" w:cs="Times New Roman"/>
        </w:rPr>
        <w:t xml:space="preserve">David G. Rand &amp; Ziv G. Epstein, </w:t>
      </w:r>
      <w:r w:rsidRPr="00F94B7E">
        <w:rPr>
          <w:rFonts w:ascii="Times New Roman" w:eastAsia="Times New Roman" w:hAnsi="Times New Roman" w:cs="Times New Roman"/>
          <w:i/>
        </w:rPr>
        <w:t>Risking Your Life without a Second Thought: Intuitive Decision-Making and Extreme Altruism</w:t>
      </w:r>
      <w:r w:rsidRPr="00F349EC">
        <w:rPr>
          <w:rFonts w:ascii="Times New Roman" w:eastAsia="Times New Roman" w:hAnsi="Times New Roman" w:cs="Times New Roman"/>
        </w:rPr>
        <w:t xml:space="preserve">, </w:t>
      </w:r>
      <w:r w:rsidRPr="00F94B7E">
        <w:rPr>
          <w:rFonts w:ascii="Times New Roman" w:eastAsia="Times New Roman" w:hAnsi="Times New Roman" w:cs="Times New Roman"/>
          <w:smallCaps/>
        </w:rPr>
        <w:t>9 PLOS One, 1</w:t>
      </w:r>
      <w:r w:rsidRPr="00F349EC">
        <w:rPr>
          <w:rFonts w:ascii="Times New Roman" w:eastAsia="Times New Roman" w:hAnsi="Times New Roman" w:cs="Times New Roman"/>
        </w:rPr>
        <w:t xml:space="preserve"> (2014). </w:t>
      </w:r>
    </w:p>
    <w:p w14:paraId="7F3C15BE" w14:textId="77777777" w:rsidR="00494271" w:rsidRPr="00B06D0A" w:rsidRDefault="00494271">
      <w:pPr>
        <w:rPr>
          <w:rFonts w:ascii="Times New Roman" w:eastAsia="Times New Roman" w:hAnsi="Times New Roman" w:cs="Times New Roman"/>
        </w:rPr>
      </w:pPr>
    </w:p>
    <w:p w14:paraId="3F1B0971" w14:textId="3E679A37" w:rsidR="00494271" w:rsidRPr="00F349EC" w:rsidRDefault="00494271" w:rsidP="00F94B7E">
      <w:pPr>
        <w:ind w:firstLine="720"/>
        <w:rPr>
          <w:rFonts w:ascii="Times New Roman" w:eastAsia="Times New Roman" w:hAnsi="Times New Roman" w:cs="Times New Roman"/>
        </w:rPr>
      </w:pPr>
      <w:r w:rsidRPr="00B06D0A">
        <w:rPr>
          <w:rFonts w:ascii="Times New Roman" w:eastAsia="Times New Roman" w:hAnsi="Times New Roman" w:cs="Times New Roman"/>
        </w:rPr>
        <w:t>Rand and numerous other researchers find that players</w:t>
      </w:r>
      <w:r w:rsidR="00FB6312" w:rsidRPr="00B06D0A">
        <w:rPr>
          <w:rFonts w:ascii="Times New Roman" w:eastAsia="Times New Roman" w:hAnsi="Times New Roman" w:cs="Times New Roman"/>
        </w:rPr>
        <w:t xml:space="preserve"> in economic games</w:t>
      </w:r>
      <w:r w:rsidRPr="00B06D0A">
        <w:rPr>
          <w:rFonts w:ascii="Times New Roman" w:eastAsia="Times New Roman" w:hAnsi="Times New Roman" w:cs="Times New Roman"/>
        </w:rPr>
        <w:t xml:space="preserve"> tend </w:t>
      </w:r>
      <w:r w:rsidR="003A38FD">
        <w:rPr>
          <w:rFonts w:ascii="Times New Roman" w:eastAsia="Times New Roman" w:hAnsi="Times New Roman" w:cs="Times New Roman"/>
        </w:rPr>
        <w:t xml:space="preserve">to </w:t>
      </w:r>
      <w:r w:rsidRPr="00B06D0A">
        <w:rPr>
          <w:rFonts w:ascii="Times New Roman" w:eastAsia="Times New Roman" w:hAnsi="Times New Roman" w:cs="Times New Roman"/>
        </w:rPr>
        <w:t>make more selfish choices the more time they are given to deliberate.  Pressuring players to decide quickly, by putting them under time constraints or cognitive load, leads them to behave more cooperati</w:t>
      </w:r>
      <w:r w:rsidR="00FB6312" w:rsidRPr="00B06D0A">
        <w:rPr>
          <w:rFonts w:ascii="Times New Roman" w:eastAsia="Times New Roman" w:hAnsi="Times New Roman" w:cs="Times New Roman"/>
        </w:rPr>
        <w:t>vely</w:t>
      </w:r>
      <w:r w:rsidRPr="00B06D0A">
        <w:rPr>
          <w:rFonts w:ascii="Times New Roman" w:eastAsia="Times New Roman" w:hAnsi="Times New Roman" w:cs="Times New Roman"/>
        </w:rPr>
        <w:t xml:space="preserve">.  It is as if deliberation promotes selfishness and intuition favors altruism.  David G. Rand, </w:t>
      </w:r>
      <w:r w:rsidRPr="00F94B7E">
        <w:rPr>
          <w:rFonts w:ascii="Times New Roman" w:eastAsia="Times New Roman" w:hAnsi="Times New Roman" w:cs="Times New Roman"/>
          <w:i/>
        </w:rPr>
        <w:t>Cooperation, Fast and Slow: Meta-Analytic Evidence for a Theory of Social Heuristics and Self-Interested Deliberation</w:t>
      </w:r>
      <w:r w:rsidRPr="00F349EC">
        <w:rPr>
          <w:rFonts w:ascii="Times New Roman" w:eastAsia="Times New Roman" w:hAnsi="Times New Roman" w:cs="Times New Roman"/>
        </w:rPr>
        <w:t>, 27</w:t>
      </w:r>
      <w:r w:rsidRPr="00F94B7E">
        <w:rPr>
          <w:rFonts w:ascii="Times New Roman" w:eastAsia="Times New Roman" w:hAnsi="Times New Roman" w:cs="Times New Roman"/>
          <w:smallCaps/>
        </w:rPr>
        <w:t xml:space="preserve"> Psychol. Sci</w:t>
      </w:r>
      <w:r w:rsidRPr="00F349EC">
        <w:rPr>
          <w:rFonts w:ascii="Times New Roman" w:eastAsia="Times New Roman" w:hAnsi="Times New Roman" w:cs="Times New Roman"/>
        </w:rPr>
        <w:t xml:space="preserve">. 1192 (2016). </w:t>
      </w:r>
      <w:r w:rsidRPr="00B06D0A">
        <w:rPr>
          <w:rFonts w:ascii="Times New Roman" w:eastAsia="Times New Roman" w:hAnsi="Times New Roman" w:cs="Times New Roman"/>
        </w:rPr>
        <w:t xml:space="preserve"> Rand concludes that each of us is prone, for evolutionary reasons, to be an unthinking altruist and a calculating </w:t>
      </w:r>
      <w:r w:rsidRPr="00F94B7E">
        <w:rPr>
          <w:rFonts w:ascii="Times New Roman" w:eastAsia="Times New Roman" w:hAnsi="Times New Roman" w:cs="Times New Roman"/>
          <w:i/>
        </w:rPr>
        <w:t>homo economicus</w:t>
      </w:r>
      <w:r w:rsidRPr="00F349EC">
        <w:rPr>
          <w:rFonts w:ascii="Times New Roman" w:eastAsia="Times New Roman" w:hAnsi="Times New Roman" w:cs="Times New Roman"/>
        </w:rPr>
        <w:t>.</w:t>
      </w:r>
    </w:p>
    <w:p w14:paraId="527F9E90" w14:textId="77777777" w:rsidR="00494271" w:rsidRDefault="00494271">
      <w:pPr>
        <w:rPr>
          <w:rFonts w:ascii="Times New Roman" w:eastAsia="Times New Roman" w:hAnsi="Times New Roman" w:cs="Times New Roman"/>
        </w:rPr>
      </w:pPr>
    </w:p>
    <w:p w14:paraId="4E653622" w14:textId="77777777" w:rsidR="00FB68F4" w:rsidRPr="00B06D0A" w:rsidRDefault="00FB68F4">
      <w:pPr>
        <w:rPr>
          <w:rFonts w:ascii="Times New Roman" w:eastAsia="Times New Roman" w:hAnsi="Times New Roman" w:cs="Times New Roman"/>
        </w:rPr>
      </w:pPr>
    </w:p>
    <w:p w14:paraId="149DC861" w14:textId="1CFE3D2E" w:rsidR="00FA3CF9" w:rsidRPr="00F94B7E" w:rsidRDefault="750671CE" w:rsidP="00F94B7E">
      <w:pPr>
        <w:pStyle w:val="ListParagraph"/>
        <w:numPr>
          <w:ilvl w:val="0"/>
          <w:numId w:val="109"/>
        </w:numPr>
        <w:ind w:left="0" w:firstLine="360"/>
        <w:rPr>
          <w:rFonts w:ascii="Times New Roman" w:eastAsia="Times New Roman" w:hAnsi="Times New Roman" w:cs="Times New Roman"/>
        </w:rPr>
      </w:pPr>
      <w:r w:rsidRPr="00FB68F4">
        <w:rPr>
          <w:rFonts w:ascii="Times New Roman" w:eastAsia="Times New Roman" w:hAnsi="Times New Roman" w:cs="Times New Roman"/>
          <w:i/>
          <w:iCs/>
        </w:rPr>
        <w:t>Conceptual</w:t>
      </w:r>
      <w:r w:rsidRPr="00F94B7E">
        <w:rPr>
          <w:rFonts w:ascii="Times New Roman" w:eastAsia="Times New Roman" w:hAnsi="Times New Roman" w:cs="Times New Roman"/>
          <w:i/>
          <w:iCs/>
        </w:rPr>
        <w:t xml:space="preserve"> thickets and the limited duty rules</w:t>
      </w:r>
      <w:r w:rsidRPr="00F94B7E">
        <w:rPr>
          <w:rFonts w:ascii="Times New Roman" w:eastAsia="Times New Roman" w:hAnsi="Times New Roman" w:cs="Times New Roman"/>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B06D0A" w:rsidRDefault="00FA3CF9">
      <w:pPr>
        <w:rPr>
          <w:rFonts w:ascii="Times New Roman" w:hAnsi="Times New Roman" w:cs="Times New Roman"/>
        </w:rPr>
      </w:pPr>
    </w:p>
    <w:p w14:paraId="65CC57A3" w14:textId="4E3B434D"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suppressed in favor of a generic reasonableness test.  Relevant relational considerations, they say, need not be ignored, since they can be and are brought out in the analysis of the reasonableness of the parties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B06D0A" w:rsidRDefault="00FA3CF9">
      <w:pPr>
        <w:rPr>
          <w:rFonts w:ascii="Times New Roman" w:hAnsi="Times New Roman" w:cs="Times New Roman"/>
        </w:rPr>
      </w:pPr>
    </w:p>
    <w:p w14:paraId="051D1FD3" w14:textId="77777777" w:rsidR="00FA3CF9" w:rsidRPr="00B06D0A" w:rsidRDefault="00FA3CF9">
      <w:pPr>
        <w:rPr>
          <w:rFonts w:ascii="Times New Roman" w:hAnsi="Times New Roman" w:cs="Times New Roman"/>
        </w:rPr>
      </w:pPr>
    </w:p>
    <w:p w14:paraId="495A8A1D" w14:textId="5B9EE3FF" w:rsidR="00FA3CF9" w:rsidRPr="00A559C4" w:rsidRDefault="00FA3CF9" w:rsidP="00322687">
      <w:pPr>
        <w:pStyle w:val="Heading3"/>
      </w:pPr>
      <w:bookmarkStart w:id="749" w:name="_Toc364636213"/>
      <w:bookmarkStart w:id="750" w:name="_Toc518323449"/>
      <w:r w:rsidRPr="00C14ACE">
        <w:t>2.  Liability for Good Samaritans?</w:t>
      </w:r>
      <w:bookmarkEnd w:id="749"/>
      <w:bookmarkEnd w:id="750"/>
    </w:p>
    <w:p w14:paraId="317157AC" w14:textId="77777777" w:rsidR="00FA3CF9" w:rsidRPr="00B06D0A" w:rsidRDefault="00FA3CF9">
      <w:pPr>
        <w:rPr>
          <w:rFonts w:ascii="Times New Roman" w:hAnsi="Times New Roman" w:cs="Times New Roman"/>
        </w:rPr>
      </w:pPr>
    </w:p>
    <w:p w14:paraId="643D32DB"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Default="00FA3CF9">
      <w:pPr>
        <w:rPr>
          <w:rFonts w:ascii="Times New Roman" w:hAnsi="Times New Roman" w:cs="Times New Roman"/>
        </w:rPr>
      </w:pPr>
    </w:p>
    <w:p w14:paraId="219BD06D" w14:textId="77777777" w:rsidR="00C04514" w:rsidRPr="00B06D0A" w:rsidRDefault="00C04514">
      <w:pPr>
        <w:rPr>
          <w:rFonts w:ascii="Times New Roman" w:hAnsi="Times New Roman" w:cs="Times New Roman"/>
        </w:rPr>
      </w:pPr>
    </w:p>
    <w:p w14:paraId="738CAA65" w14:textId="77777777" w:rsidR="00FA3CF9" w:rsidRPr="00F94B7E" w:rsidRDefault="00FA3CF9">
      <w:pPr>
        <w:rPr>
          <w:rFonts w:ascii="Times New Roman" w:hAnsi="Times New Roman" w:cs="Times New Roman"/>
        </w:rPr>
      </w:pPr>
    </w:p>
    <w:p w14:paraId="081111D7" w14:textId="0604B668" w:rsidR="00FA3CF9" w:rsidRPr="00ED7BEB" w:rsidRDefault="00FA3CF9">
      <w:pPr>
        <w:rPr>
          <w:rFonts w:ascii="Times New Roman" w:eastAsia="Times New Roman" w:hAnsi="Times New Roman" w:cs="Times New Roman"/>
        </w:rPr>
      </w:pPr>
      <w:bookmarkStart w:id="751" w:name="_Toc518323450"/>
      <w:bookmarkStart w:id="752" w:name="_Toc387620660"/>
      <w:r w:rsidRPr="00F349EC">
        <w:rPr>
          <w:rStyle w:val="Heading4Char"/>
          <w:szCs w:val="24"/>
        </w:rPr>
        <w:t>Swenson v. Waseca Mutual Insurance Co</w:t>
      </w:r>
      <w:bookmarkEnd w:id="751"/>
      <w:r w:rsidRPr="00F349EC">
        <w:rPr>
          <w:rFonts w:ascii="Times New Roman" w:eastAsia="Times New Roman" w:hAnsi="Times New Roman" w:cs="Times New Roman"/>
          <w:b/>
          <w:bCs/>
        </w:rPr>
        <w:t>.</w:t>
      </w:r>
      <w:bookmarkEnd w:id="752"/>
      <w:r w:rsidR="003C28A4" w:rsidRPr="00F349EC">
        <w:rPr>
          <w:rFonts w:ascii="Times New Roman" w:eastAsia="Times New Roman" w:hAnsi="Times New Roman" w:cs="Times New Roman"/>
          <w:b/>
          <w:bCs/>
        </w:rPr>
        <w:t xml:space="preserve">, </w:t>
      </w:r>
      <w:r w:rsidRPr="00ED7BEB">
        <w:rPr>
          <w:rFonts w:ascii="Times New Roman" w:eastAsia="Times New Roman" w:hAnsi="Times New Roman" w:cs="Times New Roman"/>
          <w:b/>
          <w:bCs/>
        </w:rPr>
        <w:t>653 N.W.2d 794 (Minn. 2002)</w:t>
      </w:r>
    </w:p>
    <w:p w14:paraId="11E62C5E" w14:textId="77777777" w:rsidR="00FA3CF9" w:rsidRPr="00B06D0A" w:rsidRDefault="00FA3CF9">
      <w:pPr>
        <w:rPr>
          <w:rFonts w:ascii="Times New Roman" w:hAnsi="Times New Roman" w:cs="Times New Roman"/>
        </w:rPr>
      </w:pPr>
    </w:p>
    <w:p w14:paraId="4640BBA9" w14:textId="16AC5A0F" w:rsidR="00FA3CF9" w:rsidRPr="00F349EC" w:rsidRDefault="750671CE">
      <w:pPr>
        <w:rPr>
          <w:rStyle w:val="ssbf"/>
          <w:rFonts w:ascii="Times New Roman" w:eastAsia="Times New Roman" w:hAnsi="Times New Roman" w:cs="Times New Roman"/>
          <w:color w:val="333333"/>
        </w:rPr>
      </w:pPr>
      <w:r w:rsidRPr="00F94B7E">
        <w:rPr>
          <w:rFonts w:ascii="Times New Roman" w:eastAsia="Times New Roman,Cambria" w:hAnsi="Times New Roman" w:cs="Times New Roman"/>
          <w:smallCaps/>
        </w:rPr>
        <w:t>Anderson</w:t>
      </w:r>
      <w:r w:rsidRPr="00F94B7E">
        <w:rPr>
          <w:rFonts w:ascii="Times New Roman" w:eastAsia="Times New Roman,Cambria" w:hAnsi="Times New Roman" w:cs="Times New Roman"/>
        </w:rPr>
        <w:t>, J.</w:t>
      </w:r>
    </w:p>
    <w:p w14:paraId="3C6C0DFF" w14:textId="77777777" w:rsidR="00FA3CF9" w:rsidRPr="00B06D0A" w:rsidRDefault="00FA3CF9">
      <w:pPr>
        <w:rPr>
          <w:rFonts w:ascii="Times New Roman" w:hAnsi="Times New Roman" w:cs="Times New Roman"/>
        </w:rPr>
      </w:pPr>
    </w:p>
    <w:p w14:paraId="1861D40B" w14:textId="77777777"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D292240" w14:textId="185E5E80"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Lillian Tiegs, a passing motorist, in response to waving from Swenson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group decided to drive their snowmobiles to the home of Tiegs, less than a quarter of a mile away from the scene of the accident. The plan was to leave the snowmobiles at the Tiegs residence and then ride in the Tiegs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van to the hospital.</w:t>
      </w:r>
    </w:p>
    <w:p w14:paraId="4E13A7B9"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63164011" w14:textId="2370D38D"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van. Kelly Swenson died as a result of injuries she sustained in this accident.</w:t>
      </w:r>
    </w:p>
    <w:p w14:paraId="67A4C08A"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67B4B58" w14:textId="0AE6F571"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Good Samaritan law, Tiegs was immune from liability. . . . The district court . . . concluded that Tiegs . . . was entitled to immunity. . . .</w:t>
      </w:r>
    </w:p>
    <w:p w14:paraId="3306474F"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2EA8176" w14:textId="5C1D2938"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Minnesota</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Good Samaritan law has two main components.  The statute imposes a duty to help on anyone present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at the scene of an emergency</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who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knows another person is exposed to or has suffered grave physical harm,</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F94B7E">
        <w:rPr>
          <w:rFonts w:ascii="Times New Roman" w:eastAsia="Times New Roman,Cambria" w:hAnsi="Times New Roman"/>
          <w:i/>
          <w:iCs/>
          <w:sz w:val="24"/>
          <w:szCs w:val="24"/>
        </w:rPr>
        <w:t>during transit</w:t>
      </w:r>
      <w:r w:rsidRPr="00F94B7E">
        <w:rPr>
          <w:rFonts w:ascii="Times New Roman" w:eastAsia="Times New Roman,Cambria" w:hAnsi="Times New Roman"/>
          <w:sz w:val="24"/>
          <w:szCs w:val="24"/>
        </w:rPr>
        <w:t> to a location where professional medical care can be rendered,</w:t>
      </w:r>
      <w:r w:rsidR="00ED7BEB">
        <w:rPr>
          <w:rFonts w:ascii="Times New Roman" w:eastAsia="Times New Roman,Cambria" w:hAnsi="Times New Roman"/>
          <w:sz w:val="24"/>
          <w:szCs w:val="24"/>
        </w:rPr>
        <w:t xml:space="preserve"> . . . </w:t>
      </w:r>
      <w:r w:rsidRPr="00F94B7E">
        <w:rPr>
          <w:rFonts w:ascii="Times New Roman" w:eastAsia="Times New Roman,Cambria" w:hAnsi="Times New Roman"/>
          <w:sz w:val="24"/>
          <w:szCs w:val="24"/>
        </w:rPr>
        <w:t>unless the person acts in a willful and wanton or reckless manner in providing the care, advice, or assistance. (Emphasis added).</w:t>
      </w:r>
    </w:p>
    <w:p w14:paraId="49754496"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32D51B97" w14:textId="799B1ABA"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Appellant contends that the Good Samaritan law</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during transit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provision does not apply to the mere act of driving an injured party from the scene of an accident to a hospital. Instead appellant argues that the </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during transit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 provision only protects those who provide some sort of emergency care while the person is being transported to a health-care facility. . . .  </w:t>
      </w:r>
    </w:p>
    <w:p w14:paraId="34903551"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1B5A2684" w14:textId="7C2AA018"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In light of the fact that professional emergency medical technicians are already under a duty to provide competent care, appellant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2B3284ED" w14:textId="3956EA66"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argument. We hold that transportation of an injured person by non-emergency personnel is a protected activity under the immunity provisions of the Good Samaritan law. . . .  </w:t>
      </w:r>
    </w:p>
    <w:p w14:paraId="4C2242A7"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5963D03E" w14:textId="68730B5A"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[W]e affirm the district court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s grant of summary judgment.</w:t>
      </w:r>
    </w:p>
    <w:p w14:paraId="6538B09D"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eastAsiaTheme="minorHAnsi" w:hAnsi="Times New Roman"/>
          <w:sz w:val="24"/>
          <w:szCs w:val="24"/>
        </w:rPr>
      </w:pPr>
    </w:p>
    <w:p w14:paraId="4ADC6BEC" w14:textId="77777777" w:rsidR="00FA3CF9" w:rsidRPr="00F349EC" w:rsidRDefault="00FA3CF9" w:rsidP="00F349EC">
      <w:pPr>
        <w:rPr>
          <w:rFonts w:ascii="Times New Roman" w:eastAsiaTheme="minorHAnsi" w:hAnsi="Times New Roman" w:cs="Times New Roman"/>
        </w:rPr>
      </w:pPr>
    </w:p>
    <w:p w14:paraId="7CF0BF46" w14:textId="77777777" w:rsidR="00FA3CF9" w:rsidRPr="00B06D0A" w:rsidRDefault="00FA3CF9">
      <w:pPr>
        <w:rPr>
          <w:rFonts w:ascii="Times New Roman" w:eastAsiaTheme="minorHAnsi" w:hAnsi="Times New Roman" w:cs="Times New Roman"/>
        </w:rPr>
      </w:pPr>
    </w:p>
    <w:p w14:paraId="3AE6E92D" w14:textId="77E40C95" w:rsidR="00FA3CF9" w:rsidRPr="00A559C4" w:rsidRDefault="005A4714">
      <w:pPr>
        <w:pStyle w:val="Heading2"/>
        <w:rPr>
          <w:rFonts w:cs="Times New Roman"/>
        </w:rPr>
      </w:pPr>
      <w:bookmarkStart w:id="753" w:name="_Toc364636214"/>
      <w:bookmarkStart w:id="754" w:name="_Toc518323451"/>
      <w:r>
        <w:rPr>
          <w:rFonts w:cs="Times New Roman"/>
        </w:rPr>
        <w:t xml:space="preserve">B.  </w:t>
      </w:r>
      <w:r w:rsidR="00FA3CF9" w:rsidRPr="00C14ACE">
        <w:rPr>
          <w:rFonts w:cs="Times New Roman"/>
        </w:rPr>
        <w:t xml:space="preserve">Landowners </w:t>
      </w:r>
      <w:r w:rsidR="00FA3CF9" w:rsidRPr="00A559C4">
        <w:rPr>
          <w:rFonts w:cs="Times New Roman"/>
        </w:rPr>
        <w:t>and Occupiers</w:t>
      </w:r>
      <w:bookmarkEnd w:id="753"/>
      <w:bookmarkEnd w:id="754"/>
    </w:p>
    <w:p w14:paraId="672E8D79" w14:textId="65C334A4" w:rsidR="00FA3CF9" w:rsidRPr="00B06D0A" w:rsidRDefault="00FA3CF9">
      <w:pPr>
        <w:rPr>
          <w:rFonts w:ascii="Times New Roman" w:hAnsi="Times New Roman" w:cs="Times New Roman"/>
          <w:b/>
          <w:i/>
        </w:rPr>
      </w:pPr>
    </w:p>
    <w:p w14:paraId="7FF64FC4"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traditional common law rule held that the owners and occupiers of land owed no obligation of reasonable care to trespassers upon that land, and further that they owed only a limited duty toward social guests to warn such guests of known latent hazards. </w:t>
      </w:r>
    </w:p>
    <w:p w14:paraId="275F193A" w14:textId="11BA4412" w:rsidR="00C17A3F" w:rsidRDefault="00C17A3F">
      <w:pPr>
        <w:rPr>
          <w:rFonts w:ascii="Times New Roman" w:hAnsi="Times New Roman" w:cs="Times New Roman"/>
        </w:rPr>
      </w:pPr>
      <w:r>
        <w:rPr>
          <w:rFonts w:ascii="Times New Roman" w:hAnsi="Times New Roman" w:cs="Times New Roman"/>
        </w:rPr>
        <w:br w:type="page"/>
      </w:r>
    </w:p>
    <w:p w14:paraId="065785D7" w14:textId="77777777" w:rsidR="00FA3CF9" w:rsidRPr="00B06D0A" w:rsidRDefault="00FA3CF9">
      <w:pPr>
        <w:rPr>
          <w:rFonts w:ascii="Times New Roman" w:eastAsia="Times New Roman" w:hAnsi="Times New Roman" w:cs="Times New Roman"/>
          <w:b/>
          <w:bCs/>
        </w:rPr>
      </w:pPr>
      <w:bookmarkStart w:id="755" w:name="_Toc518323452"/>
      <w:r w:rsidRPr="00C17A3F">
        <w:rPr>
          <w:rStyle w:val="Heading3Char"/>
          <w:i/>
        </w:rPr>
        <w:t>United Zinc &amp; Chemical Co. v. Britt</w:t>
      </w:r>
      <w:bookmarkEnd w:id="755"/>
      <w:r w:rsidRPr="00B06D0A">
        <w:rPr>
          <w:rFonts w:ascii="Times New Roman" w:eastAsia="Times New Roman" w:hAnsi="Times New Roman" w:cs="Times New Roman"/>
          <w:b/>
          <w:bCs/>
        </w:rPr>
        <w:t>, 258 U.S. 268 (1922)</w:t>
      </w:r>
    </w:p>
    <w:p w14:paraId="66B62C52" w14:textId="77777777" w:rsidR="00FA3CF9" w:rsidRPr="00B06D0A" w:rsidRDefault="00FA3CF9">
      <w:pPr>
        <w:rPr>
          <w:rFonts w:ascii="Times New Roman" w:hAnsi="Times New Roman" w:cs="Times New Roman"/>
          <w:color w:val="222222"/>
          <w:shd w:val="clear" w:color="auto" w:fill="FFFFFF"/>
        </w:rPr>
      </w:pPr>
    </w:p>
    <w:p w14:paraId="75CF2DDD" w14:textId="7AABA2C2" w:rsidR="00FA3CF9" w:rsidRPr="001B50AA" w:rsidRDefault="00FB68F4" w:rsidP="001B50AA">
      <w:pPr>
        <w:rPr>
          <w:rFonts w:ascii="Times New Roman" w:eastAsia="Times New Roman" w:hAnsi="Times New Roman" w:cs="Times New Roman"/>
        </w:rPr>
      </w:pPr>
      <w:r w:rsidRPr="00F94B7E">
        <w:rPr>
          <w:rFonts w:ascii="Times New Roman" w:eastAsia="Times New Roman" w:hAnsi="Times New Roman" w:cs="Times New Roman"/>
          <w:smallCaps/>
          <w:color w:val="222222"/>
          <w:shd w:val="clear" w:color="auto" w:fill="FFFFFF"/>
        </w:rPr>
        <w:t>Holmes</w:t>
      </w:r>
      <w:r>
        <w:rPr>
          <w:rFonts w:ascii="Times New Roman" w:eastAsia="Times New Roman" w:hAnsi="Times New Roman" w:cs="Times New Roman"/>
          <w:color w:val="222222"/>
          <w:shd w:val="clear" w:color="auto" w:fill="FFFFFF"/>
        </w:rPr>
        <w:t>, J.</w:t>
      </w:r>
    </w:p>
    <w:p w14:paraId="281F5C97" w14:textId="77777777" w:rsidR="00FA3CF9" w:rsidRPr="00B06D0A" w:rsidRDefault="00FA3CF9">
      <w:pPr>
        <w:rPr>
          <w:rFonts w:ascii="Times New Roman" w:hAnsi="Times New Roman" w:cs="Times New Roman"/>
        </w:rPr>
      </w:pPr>
    </w:p>
    <w:p w14:paraId="562FD682" w14:textId="71D88BAE" w:rsidR="00FA3CF9" w:rsidRPr="00B06D0A" w:rsidRDefault="750671CE" w:rsidP="00D962A2">
      <w:pPr>
        <w:ind w:firstLine="720"/>
        <w:rPr>
          <w:rFonts w:ascii="Times New Roman" w:eastAsia="Times New Roman" w:hAnsi="Times New Roman" w:cs="Times New Roman"/>
        </w:rPr>
      </w:pPr>
      <w:r w:rsidRPr="00B06D0A">
        <w:rPr>
          <w:rFonts w:ascii="Times New Roman" w:eastAsia="Times New Roman" w:hAnsi="Times New Roman" w:cs="Times New Roman"/>
          <w:color w:val="222222"/>
        </w:rPr>
        <w:t xml:space="preserve">This is a suit brought by the respondents against the petitioner to recover for the death of two children, sons </w:t>
      </w:r>
      <w:r w:rsidRPr="00D962A2">
        <w:rPr>
          <w:rFonts w:ascii="Times New Roman" w:eastAsia="Times New Roman" w:hAnsi="Times New Roman" w:cs="Times New Roman"/>
          <w:color w:val="222222"/>
        </w:rPr>
        <w:t xml:space="preserve">of the respondents. The facts that for the purposes of decision we shall assume to have been </w:t>
      </w:r>
      <w:r w:rsidRPr="00B06D0A">
        <w:rPr>
          <w:rFonts w:ascii="Times New Roman" w:eastAsia="Times New Roman" w:hAnsi="Times New Roman" w:cs="Times New Roman"/>
          <w:color w:val="222222"/>
        </w:rPr>
        <w:t>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land, went into the water, were poisoned and died. . . .  At the trial the Judge 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B06D0A" w:rsidRDefault="00FA3CF9">
      <w:pPr>
        <w:rPr>
          <w:rFonts w:ascii="Times New Roman" w:hAnsi="Times New Roman" w:cs="Times New Roman"/>
        </w:rPr>
      </w:pPr>
    </w:p>
    <w:p w14:paraId="6C26C03F" w14:textId="2ACD2A9B" w:rsidR="00FA3CF9" w:rsidRPr="00B06D0A" w:rsidRDefault="750671CE" w:rsidP="00D962A2">
      <w:pPr>
        <w:ind w:firstLine="720"/>
        <w:rPr>
          <w:rFonts w:ascii="Times New Roman" w:eastAsia="Times New Roman" w:hAnsi="Times New Roman" w:cs="Times New Roman"/>
        </w:rPr>
      </w:pPr>
      <w:r w:rsidRPr="00B06D0A">
        <w:rPr>
          <w:rFonts w:ascii="Times New Roman" w:eastAsia="Times New Roman" w:hAnsi="Times New Roman" w:cs="Times New Roman"/>
          <w:color w:val="222222"/>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Pr>
          <w:rFonts w:ascii="Times New Roman" w:eastAsia="Times New Roman" w:hAnsi="Times New Roman" w:cs="Times New Roman"/>
          <w:color w:val="222222"/>
        </w:rPr>
        <w:t>. . .</w:t>
      </w:r>
      <w:r w:rsidRPr="00B06D0A">
        <w:rPr>
          <w:rFonts w:ascii="Times New Roman" w:eastAsia="Times New Roman" w:hAnsi="Times New Roman" w:cs="Times New Roman"/>
          <w:color w:val="222222"/>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B06D0A" w:rsidRDefault="00FA3CF9">
      <w:pPr>
        <w:shd w:val="clear" w:color="auto" w:fill="FFFFFF"/>
        <w:rPr>
          <w:rFonts w:ascii="Times New Roman" w:hAnsi="Times New Roman" w:cs="Times New Roman"/>
          <w:color w:val="222222"/>
        </w:rPr>
      </w:pPr>
    </w:p>
    <w:p w14:paraId="0ACB8C52"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In </w:t>
      </w:r>
      <w:r w:rsidRPr="00B06D0A">
        <w:rPr>
          <w:rFonts w:ascii="Times New Roman" w:eastAsia="Times New Roman" w:hAnsi="Times New Roman" w:cs="Times New Roman"/>
          <w:i/>
          <w:iCs/>
          <w:color w:val="222222"/>
        </w:rPr>
        <w:t>Railroad Co. v. Stout</w:t>
      </w:r>
      <w:r w:rsidRPr="00B06D0A">
        <w:rPr>
          <w:rFonts w:ascii="Times New Roman" w:eastAsia="Times New Roman" w:hAnsi="Times New Roman" w:cs="Times New Roman"/>
          <w:color w:val="222222"/>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B06D0A" w:rsidRDefault="00FA3CF9">
      <w:pPr>
        <w:shd w:val="clear" w:color="auto" w:fill="FFFFFF"/>
        <w:rPr>
          <w:rFonts w:ascii="Times New Roman" w:hAnsi="Times New Roman" w:cs="Times New Roman"/>
          <w:color w:val="222222"/>
        </w:rPr>
      </w:pPr>
    </w:p>
    <w:p w14:paraId="5AE90E44"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B06D0A" w:rsidRDefault="00FA3CF9">
      <w:pPr>
        <w:shd w:val="clear" w:color="auto" w:fill="FFFFFF"/>
        <w:rPr>
          <w:rFonts w:ascii="Times New Roman" w:hAnsi="Times New Roman" w:cs="Times New Roman"/>
          <w:color w:val="222222"/>
        </w:rPr>
      </w:pPr>
    </w:p>
    <w:p w14:paraId="4051260A"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B06D0A" w:rsidRDefault="00FA3CF9">
      <w:pPr>
        <w:shd w:val="clear" w:color="auto" w:fill="FFFFFF"/>
        <w:rPr>
          <w:rFonts w:ascii="Times New Roman" w:hAnsi="Times New Roman" w:cs="Times New Roman"/>
          <w:color w:val="222222"/>
        </w:rPr>
      </w:pPr>
    </w:p>
    <w:p w14:paraId="52A0C684" w14:textId="77777777" w:rsidR="00FA3CF9" w:rsidRPr="00B06D0A" w:rsidRDefault="750671CE">
      <w:pPr>
        <w:shd w:val="clear" w:color="auto" w:fill="FFFFFF" w:themeFill="background1"/>
        <w:rPr>
          <w:rFonts w:ascii="Times New Roman" w:eastAsia="Times New Roman" w:hAnsi="Times New Roman" w:cs="Times New Roman"/>
          <w:color w:val="222222"/>
        </w:rPr>
      </w:pPr>
      <w:r w:rsidRPr="00B06D0A">
        <w:rPr>
          <w:rFonts w:ascii="Times New Roman" w:eastAsia="Times New Roman" w:hAnsi="Times New Roman" w:cs="Times New Roman"/>
          <w:color w:val="222222"/>
        </w:rPr>
        <w:t>Judgment reversed.</w:t>
      </w:r>
    </w:p>
    <w:p w14:paraId="7CECA48B" w14:textId="77777777" w:rsidR="00FA3CF9" w:rsidRPr="00B06D0A" w:rsidRDefault="00FA3CF9">
      <w:pPr>
        <w:shd w:val="clear" w:color="auto" w:fill="FFFFFF"/>
        <w:rPr>
          <w:rFonts w:ascii="Times New Roman" w:hAnsi="Times New Roman" w:cs="Times New Roman"/>
          <w:color w:val="222222"/>
        </w:rPr>
      </w:pPr>
    </w:p>
    <w:p w14:paraId="2AE8D604" w14:textId="77777777" w:rsidR="00CE60AD" w:rsidRDefault="00CE60AD" w:rsidP="002502CC">
      <w:pPr>
        <w:pStyle w:val="Heading4"/>
      </w:pPr>
      <w:bookmarkStart w:id="756" w:name="_Toc364636215"/>
    </w:p>
    <w:p w14:paraId="1D716C99" w14:textId="6D07BD6D" w:rsidR="00FA3CF9" w:rsidRPr="00F349EC" w:rsidRDefault="750671CE" w:rsidP="002502CC">
      <w:pPr>
        <w:pStyle w:val="Heading4"/>
      </w:pPr>
      <w:bookmarkStart w:id="757" w:name="_Toc518323453"/>
      <w:r w:rsidRPr="00F349EC">
        <w:t>Notes</w:t>
      </w:r>
      <w:bookmarkEnd w:id="756"/>
      <w:bookmarkEnd w:id="757"/>
    </w:p>
    <w:p w14:paraId="31094A9A" w14:textId="77777777" w:rsidR="00FA3CF9" w:rsidRDefault="00FA3CF9">
      <w:pPr>
        <w:shd w:val="clear" w:color="auto" w:fill="FFFFFF"/>
        <w:rPr>
          <w:rFonts w:ascii="Times New Roman" w:hAnsi="Times New Roman" w:cs="Times New Roman"/>
          <w:color w:val="222222"/>
        </w:rPr>
      </w:pPr>
    </w:p>
    <w:p w14:paraId="6192EBA8" w14:textId="77777777" w:rsidR="00C04514" w:rsidRPr="00B06D0A" w:rsidRDefault="00C04514">
      <w:pPr>
        <w:shd w:val="clear" w:color="auto" w:fill="FFFFFF"/>
        <w:rPr>
          <w:rFonts w:ascii="Times New Roman" w:hAnsi="Times New Roman" w:cs="Times New Roman"/>
          <w:color w:val="222222"/>
        </w:rPr>
      </w:pPr>
    </w:p>
    <w:p w14:paraId="4C7FD388" w14:textId="5A91F458" w:rsidR="00FA3CF9" w:rsidRPr="00F94B7E" w:rsidRDefault="750671CE" w:rsidP="00F94B7E">
      <w:pPr>
        <w:pStyle w:val="ListParagraph"/>
        <w:numPr>
          <w:ilvl w:val="0"/>
          <w:numId w:val="1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common law rules.  </w:t>
      </w:r>
      <w:r w:rsidRPr="00F94B7E">
        <w:rPr>
          <w:rFonts w:ascii="Times New Roman" w:eastAsia="Times New Roman" w:hAnsi="Times New Roman" w:cs="Times New Roman"/>
        </w:rPr>
        <w:t xml:space="preserve">At common law, the standard of care owed a visitor depended on whether the visitor was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licensee,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trespasser.</w:t>
      </w:r>
      <w:r w:rsidR="00B05F31" w:rsidRPr="00F94B7E">
        <w:rPr>
          <w:rFonts w:ascii="Times New Roman" w:eastAsia="Times New Roman" w:hAnsi="Times New Roman" w:cs="Times New Roman"/>
        </w:rPr>
        <w:t>”</w:t>
      </w:r>
    </w:p>
    <w:p w14:paraId="5EE2DD39" w14:textId="77777777" w:rsidR="00FA3CF9" w:rsidRPr="00B06D0A" w:rsidRDefault="00FA3CF9">
      <w:pPr>
        <w:rPr>
          <w:rFonts w:ascii="Times New Roman" w:hAnsi="Times New Roman" w:cs="Times New Roman"/>
        </w:rPr>
      </w:pPr>
    </w:p>
    <w:p w14:paraId="404DC539" w14:textId="3B9C8565" w:rsidR="00FA3CF9" w:rsidRPr="00D962A2" w:rsidRDefault="750671CE" w:rsidP="00D962A2">
      <w:pPr>
        <w:ind w:firstLine="720"/>
        <w:rPr>
          <w:rFonts w:ascii="Times New Roman" w:eastAsia="Times New Roman" w:hAnsi="Times New Roman" w:cs="Times New Roman"/>
        </w:rPr>
      </w:pPr>
      <w:r w:rsidRPr="00B06D0A">
        <w:rPr>
          <w:rFonts w:ascii="Times New Roman" w:eastAsia="Times New Roman" w:hAnsi="Times New Roman" w:cs="Times New Roman"/>
        </w:rPr>
        <w:t>An invitee is someone whom the landowner has invited onto his property in the expectation that he will benefit from the invitee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presence. A business guest, for example, is an invitee. </w:t>
      </w:r>
      <w:r w:rsidRPr="00F94B7E">
        <w:rPr>
          <w:rFonts w:ascii="Times New Roman" w:eastAsia="Times New Roman" w:hAnsi="Times New Roman" w:cs="Times New Roman"/>
          <w:i/>
        </w:rPr>
        <w:t xml:space="preserve">See, </w:t>
      </w:r>
      <w:r w:rsidR="00D962A2" w:rsidRPr="00F94B7E">
        <w:rPr>
          <w:rFonts w:ascii="Times New Roman" w:eastAsia="Times New Roman" w:hAnsi="Times New Roman" w:cs="Times New Roman"/>
          <w:i/>
        </w:rPr>
        <w:t>e.g.</w:t>
      </w:r>
      <w:r w:rsidRPr="00D962A2">
        <w:rPr>
          <w:rFonts w:ascii="Times New Roman" w:eastAsia="Times New Roman" w:hAnsi="Times New Roman" w:cs="Times New Roman"/>
        </w:rPr>
        <w:t>,</w:t>
      </w:r>
      <w:r w:rsidRPr="00D962A2">
        <w:rPr>
          <w:rFonts w:ascii="Times New Roman" w:eastAsia="Times New Roman" w:hAnsi="Times New Roman" w:cs="Times New Roman"/>
          <w:i/>
          <w:iCs/>
        </w:rPr>
        <w:t xml:space="preserve"> Corley v. Evans</w:t>
      </w:r>
      <w:r w:rsidRPr="00D962A2">
        <w:rPr>
          <w:rFonts w:ascii="Times New Roman" w:eastAsia="Times New Roman" w:hAnsi="Times New Roman" w:cs="Times New Roman"/>
        </w:rPr>
        <w:t xml:space="preserve">, 835 So.2d 30 (2003) (a person who was shot at a crawfish boil that charged admission is an invitee); </w:t>
      </w:r>
      <w:r w:rsidRPr="00B06D0A">
        <w:rPr>
          <w:rFonts w:ascii="Times New Roman" w:eastAsia="Times New Roman" w:hAnsi="Times New Roman" w:cs="Times New Roman"/>
          <w:i/>
          <w:iCs/>
        </w:rPr>
        <w:t>Mann v. Safeway Stores, Inc.</w:t>
      </w:r>
      <w:r w:rsidRPr="00B06D0A">
        <w:rPr>
          <w:rFonts w:ascii="Times New Roman" w:eastAsia="Times New Roman" w:hAnsi="Times New Roman" w:cs="Times New Roman"/>
        </w:rPr>
        <w:t xml:space="preserve">, 95 Idaho 732 (1974) (a supermarket patron is an invitee); and </w:t>
      </w:r>
      <w:r w:rsidRPr="00B06D0A">
        <w:rPr>
          <w:rFonts w:ascii="Times New Roman" w:eastAsia="Times New Roman" w:hAnsi="Times New Roman" w:cs="Times New Roman"/>
          <w:i/>
          <w:iCs/>
        </w:rPr>
        <w:t>Triangle Motors of Dallas v. Richmond et al.</w:t>
      </w:r>
      <w:r w:rsidRPr="00B06D0A">
        <w:rPr>
          <w:rFonts w:ascii="Times New Roman" w:eastAsia="Times New Roman" w:hAnsi="Times New Roman" w:cs="Times New Roman"/>
        </w:rPr>
        <w:t>, 152 Tex. 354 (1953) (a plumber who was injured while trying to repair the landowner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drain is an invitee). But not all invitees are business guests.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Thomas v. St. Mary</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Roman Catholic Church</w:t>
      </w:r>
      <w:r w:rsidRPr="00B06D0A">
        <w:rPr>
          <w:rFonts w:ascii="Times New Roman" w:eastAsia="Times New Roman" w:hAnsi="Times New Roman" w:cs="Times New Roman"/>
        </w:rPr>
        <w:t>, 283 N.W.2d 254 (1979) (a member of a visiting basketball team playing in the school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gym is an invitee). Traditionally, landowners owed invitees a duty of reasonable care. </w:t>
      </w:r>
    </w:p>
    <w:p w14:paraId="0293FCAB" w14:textId="77777777" w:rsidR="00FA3CF9" w:rsidRPr="00B06D0A" w:rsidRDefault="00FA3CF9">
      <w:pPr>
        <w:ind w:firstLine="720"/>
        <w:rPr>
          <w:rFonts w:ascii="Times New Roman" w:hAnsi="Times New Roman" w:cs="Times New Roman"/>
        </w:rPr>
      </w:pPr>
    </w:p>
    <w:p w14:paraId="0250E140" w14:textId="7EB6588B" w:rsidR="00FA3CF9" w:rsidRPr="00B06D0A" w:rsidRDefault="750671CE" w:rsidP="00AF53F8">
      <w:pPr>
        <w:ind w:firstLine="720"/>
        <w:rPr>
          <w:rFonts w:ascii="Times New Roman" w:eastAsia="Times New Roman" w:hAnsi="Times New Roman" w:cs="Times New Roman"/>
        </w:rPr>
      </w:pPr>
      <w:r w:rsidRPr="00B06D0A">
        <w:rPr>
          <w:rFonts w:ascii="Times New Roman" w:eastAsia="Times New Roman" w:hAnsi="Times New Roman" w:cs="Times New Roman"/>
        </w:rPr>
        <w:t>A licensee is someone who the landowner has allowed—but not necessarily invited—onto his property. 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permission is a licensee. </w:t>
      </w:r>
      <w:r w:rsidRPr="00B06D0A">
        <w:rPr>
          <w:rFonts w:ascii="Times New Roman" w:eastAsia="Times New Roman" w:hAnsi="Times New Roman" w:cs="Times New Roman"/>
          <w:i/>
          <w:iCs/>
        </w:rPr>
        <w:t>Hamilton v. Brown</w:t>
      </w:r>
      <w:r w:rsidRPr="00B06D0A">
        <w:rPr>
          <w:rFonts w:ascii="Times New Roman" w:eastAsia="Times New Roman" w:hAnsi="Times New Roman" w:cs="Times New Roman"/>
        </w:rPr>
        <w:t xml:space="preserve">, 157 W.Va. 910 (1974). In most states, social guests are considered licensees. See </w:t>
      </w:r>
      <w:r w:rsidRPr="00B06D0A">
        <w:rPr>
          <w:rFonts w:ascii="Times New Roman" w:eastAsia="Times New Roman" w:hAnsi="Times New Roman" w:cs="Times New Roman"/>
          <w:i/>
          <w:iCs/>
        </w:rPr>
        <w:t>Cobb v. Clark</w:t>
      </w:r>
      <w:r w:rsidRPr="00B06D0A">
        <w:rPr>
          <w:rFonts w:ascii="Times New Roman" w:eastAsia="Times New Roman" w:hAnsi="Times New Roman" w:cs="Times New Roman"/>
        </w:rPr>
        <w:t>, 265 N.C. 194 (1965)</w:t>
      </w:r>
      <w:r w:rsidR="00AF53F8">
        <w:rPr>
          <w:rFonts w:ascii="Times New Roman" w:eastAsia="Times New Roman" w:hAnsi="Times New Roman" w:cs="Times New Roman"/>
        </w:rPr>
        <w:t xml:space="preserve"> </w:t>
      </w:r>
      <w:r w:rsidRPr="00AF53F8">
        <w:rPr>
          <w:rFonts w:ascii="Times New Roman" w:eastAsia="Times New Roman" w:hAnsi="Times New Roman" w:cs="Times New Roman"/>
        </w:rPr>
        <w:t>(a social guest who fell down the landowners</w:t>
      </w:r>
      <w:r w:rsidR="00B05F31" w:rsidRPr="00AF53F8">
        <w:rPr>
          <w:rFonts w:ascii="Times New Roman" w:eastAsia="Times New Roman" w:hAnsi="Times New Roman" w:cs="Times New Roman"/>
        </w:rPr>
        <w:t>’</w:t>
      </w:r>
      <w:r w:rsidRPr="00AF53F8">
        <w:rPr>
          <w:rFonts w:ascii="Times New Roman" w:eastAsia="Times New Roman" w:hAnsi="Times New Roman" w:cs="Times New Roman"/>
        </w:rPr>
        <w:t xml:space="preserve"> stairs is a licensee). This is true regardless of whether the social guest and the landowner are </w:t>
      </w:r>
      <w:r w:rsidRPr="00B06D0A">
        <w:rPr>
          <w:rFonts w:ascii="Times New Roman" w:eastAsia="Times New Roman" w:hAnsi="Times New Roman" w:cs="Times New Roman"/>
        </w:rPr>
        <w:t xml:space="preserve">family members. </w:t>
      </w:r>
      <w:r w:rsidRPr="00B06D0A">
        <w:rPr>
          <w:rFonts w:ascii="Times New Roman" w:eastAsia="Times New Roman" w:hAnsi="Times New Roman" w:cs="Times New Roman"/>
          <w:i/>
          <w:iCs/>
        </w:rPr>
        <w:t>Wolfson v. Chelist</w:t>
      </w:r>
      <w:r w:rsidRPr="00B06D0A">
        <w:rPr>
          <w:rFonts w:ascii="Times New Roman" w:eastAsia="Times New Roman" w:hAnsi="Times New Roman" w:cs="Times New Roman"/>
        </w:rPr>
        <w:t>, 284 S.W.2d 447 (Mo. 1955)</w:t>
      </w:r>
      <w:r w:rsidR="00AF53F8">
        <w:rPr>
          <w:rFonts w:ascii="Times New Roman" w:eastAsia="Times New Roman" w:hAnsi="Times New Roman" w:cs="Times New Roman"/>
        </w:rPr>
        <w:t xml:space="preserve"> </w:t>
      </w:r>
      <w:r w:rsidRPr="00AF53F8">
        <w:rPr>
          <w:rFonts w:ascii="Times New Roman" w:eastAsia="Times New Roman" w:hAnsi="Times New Roman" w:cs="Times New Roman"/>
        </w:rPr>
        <w:t>(holding that a social guest who was injured on her sister</w:t>
      </w:r>
      <w:r w:rsidR="00B05F31" w:rsidRPr="00AF53F8">
        <w:rPr>
          <w:rFonts w:ascii="Times New Roman" w:eastAsia="Times New Roman" w:hAnsi="Times New Roman" w:cs="Times New Roman"/>
        </w:rPr>
        <w:t>’</w:t>
      </w:r>
      <w:r w:rsidRPr="00AF53F8">
        <w:rPr>
          <w:rFonts w:ascii="Times New Roman" w:eastAsia="Times New Roman" w:hAnsi="Times New Roman" w:cs="Times New Roman"/>
        </w:rPr>
        <w:t>s property is a licensee). Traditionally, landowners had two basic duties to licensees: to warn them of hidden dangers (but typically on</w:t>
      </w:r>
      <w:r w:rsidRPr="00B06D0A">
        <w:rPr>
          <w:rFonts w:ascii="Times New Roman" w:eastAsia="Times New Roman" w:hAnsi="Times New Roman" w:cs="Times New Roman"/>
        </w:rPr>
        <w:t>ly those hidden dangers of which the landowners were aware) and to refrain from willfully, wantonly, or recklessly injuring them.</w:t>
      </w:r>
    </w:p>
    <w:p w14:paraId="73DDFF69" w14:textId="77777777" w:rsidR="00FA3CF9" w:rsidRPr="00B06D0A" w:rsidRDefault="00FA3CF9">
      <w:pPr>
        <w:ind w:firstLine="720"/>
        <w:rPr>
          <w:rFonts w:ascii="Times New Roman" w:hAnsi="Times New Roman" w:cs="Times New Roman"/>
        </w:rPr>
      </w:pPr>
    </w:p>
    <w:p w14:paraId="269C4199" w14:textId="22A5AD65"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A trespasser is someone who enters or remains on a property without the landowner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permission. See </w:t>
      </w:r>
      <w:r w:rsidRPr="00B06D0A">
        <w:rPr>
          <w:rFonts w:ascii="Times New Roman" w:eastAsia="Times New Roman" w:hAnsi="Times New Roman" w:cs="Times New Roman"/>
          <w:i/>
          <w:iCs/>
        </w:rPr>
        <w:t>Buch v. Amory MFG. Co.</w:t>
      </w:r>
      <w:r w:rsidRPr="00B06D0A">
        <w:rPr>
          <w:rFonts w:ascii="Times New Roman" w:eastAsia="Times New Roman" w:hAnsi="Times New Roman" w:cs="Times New Roman"/>
        </w:rPr>
        <w:t>, 69 N.H. 257 (1898) (a child who entered a factory without the owner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permission and then got his hand caught in a machine is a trespasser). Traditionally, landowners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only duty to trespassers was to refrain from willfully, wantonly, or recklessly harming them.</w:t>
      </w:r>
    </w:p>
    <w:p w14:paraId="538D507D" w14:textId="77777777" w:rsidR="00FA3CF9" w:rsidRDefault="00FA3CF9">
      <w:pPr>
        <w:rPr>
          <w:rFonts w:ascii="Times New Roman" w:hAnsi="Times New Roman" w:cs="Times New Roman"/>
        </w:rPr>
      </w:pPr>
    </w:p>
    <w:p w14:paraId="4C507B09" w14:textId="77777777" w:rsidR="00C04514" w:rsidRPr="00B06D0A" w:rsidRDefault="00C04514">
      <w:pPr>
        <w:rPr>
          <w:rFonts w:ascii="Times New Roman" w:hAnsi="Times New Roman" w:cs="Times New Roman"/>
        </w:rPr>
      </w:pPr>
    </w:p>
    <w:p w14:paraId="6F55B74E" w14:textId="5D86575C" w:rsidR="00FA3CF9" w:rsidRPr="00F94B7E" w:rsidRDefault="750671CE" w:rsidP="00F94B7E">
      <w:pPr>
        <w:pStyle w:val="ListParagraph"/>
        <w:numPr>
          <w:ilvl w:val="0"/>
          <w:numId w:val="11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CF33E2" w:rsidRPr="00F94B7E">
        <w:rPr>
          <w:rFonts w:ascii="Times New Roman" w:eastAsia="Times New Roman" w:hAnsi="Times New Roman" w:cs="Times New Roman"/>
          <w:i/>
          <w:iCs/>
        </w:rPr>
        <w:t>e</w:t>
      </w:r>
      <w:r w:rsidRPr="00F94B7E">
        <w:rPr>
          <w:rFonts w:ascii="Times New Roman" w:eastAsia="Times New Roman" w:hAnsi="Times New Roman" w:cs="Times New Roman"/>
          <w:i/>
          <w:iCs/>
        </w:rPr>
        <w:t>xpansion of the</w:t>
      </w:r>
      <w:r w:rsidR="00CF33E2" w:rsidRPr="00F94B7E">
        <w:rPr>
          <w:rFonts w:ascii="Times New Roman" w:eastAsia="Times New Roman" w:hAnsi="Times New Roman" w:cs="Times New Roman"/>
          <w:i/>
          <w:iCs/>
        </w:rPr>
        <w:t xml:space="preserve"> i</w:t>
      </w:r>
      <w:r w:rsidRPr="00F94B7E">
        <w:rPr>
          <w:rFonts w:ascii="Times New Roman" w:eastAsia="Times New Roman" w:hAnsi="Times New Roman" w:cs="Times New Roman"/>
          <w:i/>
          <w:iCs/>
        </w:rPr>
        <w:t xml:space="preserve">nvitee </w:t>
      </w:r>
      <w:r w:rsidR="00CF33E2"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lass. </w:t>
      </w:r>
      <w:r w:rsidRPr="00F94B7E">
        <w:rPr>
          <w:rFonts w:ascii="Times New Roman" w:eastAsia="Times New Roman" w:hAnsi="Times New Roman" w:cs="Times New Roman"/>
          <w:b/>
          <w:bCs/>
        </w:rPr>
        <w:t xml:space="preserve"> </w:t>
      </w:r>
      <w:r w:rsidRPr="00F94B7E">
        <w:rPr>
          <w:rFonts w:ascii="Times New Roman" w:eastAsia="Times New Roman" w:hAnsi="Times New Roman" w:cs="Times New Roman"/>
        </w:rPr>
        <w:t xml:space="preserve">Over the past century and a half, courts have expanded the definition of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invitee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to include people who once would have been considered licensees. The invitee class has been expanded to include children injured in stores where their parents are shopping (</w:t>
      </w:r>
      <w:r w:rsidRPr="00F94B7E">
        <w:rPr>
          <w:rFonts w:ascii="Times New Roman" w:eastAsia="Times New Roman" w:hAnsi="Times New Roman" w:cs="Times New Roman"/>
          <w:i/>
          <w:iCs/>
        </w:rPr>
        <w:t>Hecht Co. v. Jacobsen</w:t>
      </w:r>
      <w:r w:rsidRPr="00F94B7E">
        <w:rPr>
          <w:rFonts w:ascii="Times New Roman" w:eastAsia="Times New Roman" w:hAnsi="Times New Roman" w:cs="Times New Roman"/>
        </w:rPr>
        <w:t>, 180 F.2d 13 (D.C. Cir. 1950)), swimmers who drown in pools that are open to the public (</w:t>
      </w:r>
      <w:r w:rsidRPr="00F94B7E">
        <w:rPr>
          <w:rFonts w:ascii="Times New Roman" w:eastAsia="Times New Roman" w:hAnsi="Times New Roman" w:cs="Times New Roman"/>
          <w:i/>
          <w:iCs/>
        </w:rPr>
        <w:t>Rovegno v. San Jose Knights of Columbus Hall Assn</w:t>
      </w:r>
      <w:r w:rsidRPr="00F94B7E">
        <w:rPr>
          <w:rFonts w:ascii="Times New Roman" w:eastAsia="Times New Roman" w:hAnsi="Times New Roman" w:cs="Times New Roman"/>
        </w:rPr>
        <w:t>., 108 Cal. App. 591 (1930)), and even alumni on campus for their college reunions (</w:t>
      </w:r>
      <w:r w:rsidRPr="00F94B7E">
        <w:rPr>
          <w:rFonts w:ascii="Times New Roman" w:eastAsia="Times New Roman" w:hAnsi="Times New Roman" w:cs="Times New Roman"/>
          <w:i/>
          <w:iCs/>
        </w:rPr>
        <w:t>Guilford v. Yale University</w:t>
      </w:r>
      <w:r w:rsidRPr="00F94B7E">
        <w:rPr>
          <w:rFonts w:ascii="Times New Roman" w:eastAsia="Times New Roman" w:hAnsi="Times New Roman" w:cs="Times New Roman"/>
        </w:rPr>
        <w:t xml:space="preserve">, 128 Conn. 449 (1942)). </w:t>
      </w:r>
    </w:p>
    <w:p w14:paraId="46661AC1" w14:textId="77777777" w:rsidR="00FA3CF9" w:rsidRPr="00B06D0A" w:rsidRDefault="00FA3CF9">
      <w:pPr>
        <w:rPr>
          <w:rFonts w:ascii="Times New Roman" w:hAnsi="Times New Roman" w:cs="Times New Roman"/>
        </w:rPr>
      </w:pPr>
    </w:p>
    <w:p w14:paraId="561D3BD9" w14:textId="05D2489B" w:rsidR="00FA3CF9" w:rsidRPr="00C33BBE" w:rsidRDefault="750671CE" w:rsidP="00C33BBE">
      <w:pPr>
        <w:ind w:firstLine="720"/>
        <w:rPr>
          <w:rFonts w:ascii="Times New Roman" w:eastAsia="Times New Roman" w:hAnsi="Times New Roman" w:cs="Times New Roman"/>
        </w:rPr>
      </w:pPr>
      <w:r w:rsidRPr="00B06D0A">
        <w:rPr>
          <w:rFonts w:ascii="Times New Roman" w:eastAsia="Times New Roman" w:hAnsi="Times New Roman" w:cs="Times New Roman"/>
        </w:rPr>
        <w:t>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This has created problems for courts attempting to apply the traditional rule—especially as the reach of the regulatory state has expanded into new areas. For the most part, courts have resolved these classification questions in favor of public employees, extending invitee status to census takers (</w:t>
      </w:r>
      <w:r w:rsidRPr="00B06D0A">
        <w:rPr>
          <w:rFonts w:ascii="Times New Roman" w:eastAsia="Times New Roman" w:hAnsi="Times New Roman" w:cs="Times New Roman"/>
          <w:i/>
          <w:iCs/>
          <w:color w:val="1A1A1A"/>
        </w:rPr>
        <w:t>Glassbrook v. Manhi Realty Corp</w:t>
      </w:r>
      <w:r w:rsidRPr="00B06D0A">
        <w:rPr>
          <w:rFonts w:ascii="Times New Roman" w:eastAsia="Times New Roman" w:hAnsi="Times New Roman" w:cs="Times New Roman"/>
          <w:color w:val="1A1A1A"/>
        </w:rPr>
        <w:t>., 108 N.Y.S.2d 652 (1951)</w:t>
      </w:r>
      <w:r w:rsidRPr="00B06D0A">
        <w:rPr>
          <w:rFonts w:ascii="Times New Roman" w:eastAsia="Times New Roman" w:hAnsi="Times New Roman" w:cs="Times New Roman"/>
        </w:rPr>
        <w:t>), letter carriers (</w:t>
      </w:r>
      <w:r w:rsidRPr="00B06D0A">
        <w:rPr>
          <w:rFonts w:ascii="Times New Roman" w:eastAsia="Times New Roman" w:hAnsi="Times New Roman" w:cs="Times New Roman"/>
          <w:i/>
          <w:iCs/>
        </w:rPr>
        <w:t>Sutton v. Penn</w:t>
      </w:r>
      <w:r w:rsidRPr="00B06D0A">
        <w:rPr>
          <w:rFonts w:ascii="Times New Roman" w:eastAsia="Times New Roman" w:hAnsi="Times New Roman" w:cs="Times New Roman"/>
        </w:rPr>
        <w:t>, 238 Ill. App. 182 (1925)), municipal garbage collectors (</w:t>
      </w:r>
      <w:r w:rsidRPr="00B06D0A">
        <w:rPr>
          <w:rFonts w:ascii="Times New Roman" w:eastAsia="Times New Roman" w:hAnsi="Times New Roman" w:cs="Times New Roman"/>
          <w:i/>
          <w:iCs/>
        </w:rPr>
        <w:t>Toomey v. Sanborn</w:t>
      </w:r>
      <w:r w:rsidRPr="00B06D0A">
        <w:rPr>
          <w:rFonts w:ascii="Times New Roman" w:eastAsia="Times New Roman" w:hAnsi="Times New Roman" w:cs="Times New Roman"/>
        </w:rPr>
        <w:t>, 146 Mass. 28 (1888)), revenue inspectors (</w:t>
      </w:r>
      <w:r w:rsidRPr="00B06D0A">
        <w:rPr>
          <w:rFonts w:ascii="Times New Roman" w:eastAsia="Times New Roman" w:hAnsi="Times New Roman" w:cs="Times New Roman"/>
          <w:i/>
          <w:iCs/>
          <w:color w:val="1A1A1A"/>
        </w:rPr>
        <w:t>Anderson &amp; Nelson Distilleries Co. v. Hair</w:t>
      </w:r>
      <w:r w:rsidRPr="00B06D0A">
        <w:rPr>
          <w:rFonts w:ascii="Times New Roman" w:eastAsia="Times New Roman" w:hAnsi="Times New Roman" w:cs="Times New Roman"/>
          <w:color w:val="1A1A1A"/>
        </w:rPr>
        <w:t>, 103 Ky. 196 (1898)</w:t>
      </w:r>
      <w:r w:rsidRPr="00B06D0A">
        <w:rPr>
          <w:rFonts w:ascii="Times New Roman" w:eastAsia="Times New Roman" w:hAnsi="Times New Roman" w:cs="Times New Roman"/>
        </w:rPr>
        <w:t>), meat inspectors (</w:t>
      </w:r>
      <w:r w:rsidRPr="00B06D0A">
        <w:rPr>
          <w:rFonts w:ascii="Times New Roman" w:eastAsia="Times New Roman" w:hAnsi="Times New Roman" w:cs="Times New Roman"/>
          <w:i/>
          <w:iCs/>
          <w:color w:val="1A1A1A"/>
        </w:rPr>
        <w:t>Swift &amp; Co. v. Schuster</w:t>
      </w:r>
      <w:r w:rsidRPr="00B06D0A">
        <w:rPr>
          <w:rFonts w:ascii="Times New Roman" w:eastAsia="Times New Roman" w:hAnsi="Times New Roman" w:cs="Times New Roman"/>
          <w:color w:val="1A1A1A"/>
        </w:rPr>
        <w:t>, 192 F.2d 615 (10th Cir. 1951)</w:t>
      </w:r>
      <w:r w:rsidRPr="00B06D0A">
        <w:rPr>
          <w:rFonts w:ascii="Times New Roman" w:eastAsia="Times New Roman" w:hAnsi="Times New Roman" w:cs="Times New Roman"/>
        </w:rPr>
        <w:t>), building inspectors (</w:t>
      </w:r>
      <w:r w:rsidRPr="00B06D0A">
        <w:rPr>
          <w:rFonts w:ascii="Times New Roman" w:eastAsia="Times New Roman" w:hAnsi="Times New Roman" w:cs="Times New Roman"/>
          <w:i/>
          <w:iCs/>
          <w:color w:val="1A1A1A"/>
        </w:rPr>
        <w:t>Fred Howland, Inc. v. Morris</w:t>
      </w:r>
      <w:r w:rsidRPr="00B06D0A">
        <w:rPr>
          <w:rFonts w:ascii="Times New Roman" w:eastAsia="Times New Roman" w:hAnsi="Times New Roman" w:cs="Times New Roman"/>
          <w:color w:val="1A1A1A"/>
        </w:rPr>
        <w:t>, 143 Fla. 189 (1940)</w:t>
      </w:r>
      <w:r w:rsidRPr="00B06D0A">
        <w:rPr>
          <w:rFonts w:ascii="Times New Roman" w:eastAsia="Times New Roman" w:hAnsi="Times New Roman" w:cs="Times New Roman"/>
        </w:rPr>
        <w:t>), health inspectors (</w:t>
      </w:r>
      <w:r w:rsidRPr="00B06D0A">
        <w:rPr>
          <w:rFonts w:ascii="Times New Roman" w:eastAsia="Times New Roman" w:hAnsi="Times New Roman" w:cs="Times New Roman"/>
          <w:i/>
          <w:iCs/>
          <w:color w:val="1A1A1A"/>
        </w:rPr>
        <w:t>Jennings v. Industrial Paper Stock Co.</w:t>
      </w:r>
      <w:r w:rsidRPr="00B06D0A">
        <w:rPr>
          <w:rFonts w:ascii="Times New Roman" w:eastAsia="Times New Roman" w:hAnsi="Times New Roman" w:cs="Times New Roman"/>
          <w:color w:val="1A1A1A"/>
        </w:rPr>
        <w:t>, 248 S.W.2d 43 (Mo. Ct. App. 1952)</w:t>
      </w:r>
      <w:r w:rsidRPr="00B06D0A">
        <w:rPr>
          <w:rFonts w:ascii="Times New Roman" w:eastAsia="Times New Roman" w:hAnsi="Times New Roman" w:cs="Times New Roman"/>
        </w:rPr>
        <w:t xml:space="preserve">), and so on. Police officers and firefighters, however, continue to be classified as licensees in most jurisdictions where the traditional rule is still applied. </w:t>
      </w:r>
      <w:r w:rsidRPr="00B06D0A">
        <w:rPr>
          <w:rFonts w:ascii="Times New Roman" w:eastAsia="Times New Roman" w:hAnsi="Times New Roman" w:cs="Times New Roman"/>
          <w:i/>
          <w:iCs/>
        </w:rPr>
        <w:t>See,</w:t>
      </w:r>
      <w:r w:rsidRPr="00C33BBE">
        <w:rPr>
          <w:rFonts w:ascii="Times New Roman" w:eastAsia="Times New Roman" w:hAnsi="Times New Roman" w:cs="Times New Roman"/>
          <w:i/>
          <w:iCs/>
        </w:rPr>
        <w:t xml:space="preserve"> e</w:t>
      </w:r>
      <w:r w:rsidRPr="00F94B7E">
        <w:rPr>
          <w:rFonts w:ascii="Times New Roman" w:eastAsia="Times New Roman" w:hAnsi="Times New Roman" w:cs="Times New Roman"/>
          <w:i/>
        </w:rPr>
        <w:t>.</w:t>
      </w:r>
      <w:r w:rsidR="00C33BBE" w:rsidRPr="00F94B7E">
        <w:rPr>
          <w:rFonts w:ascii="Times New Roman" w:eastAsia="Times New Roman" w:hAnsi="Times New Roman" w:cs="Times New Roman"/>
          <w:i/>
        </w:rPr>
        <w:t>g.</w:t>
      </w:r>
      <w:r w:rsidRPr="00C33BBE">
        <w:rPr>
          <w:rFonts w:ascii="Times New Roman" w:eastAsia="Times New Roman" w:hAnsi="Times New Roman" w:cs="Times New Roman"/>
        </w:rPr>
        <w:t xml:space="preserve">, </w:t>
      </w:r>
      <w:r w:rsidRPr="00C33BBE">
        <w:rPr>
          <w:rFonts w:ascii="Times New Roman" w:eastAsia="Times New Roman" w:hAnsi="Times New Roman" w:cs="Times New Roman"/>
          <w:i/>
          <w:iCs/>
        </w:rPr>
        <w:t>Furstein v. Hill</w:t>
      </w:r>
      <w:r w:rsidRPr="00C33BBE">
        <w:rPr>
          <w:rFonts w:ascii="Times New Roman" w:eastAsia="Times New Roman" w:hAnsi="Times New Roman" w:cs="Times New Roman"/>
        </w:rPr>
        <w:t>, 218 Conn. 610 (1991).</w:t>
      </w:r>
    </w:p>
    <w:p w14:paraId="3A8DD697" w14:textId="77777777" w:rsidR="00FA3CF9" w:rsidRPr="00B06D0A" w:rsidRDefault="00FA3CF9">
      <w:pPr>
        <w:ind w:firstLine="720"/>
        <w:rPr>
          <w:rFonts w:ascii="Times New Roman" w:hAnsi="Times New Roman" w:cs="Times New Roman"/>
        </w:rPr>
      </w:pPr>
    </w:p>
    <w:p w14:paraId="6E6E21C4" w14:textId="2F1386BE"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The traditional common law rule often led to outcomes that seemed shocking, at least to many, if not to the hardened sensibilities of Justice Holmes.  This was especially so where the circumstances seemed to indicate that the defendant</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negligence was especially apparent.  In such cases, cutting off the negligence inquiry by imposing the common law</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limited duty for the occupiers and owners of land seemed particularly galling.  Consider the next case.   </w:t>
      </w:r>
    </w:p>
    <w:p w14:paraId="12123DEA" w14:textId="77777777" w:rsidR="00FA3CF9" w:rsidRPr="00B06D0A" w:rsidRDefault="00FA3CF9">
      <w:pPr>
        <w:shd w:val="clear" w:color="auto" w:fill="FFFFFF"/>
        <w:rPr>
          <w:rFonts w:ascii="Times New Roman" w:hAnsi="Times New Roman" w:cs="Times New Roman"/>
          <w:color w:val="222222"/>
        </w:rPr>
      </w:pPr>
    </w:p>
    <w:p w14:paraId="3C1D8908" w14:textId="77777777" w:rsidR="00FA3CF9" w:rsidRPr="00B06D0A" w:rsidRDefault="00FA3CF9">
      <w:pPr>
        <w:shd w:val="clear" w:color="auto" w:fill="FFFFFF"/>
        <w:rPr>
          <w:rFonts w:ascii="Times New Roman" w:hAnsi="Times New Roman" w:cs="Times New Roman"/>
          <w:color w:val="222222"/>
        </w:rPr>
      </w:pPr>
    </w:p>
    <w:p w14:paraId="541EC71B" w14:textId="77777777" w:rsidR="00FA3CF9" w:rsidRPr="00B06D0A" w:rsidRDefault="00FA3CF9">
      <w:pPr>
        <w:rPr>
          <w:rFonts w:ascii="Times New Roman" w:eastAsia="Times New Roman" w:hAnsi="Times New Roman" w:cs="Times New Roman"/>
          <w:b/>
          <w:bCs/>
        </w:rPr>
      </w:pPr>
      <w:bookmarkStart w:id="758" w:name="_Toc518323454"/>
      <w:r w:rsidRPr="00C17A3F">
        <w:rPr>
          <w:rStyle w:val="Heading3Char"/>
          <w:i/>
        </w:rPr>
        <w:t>Banker v. McLaughlin</w:t>
      </w:r>
      <w:bookmarkEnd w:id="758"/>
      <w:r w:rsidRPr="00B06D0A">
        <w:rPr>
          <w:rFonts w:ascii="Times New Roman" w:eastAsia="Times New Roman" w:hAnsi="Times New Roman" w:cs="Times New Roman"/>
          <w:b/>
          <w:bCs/>
        </w:rPr>
        <w:t>, 146 Tex. 434 (1948)</w:t>
      </w:r>
    </w:p>
    <w:p w14:paraId="3BC9306C" w14:textId="54D0FB64" w:rsidR="00FA3CF9" w:rsidRPr="00913182" w:rsidRDefault="750671CE" w:rsidP="00F94B7E">
      <w:pPr>
        <w:shd w:val="clear" w:color="auto" w:fill="FFFFFF" w:themeFill="background1"/>
        <w:spacing w:before="240"/>
        <w:outlineLvl w:val="1"/>
        <w:rPr>
          <w:rFonts w:ascii="Times New Roman" w:eastAsia="Times New Roman" w:hAnsi="Times New Roman" w:cs="Times New Roman"/>
          <w:b/>
          <w:bCs/>
          <w:color w:val="252525"/>
        </w:rPr>
      </w:pPr>
      <w:r w:rsidRPr="00F94B7E">
        <w:rPr>
          <w:rFonts w:ascii="Times New Roman" w:eastAsia="Times New Roman" w:hAnsi="Times New Roman" w:cs="Times New Roman"/>
          <w:smallCaps/>
          <w:color w:val="222222"/>
        </w:rPr>
        <w:t>T</w:t>
      </w:r>
      <w:r w:rsidR="00913182" w:rsidRPr="00F94B7E">
        <w:rPr>
          <w:rFonts w:ascii="Times New Roman" w:eastAsia="Times New Roman" w:hAnsi="Times New Roman" w:cs="Times New Roman"/>
          <w:smallCaps/>
          <w:color w:val="222222"/>
        </w:rPr>
        <w:t>aylor</w:t>
      </w:r>
      <w:r w:rsidRPr="00913182">
        <w:rPr>
          <w:rFonts w:ascii="Times New Roman" w:eastAsia="Times New Roman" w:hAnsi="Times New Roman" w:cs="Times New Roman"/>
          <w:color w:val="222222"/>
        </w:rPr>
        <w:t>, J.</w:t>
      </w:r>
    </w:p>
    <w:p w14:paraId="3053825E" w14:textId="77777777" w:rsidR="00FA3CF9" w:rsidRPr="00913182" w:rsidRDefault="00FA3CF9" w:rsidP="00F349EC">
      <w:pPr>
        <w:shd w:val="clear" w:color="auto" w:fill="FFFFFF"/>
        <w:rPr>
          <w:rFonts w:ascii="Times New Roman" w:hAnsi="Times New Roman" w:cs="Times New Roman"/>
          <w:color w:val="222222"/>
        </w:rPr>
      </w:pPr>
    </w:p>
    <w:p w14:paraId="0EBD0F8B" w14:textId="07EE6C12"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James McLaughlin brought this suit against H. F. Banker to recover damages for the death of his minor son (five years and ten months old). The trial court awarded judgment in plaintiff</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favor on the jury</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verdict for $15,200. The Court of Civil Appeals, under the view that the award was excessive, caused a remittitur to be filed which reduced the judgment to $6,000.  The case is here on Mr. Banker</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application for the writ.</w:t>
      </w:r>
    </w:p>
    <w:p w14:paraId="0609EE3D" w14:textId="77777777" w:rsidR="00FA3CF9" w:rsidRPr="00B06D0A" w:rsidRDefault="00FA3CF9">
      <w:pPr>
        <w:shd w:val="clear" w:color="auto" w:fill="FFFFFF"/>
        <w:rPr>
          <w:rFonts w:ascii="Times New Roman" w:hAnsi="Times New Roman" w:cs="Times New Roman"/>
          <w:color w:val="222222"/>
        </w:rPr>
      </w:pPr>
    </w:p>
    <w:p w14:paraId="46054A1D"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The child met his death on June 19, 1945, by drowning in a large hole, or pit, of water on Forest Park Subdivision, a homesite addition which Mr. Banker, the owner, at that time and since, was in the process of developing and marketing . . . .</w:t>
      </w:r>
    </w:p>
    <w:p w14:paraId="53F91DF7" w14:textId="77777777" w:rsidR="00FA3CF9" w:rsidRPr="00B06D0A" w:rsidRDefault="00FA3CF9">
      <w:pPr>
        <w:shd w:val="clear" w:color="auto" w:fill="FFFFFF"/>
        <w:rPr>
          <w:rFonts w:ascii="Times New Roman" w:hAnsi="Times New Roman" w:cs="Times New Roman"/>
          <w:color w:val="222222"/>
        </w:rPr>
      </w:pPr>
    </w:p>
    <w:p w14:paraId="16FF67FF" w14:textId="0F926448"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negligence in creating on his premises (without warning devices or protective measures of any character) such dangerous condition where he knew or should have known that children played.</w:t>
      </w:r>
    </w:p>
    <w:p w14:paraId="5F455E41" w14:textId="77777777" w:rsidR="00FA3CF9" w:rsidRPr="00B06D0A" w:rsidRDefault="00FA3CF9">
      <w:pPr>
        <w:shd w:val="clear" w:color="auto" w:fill="FFFFFF"/>
        <w:rPr>
          <w:rFonts w:ascii="Times New Roman" w:hAnsi="Times New Roman" w:cs="Times New Roman"/>
          <w:color w:val="222222"/>
        </w:rPr>
      </w:pPr>
    </w:p>
    <w:p w14:paraId="033DBB6F" w14:textId="77777777" w:rsidR="00FA3CF9" w:rsidRPr="00B06D0A" w:rsidRDefault="750671CE">
      <w:pPr>
        <w:shd w:val="clear" w:color="auto" w:fill="FFFFFF" w:themeFill="background1"/>
        <w:ind w:firstLine="720"/>
        <w:rPr>
          <w:rFonts w:ascii="Times New Roman" w:eastAsia="Times New Roman" w:hAnsi="Times New Roman" w:cs="Times New Roman"/>
          <w:b/>
          <w:bCs/>
          <w:color w:val="222222"/>
        </w:rPr>
      </w:pPr>
      <w:r w:rsidRPr="00B06D0A">
        <w:rPr>
          <w:rFonts w:ascii="Times New Roman" w:eastAsia="Times New Roman" w:hAnsi="Times New Roman" w:cs="Times New Roman"/>
          <w:color w:val="222222"/>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B06D0A" w:rsidRDefault="00FA3CF9">
      <w:pPr>
        <w:shd w:val="clear" w:color="auto" w:fill="FFFFFF"/>
        <w:rPr>
          <w:rFonts w:ascii="Times New Roman" w:hAnsi="Times New Roman" w:cs="Times New Roman"/>
          <w:color w:val="222222"/>
        </w:rPr>
      </w:pPr>
    </w:p>
    <w:p w14:paraId="724BC5E7"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At the time the child was drowned about 50 families (40 of which had small children) were living in Forest Park Subdivision; and numerous children were living in contiguous group settlements. . . .</w:t>
      </w:r>
      <w:r w:rsidRPr="00B06D0A">
        <w:rPr>
          <w:rFonts w:ascii="Times New Roman" w:eastAsia="Times New Roman" w:hAnsi="Times New Roman" w:cs="Times New Roman"/>
          <w:b/>
          <w:bCs/>
          <w:color w:val="222222"/>
        </w:rPr>
        <w:t xml:space="preserve">  </w:t>
      </w:r>
      <w:r w:rsidRPr="00B06D0A">
        <w:rPr>
          <w:rFonts w:ascii="Times New Roman" w:eastAsia="Times New Roman" w:hAnsi="Times New Roman" w:cs="Times New Roman"/>
          <w:color w:val="222222"/>
        </w:rPr>
        <w:t xml:space="preserve">The pool is located on the east side of Lot 10 of Block 7. </w:t>
      </w:r>
    </w:p>
    <w:p w14:paraId="5FF43078" w14:textId="77777777" w:rsidR="00FA3CF9" w:rsidRPr="00B06D0A" w:rsidRDefault="00FA3CF9">
      <w:pPr>
        <w:shd w:val="clear" w:color="auto" w:fill="FFFFFF"/>
        <w:ind w:firstLine="720"/>
        <w:rPr>
          <w:rFonts w:ascii="Times New Roman" w:hAnsi="Times New Roman" w:cs="Times New Roman"/>
          <w:color w:val="222222"/>
        </w:rPr>
      </w:pPr>
    </w:p>
    <w:p w14:paraId="35F447AE" w14:textId="7E156A22" w:rsidR="00FA3CF9" w:rsidRPr="00991F62" w:rsidRDefault="750671CE" w:rsidP="00F70D64">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Mr. McLaughlin</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home (about 200 yards distant) is west of the pit on the back of Lots 15 and 16, Block 1, a small two-room house, the second purchased after Mr. Banker began marketing the homesites. The general surroundings about the pool </w:t>
      </w:r>
      <w:r w:rsidRPr="00F70D64">
        <w:rPr>
          <w:rFonts w:ascii="Times New Roman" w:eastAsia="Times New Roman" w:hAnsi="Times New Roman" w:cs="Times New Roman"/>
          <w:color w:val="222222"/>
        </w:rPr>
        <w:t xml:space="preserve">from the standpoint of the record are described by the following bits of testimony of witnesses who saw them: As indicated by the name (Forest Park) the addition was a wooded area. One could </w:t>
      </w:r>
      <w:r w:rsidR="00F70D64">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get to it (the pool) without any </w:t>
      </w:r>
      <w:r w:rsidR="007C2592" w:rsidRPr="00F70D64">
        <w:rPr>
          <w:rFonts w:ascii="Times New Roman" w:eastAsia="Times New Roman" w:hAnsi="Times New Roman" w:cs="Times New Roman"/>
          <w:color w:val="222222"/>
        </w:rPr>
        <w:t>trouble</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 about the pit </w:t>
      </w:r>
      <w:r w:rsidR="007C2592">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there was quite a bit of </w:t>
      </w:r>
      <w:r w:rsidR="00F70D64">
        <w:rPr>
          <w:rFonts w:ascii="Times New Roman" w:eastAsia="Times New Roman" w:hAnsi="Times New Roman" w:cs="Times New Roman"/>
          <w:color w:val="222222"/>
        </w:rPr>
        <w:t xml:space="preserve">. . . </w:t>
      </w:r>
      <w:r w:rsidRPr="00F70D64">
        <w:rPr>
          <w:rFonts w:ascii="Times New Roman" w:eastAsia="Times New Roman" w:hAnsi="Times New Roman" w:cs="Times New Roman"/>
          <w:color w:val="222222"/>
        </w:rPr>
        <w:t xml:space="preserve">vegetation, and quite a bit of </w:t>
      </w:r>
      <w:r w:rsidR="007C2592" w:rsidRPr="00F70D64">
        <w:rPr>
          <w:rFonts w:ascii="Times New Roman" w:eastAsia="Times New Roman" w:hAnsi="Times New Roman" w:cs="Times New Roman"/>
          <w:color w:val="222222"/>
        </w:rPr>
        <w:t>grass</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 that there was a truck </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road or </w:t>
      </w:r>
      <w:r w:rsidR="007C2592" w:rsidRPr="00F70D64">
        <w:rPr>
          <w:rFonts w:ascii="Times New Roman" w:eastAsia="Times New Roman" w:hAnsi="Times New Roman" w:cs="Times New Roman"/>
          <w:color w:val="222222"/>
        </w:rPr>
        <w:t>trail</w:t>
      </w:r>
      <w:r w:rsidR="007C2592">
        <w:rPr>
          <w:rFonts w:ascii="Times New Roman" w:eastAsia="Times New Roman" w:hAnsi="Times New Roman" w:cs="Times New Roman"/>
          <w:color w:val="222222"/>
        </w:rPr>
        <w:t>”</w:t>
      </w:r>
      <w:r w:rsidR="007C2592" w:rsidRPr="00F70D64">
        <w:rPr>
          <w:rFonts w:ascii="Times New Roman" w:eastAsia="Times New Roman" w:hAnsi="Times New Roman" w:cs="Times New Roman"/>
          <w:color w:val="222222"/>
        </w:rPr>
        <w:t xml:space="preserve"> </w:t>
      </w:r>
      <w:r w:rsidRPr="00F70D64">
        <w:rPr>
          <w:rFonts w:ascii="Times New Roman" w:eastAsia="Times New Roman" w:hAnsi="Times New Roman" w:cs="Times New Roman"/>
          <w:color w:val="222222"/>
        </w:rPr>
        <w:t xml:space="preserve">out there; people went </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back in there to have </w:t>
      </w:r>
      <w:r w:rsidR="007C2592" w:rsidRPr="00F70D64">
        <w:rPr>
          <w:rFonts w:ascii="Times New Roman" w:eastAsia="Times New Roman" w:hAnsi="Times New Roman" w:cs="Times New Roman"/>
          <w:color w:val="222222"/>
        </w:rPr>
        <w:t>picnics</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 it was </w:t>
      </w:r>
      <w:r w:rsidR="007C2592">
        <w:rPr>
          <w:rFonts w:ascii="Times New Roman" w:eastAsia="Times New Roman" w:hAnsi="Times New Roman" w:cs="Times New Roman"/>
          <w:color w:val="222222"/>
        </w:rPr>
        <w:t>“</w:t>
      </w:r>
      <w:r w:rsidR="007C2592" w:rsidRPr="00F70D64">
        <w:rPr>
          <w:rFonts w:ascii="Times New Roman" w:eastAsia="Times New Roman" w:hAnsi="Times New Roman" w:cs="Times New Roman"/>
          <w:color w:val="222222"/>
        </w:rPr>
        <w:t>open</w:t>
      </w:r>
      <w:r w:rsidR="007C2592">
        <w:rPr>
          <w:rFonts w:ascii="Times New Roman" w:eastAsia="Times New Roman" w:hAnsi="Times New Roman" w:cs="Times New Roman"/>
          <w:color w:val="222222"/>
        </w:rPr>
        <w:t>”</w:t>
      </w:r>
      <w:r w:rsidR="007C2592" w:rsidRPr="00F70D64">
        <w:rPr>
          <w:rFonts w:ascii="Times New Roman" w:eastAsia="Times New Roman" w:hAnsi="Times New Roman" w:cs="Times New Roman"/>
          <w:color w:val="222222"/>
        </w:rPr>
        <w:t xml:space="preserve"> </w:t>
      </w:r>
      <w:r w:rsidRPr="00F70D64">
        <w:rPr>
          <w:rFonts w:ascii="Times New Roman" w:eastAsia="Times New Roman" w:hAnsi="Times New Roman" w:cs="Times New Roman"/>
          <w:color w:val="222222"/>
        </w:rPr>
        <w:t xml:space="preserve">there, </w:t>
      </w:r>
      <w:r w:rsidR="007C259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all except some small bushes and </w:t>
      </w:r>
      <w:r w:rsidR="007C2592" w:rsidRPr="00F70D64">
        <w:rPr>
          <w:rFonts w:ascii="Times New Roman" w:eastAsia="Times New Roman" w:hAnsi="Times New Roman" w:cs="Times New Roman"/>
          <w:color w:val="222222"/>
        </w:rPr>
        <w:t>grass</w:t>
      </w:r>
      <w:r w:rsidR="007C2592">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 about </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the scene of this </w:t>
      </w:r>
      <w:r w:rsidR="007C2592" w:rsidRPr="007C2592">
        <w:rPr>
          <w:rFonts w:ascii="Times New Roman" w:eastAsia="Times New Roman" w:hAnsi="Times New Roman" w:cs="Times New Roman"/>
          <w:color w:val="222222"/>
        </w:rPr>
        <w:t>pit</w:t>
      </w:r>
      <w:r w:rsidR="007C2592">
        <w:rPr>
          <w:rFonts w:ascii="Times New Roman" w:eastAsia="Times New Roman" w:hAnsi="Times New Roman" w:cs="Times New Roman"/>
          <w:color w:val="222222"/>
        </w:rPr>
        <w:t>”</w:t>
      </w:r>
      <w:r w:rsidR="007C2592" w:rsidRPr="00B06D0A">
        <w:rPr>
          <w:rFonts w:ascii="Times New Roman" w:eastAsia="Times New Roman" w:hAnsi="Times New Roman" w:cs="Times New Roman"/>
          <w:color w:val="222222"/>
        </w:rPr>
        <w:t xml:space="preserve"> </w:t>
      </w:r>
      <w:r w:rsidRPr="007C2592">
        <w:rPr>
          <w:rFonts w:ascii="Times New Roman" w:eastAsia="Times New Roman" w:hAnsi="Times New Roman" w:cs="Times New Roman"/>
          <w:color w:val="222222"/>
        </w:rPr>
        <w:t xml:space="preserve">there were </w:t>
      </w:r>
      <w:r w:rsidR="007C2592">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small bushes, where the trucks ran over them and beat them </w:t>
      </w:r>
      <w:r w:rsidR="007C2592" w:rsidRPr="00B06D0A">
        <w:rPr>
          <w:rFonts w:ascii="Times New Roman" w:eastAsia="Times New Roman" w:hAnsi="Times New Roman" w:cs="Times New Roman"/>
          <w:color w:val="222222"/>
        </w:rPr>
        <w:t>down</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 there were </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no </w:t>
      </w:r>
      <w:r w:rsidR="007C2592" w:rsidRPr="007C2592">
        <w:rPr>
          <w:rFonts w:ascii="Times New Roman" w:eastAsia="Times New Roman" w:hAnsi="Times New Roman" w:cs="Times New Roman"/>
          <w:color w:val="222222"/>
        </w:rPr>
        <w:t>trees</w:t>
      </w:r>
      <w:r w:rsidR="007C2592">
        <w:rPr>
          <w:rFonts w:ascii="Times New Roman" w:eastAsia="Times New Roman" w:hAnsi="Times New Roman" w:cs="Times New Roman"/>
          <w:color w:val="222222"/>
        </w:rPr>
        <w:t>”</w:t>
      </w:r>
      <w:r w:rsidR="007C2592" w:rsidRPr="007C2592">
        <w:rPr>
          <w:rFonts w:ascii="Times New Roman" w:eastAsia="Times New Roman" w:hAnsi="Times New Roman" w:cs="Times New Roman"/>
          <w:color w:val="222222"/>
        </w:rPr>
        <w:t xml:space="preserve"> </w:t>
      </w:r>
      <w:r w:rsidRPr="007C2592">
        <w:rPr>
          <w:rFonts w:ascii="Times New Roman" w:eastAsia="Times New Roman" w:hAnsi="Times New Roman" w:cs="Times New Roman"/>
          <w:color w:val="222222"/>
        </w:rPr>
        <w:t xml:space="preserve">right at the hole or </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around </w:t>
      </w:r>
      <w:r w:rsidR="007C2592" w:rsidRPr="00B06D0A">
        <w:rPr>
          <w:rFonts w:ascii="Times New Roman" w:eastAsia="Times New Roman" w:hAnsi="Times New Roman" w:cs="Times New Roman"/>
          <w:color w:val="222222"/>
        </w:rPr>
        <w:t>it</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 in the </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 xml:space="preserve">spring and </w:t>
      </w:r>
      <w:r w:rsidR="007C2592" w:rsidRPr="007C2592">
        <w:rPr>
          <w:rFonts w:ascii="Times New Roman" w:eastAsia="Times New Roman" w:hAnsi="Times New Roman" w:cs="Times New Roman"/>
          <w:color w:val="222222"/>
        </w:rPr>
        <w:t>summer</w:t>
      </w:r>
      <w:r w:rsidR="007C2592">
        <w:rPr>
          <w:rFonts w:ascii="Times New Roman" w:eastAsia="Times New Roman" w:hAnsi="Times New Roman" w:cs="Times New Roman"/>
          <w:color w:val="222222"/>
        </w:rPr>
        <w:t>”</w:t>
      </w:r>
      <w:r w:rsidR="007C2592" w:rsidRPr="007C2592">
        <w:rPr>
          <w:rFonts w:ascii="Times New Roman" w:eastAsia="Times New Roman" w:hAnsi="Times New Roman" w:cs="Times New Roman"/>
          <w:color w:val="222222"/>
        </w:rPr>
        <w:t xml:space="preserve"> </w:t>
      </w:r>
      <w:r w:rsidRPr="007C2592">
        <w:rPr>
          <w:rFonts w:ascii="Times New Roman" w:eastAsia="Times New Roman" w:hAnsi="Times New Roman" w:cs="Times New Roman"/>
          <w:color w:val="222222"/>
        </w:rPr>
        <w:t xml:space="preserve">there would be </w:t>
      </w:r>
      <w:r w:rsidR="007C259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wild flowers and things like that growing there.</w:t>
      </w:r>
      <w:r w:rsidR="007C2592">
        <w:rPr>
          <w:rFonts w:ascii="Times New Roman" w:eastAsia="Times New Roman" w:hAnsi="Times New Roman" w:cs="Times New Roman"/>
          <w:color w:val="222222"/>
        </w:rPr>
        <w:t>”</w:t>
      </w:r>
      <w:r w:rsidR="007C2592" w:rsidRPr="007C2592">
        <w:rPr>
          <w:rFonts w:ascii="Times New Roman" w:eastAsia="Times New Roman" w:hAnsi="Times New Roman" w:cs="Times New Roman"/>
          <w:color w:val="222222"/>
        </w:rPr>
        <w:t xml:space="preserve"> </w:t>
      </w:r>
      <w:r w:rsidRPr="007C2592">
        <w:rPr>
          <w:rFonts w:ascii="Times New Roman" w:eastAsia="Times New Roman" w:hAnsi="Times New Roman" w:cs="Times New Roman"/>
          <w:color w:val="222222"/>
        </w:rPr>
        <w:t xml:space="preserve">Defendant himself testified that the pool was accessible to those located where plaintiff was </w:t>
      </w:r>
      <w:r w:rsidR="00991F62">
        <w:rPr>
          <w:rFonts w:ascii="Times New Roman" w:eastAsia="Times New Roman" w:hAnsi="Times New Roman" w:cs="Times New Roman"/>
          <w:color w:val="222222"/>
        </w:rPr>
        <w:t>“</w:t>
      </w:r>
      <w:r w:rsidRPr="007C2592">
        <w:rPr>
          <w:rFonts w:ascii="Times New Roman" w:eastAsia="Times New Roman" w:hAnsi="Times New Roman" w:cs="Times New Roman"/>
          <w:color w:val="222222"/>
        </w:rPr>
        <w:t>if they wanted to wade through grass and weeds and brush.</w:t>
      </w:r>
      <w:r w:rsidR="00991F62">
        <w:rPr>
          <w:rFonts w:ascii="Times New Roman" w:eastAsia="Times New Roman" w:hAnsi="Times New Roman" w:cs="Times New Roman"/>
          <w:color w:val="222222"/>
        </w:rPr>
        <w:t>”</w:t>
      </w:r>
    </w:p>
    <w:p w14:paraId="776EC11D" w14:textId="77777777" w:rsidR="00FA3CF9" w:rsidRPr="00B06D0A" w:rsidRDefault="00FA3CF9">
      <w:pPr>
        <w:shd w:val="clear" w:color="auto" w:fill="FFFFFF"/>
        <w:rPr>
          <w:rFonts w:ascii="Times New Roman" w:hAnsi="Times New Roman" w:cs="Times New Roman"/>
          <w:color w:val="222222"/>
        </w:rPr>
      </w:pPr>
    </w:p>
    <w:p w14:paraId="6EF36CBE" w14:textId="0BCCAD02" w:rsidR="00FA3CF9" w:rsidRPr="00B06D0A" w:rsidRDefault="750671CE" w:rsidP="00F70D64">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The waterhole itself is designated on the plat. The bank </w:t>
      </w:r>
      <w:r w:rsidR="00991F62">
        <w:rPr>
          <w:rFonts w:ascii="Times New Roman" w:eastAsia="Times New Roman" w:hAnsi="Times New Roman" w:cs="Times New Roman"/>
          <w:color w:val="222222"/>
        </w:rPr>
        <w:t>“</w:t>
      </w:r>
      <w:r w:rsidRPr="00991F62">
        <w:rPr>
          <w:rFonts w:ascii="Times New Roman" w:eastAsia="Times New Roman" w:hAnsi="Times New Roman" w:cs="Times New Roman"/>
          <w:color w:val="222222"/>
        </w:rPr>
        <w:t xml:space="preserve">down to the water </w:t>
      </w:r>
      <w:r w:rsidR="00F70D64">
        <w:rPr>
          <w:rFonts w:ascii="Times New Roman" w:eastAsia="Times New Roman" w:hAnsi="Times New Roman" w:cs="Times New Roman"/>
          <w:color w:val="222222"/>
        </w:rPr>
        <w:t xml:space="preserve">. . . </w:t>
      </w:r>
      <w:r w:rsidRPr="00F70D64">
        <w:rPr>
          <w:rFonts w:ascii="Times New Roman" w:eastAsia="Times New Roman" w:hAnsi="Times New Roman" w:cs="Times New Roman"/>
          <w:color w:val="222222"/>
        </w:rPr>
        <w:t xml:space="preserve">was straight off, then it had a sharp incline to the </w:t>
      </w:r>
      <w:r w:rsidR="00991F62" w:rsidRPr="00F70D64">
        <w:rPr>
          <w:rFonts w:ascii="Times New Roman" w:eastAsia="Times New Roman" w:hAnsi="Times New Roman" w:cs="Times New Roman"/>
          <w:color w:val="222222"/>
        </w:rPr>
        <w:t>bottom</w:t>
      </w:r>
      <w:r w:rsidR="00991F6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 the bank </w:t>
      </w:r>
      <w:r w:rsidR="00991F6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was pretty slanting, and whenever I stepped off in there I slid on to the bottom; it (the water) came up to my </w:t>
      </w:r>
      <w:r w:rsidR="00991F62" w:rsidRPr="00F70D64">
        <w:rPr>
          <w:rFonts w:ascii="Times New Roman" w:eastAsia="Times New Roman" w:hAnsi="Times New Roman" w:cs="Times New Roman"/>
          <w:color w:val="222222"/>
        </w:rPr>
        <w:t>chin</w:t>
      </w:r>
      <w:r w:rsidR="00991F62">
        <w:rPr>
          <w:rFonts w:ascii="Times New Roman" w:eastAsia="Times New Roman" w:hAnsi="Times New Roman" w:cs="Times New Roman"/>
          <w:color w:val="222222"/>
        </w:rPr>
        <w:t>”</w:t>
      </w:r>
      <w:r w:rsidRPr="00F70D64">
        <w:rPr>
          <w:rFonts w:ascii="Times New Roman" w:eastAsia="Times New Roman" w:hAnsi="Times New Roman" w:cs="Times New Roman"/>
          <w:color w:val="222222"/>
        </w:rPr>
        <w:t xml:space="preserve">; the water was </w:t>
      </w:r>
      <w:r w:rsidR="00991F62">
        <w:rPr>
          <w:rFonts w:ascii="Times New Roman" w:eastAsia="Times New Roman" w:hAnsi="Times New Roman" w:cs="Times New Roman"/>
          <w:color w:val="222222"/>
        </w:rPr>
        <w:t>“</w:t>
      </w:r>
      <w:r w:rsidRPr="00991F62">
        <w:rPr>
          <w:rFonts w:ascii="Times New Roman" w:eastAsia="Times New Roman" w:hAnsi="Times New Roman" w:cs="Times New Roman"/>
          <w:color w:val="222222"/>
        </w:rPr>
        <w:t xml:space="preserve">well over the head of a child five or six years </w:t>
      </w:r>
      <w:r w:rsidR="00991F62" w:rsidRPr="00991F62">
        <w:rPr>
          <w:rFonts w:ascii="Times New Roman" w:eastAsia="Times New Roman" w:hAnsi="Times New Roman" w:cs="Times New Roman"/>
          <w:color w:val="222222"/>
        </w:rPr>
        <w:t>old</w:t>
      </w:r>
      <w:r w:rsidR="00991F62">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 when I (one of the searchers for the child) </w:t>
      </w:r>
      <w:r w:rsidR="00991F62">
        <w:rPr>
          <w:rFonts w:ascii="Times New Roman" w:eastAsia="Times New Roman" w:hAnsi="Times New Roman" w:cs="Times New Roman"/>
          <w:color w:val="222222"/>
        </w:rPr>
        <w:t>“</w:t>
      </w:r>
      <w:r w:rsidRPr="00991F62">
        <w:rPr>
          <w:rFonts w:ascii="Times New Roman" w:eastAsia="Times New Roman" w:hAnsi="Times New Roman" w:cs="Times New Roman"/>
          <w:color w:val="222222"/>
        </w:rPr>
        <w:t xml:space="preserve">got there it (the pool) was full of </w:t>
      </w:r>
      <w:r w:rsidR="00991F62" w:rsidRPr="00991F62">
        <w:rPr>
          <w:rFonts w:ascii="Times New Roman" w:eastAsia="Times New Roman" w:hAnsi="Times New Roman" w:cs="Times New Roman"/>
          <w:color w:val="222222"/>
        </w:rPr>
        <w:t>water</w:t>
      </w:r>
      <w:r w:rsidR="00991F62">
        <w:rPr>
          <w:rFonts w:ascii="Times New Roman" w:eastAsia="Times New Roman" w:hAnsi="Times New Roman" w:cs="Times New Roman"/>
          <w:color w:val="222222"/>
        </w:rPr>
        <w:t>”</w:t>
      </w:r>
      <w:r w:rsidRPr="00991F62">
        <w:rPr>
          <w:rFonts w:ascii="Times New Roman" w:eastAsia="Times New Roman" w:hAnsi="Times New Roman" w:cs="Times New Roman"/>
          <w:color w:val="222222"/>
        </w:rPr>
        <w:t xml:space="preserve">; were no outlets to it, however; </w:t>
      </w:r>
      <w:r w:rsidR="00991F62">
        <w:rPr>
          <w:rFonts w:ascii="Times New Roman" w:eastAsia="Times New Roman" w:hAnsi="Times New Roman" w:cs="Times New Roman"/>
          <w:color w:val="222222"/>
        </w:rPr>
        <w:t>“</w:t>
      </w:r>
      <w:r w:rsidRPr="00991F62">
        <w:rPr>
          <w:rFonts w:ascii="Times New Roman" w:eastAsia="Times New Roman" w:hAnsi="Times New Roman" w:cs="Times New Roman"/>
          <w:color w:val="222222"/>
        </w:rPr>
        <w:t>the banks were a straight off drop.</w:t>
      </w:r>
      <w:r w:rsidR="00991F62">
        <w:rPr>
          <w:rFonts w:ascii="Times New Roman" w:eastAsia="Times New Roman" w:hAnsi="Times New Roman" w:cs="Times New Roman"/>
          <w:color w:val="222222"/>
        </w:rPr>
        <w:t>”</w:t>
      </w:r>
    </w:p>
    <w:p w14:paraId="0B9FB4EE" w14:textId="77777777" w:rsidR="00FA3CF9" w:rsidRPr="00B06D0A" w:rsidRDefault="00FA3CF9">
      <w:pPr>
        <w:shd w:val="clear" w:color="auto" w:fill="FFFFFF"/>
        <w:rPr>
          <w:rFonts w:ascii="Times New Roman" w:hAnsi="Times New Roman" w:cs="Times New Roman"/>
          <w:color w:val="222222"/>
        </w:rPr>
      </w:pPr>
    </w:p>
    <w:p w14:paraId="08ECC457" w14:textId="4E9E61F4"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The utility of the pool to the owner was negligible after he ceased excavating there for dirt for street grading purposes. . . .  Mr. Banker</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own testimony indicates also that the expense necessary to be incurred, if any, to eliminate the danger would have been small, if not trivial. </w:t>
      </w:r>
    </w:p>
    <w:p w14:paraId="7E34E1B8" w14:textId="77777777" w:rsidR="00FA3CF9" w:rsidRPr="00B06D0A" w:rsidRDefault="00FA3CF9">
      <w:pPr>
        <w:shd w:val="clear" w:color="auto" w:fill="FFFFFF"/>
        <w:rPr>
          <w:rFonts w:ascii="Times New Roman" w:hAnsi="Times New Roman" w:cs="Times New Roman"/>
          <w:color w:val="222222"/>
        </w:rPr>
      </w:pPr>
    </w:p>
    <w:p w14:paraId="4DC43ED0" w14:textId="008F02E0" w:rsidR="00FA3CF9" w:rsidRPr="00B06D0A" w:rsidRDefault="750671CE" w:rsidP="00222F6D">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The excavation was from 5 to 8 feet deep </w:t>
      </w:r>
      <w:r w:rsidR="00222F6D">
        <w:rPr>
          <w:rFonts w:ascii="Times New Roman" w:eastAsia="Times New Roman" w:hAnsi="Times New Roman" w:cs="Times New Roman"/>
          <w:color w:val="222222"/>
        </w:rPr>
        <w:t>“</w:t>
      </w:r>
      <w:r w:rsidRPr="00222F6D">
        <w:rPr>
          <w:rFonts w:ascii="Times New Roman" w:eastAsia="Times New Roman" w:hAnsi="Times New Roman" w:cs="Times New Roman"/>
          <w:color w:val="222222"/>
        </w:rPr>
        <w:t>at the very shallowest place.</w:t>
      </w:r>
      <w:r w:rsidR="00222F6D">
        <w:rPr>
          <w:rFonts w:ascii="Times New Roman" w:eastAsia="Times New Roman" w:hAnsi="Times New Roman" w:cs="Times New Roman"/>
          <w:color w:val="222222"/>
        </w:rPr>
        <w:t>”</w:t>
      </w:r>
      <w:r w:rsidR="00222F6D" w:rsidRPr="00222F6D">
        <w:rPr>
          <w:rFonts w:ascii="Times New Roman" w:eastAsia="Times New Roman" w:hAnsi="Times New Roman" w:cs="Times New Roman"/>
          <w:color w:val="222222"/>
        </w:rPr>
        <w:t xml:space="preserve">  </w:t>
      </w:r>
      <w:r w:rsidRPr="00222F6D">
        <w:rPr>
          <w:rFonts w:ascii="Times New Roman" w:eastAsia="Times New Roman" w:hAnsi="Times New Roman" w:cs="Times New Roman"/>
          <w:color w:val="222222"/>
        </w:rPr>
        <w:t xml:space="preserve">It appears </w:t>
      </w:r>
      <w:r w:rsidRPr="00B06D0A">
        <w:rPr>
          <w:rFonts w:ascii="Times New Roman" w:eastAsia="Times New Roman" w:hAnsi="Times New Roman" w:cs="Times New Roman"/>
          <w:color w:val="222222"/>
        </w:rPr>
        <w:t>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B06D0A" w:rsidRDefault="00FA3CF9">
      <w:pPr>
        <w:shd w:val="clear" w:color="auto" w:fill="FFFFFF"/>
        <w:rPr>
          <w:rFonts w:ascii="Times New Roman" w:hAnsi="Times New Roman" w:cs="Times New Roman"/>
          <w:color w:val="222222"/>
        </w:rPr>
      </w:pPr>
    </w:p>
    <w:p w14:paraId="35C3FF51"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B06D0A" w:rsidRDefault="00FA3CF9">
      <w:pPr>
        <w:shd w:val="clear" w:color="auto" w:fill="FFFFFF"/>
        <w:rPr>
          <w:rFonts w:ascii="Times New Roman" w:hAnsi="Times New Roman" w:cs="Times New Roman"/>
          <w:color w:val="222222"/>
        </w:rPr>
      </w:pPr>
    </w:p>
    <w:p w14:paraId="50194DD4" w14:textId="79517B5D"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The following features of the facts and circumstances of the case are determinative of the correctness of the action of the Court of Civil Appeals in affirming the trial court</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B06D0A" w:rsidRDefault="00FA3CF9">
      <w:pPr>
        <w:shd w:val="clear" w:color="auto" w:fill="FFFFFF"/>
        <w:rPr>
          <w:rFonts w:ascii="Times New Roman" w:hAnsi="Times New Roman" w:cs="Times New Roman"/>
          <w:color w:val="222222"/>
        </w:rPr>
      </w:pPr>
    </w:p>
    <w:p w14:paraId="1F0638CD"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We overrule all of the points of error presented in the application of petitioner and affirm the judgment of the Court of Civil Appeals which affirms that of the trial court. It is so ordered.</w:t>
      </w:r>
    </w:p>
    <w:p w14:paraId="4CBDD63B" w14:textId="77777777" w:rsidR="00FA3CF9" w:rsidRPr="00B06D0A" w:rsidRDefault="00FA3CF9">
      <w:pPr>
        <w:shd w:val="clear" w:color="auto" w:fill="FFFFFF"/>
        <w:rPr>
          <w:rFonts w:ascii="Times New Roman" w:hAnsi="Times New Roman" w:cs="Times New Roman"/>
          <w:color w:val="222222"/>
        </w:rPr>
      </w:pPr>
    </w:p>
    <w:p w14:paraId="29D07365" w14:textId="77777777" w:rsidR="00FA3CF9" w:rsidRPr="00B06D0A" w:rsidRDefault="00FA3CF9">
      <w:pPr>
        <w:shd w:val="clear" w:color="auto" w:fill="FFFFFF"/>
        <w:rPr>
          <w:rFonts w:ascii="Times New Roman" w:hAnsi="Times New Roman" w:cs="Times New Roman"/>
          <w:color w:val="222222"/>
        </w:rPr>
      </w:pPr>
    </w:p>
    <w:p w14:paraId="3CE7BAFD" w14:textId="77777777" w:rsidR="00FA3CF9" w:rsidRPr="00A559C4" w:rsidRDefault="00FA3CF9" w:rsidP="002502CC">
      <w:pPr>
        <w:pStyle w:val="Heading4"/>
      </w:pPr>
      <w:bookmarkStart w:id="759" w:name="_Toc364636216"/>
      <w:bookmarkStart w:id="760" w:name="_Toc518323455"/>
      <w:r w:rsidRPr="00C14ACE">
        <w:t>Note</w:t>
      </w:r>
      <w:bookmarkEnd w:id="759"/>
      <w:bookmarkEnd w:id="760"/>
    </w:p>
    <w:p w14:paraId="20FD58D3" w14:textId="77777777" w:rsidR="00FA3CF9" w:rsidRDefault="00FA3CF9">
      <w:pPr>
        <w:shd w:val="clear" w:color="auto" w:fill="FFFFFF"/>
        <w:rPr>
          <w:rFonts w:ascii="Times New Roman" w:hAnsi="Times New Roman" w:cs="Times New Roman"/>
          <w:color w:val="222222"/>
        </w:rPr>
      </w:pPr>
    </w:p>
    <w:p w14:paraId="468CDF30" w14:textId="77777777" w:rsidR="00C04514" w:rsidRPr="00B06D0A" w:rsidRDefault="00C04514">
      <w:pPr>
        <w:shd w:val="clear" w:color="auto" w:fill="FFFFFF"/>
        <w:rPr>
          <w:rFonts w:ascii="Times New Roman" w:hAnsi="Times New Roman" w:cs="Times New Roman"/>
          <w:color w:val="222222"/>
        </w:rPr>
      </w:pPr>
    </w:p>
    <w:p w14:paraId="3245531F" w14:textId="243FB2BE" w:rsidR="00FA3CF9" w:rsidRPr="00F94B7E" w:rsidRDefault="00FA3CF9" w:rsidP="00F94B7E">
      <w:pPr>
        <w:pStyle w:val="ListParagraph"/>
        <w:numPr>
          <w:ilvl w:val="0"/>
          <w:numId w:val="111"/>
        </w:numPr>
        <w:ind w:left="0" w:firstLine="360"/>
        <w:rPr>
          <w:rFonts w:ascii="Times New Roman" w:eastAsia="Times New Roman" w:hAnsi="Times New Roman" w:cs="Times New Roman"/>
        </w:rPr>
      </w:pPr>
      <w:r w:rsidRPr="00F94B7E">
        <w:rPr>
          <w:rFonts w:ascii="Times New Roman" w:eastAsia="Times New Roman" w:hAnsi="Times New Roman" w:cs="Times New Roman"/>
          <w:i/>
          <w:iCs/>
          <w:color w:val="222222"/>
          <w:shd w:val="clear" w:color="auto" w:fill="FFFFFF"/>
        </w:rPr>
        <w:t xml:space="preserve">Attractive nuisances. </w:t>
      </w:r>
      <w:r w:rsidRPr="00F94B7E">
        <w:rPr>
          <w:rFonts w:ascii="Times New Roman" w:eastAsia="Times New Roman" w:hAnsi="Times New Roman" w:cs="Times New Roman"/>
          <w:color w:val="222222"/>
          <w:shd w:val="clear" w:color="auto" w:fill="FFFFFF"/>
        </w:rPr>
        <w:t xml:space="preserve"> As originally formulated, the traditional rule sharply limited the ability of injured non-invitees to recover from the occupiers and owners of land. Over time courts carved out exceptions to the traditional rule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s rigid formula.  Perhaps the biggest exception is the one the courts have created for child trespassers. Under the so-called </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attractive nuisance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 doctrine, a landowner can be held liable for injuries to a child trespasser if those injuries were caused by an </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attractive</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 xml:space="preserve"> artificial hazard on the landowner</w:t>
      </w:r>
      <w:r w:rsidR="00B05F31" w:rsidRPr="00F94B7E">
        <w:rPr>
          <w:rFonts w:ascii="Times New Roman" w:eastAsia="Times New Roman" w:hAnsi="Times New Roman" w:cs="Times New Roman"/>
          <w:color w:val="222222"/>
          <w:shd w:val="clear" w:color="auto" w:fill="FFFFFF"/>
        </w:rPr>
        <w:t>’</w:t>
      </w:r>
      <w:r w:rsidRPr="00F94B7E">
        <w:rPr>
          <w:rFonts w:ascii="Times New Roman" w:eastAsia="Times New Roman" w:hAnsi="Times New Roman" w:cs="Times New Roman"/>
          <w:color w:val="222222"/>
          <w:shd w:val="clear" w:color="auto" w:fill="FFFFFF"/>
        </w:rPr>
        <w:t>s property. The theory is that when a landowner maintains a hazard on his premises that he knows some children will find alluring, he impliedly invites those children to trespass. The child trespassers, then, become the equivalent of invitees, and so the landowner owes them a duty of reasonable care.</w:t>
      </w:r>
    </w:p>
    <w:p w14:paraId="28929625" w14:textId="77777777" w:rsidR="00FA3CF9" w:rsidRPr="00B06D0A" w:rsidRDefault="00FA3CF9">
      <w:pPr>
        <w:shd w:val="clear" w:color="auto" w:fill="FFFFFF"/>
        <w:rPr>
          <w:rFonts w:ascii="Times New Roman" w:hAnsi="Times New Roman" w:cs="Times New Roman"/>
          <w:color w:val="222222"/>
        </w:rPr>
      </w:pPr>
    </w:p>
    <w:p w14:paraId="1A96C0AB" w14:textId="495D118F" w:rsidR="00FA3CF9" w:rsidRPr="00045638" w:rsidRDefault="750671CE" w:rsidP="00045638">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Many jurisdictions have adopted the definition of attractive nuisance laid out in Section 339 of the Restatement (Second) of Torts (1965). To satisfy the Restatement</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s definition of an attractive nuisance, the following five conditions must be met: (1) the hazard must be located in an area where the landowner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B06D0A">
        <w:rPr>
          <w:rFonts w:ascii="Times New Roman" w:eastAsia="Times New Roman" w:hAnsi="Times New Roman" w:cs="Times New Roman"/>
          <w:color w:val="222222"/>
        </w:rPr>
        <w:t>’</w:t>
      </w:r>
      <w:r w:rsidRPr="00B06D0A">
        <w:rPr>
          <w:rFonts w:ascii="Times New Roman" w:eastAsia="Times New Roman" w:hAnsi="Times New Roman" w:cs="Times New Roman"/>
          <w:color w:val="222222"/>
        </w:rPr>
        <w:t xml:space="preserve">s utility to the landowner and the burden of eliminating the hazard; and (5) the landowner must fail to exercise reasonable care to eliminate or mitigate the hazard. In addition, the hazard must be an artificial condition; a natural condition such as a stream typically cannot be an attractive nuisance. </w:t>
      </w:r>
      <w:r w:rsidRPr="00F94B7E">
        <w:rPr>
          <w:rFonts w:ascii="Times New Roman" w:eastAsia="Times New Roman" w:hAnsi="Times New Roman" w:cs="Times New Roman"/>
          <w:i/>
          <w:color w:val="222222"/>
        </w:rPr>
        <w:t>See, e.g.</w:t>
      </w:r>
      <w:r w:rsidRPr="00045638">
        <w:rPr>
          <w:rFonts w:ascii="Times New Roman" w:eastAsia="Times New Roman" w:hAnsi="Times New Roman" w:cs="Times New Roman"/>
          <w:color w:val="222222"/>
        </w:rPr>
        <w:t xml:space="preserve">, </w:t>
      </w:r>
      <w:r w:rsidRPr="00B06D0A">
        <w:rPr>
          <w:rFonts w:ascii="Times New Roman" w:eastAsia="Times New Roman" w:hAnsi="Times New Roman" w:cs="Times New Roman"/>
          <w:i/>
          <w:iCs/>
          <w:color w:val="222222"/>
        </w:rPr>
        <w:t>Fitch v. Selwyn Village</w:t>
      </w:r>
      <w:r w:rsidRPr="00B06D0A">
        <w:rPr>
          <w:rFonts w:ascii="Times New Roman" w:eastAsia="Times New Roman" w:hAnsi="Times New Roman" w:cs="Times New Roman"/>
          <w:color w:val="222222"/>
        </w:rPr>
        <w:t>, 234 N.C. 632 (1951) (holding that a stream is not an attractive nuisance).</w:t>
      </w:r>
    </w:p>
    <w:p w14:paraId="246A0E94" w14:textId="77777777" w:rsidR="00FA3CF9" w:rsidRPr="00B06D0A" w:rsidRDefault="00FA3CF9">
      <w:pPr>
        <w:shd w:val="clear" w:color="auto" w:fill="FFFFFF"/>
        <w:rPr>
          <w:rFonts w:ascii="Times New Roman" w:hAnsi="Times New Roman" w:cs="Times New Roman"/>
          <w:color w:val="222222"/>
        </w:rPr>
      </w:pPr>
    </w:p>
    <w:p w14:paraId="13BE0EEC"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Courts have found a wide array of hazards to be attractive nuisances. Some of the earliest attractive nuisance cases involved unsecured railroad turntables. In </w:t>
      </w:r>
      <w:r w:rsidRPr="00B06D0A">
        <w:rPr>
          <w:rFonts w:ascii="Times New Roman" w:eastAsia="Times New Roman" w:hAnsi="Times New Roman" w:cs="Times New Roman"/>
          <w:i/>
          <w:iCs/>
          <w:color w:val="222222"/>
        </w:rPr>
        <w:t>Barrett v. Southern Pacific Railroad</w:t>
      </w:r>
      <w:r w:rsidRPr="00B06D0A">
        <w:rPr>
          <w:rFonts w:ascii="Times New Roman" w:eastAsia="Times New Roman" w:hAnsi="Times New Roman" w:cs="Times New Roman"/>
          <w:color w:val="222222"/>
        </w:rPr>
        <w:t xml:space="preserve">, 91 Cal. 296 (1891), for example, the California Supreme Court held that a railroad was liable for the injuries that an eight-year-old boy sustained playing on one of its turntables, which the railroad had left unguarded and accessible to the public. In </w:t>
      </w:r>
      <w:r w:rsidRPr="00B06D0A">
        <w:rPr>
          <w:rFonts w:ascii="Times New Roman" w:eastAsia="Times New Roman" w:hAnsi="Times New Roman" w:cs="Times New Roman"/>
          <w:i/>
          <w:iCs/>
          <w:color w:val="222222"/>
        </w:rPr>
        <w:t>Afton Electric Co. v. Harris</w:t>
      </w:r>
      <w:r w:rsidRPr="00B06D0A">
        <w:rPr>
          <w:rFonts w:ascii="Times New Roman" w:eastAsia="Times New Roman" w:hAnsi="Times New Roman" w:cs="Times New Roman"/>
          <w:color w:val="222222"/>
        </w:rPr>
        <w:t xml:space="preserve">, 49 Wyo. 367 (1936), the Wyoming Supreme Court held that an easily climbable light pole with uninsulated electric wires at the top constituted an attractive nuisance. In </w:t>
      </w:r>
      <w:r w:rsidRPr="00B06D0A">
        <w:rPr>
          <w:rFonts w:ascii="Times New Roman" w:eastAsia="Times New Roman" w:hAnsi="Times New Roman" w:cs="Times New Roman"/>
          <w:i/>
          <w:iCs/>
          <w:color w:val="222222"/>
        </w:rPr>
        <w:t>Kopczynski v. Barger</w:t>
      </w:r>
      <w:r w:rsidRPr="00B06D0A">
        <w:rPr>
          <w:rFonts w:ascii="Times New Roman" w:eastAsia="Times New Roman" w:hAnsi="Times New Roman" w:cs="Times New Roman"/>
          <w:color w:val="222222"/>
        </w:rPr>
        <w:t>, 887 N.E.2d 928 (2008), the Indiana Supreme Court held that a trampoline may constitute an attractive nuisance.</w:t>
      </w:r>
    </w:p>
    <w:p w14:paraId="7D4F2E53" w14:textId="77777777" w:rsidR="00FA3CF9" w:rsidRPr="00B06D0A" w:rsidRDefault="00FA3CF9">
      <w:pPr>
        <w:shd w:val="clear" w:color="auto" w:fill="FFFFFF"/>
        <w:ind w:firstLine="720"/>
        <w:rPr>
          <w:rFonts w:ascii="Times New Roman" w:hAnsi="Times New Roman" w:cs="Times New Roman"/>
          <w:color w:val="222222"/>
        </w:rPr>
      </w:pPr>
    </w:p>
    <w:p w14:paraId="61B12800" w14:textId="77777777" w:rsidR="00FA3CF9" w:rsidRPr="00B06D0A" w:rsidRDefault="750671CE">
      <w:pPr>
        <w:shd w:val="clear" w:color="auto" w:fill="FFFFFF" w:themeFill="background1"/>
        <w:ind w:firstLine="720"/>
        <w:rPr>
          <w:rFonts w:ascii="Times New Roman" w:eastAsia="Times New Roman" w:hAnsi="Times New Roman" w:cs="Times New Roman"/>
          <w:color w:val="222222"/>
        </w:rPr>
      </w:pPr>
      <w:r w:rsidRPr="00B06D0A">
        <w:rPr>
          <w:rFonts w:ascii="Times New Roman" w:eastAsia="Times New Roman" w:hAnsi="Times New Roman" w:cs="Times New Roman"/>
          <w:color w:val="222222"/>
        </w:rPr>
        <w:t xml:space="preserve">Over time, however, some courts came to think that managing the exceptions to the common law rule for entrants onto land was more cumbersome than it was worth.  </w:t>
      </w:r>
    </w:p>
    <w:p w14:paraId="64587FF5" w14:textId="77777777" w:rsidR="00FA3CF9" w:rsidRPr="00B06D0A" w:rsidRDefault="00FA3CF9">
      <w:pPr>
        <w:shd w:val="clear" w:color="auto" w:fill="FFFFFF"/>
        <w:ind w:firstLine="720"/>
        <w:rPr>
          <w:rFonts w:ascii="Times New Roman" w:hAnsi="Times New Roman" w:cs="Times New Roman"/>
          <w:color w:val="222222"/>
        </w:rPr>
      </w:pPr>
    </w:p>
    <w:p w14:paraId="3C7061BB" w14:textId="77777777" w:rsidR="00FA3CF9" w:rsidRPr="00B06D0A" w:rsidRDefault="00FA3CF9">
      <w:pPr>
        <w:shd w:val="clear" w:color="auto" w:fill="FFFFFF"/>
        <w:ind w:firstLine="720"/>
        <w:rPr>
          <w:rFonts w:ascii="Times New Roman" w:hAnsi="Times New Roman" w:cs="Times New Roman"/>
          <w:color w:val="222222"/>
        </w:rPr>
      </w:pPr>
    </w:p>
    <w:p w14:paraId="52CBE290" w14:textId="02E221E1" w:rsidR="00FA3CF9" w:rsidRPr="00B06D0A" w:rsidRDefault="00FA3CF9">
      <w:pPr>
        <w:widowControl w:val="0"/>
        <w:autoSpaceDE w:val="0"/>
        <w:autoSpaceDN w:val="0"/>
        <w:adjustRightInd w:val="0"/>
        <w:rPr>
          <w:rFonts w:ascii="Times New Roman" w:eastAsia="Times New Roman" w:hAnsi="Times New Roman" w:cs="Times New Roman"/>
          <w:b/>
          <w:bCs/>
          <w:color w:val="1A1A1A"/>
        </w:rPr>
      </w:pPr>
      <w:bookmarkStart w:id="761" w:name="_Toc518323456"/>
      <w:r w:rsidRPr="00C17A3F">
        <w:rPr>
          <w:rStyle w:val="Heading3Char"/>
          <w:i/>
        </w:rPr>
        <w:t>Rowland v. Christian</w:t>
      </w:r>
      <w:bookmarkEnd w:id="761"/>
      <w:r w:rsidR="00BA1CDA" w:rsidRPr="00B06D0A">
        <w:rPr>
          <w:rFonts w:ascii="Times New Roman" w:eastAsia="Times New Roman" w:hAnsi="Times New Roman" w:cs="Times New Roman"/>
          <w:b/>
          <w:bCs/>
          <w:color w:val="1A1A1A"/>
        </w:rPr>
        <w:t xml:space="preserve">, </w:t>
      </w:r>
      <w:r w:rsidRPr="00B06D0A">
        <w:rPr>
          <w:rFonts w:ascii="Times New Roman" w:eastAsia="Times New Roman" w:hAnsi="Times New Roman" w:cs="Times New Roman"/>
          <w:b/>
          <w:bCs/>
          <w:color w:val="1A1A1A"/>
        </w:rPr>
        <w:t>443 P.2d 561 (Cal. 1968)</w:t>
      </w:r>
    </w:p>
    <w:p w14:paraId="72BF7D6F" w14:textId="77777777" w:rsidR="00FA3CF9" w:rsidRPr="00B06D0A" w:rsidRDefault="00FA3CF9">
      <w:pPr>
        <w:widowControl w:val="0"/>
        <w:autoSpaceDE w:val="0"/>
        <w:autoSpaceDN w:val="0"/>
        <w:adjustRightInd w:val="0"/>
        <w:rPr>
          <w:rFonts w:ascii="Times New Roman" w:hAnsi="Times New Roman" w:cs="Times New Roman"/>
          <w:color w:val="1A1A1A"/>
        </w:rPr>
      </w:pPr>
    </w:p>
    <w:p w14:paraId="373C0456" w14:textId="5AA050D6" w:rsidR="00FA3CF9" w:rsidRPr="00B06D0A" w:rsidRDefault="750671CE" w:rsidP="003E58A1">
      <w:pPr>
        <w:widowControl w:val="0"/>
        <w:autoSpaceDE w:val="0"/>
        <w:autoSpaceDN w:val="0"/>
        <w:adjustRightInd w:val="0"/>
        <w:rPr>
          <w:rFonts w:ascii="Times New Roman" w:eastAsia="Times New Roman" w:hAnsi="Times New Roman" w:cs="Times New Roman"/>
          <w:color w:val="1A1A1A"/>
        </w:rPr>
      </w:pPr>
      <w:r w:rsidRPr="00F94B7E">
        <w:rPr>
          <w:rFonts w:ascii="Times New Roman" w:eastAsia="Times New Roman" w:hAnsi="Times New Roman" w:cs="Times New Roman"/>
          <w:smallCaps/>
          <w:color w:val="1A1A1A"/>
        </w:rPr>
        <w:t>P</w:t>
      </w:r>
      <w:r w:rsidR="003E58A1" w:rsidRPr="00F94B7E">
        <w:rPr>
          <w:rFonts w:ascii="Times New Roman" w:eastAsia="Times New Roman" w:hAnsi="Times New Roman" w:cs="Times New Roman"/>
          <w:smallCaps/>
          <w:color w:val="1A1A1A"/>
        </w:rPr>
        <w:t>eters</w:t>
      </w:r>
      <w:r w:rsidRPr="003E58A1">
        <w:rPr>
          <w:rFonts w:ascii="Times New Roman" w:eastAsia="Times New Roman" w:hAnsi="Times New Roman" w:cs="Times New Roman"/>
          <w:color w:val="1A1A1A"/>
        </w:rPr>
        <w:t>, J</w:t>
      </w:r>
      <w:r w:rsidR="00FB68F4">
        <w:rPr>
          <w:rFonts w:ascii="Times New Roman" w:eastAsia="Times New Roman" w:hAnsi="Times New Roman" w:cs="Times New Roman"/>
          <w:color w:val="1A1A1A"/>
        </w:rPr>
        <w:t>.</w:t>
      </w:r>
    </w:p>
    <w:p w14:paraId="147F1835" w14:textId="77777777" w:rsidR="00FA3CF9" w:rsidRPr="00B06D0A" w:rsidRDefault="00FA3CF9">
      <w:pPr>
        <w:widowControl w:val="0"/>
        <w:autoSpaceDE w:val="0"/>
        <w:autoSpaceDN w:val="0"/>
        <w:adjustRightInd w:val="0"/>
        <w:rPr>
          <w:rFonts w:ascii="Times New Roman" w:hAnsi="Times New Roman" w:cs="Times New Roman"/>
          <w:color w:val="1A1A1A"/>
        </w:rPr>
      </w:pPr>
    </w:p>
    <w:p w14:paraId="6AD06F3C" w14:textId="2479F556"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Plaintiff appeals from a summary judgment for defendant Nancy Christian in this personal injury action.</w:t>
      </w:r>
      <w:r w:rsidR="00EC440F">
        <w:rPr>
          <w:rFonts w:ascii="Times New Roman" w:eastAsia="Times New Roman" w:hAnsi="Times New Roman" w:cs="Times New Roman"/>
          <w:color w:val="1A1A1A"/>
        </w:rPr>
        <w:t xml:space="preserve"> . . .</w:t>
      </w:r>
    </w:p>
    <w:p w14:paraId="594843A9" w14:textId="77777777" w:rsidR="00FA3CF9" w:rsidRPr="00B06D0A" w:rsidRDefault="00FA3CF9">
      <w:pPr>
        <w:widowControl w:val="0"/>
        <w:autoSpaceDE w:val="0"/>
        <w:autoSpaceDN w:val="0"/>
        <w:adjustRightInd w:val="0"/>
        <w:rPr>
          <w:rFonts w:ascii="Times New Roman" w:hAnsi="Times New Roman" w:cs="Times New Roman"/>
          <w:color w:val="1A1A1A"/>
        </w:rPr>
      </w:pPr>
    </w:p>
    <w:p w14:paraId="15766536" w14:textId="5349F759" w:rsidR="00FA3CF9" w:rsidRPr="004F7E2D" w:rsidRDefault="750671CE" w:rsidP="00F94B7E">
      <w:pPr>
        <w:widowControl w:val="0"/>
        <w:autoSpaceDE w:val="0"/>
        <w:autoSpaceDN w:val="0"/>
        <w:adjustRightInd w:val="0"/>
        <w:ind w:firstLine="720"/>
        <w:rPr>
          <w:rFonts w:ascii="Times New Roman" w:hAnsi="Times New Roman" w:cs="Times New Roman"/>
          <w:color w:val="1A1A1A"/>
        </w:rPr>
      </w:pPr>
      <w:r w:rsidRPr="00B06D0A">
        <w:rPr>
          <w:rFonts w:ascii="Times New Roman" w:eastAsia="Times New Roman" w:hAnsi="Times New Roman" w:cs="Times New Roman"/>
          <w:color w:val="1A1A1A"/>
        </w:rPr>
        <w:t>[In November, 1963, plaintiff Rowland was injured while using the bathroom fixtures in Nancy Christian</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apartment.  Rowland was a social guest in the apartment when the porcelain handle of one of the water faucets broke in his hand,</w:t>
      </w:r>
      <w:r w:rsidRPr="00B06D0A">
        <w:rPr>
          <w:rFonts w:ascii="Times New Roman" w:eastAsia="Times New Roman" w:hAnsi="Times New Roman" w:cs="Times New Roman"/>
          <w:b/>
          <w:bCs/>
          <w:color w:val="1A1A1A"/>
        </w:rPr>
        <w:t xml:space="preserve"> </w:t>
      </w:r>
      <w:r w:rsidRPr="00B06D0A">
        <w:rPr>
          <w:rFonts w:ascii="Times New Roman" w:eastAsia="Times New Roman" w:hAnsi="Times New Roman" w:cs="Times New Roman"/>
          <w:color w:val="1A1A1A"/>
        </w:rPr>
        <w:t>severing tendons and nerves of his right hand.  The parties agreed that Christian knew of the dangerous condition of the faucet and that she had requested her landlord to fix it several weeks earlier.  Rowland</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B06D0A" w:rsidRDefault="00FA3CF9">
      <w:pPr>
        <w:widowControl w:val="0"/>
        <w:autoSpaceDE w:val="0"/>
        <w:autoSpaceDN w:val="0"/>
        <w:adjustRightInd w:val="0"/>
        <w:rPr>
          <w:rFonts w:ascii="Times New Roman" w:hAnsi="Times New Roman" w:cs="Times New Roman"/>
          <w:color w:val="1A1A1A"/>
        </w:rPr>
      </w:pPr>
    </w:p>
    <w:p w14:paraId="246C0039" w14:textId="204A26FA"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Section 1714 of the Civil Code provides: </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 . . .</w:t>
      </w:r>
    </w:p>
    <w:p w14:paraId="5E51442D"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6EB15866" w14:textId="62237D19"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liability, and the heritage of feudalism.</w:t>
      </w:r>
    </w:p>
    <w:p w14:paraId="24992A08"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r w:rsidRPr="00B06D0A">
        <w:rPr>
          <w:rFonts w:ascii="Times New Roman" w:hAnsi="Times New Roman" w:cs="Times New Roman"/>
          <w:color w:val="1A1A1A"/>
        </w:rPr>
        <w:t xml:space="preserve"> </w:t>
      </w:r>
    </w:p>
    <w:p w14:paraId="22EE3AD1" w14:textId="703A4F5D"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196A5CED" w14:textId="0A7484FE" w:rsidR="00FA3CF9" w:rsidRPr="00F349EC"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F94B7E">
        <w:rPr>
          <w:rFonts w:ascii="Times New Roman" w:hAnsi="Times New Roman" w:cs="Times New Roman"/>
        </w:rPr>
        <w:br/>
      </w:r>
    </w:p>
    <w:p w14:paraId="207BA766"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005F9AB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39FFE68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7376A0A5"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In refusing to adopt the rules relating to the liability of a possessor of land for the law of admiralty, the United States Supreme Court stated: </w:t>
      </w:r>
    </w:p>
    <w:p w14:paraId="28FDD38D" w14:textId="77777777" w:rsidR="00FA3CF9" w:rsidRPr="00B06D0A" w:rsidRDefault="00FA3CF9">
      <w:pPr>
        <w:widowControl w:val="0"/>
        <w:autoSpaceDE w:val="0"/>
        <w:autoSpaceDN w:val="0"/>
        <w:adjustRightInd w:val="0"/>
        <w:ind w:firstLine="720"/>
        <w:rPr>
          <w:rFonts w:ascii="Times New Roman" w:hAnsi="Times New Roman" w:cs="Times New Roman"/>
          <w:bCs/>
          <w:color w:val="1A1A1A"/>
        </w:rPr>
      </w:pPr>
    </w:p>
    <w:p w14:paraId="2CA99A92" w14:textId="07984EC3" w:rsidR="00FA3CF9" w:rsidRPr="00B06D0A" w:rsidRDefault="750671CE">
      <w:pPr>
        <w:widowControl w:val="0"/>
        <w:autoSpaceDE w:val="0"/>
        <w:autoSpaceDN w:val="0"/>
        <w:adjustRightInd w:val="0"/>
        <w:ind w:left="720" w:right="720"/>
        <w:jc w:val="both"/>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and with hesitation, towards </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imposing on owners and occupiers a single duty of reasonable care in all circumstances.</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 </w:t>
      </w:r>
    </w:p>
    <w:p w14:paraId="019B9E6C" w14:textId="77777777" w:rsidR="00FA3CF9" w:rsidRPr="00B06D0A" w:rsidRDefault="00FA3CF9">
      <w:pPr>
        <w:widowControl w:val="0"/>
        <w:autoSpaceDE w:val="0"/>
        <w:autoSpaceDN w:val="0"/>
        <w:adjustRightInd w:val="0"/>
        <w:ind w:left="720" w:right="720"/>
        <w:jc w:val="both"/>
        <w:rPr>
          <w:rFonts w:ascii="Times New Roman" w:hAnsi="Times New Roman" w:cs="Times New Roman"/>
          <w:bCs/>
          <w:color w:val="1A1A1A"/>
        </w:rPr>
      </w:pPr>
    </w:p>
    <w:p w14:paraId="4A193E5F" w14:textId="57C60F00" w:rsidR="00FA3CF9" w:rsidRPr="00B06D0A" w:rsidRDefault="750671CE" w:rsidP="00EA6902">
      <w:pPr>
        <w:widowControl w:val="0"/>
        <w:autoSpaceDE w:val="0"/>
        <w:autoSpaceDN w:val="0"/>
        <w:adjustRightInd w:val="0"/>
        <w:rPr>
          <w:rFonts w:ascii="Times New Roman" w:eastAsia="Times New Roman" w:hAnsi="Times New Roman" w:cs="Times New Roman"/>
          <w:color w:val="1A1A1A"/>
        </w:rPr>
      </w:pPr>
      <w:r w:rsidRPr="00B06D0A">
        <w:rPr>
          <w:rFonts w:ascii="Times New Roman" w:eastAsia="Times New Roman" w:hAnsi="Times New Roman" w:cs="Times New Roman"/>
          <w:i/>
          <w:iCs/>
          <w:color w:val="1A1A1A"/>
        </w:rPr>
        <w:t>Kermarec v. Compagnie Generale</w:t>
      </w:r>
      <w:r w:rsidRPr="00B06D0A">
        <w:rPr>
          <w:rFonts w:ascii="Times New Roman" w:eastAsia="Times New Roman" w:hAnsi="Times New Roman" w:cs="Times New Roman"/>
          <w:color w:val="1A1A1A"/>
        </w:rPr>
        <w:t>, 358 U.S. 625, 630-</w:t>
      </w:r>
      <w:r w:rsidRPr="00EA6902">
        <w:rPr>
          <w:rFonts w:ascii="Times New Roman" w:eastAsia="Times New Roman" w:hAnsi="Times New Roman" w:cs="Times New Roman"/>
          <w:color w:val="1A1A1A"/>
        </w:rPr>
        <w:t>31 [(1959) (Stewart, J.)].</w:t>
      </w:r>
    </w:p>
    <w:p w14:paraId="457A91A3" w14:textId="77777777" w:rsidR="00FA3CF9" w:rsidRPr="00B06D0A" w:rsidRDefault="00FA3CF9">
      <w:pPr>
        <w:widowControl w:val="0"/>
        <w:autoSpaceDE w:val="0"/>
        <w:autoSpaceDN w:val="0"/>
        <w:adjustRightInd w:val="0"/>
        <w:rPr>
          <w:rFonts w:ascii="Times New Roman" w:hAnsi="Times New Roman" w:cs="Times New Roman"/>
          <w:color w:val="1A1A1A"/>
        </w:rPr>
      </w:pPr>
    </w:p>
    <w:p w14:paraId="0A31F854" w14:textId="29F952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unrealistic, arbitrary, and inelastic,</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225B15A3"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5EDE2429" w14:textId="4FB42575"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Without attempting to labor all of the rules relating to the possessor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conduct, the moral blame attached to the defendant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1BE4066B" w14:textId="75B2EC3C"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liability will materially reduce the prevalence of insurance due to increased cost or even substantially increase the cost.</w:t>
      </w:r>
    </w:p>
    <w:p w14:paraId="5768A372" w14:textId="77777777" w:rsidR="008D515E" w:rsidRDefault="008D515E">
      <w:pPr>
        <w:widowControl w:val="0"/>
        <w:autoSpaceDE w:val="0"/>
        <w:autoSpaceDN w:val="0"/>
        <w:adjustRightInd w:val="0"/>
        <w:rPr>
          <w:rFonts w:ascii="Times New Roman" w:eastAsia="Times New Roman" w:hAnsi="Times New Roman" w:cs="Times New Roman"/>
          <w:color w:val="1A1A1A"/>
        </w:rPr>
      </w:pPr>
    </w:p>
    <w:p w14:paraId="15D7052D" w14:textId="643A4618" w:rsidR="00FA3CF9" w:rsidRPr="00B06D0A" w:rsidRDefault="750671CE">
      <w:pPr>
        <w:widowControl w:val="0"/>
        <w:autoSpaceDE w:val="0"/>
        <w:autoSpaceDN w:val="0"/>
        <w:adjustRightInd w:val="0"/>
        <w:rPr>
          <w:rFonts w:ascii="Times New Roman" w:eastAsia="Times New Roman" w:hAnsi="Times New Roman" w:cs="Times New Roman"/>
          <w:color w:val="1A1A1A"/>
        </w:rPr>
      </w:pPr>
      <w:r w:rsidRPr="00B06D0A">
        <w:rPr>
          <w:rFonts w:ascii="Times New Roman" w:eastAsia="Times New Roman" w:hAnsi="Times New Roman" w:cs="Times New Roman"/>
          <w:color w:val="1A1A1A"/>
        </w:rPr>
        <w:t>. . .</w:t>
      </w:r>
    </w:p>
    <w:p w14:paraId="74EE3BB4" w14:textId="48F74075"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A man</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1A888002" w14:textId="2A9FF16B" w:rsidR="00FA3CF9" w:rsidRPr="00B06D0A"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status as a trespasser, licensee, or invitee may in the light of the facts giving rise to such status have some bearing on the question of liability, the status is not determinative.</w:t>
      </w:r>
    </w:p>
    <w:p w14:paraId="01A37E68"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7366499A" w14:textId="77777777" w:rsidR="00C17A3F" w:rsidRDefault="750671CE">
      <w:pPr>
        <w:widowControl w:val="0"/>
        <w:autoSpaceDE w:val="0"/>
        <w:autoSpaceDN w:val="0"/>
        <w:adjustRightInd w:val="0"/>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t>
      </w:r>
    </w:p>
    <w:p w14:paraId="64FBBF59" w14:textId="77777777" w:rsidR="00C17A3F" w:rsidRDefault="00C17A3F">
      <w:pPr>
        <w:rPr>
          <w:rFonts w:ascii="Times New Roman" w:eastAsia="Times New Roman" w:hAnsi="Times New Roman" w:cs="Times New Roman"/>
          <w:color w:val="1A1A1A"/>
        </w:rPr>
      </w:pPr>
      <w:r>
        <w:rPr>
          <w:rFonts w:ascii="Times New Roman" w:eastAsia="Times New Roman" w:hAnsi="Times New Roman" w:cs="Times New Roman"/>
          <w:color w:val="1A1A1A"/>
        </w:rPr>
        <w:br w:type="page"/>
      </w:r>
    </w:p>
    <w:p w14:paraId="78351FAA" w14:textId="362282AC" w:rsidR="00FA3CF9" w:rsidRPr="00B06D0A" w:rsidRDefault="750671CE" w:rsidP="00C17A3F">
      <w:pPr>
        <w:widowControl w:val="0"/>
        <w:autoSpaceDE w:val="0"/>
        <w:autoSpaceDN w:val="0"/>
        <w:adjustRightInd w:val="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warning of the dangerous condition so that he, like the host, will be in a position to take special precautions when he comes in contact with it. . . . </w:t>
      </w:r>
    </w:p>
    <w:p w14:paraId="290CAC54" w14:textId="77777777" w:rsidR="00FA3CF9" w:rsidRPr="00B06D0A" w:rsidRDefault="00FA3CF9">
      <w:pPr>
        <w:widowControl w:val="0"/>
        <w:autoSpaceDE w:val="0"/>
        <w:autoSpaceDN w:val="0"/>
        <w:adjustRightInd w:val="0"/>
        <w:ind w:firstLine="720"/>
        <w:rPr>
          <w:rFonts w:ascii="Times New Roman" w:hAnsi="Times New Roman" w:cs="Times New Roman"/>
          <w:color w:val="1A1A1A"/>
        </w:rPr>
      </w:pPr>
    </w:p>
    <w:p w14:paraId="2D3B590C" w14:textId="507A149F" w:rsidR="00AF4B24" w:rsidRDefault="750671CE" w:rsidP="00C17A3F">
      <w:pPr>
        <w:widowControl w:val="0"/>
        <w:autoSpaceDE w:val="0"/>
        <w:autoSpaceDN w:val="0"/>
        <w:adjustRightInd w:val="0"/>
        <w:rPr>
          <w:rFonts w:ascii="Times New Roman" w:eastAsia="Times New Roman" w:hAnsi="Times New Roman" w:cs="Times New Roman"/>
          <w:color w:val="1A1A1A"/>
        </w:rPr>
      </w:pPr>
      <w:r w:rsidRPr="00B06D0A">
        <w:rPr>
          <w:rFonts w:ascii="Times New Roman" w:eastAsia="Times New Roman" w:hAnsi="Times New Roman" w:cs="Times New Roman"/>
          <w:color w:val="1A1A1A"/>
        </w:rPr>
        <w:t>The judgment is reversed.</w:t>
      </w:r>
    </w:p>
    <w:p w14:paraId="7675F186" w14:textId="77777777" w:rsidR="00C17A3F" w:rsidRDefault="00C17A3F" w:rsidP="00C17A3F">
      <w:pPr>
        <w:widowControl w:val="0"/>
        <w:autoSpaceDE w:val="0"/>
        <w:autoSpaceDN w:val="0"/>
        <w:adjustRightInd w:val="0"/>
        <w:rPr>
          <w:rFonts w:ascii="Times New Roman" w:eastAsia="Times New Roman" w:hAnsi="Times New Roman" w:cs="Times New Roman"/>
          <w:color w:val="1A1A1A"/>
        </w:rPr>
      </w:pPr>
    </w:p>
    <w:p w14:paraId="25BF92C0" w14:textId="77777777" w:rsidR="00C17A3F" w:rsidRPr="00B06D0A" w:rsidRDefault="00C17A3F" w:rsidP="00C17A3F">
      <w:pPr>
        <w:widowControl w:val="0"/>
        <w:autoSpaceDE w:val="0"/>
        <w:autoSpaceDN w:val="0"/>
        <w:adjustRightInd w:val="0"/>
        <w:rPr>
          <w:rFonts w:ascii="Times New Roman" w:hAnsi="Times New Roman" w:cs="Times New Roman"/>
          <w:b/>
          <w:bCs/>
          <w:color w:val="1A1A1A"/>
        </w:rPr>
      </w:pPr>
    </w:p>
    <w:p w14:paraId="58D3EDB6" w14:textId="77777777" w:rsidR="00FA3CF9" w:rsidRPr="00A559C4" w:rsidRDefault="00FA3CF9" w:rsidP="002502CC">
      <w:pPr>
        <w:pStyle w:val="Heading4"/>
      </w:pPr>
      <w:bookmarkStart w:id="762" w:name="_Toc364636217"/>
      <w:bookmarkStart w:id="763" w:name="_Toc518323457"/>
      <w:r w:rsidRPr="00C14ACE">
        <w:t>Notes</w:t>
      </w:r>
      <w:bookmarkEnd w:id="762"/>
      <w:bookmarkEnd w:id="763"/>
    </w:p>
    <w:p w14:paraId="55533C7A" w14:textId="77777777" w:rsidR="00FA3CF9" w:rsidRDefault="00FA3CF9">
      <w:pPr>
        <w:widowControl w:val="0"/>
        <w:autoSpaceDE w:val="0"/>
        <w:autoSpaceDN w:val="0"/>
        <w:adjustRightInd w:val="0"/>
        <w:rPr>
          <w:rFonts w:ascii="Times New Roman" w:hAnsi="Times New Roman" w:cs="Times New Roman"/>
          <w:b/>
          <w:bCs/>
          <w:i/>
          <w:color w:val="1A1A1A"/>
        </w:rPr>
      </w:pPr>
    </w:p>
    <w:p w14:paraId="255B02E4" w14:textId="77777777" w:rsidR="00C04514" w:rsidRPr="00B06D0A" w:rsidRDefault="00C04514">
      <w:pPr>
        <w:widowControl w:val="0"/>
        <w:autoSpaceDE w:val="0"/>
        <w:autoSpaceDN w:val="0"/>
        <w:adjustRightInd w:val="0"/>
        <w:rPr>
          <w:rFonts w:ascii="Times New Roman" w:hAnsi="Times New Roman" w:cs="Times New Roman"/>
          <w:b/>
          <w:bCs/>
          <w:i/>
          <w:color w:val="1A1A1A"/>
        </w:rPr>
      </w:pPr>
    </w:p>
    <w:p w14:paraId="7543FA98" w14:textId="17B9818E" w:rsidR="00FA3CF9" w:rsidRPr="00F94B7E" w:rsidRDefault="750671CE" w:rsidP="00F94B7E">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The state of premises liability law.</w:t>
      </w:r>
      <w:r w:rsidRPr="00F94B7E">
        <w:rPr>
          <w:rFonts w:ascii="Times New Roman" w:eastAsia="Times New Roman" w:hAnsi="Times New Roman" w:cs="Times New Roman"/>
          <w:color w:val="1A1A1A"/>
        </w:rPr>
        <w:t xml:space="preserve">  The decision in </w:t>
      </w:r>
      <w:r w:rsidRPr="00F94B7E">
        <w:rPr>
          <w:rFonts w:ascii="Times New Roman" w:eastAsia="Times New Roman" w:hAnsi="Times New Roman" w:cs="Times New Roman"/>
          <w:i/>
          <w:iCs/>
          <w:color w:val="1A1A1A"/>
        </w:rPr>
        <w:t>Rowland v. Christian</w:t>
      </w:r>
      <w:r w:rsidRPr="00F94B7E">
        <w:rPr>
          <w:rFonts w:ascii="Times New Roman" w:eastAsia="Times New Roman" w:hAnsi="Times New Roman" w:cs="Times New Roman"/>
          <w:color w:val="1A1A1A"/>
        </w:rPr>
        <w:t xml:space="preserve"> ushered in a new era in premises liability law. By 1977, nine years after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 was decided, seven states had followed California</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B06D0A" w:rsidRDefault="00FA3CF9">
      <w:pPr>
        <w:widowControl w:val="0"/>
        <w:autoSpaceDE w:val="0"/>
        <w:autoSpaceDN w:val="0"/>
        <w:adjustRightInd w:val="0"/>
        <w:rPr>
          <w:rFonts w:ascii="Times New Roman" w:hAnsi="Times New Roman" w:cs="Times New Roman"/>
          <w:color w:val="1A1A1A"/>
        </w:rPr>
      </w:pPr>
    </w:p>
    <w:p w14:paraId="0E3E79EB" w14:textId="5629D1BF" w:rsidR="00FA3CF9" w:rsidRPr="00B06D0A" w:rsidRDefault="00FA3CF9">
      <w:pPr>
        <w:widowControl w:val="0"/>
        <w:autoSpaceDE w:val="0"/>
        <w:autoSpaceDN w:val="0"/>
        <w:adjustRightInd w:val="0"/>
        <w:rPr>
          <w:rFonts w:ascii="Times New Roman" w:eastAsia="Times New Roman" w:hAnsi="Times New Roman" w:cs="Times New Roman"/>
          <w:color w:val="1A1A1A"/>
        </w:rPr>
      </w:pPr>
      <w:r w:rsidRPr="00B06D0A">
        <w:rPr>
          <w:rFonts w:ascii="Times New Roman" w:hAnsi="Times New Roman" w:cs="Times New Roman"/>
          <w:color w:val="1A1A1A"/>
        </w:rPr>
        <w:tab/>
      </w:r>
      <w:r w:rsidRPr="00B06D0A">
        <w:rPr>
          <w:rFonts w:ascii="Times New Roman" w:eastAsia="Times New Roman" w:hAnsi="Times New Roman" w:cs="Times New Roman"/>
          <w:color w:val="1A1A1A"/>
        </w:rPr>
        <w:t xml:space="preserve">In more recent decades, though,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 has met with significant opposition, slowing its advance. In 1971, the Colorado Supreme Court adopted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 in </w:t>
      </w:r>
      <w:r w:rsidRPr="00B06D0A">
        <w:rPr>
          <w:rFonts w:ascii="Times New Roman" w:eastAsia="Times New Roman" w:hAnsi="Times New Roman" w:cs="Times New Roman"/>
          <w:i/>
          <w:iCs/>
          <w:color w:val="1A1A1A"/>
        </w:rPr>
        <w:t>Mile High Fence Co. v. Radovich</w:t>
      </w:r>
      <w:r w:rsidRPr="00B06D0A">
        <w:rPr>
          <w:rFonts w:ascii="Times New Roman" w:eastAsia="Times New Roman" w:hAnsi="Times New Roman" w:cs="Times New Roman"/>
          <w:color w:val="1A1A1A"/>
        </w:rPr>
        <w:t xml:space="preserve">, 489 P.2d 308 (Colo. 1971), but the state legislature reinstated the traditional status-based distinctions in 1990. In 1975, the Rhode Island Supreme Court adopted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 in </w:t>
      </w:r>
      <w:r w:rsidRPr="00B06D0A">
        <w:rPr>
          <w:rFonts w:ascii="Times New Roman" w:eastAsia="Times New Roman" w:hAnsi="Times New Roman" w:cs="Times New Roman"/>
          <w:i/>
          <w:iCs/>
          <w:color w:val="1A1A1A"/>
        </w:rPr>
        <w:t>Mariorenzi v. DiPonte, Inc.</w:t>
      </w:r>
      <w:r w:rsidRPr="00B06D0A">
        <w:rPr>
          <w:rFonts w:ascii="Times New Roman" w:eastAsia="Times New Roman" w:hAnsi="Times New Roman" w:cs="Times New Roman"/>
          <w:color w:val="1A1A1A"/>
        </w:rPr>
        <w:t>, 333 A.2d 127 (R.I. 1975), but the court partially overturned </w:t>
      </w:r>
      <w:r w:rsidRPr="00B06D0A">
        <w:rPr>
          <w:rFonts w:ascii="Times New Roman" w:eastAsia="Times New Roman" w:hAnsi="Times New Roman" w:cs="Times New Roman"/>
          <w:i/>
          <w:iCs/>
          <w:color w:val="1A1A1A"/>
        </w:rPr>
        <w:t xml:space="preserve">Mariorenzi </w:t>
      </w:r>
      <w:r w:rsidRPr="00B06D0A">
        <w:rPr>
          <w:rFonts w:ascii="Times New Roman" w:eastAsia="Times New Roman" w:hAnsi="Times New Roman" w:cs="Times New Roman"/>
          <w:color w:val="1A1A1A"/>
        </w:rPr>
        <w:t>19 years later, holding that although landowners owe both licensees and invitees a duty of reasonable care, they have a limited duty to trespassers (</w:t>
      </w:r>
      <w:r w:rsidRPr="00B06D0A">
        <w:rPr>
          <w:rFonts w:ascii="Times New Roman" w:eastAsia="Times New Roman" w:hAnsi="Times New Roman" w:cs="Times New Roman"/>
          <w:i/>
          <w:iCs/>
          <w:color w:val="1A1A1A"/>
        </w:rPr>
        <w:t>see Tantimonico v. Allendale Mut. Ins. Co</w:t>
      </w:r>
      <w:r w:rsidRPr="00B06D0A">
        <w:rPr>
          <w:rFonts w:ascii="Times New Roman" w:eastAsia="Times New Roman" w:hAnsi="Times New Roman" w:cs="Times New Roman"/>
          <w:color w:val="1A1A1A"/>
        </w:rPr>
        <w:t xml:space="preserve">., 637 A.2d 1056, 1057 (R.I. 1994)). Even California, the birthplace of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 has backtracked: a 1985 state statute shields landowners from liability for an entrant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injuries if the entrant committed one of 25 specified felonies while on the landowner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property. Today, only eight states (including California) hold landowners to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standard—the same number as in 1977. In 17 states and the District of Columbia, landowners owe invitees and licensees—but not trespassers—a duty of reasonable care. In the other 25 states, some version of the traditional tripartite rule remains in place.</w:t>
      </w:r>
    </w:p>
    <w:p w14:paraId="0DD7EC10" w14:textId="77777777" w:rsidR="00FA3CF9" w:rsidRPr="00B06D0A" w:rsidRDefault="00FA3CF9">
      <w:pPr>
        <w:widowControl w:val="0"/>
        <w:autoSpaceDE w:val="0"/>
        <w:autoSpaceDN w:val="0"/>
        <w:adjustRightInd w:val="0"/>
        <w:rPr>
          <w:rFonts w:ascii="Times New Roman" w:hAnsi="Times New Roman" w:cs="Times New Roman"/>
          <w:color w:val="1A1A1A"/>
        </w:rPr>
      </w:pPr>
    </w:p>
    <w:p w14:paraId="2F87E46D" w14:textId="77777777" w:rsidR="00FA3CF9" w:rsidRPr="00B06D0A" w:rsidRDefault="00FA3CF9">
      <w:pPr>
        <w:widowControl w:val="0"/>
        <w:autoSpaceDE w:val="0"/>
        <w:autoSpaceDN w:val="0"/>
        <w:adjustRightInd w:val="0"/>
        <w:rPr>
          <w:rFonts w:ascii="Times New Roman" w:hAnsi="Times New Roman" w:cs="Times New Roman"/>
          <w:color w:val="1A1A1A"/>
        </w:rPr>
      </w:pPr>
    </w:p>
    <w:p w14:paraId="0B52EF6F" w14:textId="6725E36C" w:rsidR="00FA3CF9" w:rsidRPr="00F94B7E" w:rsidRDefault="750671CE" w:rsidP="00F94B7E">
      <w:pPr>
        <w:pStyle w:val="ListParagraph"/>
        <w:widowControl w:val="0"/>
        <w:numPr>
          <w:ilvl w:val="0"/>
          <w:numId w:val="112"/>
        </w:numPr>
        <w:autoSpaceDE w:val="0"/>
        <w:autoSpaceDN w:val="0"/>
        <w:adjustRightInd w:val="0"/>
        <w:ind w:left="0" w:firstLine="360"/>
        <w:rPr>
          <w:rFonts w:ascii="Times New Roman" w:eastAsia="Times New Roman" w:hAnsi="Times New Roman" w:cs="Times New Roman"/>
          <w:color w:val="1A1A1A"/>
        </w:rPr>
      </w:pPr>
      <w:r w:rsidRPr="00F94B7E">
        <w:rPr>
          <w:rFonts w:ascii="Times New Roman" w:eastAsia="Times New Roman" w:hAnsi="Times New Roman" w:cs="Times New Roman"/>
          <w:iCs/>
          <w:color w:val="1A1A1A"/>
        </w:rPr>
        <w:t>Rowland</w:t>
      </w:r>
      <w:r w:rsidR="00B05F31" w:rsidRPr="00F94B7E">
        <w:rPr>
          <w:rFonts w:ascii="Times New Roman" w:eastAsia="Times New Roman" w:hAnsi="Times New Roman" w:cs="Times New Roman"/>
          <w:i/>
          <w:iCs/>
          <w:color w:val="1A1A1A"/>
        </w:rPr>
        <w:t>’</w:t>
      </w:r>
      <w:r w:rsidRPr="00F94B7E">
        <w:rPr>
          <w:rFonts w:ascii="Times New Roman" w:eastAsia="Times New Roman" w:hAnsi="Times New Roman" w:cs="Times New Roman"/>
          <w:i/>
          <w:iCs/>
          <w:color w:val="1A1A1A"/>
        </w:rPr>
        <w:t xml:space="preserve">s </w:t>
      </w:r>
      <w:r w:rsidR="00FB68F4">
        <w:rPr>
          <w:rFonts w:ascii="Times New Roman" w:eastAsia="Times New Roman" w:hAnsi="Times New Roman" w:cs="Times New Roman"/>
          <w:i/>
          <w:iCs/>
          <w:color w:val="1A1A1A"/>
        </w:rPr>
        <w:t>p</w:t>
      </w:r>
      <w:r w:rsidRPr="00F94B7E">
        <w:rPr>
          <w:rFonts w:ascii="Times New Roman" w:eastAsia="Times New Roman" w:hAnsi="Times New Roman" w:cs="Times New Roman"/>
          <w:i/>
          <w:iCs/>
          <w:color w:val="1A1A1A"/>
        </w:rPr>
        <w:t xml:space="preserve">ractical </w:t>
      </w:r>
      <w:r w:rsidR="00FB68F4">
        <w:rPr>
          <w:rFonts w:ascii="Times New Roman" w:eastAsia="Times New Roman" w:hAnsi="Times New Roman" w:cs="Times New Roman"/>
          <w:i/>
          <w:iCs/>
          <w:color w:val="1A1A1A"/>
        </w:rPr>
        <w:t>i</w:t>
      </w:r>
      <w:r w:rsidRPr="00F94B7E">
        <w:rPr>
          <w:rFonts w:ascii="Times New Roman" w:eastAsia="Times New Roman" w:hAnsi="Times New Roman" w:cs="Times New Roman"/>
          <w:i/>
          <w:iCs/>
          <w:color w:val="1A1A1A"/>
        </w:rPr>
        <w:t>mplications</w:t>
      </w:r>
      <w:r w:rsidRPr="00F94B7E">
        <w:rPr>
          <w:rFonts w:ascii="Times New Roman" w:eastAsia="Times New Roman" w:hAnsi="Times New Roman" w:cs="Times New Roman"/>
          <w:color w:val="1A1A1A"/>
        </w:rPr>
        <w:t xml:space="preserve">. What are the real-world implications of adopting a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xml:space="preserve">-like standard? How much of an effect does abolishing status distinctions have on the outcomes of cases? In </w:t>
      </w:r>
      <w:r w:rsidRPr="00F94B7E">
        <w:rPr>
          <w:rFonts w:ascii="Times New Roman" w:eastAsia="Times New Roman" w:hAnsi="Times New Roman" w:cs="Times New Roman"/>
          <w:i/>
          <w:iCs/>
          <w:color w:val="1A1A1A"/>
        </w:rPr>
        <w:t>Rowland</w:t>
      </w:r>
      <w:r w:rsidRPr="00F94B7E">
        <w:rPr>
          <w:rFonts w:ascii="Times New Roman" w:eastAsia="Times New Roman" w:hAnsi="Times New Roman" w:cs="Times New Roman"/>
          <w:color w:val="1A1A1A"/>
        </w:rPr>
        <w:t>, the California Supreme Court sided with the plaintiff, a social guest whose hand was injured by the landowner</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broken fau</w:t>
      </w:r>
      <w:r w:rsidR="002747B7">
        <w:rPr>
          <w:rFonts w:ascii="Times New Roman" w:eastAsia="Times New Roman" w:hAnsi="Times New Roman" w:cs="Times New Roman"/>
          <w:color w:val="1A1A1A"/>
        </w:rPr>
        <w:t>cet, on the grounds that a fact-</w:t>
      </w:r>
      <w:r w:rsidRPr="00F94B7E">
        <w:rPr>
          <w:rFonts w:ascii="Times New Roman" w:eastAsia="Times New Roman" w:hAnsi="Times New Roman" w:cs="Times New Roman"/>
          <w:color w:val="1A1A1A"/>
        </w:rPr>
        <w:t>finder could reasonably conclude that the landowner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B06D0A" w:rsidRDefault="00FA3CF9">
      <w:pPr>
        <w:widowControl w:val="0"/>
        <w:autoSpaceDE w:val="0"/>
        <w:autoSpaceDN w:val="0"/>
        <w:adjustRightInd w:val="0"/>
        <w:rPr>
          <w:rFonts w:ascii="Times New Roman" w:hAnsi="Times New Roman" w:cs="Times New Roman"/>
          <w:color w:val="1A1A1A"/>
        </w:rPr>
      </w:pPr>
    </w:p>
    <w:p w14:paraId="40AB7F01" w14:textId="579C53D2" w:rsidR="00FA3CF9" w:rsidRPr="00B06D0A" w:rsidRDefault="00FA3CF9">
      <w:pPr>
        <w:widowControl w:val="0"/>
        <w:autoSpaceDE w:val="0"/>
        <w:autoSpaceDN w:val="0"/>
        <w:adjustRightInd w:val="0"/>
        <w:rPr>
          <w:rFonts w:ascii="Times New Roman" w:eastAsia="Times New Roman" w:hAnsi="Times New Roman" w:cs="Times New Roman"/>
          <w:color w:val="1A1A1A"/>
        </w:rPr>
      </w:pPr>
      <w:r w:rsidRPr="00B06D0A">
        <w:rPr>
          <w:rFonts w:ascii="Times New Roman" w:hAnsi="Times New Roman" w:cs="Times New Roman"/>
          <w:color w:val="1A1A1A"/>
        </w:rPr>
        <w:tab/>
      </w:r>
      <w:r w:rsidRPr="00B06D0A">
        <w:rPr>
          <w:rFonts w:ascii="Times New Roman" w:eastAsia="Times New Roman" w:hAnsi="Times New Roman" w:cs="Times New Roman"/>
          <w:color w:val="1A1A1A"/>
        </w:rPr>
        <w:t xml:space="preserve">More generally, outcomes in cases decided under the </w:t>
      </w:r>
      <w:r w:rsidRPr="00B06D0A">
        <w:rPr>
          <w:rFonts w:ascii="Times New Roman" w:eastAsia="Times New Roman" w:hAnsi="Times New Roman" w:cs="Times New Roman"/>
          <w:i/>
          <w:iCs/>
          <w:color w:val="1A1A1A"/>
        </w:rPr>
        <w:t>Rowland</w:t>
      </w:r>
      <w:r w:rsidRPr="00B06D0A">
        <w:rPr>
          <w:rFonts w:ascii="Times New Roman" w:eastAsia="Times New Roman" w:hAnsi="Times New Roman" w:cs="Times New Roman"/>
          <w:color w:val="1A1A1A"/>
        </w:rPr>
        <w:t xml:space="preserve"> standard may generally track those that would have been reached under the older common law rules.  Consider for example trespassers injured engaged in dangerous activity. Such trespassers typically lose whether we apply the o</w:t>
      </w:r>
      <w:r w:rsidR="002747B7">
        <w:rPr>
          <w:rFonts w:ascii="Times New Roman" w:eastAsia="Times New Roman" w:hAnsi="Times New Roman" w:cs="Times New Roman"/>
          <w:color w:val="1A1A1A"/>
        </w:rPr>
        <w:t>ld-</w:t>
      </w:r>
      <w:r w:rsidRPr="00B06D0A">
        <w:rPr>
          <w:rFonts w:ascii="Times New Roman" w:eastAsia="Times New Roman" w:hAnsi="Times New Roman" w:cs="Times New Roman"/>
          <w:color w:val="1A1A1A"/>
        </w:rPr>
        <w:t>fashioned rule</w:t>
      </w:r>
      <w:r w:rsidR="002747B7">
        <w:rPr>
          <w:rFonts w:ascii="Times New Roman" w:eastAsia="Times New Roman" w:hAnsi="Times New Roman" w:cs="Times New Roman"/>
          <w:color w:val="1A1A1A"/>
        </w:rPr>
        <w:t xml:space="preserve"> of </w:t>
      </w:r>
      <w:r w:rsidR="002747B7" w:rsidRPr="00B06D0A">
        <w:rPr>
          <w:rFonts w:ascii="Times New Roman" w:eastAsia="Times New Roman" w:hAnsi="Times New Roman" w:cs="Times New Roman"/>
          <w:color w:val="1A1A1A"/>
        </w:rPr>
        <w:t>no dut</w:t>
      </w:r>
      <w:r w:rsidR="006E3F2D">
        <w:rPr>
          <w:rFonts w:ascii="Times New Roman" w:eastAsia="Times New Roman" w:hAnsi="Times New Roman" w:cs="Times New Roman"/>
          <w:color w:val="1A1A1A"/>
        </w:rPr>
        <w:t>y,</w:t>
      </w:r>
      <w:r w:rsidRPr="00B06D0A">
        <w:rPr>
          <w:rFonts w:ascii="Times New Roman" w:eastAsia="Times New Roman" w:hAnsi="Times New Roman" w:cs="Times New Roman"/>
          <w:color w:val="1A1A1A"/>
        </w:rPr>
        <w:t xml:space="preserve"> </w:t>
      </w:r>
      <w:r w:rsidRPr="00B06D0A">
        <w:rPr>
          <w:rFonts w:ascii="Times New Roman" w:eastAsia="Times New Roman" w:hAnsi="Times New Roman" w:cs="Times New Roman"/>
          <w:i/>
          <w:iCs/>
          <w:color w:val="1A1A1A"/>
        </w:rPr>
        <w:t>see</w:t>
      </w:r>
      <w:r w:rsidRPr="00B06D0A">
        <w:rPr>
          <w:rFonts w:ascii="Times New Roman" w:eastAsia="Times New Roman" w:hAnsi="Times New Roman" w:cs="Times New Roman"/>
          <w:color w:val="1A1A1A"/>
        </w:rPr>
        <w:t xml:space="preserve"> </w:t>
      </w:r>
      <w:r w:rsidRPr="00B06D0A">
        <w:rPr>
          <w:rFonts w:ascii="Times New Roman" w:eastAsia="Times New Roman" w:hAnsi="Times New Roman" w:cs="Times New Roman"/>
          <w:i/>
          <w:iCs/>
          <w:color w:val="1A1A1A"/>
        </w:rPr>
        <w:t>Cates v. Beauregard Elec. Co-op., Inc</w:t>
      </w:r>
      <w:r w:rsidRPr="00B06D0A">
        <w:rPr>
          <w:rFonts w:ascii="Times New Roman" w:eastAsia="Times New Roman" w:hAnsi="Times New Roman" w:cs="Times New Roman"/>
          <w:color w:val="1A1A1A"/>
        </w:rPr>
        <w:t>., 328 So. 2d 367 (La. 1976) (holding that trespassing plaintiff who cut defendant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electrical wire could not recover for injuries resulting from electrocution), or whether we apply </w:t>
      </w:r>
      <w:r w:rsidRPr="00B06D0A">
        <w:rPr>
          <w:rFonts w:ascii="Times New Roman" w:eastAsia="Times New Roman" w:hAnsi="Times New Roman" w:cs="Times New Roman"/>
          <w:i/>
          <w:iCs/>
          <w:color w:val="1A1A1A"/>
        </w:rPr>
        <w:t>Rowland</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general foreseeability and reasonableness standard, </w:t>
      </w:r>
      <w:r w:rsidRPr="00B06D0A">
        <w:rPr>
          <w:rFonts w:ascii="Times New Roman" w:eastAsia="Times New Roman" w:hAnsi="Times New Roman" w:cs="Times New Roman"/>
          <w:i/>
          <w:iCs/>
          <w:color w:val="1A1A1A"/>
        </w:rPr>
        <w:t>see Tantimonico v. Allendale Mut. Ins. Co.</w:t>
      </w:r>
      <w:r w:rsidRPr="00B06D0A">
        <w:rPr>
          <w:rFonts w:ascii="Times New Roman" w:eastAsia="Times New Roman" w:hAnsi="Times New Roman" w:cs="Times New Roman"/>
          <w:color w:val="1A1A1A"/>
        </w:rPr>
        <w:t>, 637 A.2d 1056 (R.I. 1994) (holding that trespassing plaintiffs who were injured in a motorcycle crash on defendant</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s property could not recover for injuries).</w:t>
      </w:r>
    </w:p>
    <w:p w14:paraId="0E3426A7" w14:textId="77777777" w:rsidR="00FA3CF9" w:rsidRPr="00B06D0A" w:rsidRDefault="00FA3CF9">
      <w:pPr>
        <w:widowControl w:val="0"/>
        <w:autoSpaceDE w:val="0"/>
        <w:autoSpaceDN w:val="0"/>
        <w:adjustRightInd w:val="0"/>
        <w:rPr>
          <w:rFonts w:ascii="Times New Roman" w:hAnsi="Times New Roman" w:cs="Times New Roman"/>
          <w:color w:val="1A1A1A"/>
        </w:rPr>
      </w:pPr>
    </w:p>
    <w:p w14:paraId="01BB8D9E" w14:textId="77777777" w:rsidR="00FA3CF9" w:rsidRPr="00B06D0A" w:rsidRDefault="00FA3CF9">
      <w:pPr>
        <w:widowControl w:val="0"/>
        <w:autoSpaceDE w:val="0"/>
        <w:autoSpaceDN w:val="0"/>
        <w:adjustRightInd w:val="0"/>
        <w:rPr>
          <w:rFonts w:ascii="Times New Roman" w:hAnsi="Times New Roman" w:cs="Times New Roman"/>
          <w:color w:val="1A1A1A"/>
        </w:rPr>
      </w:pPr>
    </w:p>
    <w:p w14:paraId="13349BAD" w14:textId="44658D46" w:rsidR="00FA3CF9" w:rsidRPr="00F94B7E" w:rsidRDefault="750671CE" w:rsidP="00F94B7E">
      <w:pPr>
        <w:pStyle w:val="ListParagraph"/>
        <w:numPr>
          <w:ilvl w:val="0"/>
          <w:numId w:val="112"/>
        </w:numPr>
        <w:ind w:left="0" w:firstLine="360"/>
        <w:rPr>
          <w:rFonts w:ascii="Times New Roman" w:eastAsia="Times New Roman" w:hAnsi="Times New Roman" w:cs="Times New Roman"/>
          <w:color w:val="1A1A1A"/>
        </w:rPr>
      </w:pPr>
      <w:r w:rsidRPr="00F94B7E">
        <w:rPr>
          <w:rFonts w:ascii="Times New Roman" w:eastAsia="Times New Roman" w:hAnsi="Times New Roman" w:cs="Times New Roman"/>
          <w:i/>
          <w:iCs/>
          <w:color w:val="1A1A1A"/>
        </w:rPr>
        <w:t xml:space="preserve">The </w:t>
      </w:r>
      <w:r w:rsidR="00F76D69" w:rsidRPr="00F94B7E">
        <w:rPr>
          <w:rFonts w:ascii="Times New Roman" w:eastAsia="Times New Roman" w:hAnsi="Times New Roman" w:cs="Times New Roman"/>
          <w:i/>
          <w:iCs/>
          <w:color w:val="1A1A1A"/>
        </w:rPr>
        <w:t>o</w:t>
      </w:r>
      <w:r w:rsidRPr="00F94B7E">
        <w:rPr>
          <w:rFonts w:ascii="Times New Roman" w:eastAsia="Times New Roman" w:hAnsi="Times New Roman" w:cs="Times New Roman"/>
          <w:i/>
          <w:iCs/>
          <w:color w:val="1A1A1A"/>
        </w:rPr>
        <w:t>pen-an</w:t>
      </w:r>
      <w:r w:rsidR="00F76D69" w:rsidRPr="00F94B7E">
        <w:rPr>
          <w:rFonts w:ascii="Times New Roman" w:eastAsia="Times New Roman" w:hAnsi="Times New Roman" w:cs="Times New Roman"/>
          <w:i/>
          <w:iCs/>
          <w:color w:val="1A1A1A"/>
        </w:rPr>
        <w:t>d-o</w:t>
      </w:r>
      <w:r w:rsidRPr="00F94B7E">
        <w:rPr>
          <w:rFonts w:ascii="Times New Roman" w:eastAsia="Times New Roman" w:hAnsi="Times New Roman" w:cs="Times New Roman"/>
          <w:i/>
          <w:iCs/>
          <w:color w:val="1A1A1A"/>
        </w:rPr>
        <w:t xml:space="preserve">bvious </w:t>
      </w:r>
      <w:r w:rsidR="00F76D69" w:rsidRPr="00F94B7E">
        <w:rPr>
          <w:rFonts w:ascii="Times New Roman" w:eastAsia="Times New Roman" w:hAnsi="Times New Roman" w:cs="Times New Roman"/>
          <w:i/>
          <w:iCs/>
          <w:color w:val="1A1A1A"/>
        </w:rPr>
        <w:t>r</w:t>
      </w:r>
      <w:r w:rsidRPr="00F94B7E">
        <w:rPr>
          <w:rFonts w:ascii="Times New Roman" w:eastAsia="Times New Roman" w:hAnsi="Times New Roman" w:cs="Times New Roman"/>
          <w:i/>
          <w:iCs/>
          <w:color w:val="1A1A1A"/>
        </w:rPr>
        <w:t>ule</w:t>
      </w:r>
      <w:r w:rsidRPr="00F94B7E">
        <w:rPr>
          <w:rFonts w:ascii="Times New Roman" w:eastAsia="Times New Roman" w:hAnsi="Times New Roman" w:cs="Times New Roman"/>
          <w:color w:val="1A1A1A"/>
        </w:rPr>
        <w:t xml:space="preserve">. Despite </w:t>
      </w:r>
      <w:r w:rsidRPr="00F94B7E">
        <w:rPr>
          <w:rFonts w:ascii="Times New Roman" w:eastAsia="Times New Roman" w:hAnsi="Times New Roman" w:cs="Times New Roman"/>
          <w:i/>
          <w:iCs/>
          <w:color w:val="1A1A1A"/>
        </w:rPr>
        <w:t>Rowland</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s opening of landowners and occupiers</w:t>
      </w:r>
      <w:r w:rsidR="00B05F31" w:rsidRPr="00F94B7E">
        <w:rPr>
          <w:rFonts w:ascii="Times New Roman" w:eastAsia="Times New Roman" w:hAnsi="Times New Roman" w:cs="Times New Roman"/>
          <w:color w:val="1A1A1A"/>
        </w:rPr>
        <w:t>’</w:t>
      </w:r>
      <w:r w:rsidRPr="00F94B7E">
        <w:rPr>
          <w:rFonts w:ascii="Times New Roman" w:eastAsia="Times New Roman" w:hAnsi="Times New Roman" w:cs="Times New Roman"/>
          <w:color w:val="1A1A1A"/>
        </w:rPr>
        <w:t xml:space="preserve"> liability, many states hold that landowners are not liable for injuries caused by open and obvious dangers, absent extenuating circumstances. When a danger is sufficiently obvious, the thinking goes, it is unnecessary for a landowner to warn occupiers of its existence. </w:t>
      </w:r>
    </w:p>
    <w:p w14:paraId="6444F4F2" w14:textId="77777777" w:rsidR="00FA3CF9" w:rsidRPr="00B06D0A" w:rsidRDefault="00FA3CF9">
      <w:pPr>
        <w:rPr>
          <w:rFonts w:ascii="Times New Roman" w:hAnsi="Times New Roman" w:cs="Times New Roman"/>
          <w:color w:val="1A1A1A"/>
        </w:rPr>
      </w:pPr>
    </w:p>
    <w:p w14:paraId="4475C221" w14:textId="478C3A18" w:rsidR="00FA3CF9" w:rsidRPr="00B06D0A" w:rsidRDefault="750671CE">
      <w:pPr>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In some jurisdictions, the open-and-obvious doctrine operates as a factor in determining the plaintiff</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comparative negligence. </w:t>
      </w:r>
      <w:r w:rsidRPr="00B06D0A">
        <w:rPr>
          <w:rFonts w:ascii="Times New Roman" w:eastAsia="Times New Roman" w:hAnsi="Times New Roman" w:cs="Times New Roman"/>
          <w:i/>
          <w:iCs/>
          <w:color w:val="1A1A1A"/>
        </w:rPr>
        <w:t>See Ward v. K Mart Corp</w:t>
      </w:r>
      <w:r w:rsidRPr="00B06D0A">
        <w:rPr>
          <w:rFonts w:ascii="Times New Roman" w:eastAsia="Times New Roman" w:hAnsi="Times New Roman" w:cs="Times New Roman"/>
          <w:color w:val="1A1A1A"/>
        </w:rPr>
        <w:t xml:space="preserve">., 136 Ill. 2d 132, 147 (1990).  Where an open and obvious risk is unreasonably dangerous, a plaintiff will be deemed comparatively negligent to have run the risk.  </w:t>
      </w:r>
      <w:r w:rsidRPr="00B06D0A">
        <w:rPr>
          <w:rFonts w:ascii="Times New Roman" w:eastAsia="Times New Roman" w:hAnsi="Times New Roman" w:cs="Times New Roman"/>
          <w:i/>
          <w:iCs/>
          <w:color w:val="1A1A1A"/>
        </w:rPr>
        <w:t>See Lugo v. Ameritech Corp</w:t>
      </w:r>
      <w:r w:rsidRPr="00B06D0A">
        <w:rPr>
          <w:rFonts w:ascii="Times New Roman" w:eastAsia="Times New Roman" w:hAnsi="Times New Roman" w:cs="Times New Roman"/>
          <w:color w:val="1A1A1A"/>
        </w:rPr>
        <w:t>., 464 Mich. 512, 516 (2001).  Another approach is to treat the openness and obviousness of a danger as a factor in determining the reasonableness of a landowner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s behavior. </w:t>
      </w:r>
      <w:r w:rsidRPr="00B06D0A">
        <w:rPr>
          <w:rFonts w:ascii="Times New Roman" w:eastAsia="Times New Roman" w:hAnsi="Times New Roman" w:cs="Times New Roman"/>
          <w:i/>
          <w:iCs/>
          <w:color w:val="1A1A1A"/>
        </w:rPr>
        <w:t>See Foster v. Costco Wholesale Corp</w:t>
      </w:r>
      <w:r w:rsidRPr="00B06D0A">
        <w:rPr>
          <w:rFonts w:ascii="Times New Roman" w:eastAsia="Times New Roman" w:hAnsi="Times New Roman" w:cs="Times New Roman"/>
          <w:color w:val="1A1A1A"/>
        </w:rPr>
        <w:t xml:space="preserve">., 291 P.3d 150, 152 (Nev. 2012).  At least six states have done away with the Open-and-Obvious Rule altogether, folding the concept of obviousness into their comparative negligence calculations. </w:t>
      </w:r>
      <w:r w:rsidRPr="00B06D0A">
        <w:rPr>
          <w:rFonts w:ascii="Times New Roman" w:eastAsia="Times New Roman" w:hAnsi="Times New Roman" w:cs="Times New Roman"/>
          <w:i/>
          <w:iCs/>
          <w:color w:val="1A1A1A"/>
        </w:rPr>
        <w:t>See, e.g.</w:t>
      </w:r>
      <w:r w:rsidRPr="00B06D0A">
        <w:rPr>
          <w:rFonts w:ascii="Times New Roman" w:eastAsia="Times New Roman" w:hAnsi="Times New Roman" w:cs="Times New Roman"/>
          <w:color w:val="1A1A1A"/>
        </w:rPr>
        <w:t xml:space="preserve">, </w:t>
      </w:r>
      <w:r w:rsidRPr="00B06D0A">
        <w:rPr>
          <w:rFonts w:ascii="Times New Roman" w:eastAsia="Times New Roman" w:hAnsi="Times New Roman" w:cs="Times New Roman"/>
          <w:i/>
          <w:iCs/>
          <w:color w:val="1A1A1A"/>
        </w:rPr>
        <w:t>Parker v. Highland Park, Inc</w:t>
      </w:r>
      <w:r w:rsidRPr="00B06D0A">
        <w:rPr>
          <w:rFonts w:ascii="Times New Roman" w:eastAsia="Times New Roman" w:hAnsi="Times New Roman" w:cs="Times New Roman"/>
          <w:color w:val="1A1A1A"/>
        </w:rPr>
        <w:t>., 565 S.W.2d 512 (Tex. 1978).</w:t>
      </w:r>
    </w:p>
    <w:p w14:paraId="74A53A23" w14:textId="77777777" w:rsidR="00FA3CF9" w:rsidRPr="00B06D0A" w:rsidRDefault="00FA3CF9">
      <w:pPr>
        <w:rPr>
          <w:rFonts w:ascii="Times New Roman" w:hAnsi="Times New Roman" w:cs="Times New Roman"/>
          <w:color w:val="1A1A1A"/>
        </w:rPr>
      </w:pPr>
    </w:p>
    <w:p w14:paraId="01B43BDE" w14:textId="110E25AC" w:rsidR="00FA3CF9" w:rsidRPr="00B06D0A" w:rsidRDefault="750671CE">
      <w:pPr>
        <w:ind w:firstLine="720"/>
        <w:rPr>
          <w:rFonts w:ascii="Times New Roman" w:eastAsia="Times New Roman" w:hAnsi="Times New Roman" w:cs="Times New Roman"/>
          <w:color w:val="1A1A1A"/>
        </w:rPr>
      </w:pPr>
      <w:r w:rsidRPr="00B06D0A">
        <w:rPr>
          <w:rFonts w:ascii="Times New Roman" w:eastAsia="Times New Roman" w:hAnsi="Times New Roman" w:cs="Times New Roman"/>
          <w:color w:val="1A1A1A"/>
        </w:rPr>
        <w:t xml:space="preserve">In New York, however, which has abolished the traditional status categories, a more robust version of the Open-and-Obvious Rule still exists. The general rule in New York is that </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a landowner has no duty to warn of an open and obvious danger,</w:t>
      </w:r>
      <w:r w:rsidR="00B05F31" w:rsidRPr="00B06D0A">
        <w:rPr>
          <w:rFonts w:ascii="Times New Roman" w:eastAsia="Times New Roman" w:hAnsi="Times New Roman" w:cs="Times New Roman"/>
          <w:color w:val="1A1A1A"/>
        </w:rPr>
        <w:t>”</w:t>
      </w:r>
      <w:r w:rsidRPr="00B06D0A">
        <w:rPr>
          <w:rFonts w:ascii="Times New Roman" w:eastAsia="Times New Roman" w:hAnsi="Times New Roman" w:cs="Times New Roman"/>
          <w:color w:val="1A1A1A"/>
        </w:rPr>
        <w:t xml:space="preserve"> with a possible exception for cases where a landowner has reason to anticipate the harm to the occupier. </w:t>
      </w:r>
      <w:r w:rsidRPr="00B06D0A">
        <w:rPr>
          <w:rFonts w:ascii="Times New Roman" w:eastAsia="Times New Roman" w:hAnsi="Times New Roman" w:cs="Times New Roman"/>
          <w:i/>
          <w:iCs/>
          <w:color w:val="1A1A1A"/>
        </w:rPr>
        <w:t>Tagle v. Jakob</w:t>
      </w:r>
      <w:r w:rsidRPr="00B06D0A">
        <w:rPr>
          <w:rFonts w:ascii="Times New Roman" w:eastAsia="Times New Roman" w:hAnsi="Times New Roman" w:cs="Times New Roman"/>
          <w:color w:val="1A1A1A"/>
        </w:rPr>
        <w:t xml:space="preserve">, 97 N.Y.2d 165, 169 (2001). </w:t>
      </w:r>
    </w:p>
    <w:p w14:paraId="7A695D88" w14:textId="77777777" w:rsidR="00FA3CF9" w:rsidRPr="00B06D0A" w:rsidRDefault="00FA3CF9">
      <w:pPr>
        <w:rPr>
          <w:rFonts w:ascii="Times New Roman" w:hAnsi="Times New Roman" w:cs="Times New Roman"/>
        </w:rPr>
      </w:pPr>
    </w:p>
    <w:p w14:paraId="373618DB" w14:textId="3C61FC9C" w:rsidR="00FA3CF9" w:rsidRPr="00B06D0A" w:rsidRDefault="00FA3CF9">
      <w:pPr>
        <w:rPr>
          <w:rFonts w:ascii="Times New Roman" w:hAnsi="Times New Roman" w:cs="Times New Roman"/>
        </w:rPr>
      </w:pPr>
    </w:p>
    <w:p w14:paraId="31644A13" w14:textId="2D7A8149" w:rsidR="00FA3CF9" w:rsidRPr="00F94B7E" w:rsidRDefault="750671CE" w:rsidP="00F94B7E">
      <w:pPr>
        <w:pStyle w:val="ListParagraph"/>
        <w:numPr>
          <w:ilvl w:val="0"/>
          <w:numId w:val="112"/>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Condominiums, </w:t>
      </w:r>
      <w:r w:rsidR="00F76D69"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o-ops, and </w:t>
      </w:r>
      <w:r w:rsidR="00F76D69" w:rsidRPr="00F94B7E">
        <w:rPr>
          <w:rFonts w:ascii="Times New Roman" w:eastAsia="Times New Roman" w:hAnsi="Times New Roman" w:cs="Times New Roman"/>
          <w:i/>
          <w:iCs/>
        </w:rPr>
        <w:t>h</w:t>
      </w:r>
      <w:r w:rsidRPr="00F94B7E">
        <w:rPr>
          <w:rFonts w:ascii="Times New Roman" w:eastAsia="Times New Roman" w:hAnsi="Times New Roman" w:cs="Times New Roman"/>
          <w:i/>
          <w:iCs/>
        </w:rPr>
        <w:t xml:space="preserve">ousing </w:t>
      </w:r>
      <w:r w:rsidR="00F76D69" w:rsidRPr="00F94B7E">
        <w:rPr>
          <w:rFonts w:ascii="Times New Roman" w:eastAsia="Times New Roman" w:hAnsi="Times New Roman" w:cs="Times New Roman"/>
          <w:i/>
          <w:iCs/>
        </w:rPr>
        <w:t>d</w:t>
      </w:r>
      <w:r w:rsidRPr="00F94B7E">
        <w:rPr>
          <w:rFonts w:ascii="Times New Roman" w:eastAsia="Times New Roman" w:hAnsi="Times New Roman" w:cs="Times New Roman"/>
          <w:i/>
          <w:iCs/>
        </w:rPr>
        <w:t>evelopments</w:t>
      </w:r>
      <w:r w:rsidRPr="00F94B7E">
        <w:rPr>
          <w:rFonts w:ascii="Times New Roman" w:eastAsia="Times New Roman" w:hAnsi="Times New Roman" w:cs="Times New Roman"/>
        </w:rPr>
        <w:t>.  What about housing collectives in which tort duties among the members could be displaced by contract?  In at least some condominium developments, the practice is to use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as a substitute for tort causes of action.  Consider the following model condominium document:</w:t>
      </w:r>
    </w:p>
    <w:p w14:paraId="6F7A7D70" w14:textId="77777777" w:rsidR="00FA3CF9" w:rsidRPr="00B06D0A" w:rsidRDefault="00FA3CF9">
      <w:pPr>
        <w:rPr>
          <w:rFonts w:ascii="Times New Roman" w:hAnsi="Times New Roman" w:cs="Times New Roman"/>
        </w:rPr>
      </w:pPr>
    </w:p>
    <w:p w14:paraId="492B16EA" w14:textId="77777777" w:rsidR="00FA3CF9" w:rsidRPr="00B06D0A" w:rsidRDefault="750671CE" w:rsidP="00F94B7E">
      <w:pPr>
        <w:pStyle w:val="blockquote"/>
      </w:pPr>
      <w:r w:rsidRPr="008D7802">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B06D0A" w:rsidRDefault="00FA3CF9">
      <w:pPr>
        <w:rPr>
          <w:rFonts w:ascii="Times New Roman" w:hAnsi="Times New Roman" w:cs="Times New Roman"/>
        </w:rPr>
      </w:pPr>
    </w:p>
    <w:p w14:paraId="46AE041F" w14:textId="4FBE935A" w:rsidR="00FA3CF9" w:rsidRPr="00B06D0A" w:rsidRDefault="750671CE" w:rsidP="008D7802">
      <w:pPr>
        <w:rPr>
          <w:rFonts w:ascii="Times New Roman" w:eastAsia="Times New Roman" w:hAnsi="Times New Roman" w:cs="Times New Roman"/>
        </w:rPr>
      </w:pPr>
      <w:r w:rsidRPr="00B06D0A">
        <w:rPr>
          <w:rFonts w:ascii="Times New Roman" w:eastAsia="Times New Roman" w:hAnsi="Times New Roman" w:cs="Times New Roman"/>
          <w:smallCaps/>
        </w:rPr>
        <w:t>Ronald B. Glazer, Pennsylvania Condominium Law and Practice</w:t>
      </w:r>
      <w:r w:rsidRPr="00B06D0A">
        <w:rPr>
          <w:rFonts w:ascii="Times New Roman" w:eastAsia="Times New Roman" w:hAnsi="Times New Roman" w:cs="Times New Roman"/>
        </w:rPr>
        <w:t xml:space="preserve"> art. 15 (3d ed.</w:t>
      </w:r>
      <w:r w:rsidRPr="008D7802">
        <w:rPr>
          <w:rFonts w:ascii="Times New Roman" w:eastAsia="Times New Roman" w:hAnsi="Times New Roman" w:cs="Times New Roman"/>
        </w:rPr>
        <w:t xml:space="preserve"> 1995).</w:t>
      </w:r>
    </w:p>
    <w:p w14:paraId="1CE0F5F3" w14:textId="77777777" w:rsidR="00FA3CF9" w:rsidRPr="00B06D0A" w:rsidRDefault="00FA3CF9">
      <w:pPr>
        <w:rPr>
          <w:rFonts w:ascii="Times New Roman" w:hAnsi="Times New Roman" w:cs="Times New Roman"/>
        </w:rPr>
      </w:pPr>
    </w:p>
    <w:p w14:paraId="7D483933" w14:textId="77777777" w:rsidR="00FA3CF9" w:rsidRPr="00B06D0A" w:rsidRDefault="00FA3CF9">
      <w:pPr>
        <w:rPr>
          <w:rFonts w:ascii="Times New Roman" w:hAnsi="Times New Roman" w:cs="Times New Roman"/>
        </w:rPr>
      </w:pPr>
      <w:r w:rsidRPr="00B06D0A">
        <w:rPr>
          <w:rFonts w:ascii="Times New Roman" w:hAnsi="Times New Roman" w:cs="Times New Roman"/>
        </w:rPr>
        <w:t xml:space="preserve">  </w:t>
      </w:r>
    </w:p>
    <w:p w14:paraId="56C75622" w14:textId="77777777" w:rsidR="00FA3CF9" w:rsidRPr="00B06D0A" w:rsidRDefault="00FA3CF9">
      <w:pPr>
        <w:rPr>
          <w:rFonts w:ascii="Times New Roman" w:hAnsi="Times New Roman" w:cs="Times New Roman"/>
        </w:rPr>
      </w:pPr>
    </w:p>
    <w:p w14:paraId="384032E4" w14:textId="77777777" w:rsidR="00FA3CF9" w:rsidRPr="00B06D0A" w:rsidRDefault="00FA3CF9">
      <w:pPr>
        <w:rPr>
          <w:rFonts w:ascii="Times New Roman" w:hAnsi="Times New Roman" w:cs="Times New Roman"/>
          <w:b/>
          <w:i/>
        </w:rPr>
      </w:pPr>
    </w:p>
    <w:p w14:paraId="11ED14D2" w14:textId="02C398BC" w:rsidR="00FA3CF9" w:rsidRPr="00A559C4" w:rsidRDefault="005A4714">
      <w:pPr>
        <w:pStyle w:val="Heading2"/>
        <w:rPr>
          <w:rFonts w:cs="Times New Roman"/>
        </w:rPr>
      </w:pPr>
      <w:bookmarkStart w:id="764" w:name="_Toc364636218"/>
      <w:bookmarkStart w:id="765" w:name="_Toc518323458"/>
      <w:r>
        <w:rPr>
          <w:rFonts w:cs="Times New Roman"/>
        </w:rPr>
        <w:t xml:space="preserve">C.  </w:t>
      </w:r>
      <w:r w:rsidR="00FA3CF9" w:rsidRPr="00A559C4">
        <w:rPr>
          <w:rFonts w:cs="Times New Roman"/>
        </w:rPr>
        <w:t>Negligent Infliction of Emotional Distress</w:t>
      </w:r>
      <w:bookmarkEnd w:id="764"/>
      <w:bookmarkEnd w:id="765"/>
    </w:p>
    <w:p w14:paraId="4F447469" w14:textId="77777777" w:rsidR="00FA3CF9" w:rsidRPr="00B06D0A" w:rsidRDefault="00FA3CF9">
      <w:pPr>
        <w:rPr>
          <w:rFonts w:ascii="Times New Roman" w:hAnsi="Times New Roman" w:cs="Times New Roman"/>
        </w:rPr>
      </w:pPr>
    </w:p>
    <w:p w14:paraId="1032BBDC" w14:textId="77777777" w:rsidR="00FA3CF9" w:rsidRPr="00B06D0A" w:rsidRDefault="00FA3CF9" w:rsidP="00F94B7E">
      <w:pPr>
        <w:rPr>
          <w:rFonts w:ascii="Times New Roman" w:hAnsi="Times New Roman" w:cs="Times New Roman"/>
        </w:rPr>
      </w:pPr>
    </w:p>
    <w:p w14:paraId="055DA6FD" w14:textId="77777777" w:rsidR="00FA3CF9" w:rsidRPr="00B06D0A" w:rsidRDefault="750671CE" w:rsidP="00F94B7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Recall that in Chapter 1 we encountered the tort of assault, which is a centuries-old cause of action for intentional infliction of emotional harm, namely fear of an unlawful contact.  What happens when emotional harm arises accidentally?  </w:t>
      </w:r>
    </w:p>
    <w:p w14:paraId="74DBF6FF" w14:textId="77777777" w:rsidR="00FA3CF9" w:rsidRPr="00B06D0A" w:rsidRDefault="00FA3CF9" w:rsidP="00F94B7E">
      <w:pPr>
        <w:ind w:firstLine="720"/>
        <w:rPr>
          <w:rFonts w:ascii="Times New Roman" w:hAnsi="Times New Roman" w:cs="Times New Roman"/>
        </w:rPr>
      </w:pPr>
    </w:p>
    <w:p w14:paraId="359F9298" w14:textId="77777777" w:rsidR="00FA3CF9" w:rsidRPr="00B06D0A" w:rsidRDefault="00FA3CF9" w:rsidP="00F94B7E">
      <w:pPr>
        <w:ind w:firstLine="720"/>
        <w:rPr>
          <w:rFonts w:ascii="Times New Roman" w:hAnsi="Times New Roman" w:cs="Times New Roman"/>
        </w:rPr>
      </w:pPr>
    </w:p>
    <w:p w14:paraId="142E9BD6" w14:textId="4F4A1FD0" w:rsidR="00FA3CF9" w:rsidRPr="00F94B7E" w:rsidRDefault="00FA3CF9" w:rsidP="00F349EC">
      <w:pPr>
        <w:rPr>
          <w:rFonts w:ascii="Times New Roman" w:hAnsi="Times New Roman" w:cs="Times New Roman"/>
        </w:rPr>
      </w:pPr>
      <w:bookmarkStart w:id="766" w:name="_Toc262765526"/>
      <w:bookmarkStart w:id="767" w:name="_Toc518323459"/>
      <w:r w:rsidRPr="00C17A3F">
        <w:rPr>
          <w:rStyle w:val="Heading3Char"/>
          <w:i/>
        </w:rPr>
        <w:t>Mitchell v. Rochester Railway</w:t>
      </w:r>
      <w:bookmarkEnd w:id="766"/>
      <w:bookmarkEnd w:id="767"/>
      <w:r w:rsidR="00BA1CDA"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b/>
          <w:bCs/>
        </w:rPr>
        <w:t>45 N.E. 354 (N.Y. 1896)</w:t>
      </w:r>
    </w:p>
    <w:p w14:paraId="5B1D1F9B" w14:textId="77777777" w:rsidR="00FA3CF9" w:rsidRPr="00F349EC" w:rsidRDefault="00FA3CF9" w:rsidP="00F94B7E">
      <w:pPr>
        <w:widowControl w:val="0"/>
        <w:overflowPunct w:val="0"/>
        <w:autoSpaceDE w:val="0"/>
        <w:autoSpaceDN w:val="0"/>
        <w:adjustRightInd w:val="0"/>
        <w:ind w:firstLine="720"/>
        <w:rPr>
          <w:rFonts w:ascii="Times New Roman" w:hAnsi="Times New Roman" w:cs="Times New Roman"/>
        </w:rPr>
      </w:pPr>
    </w:p>
    <w:p w14:paraId="4F3495F0" w14:textId="6ADB4EEA" w:rsidR="00BA1CDA" w:rsidRPr="00F94B7E" w:rsidRDefault="00FA3CF9" w:rsidP="00F94B7E">
      <w:pPr>
        <w:widowControl w:val="0"/>
        <w:overflowPunct w:val="0"/>
        <w:autoSpaceDE w:val="0"/>
        <w:autoSpaceDN w:val="0"/>
        <w:adjustRightInd w:val="0"/>
        <w:rPr>
          <w:rFonts w:ascii="Times New Roman" w:eastAsia="Times New Roman,Cambria" w:hAnsi="Times New Roman" w:cs="Times New Roman"/>
          <w:b/>
          <w:bCs/>
        </w:rPr>
      </w:pPr>
      <w:r w:rsidRPr="00F94B7E">
        <w:rPr>
          <w:rFonts w:ascii="Times New Roman" w:eastAsia="Times New Roman,Cambria" w:hAnsi="Times New Roman" w:cs="Times New Roman"/>
          <w:smallCaps/>
        </w:rPr>
        <w:t>Martin, J</w:t>
      </w:r>
      <w:r w:rsidRPr="00F94B7E">
        <w:rPr>
          <w:rFonts w:ascii="Times New Roman" w:eastAsia="Times New Roman,Cambria" w:hAnsi="Times New Roman" w:cs="Times New Roman"/>
          <w:b/>
          <w:bCs/>
        </w:rPr>
        <w:t xml:space="preserve">. </w:t>
      </w:r>
    </w:p>
    <w:p w14:paraId="6A448F41" w14:textId="77777777" w:rsidR="00BA1CDA" w:rsidRPr="00F349EC" w:rsidRDefault="00BA1CDA" w:rsidP="00F94B7E">
      <w:pPr>
        <w:widowControl w:val="0"/>
        <w:overflowPunct w:val="0"/>
        <w:autoSpaceDE w:val="0"/>
        <w:autoSpaceDN w:val="0"/>
        <w:adjustRightInd w:val="0"/>
        <w:rPr>
          <w:rFonts w:ascii="Times New Roman" w:eastAsiaTheme="minorHAnsi" w:hAnsi="Times New Roman" w:cs="Times New Roman"/>
          <w:b/>
        </w:rPr>
      </w:pPr>
    </w:p>
    <w:p w14:paraId="0752665D" w14:textId="08CCE534"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facts in this case are few and may be briefly stated. On the first day of April, 1891, the plaintiff was standing upon a crosswalk on Main street in the city of Rochester, awaiting an opportunity to board one of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heads when they were stopped.</w:t>
      </w:r>
    </w:p>
    <w:p w14:paraId="7F2DA438"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1501FF84"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04E886A2" w14:textId="3D68C1AB"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Assuming that the evidence tended to show that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servant was negligent in the management of the car and horses, and that the plaintiff was free from contributory negligence, the single question presented is whether the plaintiff is entitled to recover for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consensus of opinion would seem to be that no recovery can be had for mere fright. . . .</w:t>
      </w:r>
      <w:r w:rsidR="00B05F31" w:rsidRPr="00B06D0A">
        <w:rPr>
          <w:rFonts w:ascii="Times New Roman" w:eastAsia="Times New Roman" w:hAnsi="Times New Roman" w:cs="Times New Roman"/>
        </w:rPr>
        <w:t>”</w:t>
      </w:r>
    </w:p>
    <w:p w14:paraId="67819931"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71DECA4F" w14:textId="5AC9CF1F"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consequences. . . .</w:t>
      </w:r>
    </w:p>
    <w:p w14:paraId="0B042CEB"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3A3BDC5C"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72B0198F" w14:textId="4B182E3F"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Moreover, it cannot be properly said that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miscarriage was the proximate result of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negligence. Proximate damages are such as are the ordinary and natural results of the negligence charged, and those that are usual and may, therefore, be expected. It is quite obvious that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44C74D33"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These considerations lead to the conclusion that no recovery can be had for injuries sustained by fright occasioned by the negligence of another, where there is no immediate personal injury.</w:t>
      </w:r>
    </w:p>
    <w:p w14:paraId="2CE97100"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352BF59C" w14:textId="727A366A" w:rsidR="00B444D7"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orders of the General and Special Terms should be reversed, and the order of the Trial Term granting a nonsuit affirmed, with costs.</w:t>
      </w:r>
    </w:p>
    <w:p w14:paraId="55866B0E" w14:textId="77777777" w:rsidR="00B444D7" w:rsidRDefault="00B444D7" w:rsidP="00F94B7E">
      <w:pPr>
        <w:widowControl w:val="0"/>
        <w:overflowPunct w:val="0"/>
        <w:autoSpaceDE w:val="0"/>
        <w:autoSpaceDN w:val="0"/>
        <w:adjustRightInd w:val="0"/>
        <w:rPr>
          <w:rFonts w:ascii="Times New Roman" w:hAnsi="Times New Roman" w:cs="Times New Roman"/>
        </w:rPr>
      </w:pPr>
    </w:p>
    <w:p w14:paraId="2F8A9F20" w14:textId="77777777" w:rsidR="00C04514" w:rsidRPr="00B06D0A" w:rsidRDefault="00C04514" w:rsidP="00F94B7E">
      <w:pPr>
        <w:widowControl w:val="0"/>
        <w:overflowPunct w:val="0"/>
        <w:autoSpaceDE w:val="0"/>
        <w:autoSpaceDN w:val="0"/>
        <w:adjustRightInd w:val="0"/>
        <w:rPr>
          <w:rFonts w:ascii="Times New Roman" w:hAnsi="Times New Roman" w:cs="Times New Roman"/>
        </w:rPr>
      </w:pPr>
    </w:p>
    <w:p w14:paraId="20C5DD51" w14:textId="78632909" w:rsidR="00B444D7" w:rsidRPr="00A15645" w:rsidRDefault="00B444D7" w:rsidP="002502CC">
      <w:pPr>
        <w:pStyle w:val="Heading4"/>
      </w:pPr>
      <w:bookmarkStart w:id="768" w:name="_Toc364636219"/>
      <w:bookmarkStart w:id="769" w:name="_Toc518323460"/>
      <w:r w:rsidRPr="00C14ACE">
        <w:t>Note</w:t>
      </w:r>
      <w:r w:rsidR="00AF4B24" w:rsidRPr="00A559C4">
        <w:t>s</w:t>
      </w:r>
      <w:bookmarkEnd w:id="768"/>
      <w:bookmarkEnd w:id="769"/>
    </w:p>
    <w:p w14:paraId="714E1213" w14:textId="77777777" w:rsidR="00FA3CF9" w:rsidRDefault="00FA3CF9">
      <w:pPr>
        <w:rPr>
          <w:rFonts w:ascii="Times New Roman" w:hAnsi="Times New Roman" w:cs="Times New Roman"/>
        </w:rPr>
      </w:pPr>
    </w:p>
    <w:p w14:paraId="74074E3C" w14:textId="77777777" w:rsidR="00C04514" w:rsidRPr="00B06D0A" w:rsidRDefault="00C04514">
      <w:pPr>
        <w:rPr>
          <w:rFonts w:ascii="Times New Roman" w:hAnsi="Times New Roman" w:cs="Times New Roman"/>
        </w:rPr>
      </w:pPr>
    </w:p>
    <w:p w14:paraId="5B1847FB" w14:textId="1163D103" w:rsidR="00FA3CF9" w:rsidRPr="00F94B7E" w:rsidRDefault="750671CE" w:rsidP="00F94B7E">
      <w:pPr>
        <w:pStyle w:val="ListParagraph"/>
        <w:numPr>
          <w:ilvl w:val="0"/>
          <w:numId w:val="1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Injuries and impacts.  </w:t>
      </w:r>
      <w:r w:rsidRPr="00F94B7E">
        <w:rPr>
          <w:rFonts w:ascii="Times New Roman" w:eastAsia="Times New Roman" w:hAnsi="Times New Roman" w:cs="Times New Roman"/>
        </w:rPr>
        <w:t xml:space="preserve">One mystery of the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decision is why the court insists on a requirement of immediate physical injury.  Ms.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negligence and Ms. Mitchell</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fall.  In subsequent years, the basic holding of </w:t>
      </w:r>
      <w:r w:rsidRPr="00F94B7E">
        <w:rPr>
          <w:rFonts w:ascii="Times New Roman" w:eastAsia="Times New Roman" w:hAnsi="Times New Roman" w:cs="Times New Roman"/>
          <w:i/>
        </w:rPr>
        <w:t>Mitchell</w:t>
      </w:r>
      <w:r w:rsidRPr="00F94B7E">
        <w:rPr>
          <w:rFonts w:ascii="Times New Roman" w:eastAsia="Times New Roman" w:hAnsi="Times New Roman" w:cs="Times New Roman"/>
        </w:rPr>
        <w:t xml:space="preserve"> came to be explained as having not so much to do with the absence of an immediate physical injury as with the absence of a physical impact between some instrumentality in the negligent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control and the plaintiff.  </w:t>
      </w:r>
    </w:p>
    <w:p w14:paraId="4D8E435F" w14:textId="77777777" w:rsidR="00FA3CF9" w:rsidRPr="00B06D0A" w:rsidRDefault="00FA3CF9">
      <w:pPr>
        <w:rPr>
          <w:rFonts w:ascii="Times New Roman" w:hAnsi="Times New Roman" w:cs="Times New Roman"/>
        </w:rPr>
      </w:pPr>
    </w:p>
    <w:p w14:paraId="65BB6F86"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Why did the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B06D0A" w:rsidRDefault="00FA3CF9">
      <w:pPr>
        <w:rPr>
          <w:rFonts w:ascii="Times New Roman" w:eastAsia="Times New Roman" w:hAnsi="Times New Roman" w:cs="Times New Roman"/>
        </w:rPr>
      </w:pPr>
    </w:p>
    <w:p w14:paraId="6BD8D95D" w14:textId="77777777" w:rsidR="00FA3CF9" w:rsidRPr="00DE2508" w:rsidRDefault="00FA3CF9" w:rsidP="00DE2508">
      <w:pPr>
        <w:rPr>
          <w:rFonts w:ascii="Times New Roman" w:eastAsia="Times New Roman" w:hAnsi="Times New Roman" w:cs="Times New Roman"/>
        </w:rPr>
      </w:pPr>
    </w:p>
    <w:p w14:paraId="7917C43C" w14:textId="5730E5D6" w:rsidR="00FA3CF9" w:rsidRPr="00F94B7E" w:rsidRDefault="750671CE" w:rsidP="00F94B7E">
      <w:pPr>
        <w:pStyle w:val="ListParagraph"/>
        <w:numPr>
          <w:ilvl w:val="0"/>
          <w:numId w:val="11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A gender bias?  </w:t>
      </w:r>
      <w:r w:rsidRPr="00F94B7E">
        <w:rPr>
          <w:rFonts w:ascii="Times New Roman" w:eastAsia="Times New Roman" w:hAnsi="Times New Roman" w:cs="Times New Roman"/>
        </w:rPr>
        <w:t>Plaintiffs in early negligent infliction of emotional distress cases were often women.  Did the common law</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exclusion of stand-alone emotional distress damages indicate a bias against women? According to Professors Martha Chamallas and Linda Kerber, it did.  The early doctrine of emotional distress, they argue,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marginaliz[ed] . . . the harm suffered by women.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particular, Professors Chamallas and Kerber note that</w:t>
      </w:r>
    </w:p>
    <w:p w14:paraId="1FD030F4" w14:textId="77777777" w:rsidR="00FA3CF9" w:rsidRPr="00B06D0A" w:rsidRDefault="00FA3CF9" w:rsidP="00F94B7E">
      <w:pPr>
        <w:pStyle w:val="blockquote"/>
      </w:pPr>
    </w:p>
    <w:p w14:paraId="10F2BD8F" w14:textId="10358182" w:rsidR="00FA3CF9" w:rsidRPr="00B06D0A" w:rsidRDefault="00FA3CF9" w:rsidP="00F94B7E">
      <w:pPr>
        <w:pStyle w:val="blockquote"/>
      </w:pPr>
      <w:r w:rsidRPr="00B06D0A">
        <w:rPr>
          <w:shd w:val="clear" w:color="auto" w:fill="FFFFFF"/>
        </w:rPr>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w:t>
      </w:r>
      <w:r w:rsidR="005B7707" w:rsidRPr="005B7707">
        <w:rPr>
          <w:shd w:val="clear" w:color="auto" w:fill="FFFFFF"/>
        </w:rPr>
        <w:t>—</w:t>
      </w:r>
      <w:r w:rsidRPr="005B7707">
        <w:rPr>
          <w:shd w:val="clear" w:color="auto" w:fill="FFFFFF"/>
        </w:rPr>
        <w:t>serious though they may be in the lives of women</w:t>
      </w:r>
      <w:r w:rsidR="005B7707" w:rsidRPr="005B7707">
        <w:rPr>
          <w:shd w:val="clear" w:color="auto" w:fill="FFFFFF"/>
        </w:rPr>
        <w:t>—</w:t>
      </w:r>
      <w:r w:rsidRPr="005B7707">
        <w:rPr>
          <w:shd w:val="clear" w:color="auto" w:fill="FFFFFF"/>
        </w:rPr>
        <w:t xml:space="preserve">for which there is no precise </w:t>
      </w:r>
      <w:r w:rsidRPr="00B06D0A">
        <w:rPr>
          <w:shd w:val="clear" w:color="auto" w:fill="FFFFFF"/>
        </w:rPr>
        <w:t>masculine analogue. This phenomenon is evident in the history of tort law</w:t>
      </w:r>
      <w:r w:rsidR="00B05F31" w:rsidRPr="00B06D0A">
        <w:rPr>
          <w:shd w:val="clear" w:color="auto" w:fill="FFFFFF"/>
        </w:rPr>
        <w:t>’</w:t>
      </w:r>
      <w:r w:rsidRPr="00B06D0A">
        <w:rPr>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B06D0A">
        <w:rPr>
          <w:rStyle w:val="apple-converted-space"/>
          <w:shd w:val="clear" w:color="auto" w:fill="FFFFFF"/>
        </w:rPr>
        <w:t> </w:t>
      </w:r>
      <w:r w:rsidRPr="00B06D0A">
        <w:rPr>
          <w:shd w:val="clear" w:color="auto" w:fill="FFFFFF"/>
        </w:rPr>
        <w:t>contain recovery in such cases. . . . The inequity of the doctrines comprising</w:t>
      </w:r>
      <w:r w:rsidRPr="00B06D0A">
        <w:rPr>
          <w:rStyle w:val="apple-converted-space"/>
          <w:shd w:val="clear" w:color="auto" w:fill="FFFFFF"/>
        </w:rPr>
        <w:t> </w:t>
      </w:r>
      <w:r w:rsidRPr="00F94B7E">
        <w:rPr>
          <w:rStyle w:val="sh365052703"/>
          <w:rFonts w:eastAsia="Times New Roman,Cambria"/>
          <w:bdr w:val="none" w:sz="0" w:space="0" w:color="auto" w:frame="1"/>
        </w:rPr>
        <w:t>the law of fright</w:t>
      </w:r>
      <w:r w:rsidRPr="00F349EC">
        <w:rPr>
          <w:rStyle w:val="apple-converted-space"/>
          <w:shd w:val="clear" w:color="auto" w:fill="FFFFFF"/>
        </w:rPr>
        <w:t> </w:t>
      </w:r>
      <w:r w:rsidRPr="00F349EC">
        <w:rPr>
          <w:shd w:val="clear" w:color="auto" w:fill="FFFFFF"/>
        </w:rPr>
        <w:t>not surprisingly reflected and reinforced inequities present in the larger social and cultural set</w:t>
      </w:r>
      <w:r w:rsidRPr="00B06D0A">
        <w:rPr>
          <w:shd w:val="clear" w:color="auto" w:fill="FFFFFF"/>
        </w:rPr>
        <w:t>tings.</w:t>
      </w:r>
    </w:p>
    <w:p w14:paraId="4B5EE446" w14:textId="77777777" w:rsidR="00FA3CF9" w:rsidRPr="00B06D0A" w:rsidRDefault="00FA3CF9">
      <w:pPr>
        <w:pStyle w:val="ListParagraph"/>
        <w:ind w:right="720" w:firstLine="720"/>
        <w:rPr>
          <w:rFonts w:ascii="Times New Roman" w:hAnsi="Times New Roman" w:cs="Times New Roman"/>
          <w:color w:val="333333"/>
          <w:shd w:val="clear" w:color="auto" w:fill="FFFFFF"/>
        </w:rPr>
      </w:pPr>
    </w:p>
    <w:p w14:paraId="12683CA8" w14:textId="77777777" w:rsidR="00FA3CF9" w:rsidRPr="00B06D0A" w:rsidRDefault="750671CE" w:rsidP="0081054B">
      <w:pPr>
        <w:rPr>
          <w:rFonts w:ascii="Times New Roman" w:eastAsia="Times New Roman" w:hAnsi="Times New Roman" w:cs="Times New Roman"/>
        </w:rPr>
      </w:pPr>
      <w:r w:rsidRPr="00B06D0A">
        <w:rPr>
          <w:rFonts w:ascii="Times New Roman" w:eastAsia="Times New Roman" w:hAnsi="Times New Roman" w:cs="Times New Roman"/>
        </w:rPr>
        <w:t xml:space="preserve">Martha Chamallas &amp; Linda K. Kerber, </w:t>
      </w:r>
      <w:r w:rsidRPr="00B06D0A">
        <w:rPr>
          <w:rFonts w:ascii="Times New Roman" w:eastAsia="Times New Roman" w:hAnsi="Times New Roman" w:cs="Times New Roman"/>
          <w:i/>
          <w:iCs/>
        </w:rPr>
        <w:t>Women, Mothers, and the Law of Fright: A History</w:t>
      </w:r>
      <w:r w:rsidRPr="00B06D0A">
        <w:rPr>
          <w:rFonts w:ascii="Times New Roman" w:eastAsia="Times New Roman" w:hAnsi="Times New Roman" w:cs="Times New Roman"/>
        </w:rPr>
        <w:t xml:space="preserve">, 88 </w:t>
      </w:r>
      <w:r w:rsidRPr="00B06D0A">
        <w:rPr>
          <w:rFonts w:ascii="Times New Roman" w:eastAsia="Times New Roman" w:hAnsi="Times New Roman" w:cs="Times New Roman"/>
          <w:smallCaps/>
        </w:rPr>
        <w:t>Mich. L. Rev.</w:t>
      </w:r>
      <w:r w:rsidRPr="00B06D0A">
        <w:rPr>
          <w:rFonts w:ascii="Times New Roman" w:eastAsia="Times New Roman" w:hAnsi="Times New Roman" w:cs="Times New Roman"/>
        </w:rPr>
        <w:t xml:space="preserve"> 814, 814, 864 (1990).  Some scholars object that the difficulty of discerning causation in such cases is a better explanation for the doctrine.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color w:val="252525"/>
        </w:rPr>
        <w:t xml:space="preserve">Gary T. Schwartz, </w:t>
      </w:r>
      <w:r w:rsidRPr="00B06D0A">
        <w:rPr>
          <w:rFonts w:ascii="Times New Roman" w:eastAsia="Times New Roman" w:hAnsi="Times New Roman" w:cs="Times New Roman"/>
          <w:i/>
          <w:iCs/>
          <w:color w:val="252525"/>
        </w:rPr>
        <w:t>Feminist Approaches to Tort Law</w:t>
      </w:r>
      <w:r w:rsidRPr="00B06D0A">
        <w:rPr>
          <w:rFonts w:ascii="Times New Roman" w:eastAsia="Times New Roman" w:hAnsi="Times New Roman" w:cs="Times New Roman"/>
          <w:color w:val="252525"/>
        </w:rPr>
        <w:t xml:space="preserve">, 2 </w:t>
      </w:r>
      <w:r w:rsidRPr="00B06D0A">
        <w:rPr>
          <w:rFonts w:ascii="Times New Roman" w:eastAsia="Times New Roman" w:hAnsi="Times New Roman" w:cs="Times New Roman"/>
          <w:smallCaps/>
          <w:color w:val="252525"/>
        </w:rPr>
        <w:t>Theoretical Inquiries L.</w:t>
      </w:r>
      <w:r w:rsidRPr="00B06D0A">
        <w:rPr>
          <w:rFonts w:ascii="Times New Roman" w:eastAsia="Times New Roman" w:hAnsi="Times New Roman" w:cs="Times New Roman"/>
          <w:color w:val="252525"/>
        </w:rPr>
        <w:t xml:space="preserve"> 175, 203 (2001). </w:t>
      </w:r>
    </w:p>
    <w:p w14:paraId="43EBA9BC" w14:textId="77777777" w:rsidR="00FA3CF9" w:rsidRDefault="00FA3CF9">
      <w:pPr>
        <w:ind w:right="720"/>
        <w:rPr>
          <w:rFonts w:ascii="Times New Roman" w:hAnsi="Times New Roman" w:cs="Times New Roman"/>
        </w:rPr>
      </w:pPr>
    </w:p>
    <w:p w14:paraId="0FAE96F6" w14:textId="77777777" w:rsidR="00C04514" w:rsidRPr="00B06D0A" w:rsidRDefault="00C04514">
      <w:pPr>
        <w:ind w:right="720"/>
        <w:rPr>
          <w:rFonts w:ascii="Times New Roman" w:hAnsi="Times New Roman" w:cs="Times New Roman"/>
        </w:rPr>
      </w:pPr>
    </w:p>
    <w:p w14:paraId="42DB6DAF" w14:textId="77777777" w:rsidR="00FA3CF9" w:rsidRPr="00B06D0A" w:rsidRDefault="750671CE" w:rsidP="0081054B">
      <w:pPr>
        <w:rPr>
          <w:rFonts w:ascii="Times New Roman" w:eastAsia="Times New Roman" w:hAnsi="Times New Roman" w:cs="Times New Roman"/>
        </w:rPr>
      </w:pPr>
      <w:r w:rsidRPr="00B06D0A">
        <w:rPr>
          <w:rFonts w:ascii="Times New Roman" w:eastAsia="Times New Roman" w:hAnsi="Times New Roman" w:cs="Times New Roman"/>
        </w:rPr>
        <w:t>3</w:t>
      </w:r>
      <w:r w:rsidRPr="00B06D0A">
        <w:rPr>
          <w:rFonts w:ascii="Times New Roman" w:eastAsia="Times New Roman" w:hAnsi="Times New Roman" w:cs="Times New Roman"/>
          <w:i/>
          <w:iCs/>
        </w:rPr>
        <w:t>.  Narrower tests.</w:t>
      </w:r>
      <w:r w:rsidRPr="00B06D0A">
        <w:rPr>
          <w:rFonts w:ascii="Times New Roman" w:eastAsia="Times New Roman" w:hAnsi="Times New Roman" w:cs="Times New Roman"/>
        </w:rPr>
        <w:t xml:space="preserve">  Is there a narrower way to accomplish the goals articulated by the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court?  Another case involving a woman plaintiff raised that question some seventy years after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w:t>
      </w:r>
    </w:p>
    <w:p w14:paraId="770BAAFD" w14:textId="77777777" w:rsidR="00FA3CF9" w:rsidRPr="00B06D0A" w:rsidRDefault="00FA3CF9">
      <w:pPr>
        <w:ind w:right="720"/>
        <w:rPr>
          <w:rFonts w:ascii="Times New Roman" w:hAnsi="Times New Roman" w:cs="Times New Roman"/>
        </w:rPr>
      </w:pPr>
    </w:p>
    <w:p w14:paraId="72255240" w14:textId="77777777" w:rsidR="00FA3CF9" w:rsidRPr="00B06D0A" w:rsidRDefault="00FA3CF9">
      <w:pPr>
        <w:ind w:right="720"/>
        <w:rPr>
          <w:rFonts w:ascii="Times New Roman" w:hAnsi="Times New Roman" w:cs="Times New Roman"/>
        </w:rPr>
      </w:pPr>
    </w:p>
    <w:p w14:paraId="25D12545" w14:textId="301B9A6E" w:rsidR="00FA3CF9" w:rsidRPr="00B06D0A" w:rsidRDefault="00FA3CF9">
      <w:pPr>
        <w:rPr>
          <w:rFonts w:ascii="Times New Roman" w:eastAsia="Times New Roman" w:hAnsi="Times New Roman" w:cs="Times New Roman"/>
          <w:b/>
          <w:bCs/>
        </w:rPr>
      </w:pPr>
      <w:bookmarkStart w:id="770" w:name="_Toc262765528"/>
      <w:bookmarkStart w:id="771" w:name="_Toc518323461"/>
      <w:r w:rsidRPr="00C17A3F">
        <w:rPr>
          <w:rStyle w:val="Heading3Char"/>
          <w:i/>
        </w:rPr>
        <w:t>Falzone v. Busch</w:t>
      </w:r>
      <w:bookmarkEnd w:id="770"/>
      <w:bookmarkEnd w:id="771"/>
      <w:r w:rsidR="00BA1CDA"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b/>
          <w:bCs/>
        </w:rPr>
        <w:t>214 A.2d 12 (N.J. 1965)</w:t>
      </w:r>
    </w:p>
    <w:p w14:paraId="638F83DB" w14:textId="77777777" w:rsidR="00FA3CF9" w:rsidRPr="00B06D0A" w:rsidRDefault="00FA3CF9" w:rsidP="00F94B7E">
      <w:pPr>
        <w:ind w:firstLine="720"/>
        <w:rPr>
          <w:rFonts w:ascii="Times New Roman" w:hAnsi="Times New Roman" w:cs="Times New Roman"/>
        </w:rPr>
      </w:pPr>
    </w:p>
    <w:p w14:paraId="13C266D1" w14:textId="4EC32A05" w:rsidR="00FA3CF9" w:rsidRPr="00F94B7E" w:rsidRDefault="750671CE" w:rsidP="00A019E0">
      <w:pPr>
        <w:widowControl w:val="0"/>
        <w:overflowPunct w:val="0"/>
        <w:autoSpaceDE w:val="0"/>
        <w:autoSpaceDN w:val="0"/>
        <w:adjustRightInd w:val="0"/>
        <w:rPr>
          <w:rFonts w:ascii="Times New Roman" w:eastAsia="Times New Roman,Cambria" w:hAnsi="Times New Roman" w:cs="Times New Roman"/>
          <w:b/>
          <w:bCs/>
        </w:rPr>
      </w:pPr>
      <w:r w:rsidRPr="00F94B7E">
        <w:rPr>
          <w:rFonts w:ascii="Times New Roman" w:eastAsia="Times New Roman,Cambria" w:hAnsi="Times New Roman" w:cs="Times New Roman"/>
          <w:smallCaps/>
        </w:rPr>
        <w:t>Proctor, J</w:t>
      </w:r>
      <w:r w:rsidRPr="00F94B7E">
        <w:rPr>
          <w:rFonts w:ascii="Times New Roman" w:eastAsia="Times New Roman,Cambria" w:hAnsi="Times New Roman" w:cs="Times New Roman"/>
          <w:b/>
          <w:bCs/>
        </w:rPr>
        <w:t>.</w:t>
      </w:r>
    </w:p>
    <w:p w14:paraId="23EF15E0" w14:textId="77777777" w:rsidR="00FA3CF9" w:rsidRPr="00F349EC" w:rsidRDefault="00FA3CF9" w:rsidP="00F94B7E">
      <w:pPr>
        <w:widowControl w:val="0"/>
        <w:overflowPunct w:val="0"/>
        <w:autoSpaceDE w:val="0"/>
        <w:autoSpaceDN w:val="0"/>
        <w:adjustRightInd w:val="0"/>
        <w:ind w:firstLine="720"/>
        <w:rPr>
          <w:rFonts w:ascii="Times New Roman" w:eastAsiaTheme="minorHAnsi" w:hAnsi="Times New Roman" w:cs="Times New Roman"/>
          <w:b/>
        </w:rPr>
      </w:pPr>
    </w:p>
    <w:p w14:paraId="262703D3" w14:textId="12C33ABD"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Charles Falzone, was standing in a field adjacent to the roadway when he was struck and injured by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negligently driven automobile. The second count alleges that the plaintiff, Mabel Falzone, wife of Charles, was seated in his lawfully parked automobile close to the place where her husband was struck and that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negligently driven automobile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veered across the highway and headed in the direction of this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coming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so close to plaintiff as to put her in fear for her safety.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As a direct result she became ill and required medical attention. There is no allegation that her fear arose from apprehension of harm to her husband.</w:t>
      </w:r>
    </w:p>
    <w:p w14:paraId="41CA7A23"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0FBC6B4E" w14:textId="6FB61D15"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Law Division granted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motion for summary judgment on the second . . . count</w:t>
      </w:r>
      <w:r w:rsidR="001D5F4F">
        <w:rPr>
          <w:rFonts w:ascii="Times New Roman" w:eastAsia="Times New Roman" w:hAnsi="Times New Roman" w:cs="Times New Roman"/>
        </w:rPr>
        <w:t xml:space="preserve"> . . . </w:t>
      </w:r>
      <w:r w:rsidRPr="00B06D0A">
        <w:rPr>
          <w:rFonts w:ascii="Times New Roman" w:eastAsia="Times New Roman" w:hAnsi="Times New Roman" w:cs="Times New Roman"/>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60212F45" w14:textId="3886AC0F"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[S]ince a decision of our former Supreme Court in 1900, </w:t>
      </w:r>
      <w:r w:rsidRPr="00B06D0A">
        <w:rPr>
          <w:rFonts w:ascii="Times New Roman" w:eastAsia="Times New Roman" w:hAnsi="Times New Roman" w:cs="Times New Roman"/>
          <w:i/>
          <w:iCs/>
        </w:rPr>
        <w:t>Ward v. West Jersey &amp; Seashore R.R. Co.</w:t>
      </w:r>
      <w:r w:rsidRPr="00B06D0A">
        <w:rPr>
          <w:rFonts w:ascii="Times New Roman" w:eastAsia="Times New Roman" w:hAnsi="Times New Roman" w:cs="Times New Roman"/>
        </w:rPr>
        <w:t>, it has been considered settled that a physical impact upon the plaintiff is necessary to sustain a negligence action.</w:t>
      </w:r>
    </w:p>
    <w:p w14:paraId="741F6266"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730ED851" w14:textId="25F6EF6A"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great danger of being run down and killed by said train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caused him to be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shocked, paralyzed, and otherwise injured.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Three reasons for denying recovery were set forth in the opinion. The first was that physical injury was not the natural and proximate result of the negligent act. . . . </w:t>
      </w:r>
    </w:p>
    <w:p w14:paraId="1B8D7F9C"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1E65319B" w14:textId="218397FD"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Second, the court concluded that since this was the first action of its kind in New Jersey, the consensus of the bar must have been that no liability exists in the absence of impact.</w:t>
      </w:r>
      <w:r w:rsidR="00AD64C5">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The third reason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public  policy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which the court explained by quoting with approval from </w:t>
      </w:r>
      <w:r w:rsidRPr="00B06D0A">
        <w:rPr>
          <w:rFonts w:ascii="Times New Roman" w:eastAsia="Times New Roman" w:hAnsi="Times New Roman" w:cs="Times New Roman"/>
          <w:i/>
          <w:iCs/>
        </w:rPr>
        <w:t>Mitchell v. Rochester Ry. Co.</w:t>
      </w:r>
      <w:r w:rsidRPr="00B06D0A">
        <w:rPr>
          <w:rFonts w:ascii="Times New Roman" w:eastAsia="Times New Roman" w:hAnsi="Times New Roman" w:cs="Times New Roman"/>
        </w:rPr>
        <w:t xml:space="preserve"> . . .</w:t>
      </w:r>
    </w:p>
    <w:p w14:paraId="2B2CC80C"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70034BCC"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We think that the reasons assigned in </w:t>
      </w:r>
      <w:r w:rsidRPr="00B06D0A">
        <w:rPr>
          <w:rFonts w:ascii="Times New Roman" w:eastAsia="Times New Roman" w:hAnsi="Times New Roman" w:cs="Times New Roman"/>
          <w:i/>
          <w:iCs/>
        </w:rPr>
        <w:t xml:space="preserve">Ward </w:t>
      </w:r>
      <w:r w:rsidRPr="00B06D0A">
        <w:rPr>
          <w:rFonts w:ascii="Times New Roman" w:eastAsia="Times New Roman" w:hAnsi="Times New Roman" w:cs="Times New Roman"/>
        </w:rPr>
        <w:t>for denying liability are no longer tenable, and it is questionable if they ever were. . . .</w:t>
      </w:r>
    </w:p>
    <w:p w14:paraId="497FD056"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47685D91" w14:textId="1B8AF1C6"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[T]hree rules of law inconsistent with the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B06D0A">
        <w:rPr>
          <w:rFonts w:ascii="Times New Roman" w:eastAsia="Times New Roman" w:hAnsi="Times New Roman" w:cs="Times New Roman"/>
          <w:i/>
          <w:iCs/>
        </w:rPr>
        <w:t>Buchanan v. West Jersey R.R. Co</w:t>
      </w:r>
      <w:r w:rsidRPr="00B06D0A">
        <w:rPr>
          <w:rFonts w:ascii="Times New Roman" w:eastAsia="Times New Roman" w:hAnsi="Times New Roman" w:cs="Times New Roman"/>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B06D0A">
        <w:rPr>
          <w:rFonts w:ascii="Times New Roman" w:eastAsia="Times New Roman" w:hAnsi="Times New Roman" w:cs="Times New Roman"/>
          <w:i/>
          <w:iCs/>
        </w:rPr>
        <w:t>Porter v. Delaware, Lackawanna &amp; W.R.R. Co.</w:t>
      </w:r>
      <w:r w:rsidRPr="00B06D0A">
        <w:rPr>
          <w:rFonts w:ascii="Times New Roman" w:eastAsia="Times New Roman" w:hAnsi="Times New Roman" w:cs="Times New Roman"/>
        </w:rPr>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to distinguish the case from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And third, recovery has been permitted where physical suffering resulted from a willfully caused emotional disturbance.</w:t>
      </w:r>
    </w:p>
    <w:p w14:paraId="09DA53DA"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17CF9350"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second reason given in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3AD7C506"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Public policy was the final reason given in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7161C146" w14:textId="42A36BA1"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it is quite as simple to feign emotional disturbance plus slight impact and get in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under the wire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one of the exceptions as it is to feign emotional disturbance sans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Style w:val="annotator-hl"/>
          <w:rFonts w:ascii="Times New Roman" w:eastAsia="Times New Roman" w:hAnsi="Times New Roman" w:cs="Times New Roman"/>
        </w:rPr>
        <w:t xml:space="preserve">McNiece, </w:t>
      </w:r>
      <w:r w:rsidR="00B05F31" w:rsidRPr="00B06D0A">
        <w:rPr>
          <w:rStyle w:val="annotator-hl"/>
          <w:rFonts w:ascii="Times New Roman" w:eastAsia="Times New Roman" w:hAnsi="Times New Roman" w:cs="Times New Roman"/>
        </w:rPr>
        <w:t>“</w:t>
      </w:r>
      <w:r w:rsidRPr="00B06D0A">
        <w:rPr>
          <w:rStyle w:val="annotator-hl"/>
          <w:rFonts w:ascii="Times New Roman" w:eastAsia="Times New Roman" w:hAnsi="Times New Roman" w:cs="Times New Roman"/>
        </w:rPr>
        <w:t>Pyschic Injury and Liability in New York,</w:t>
      </w:r>
      <w:r w:rsidR="00B05F31" w:rsidRPr="00B06D0A">
        <w:rPr>
          <w:rStyle w:val="annotator-hl"/>
          <w:rFonts w:ascii="Times New Roman" w:eastAsia="Times New Roman" w:hAnsi="Times New Roman" w:cs="Times New Roman"/>
        </w:rPr>
        <w:t>”</w:t>
      </w:r>
      <w:r w:rsidRPr="00B06D0A">
        <w:rPr>
          <w:rStyle w:val="annotator-hl"/>
          <w:rFonts w:ascii="Times New Roman" w:eastAsia="Times New Roman" w:hAnsi="Times New Roman" w:cs="Times New Roman"/>
        </w:rPr>
        <w:t xml:space="preserve"> 24 </w:t>
      </w:r>
      <w:r w:rsidRPr="00B06D0A">
        <w:rPr>
          <w:rStyle w:val="annotator-hl"/>
          <w:rFonts w:ascii="Times New Roman" w:eastAsia="Times New Roman" w:hAnsi="Times New Roman" w:cs="Times New Roman"/>
          <w:i/>
          <w:iCs/>
        </w:rPr>
        <w:t>St. John</w:t>
      </w:r>
      <w:r w:rsidR="00B05F31" w:rsidRPr="00B06D0A">
        <w:rPr>
          <w:rStyle w:val="annotator-hl"/>
          <w:rFonts w:ascii="Times New Roman" w:eastAsia="Times New Roman" w:hAnsi="Times New Roman" w:cs="Times New Roman"/>
          <w:i/>
          <w:iCs/>
        </w:rPr>
        <w:t>’</w:t>
      </w:r>
      <w:r w:rsidRPr="00B06D0A">
        <w:rPr>
          <w:rStyle w:val="annotator-hl"/>
          <w:rFonts w:ascii="Times New Roman" w:eastAsia="Times New Roman" w:hAnsi="Times New Roman" w:cs="Times New Roman"/>
          <w:i/>
          <w:iCs/>
        </w:rPr>
        <w:t>s L. Rev.</w:t>
      </w:r>
      <w:r w:rsidRPr="00B06D0A">
        <w:rPr>
          <w:rStyle w:val="annotator-hl"/>
          <w:rFonts w:ascii="Times New Roman" w:eastAsia="Times New Roman" w:hAnsi="Times New Roman" w:cs="Times New Roman"/>
        </w:rPr>
        <w:t xml:space="preserve"> 1, 31 (1949)).</w:t>
      </w:r>
      <w:r w:rsidRPr="00B06D0A">
        <w:rPr>
          <w:rFonts w:ascii="Times New Roman" w:eastAsia="Times New Roman" w:hAnsi="Times New Roman" w:cs="Times New Roman"/>
        </w:rPr>
        <w:t xml:space="preserve"> . . .</w:t>
      </w:r>
    </w:p>
    <w:p w14:paraId="4E409637"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1ECF893C"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Our conclusion is that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B06D0A">
        <w:rPr>
          <w:rFonts w:ascii="Times New Roman" w:eastAsia="Times New Roman" w:hAnsi="Times New Roman" w:cs="Times New Roman"/>
          <w:i/>
          <w:iCs/>
        </w:rPr>
        <w:t>stare decisis</w:t>
      </w:r>
      <w:r w:rsidRPr="00B06D0A">
        <w:rPr>
          <w:rFonts w:ascii="Times New Roman" w:eastAsia="Times New Roman" w:hAnsi="Times New Roman" w:cs="Times New Roman"/>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4BE5BB20" w14:textId="77777777"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We recognize that where there is no impact a defendant may be unaware of the alleged incident and thus not forewarned to preserve evidence upon which he might base his defense.    However, this consideration should not be sufficient to bar a meritorious claim. . . .</w:t>
      </w:r>
    </w:p>
    <w:p w14:paraId="792FF822" w14:textId="130FAFF6" w:rsidR="00FA3CF9" w:rsidRPr="00A559C4" w:rsidRDefault="00EA5376" w:rsidP="002502CC">
      <w:pPr>
        <w:pStyle w:val="Heading4"/>
      </w:pPr>
      <w:bookmarkStart w:id="772" w:name="_Toc364636220"/>
      <w:bookmarkStart w:id="773" w:name="_Toc518323462"/>
      <w:r w:rsidRPr="00C14ACE">
        <w:t>Notes</w:t>
      </w:r>
      <w:bookmarkEnd w:id="772"/>
      <w:bookmarkEnd w:id="773"/>
    </w:p>
    <w:p w14:paraId="404F2FCE" w14:textId="77777777" w:rsidR="00FA3CF9" w:rsidRDefault="00FA3CF9">
      <w:pPr>
        <w:rPr>
          <w:rFonts w:ascii="Times New Roman" w:hAnsi="Times New Roman" w:cs="Times New Roman"/>
        </w:rPr>
      </w:pPr>
    </w:p>
    <w:p w14:paraId="750195EA" w14:textId="77777777" w:rsidR="00C04514" w:rsidRPr="00B06D0A" w:rsidRDefault="00C04514">
      <w:pPr>
        <w:rPr>
          <w:rFonts w:ascii="Times New Roman" w:hAnsi="Times New Roman" w:cs="Times New Roman"/>
        </w:rPr>
      </w:pPr>
    </w:p>
    <w:p w14:paraId="38E9CAA0" w14:textId="74428354" w:rsidR="00FA3CF9" w:rsidRPr="00B06D0A" w:rsidRDefault="750671CE" w:rsidP="00F94B7E">
      <w:pPr>
        <w:pStyle w:val="ListParagraph"/>
        <w:numPr>
          <w:ilvl w:val="0"/>
          <w:numId w:val="114"/>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The common law process.</w:t>
      </w:r>
      <w:r w:rsidRPr="00B06D0A">
        <w:rPr>
          <w:rFonts w:ascii="Times New Roman" w:eastAsia="Times New Roman" w:hAnsi="Times New Roman" w:cs="Times New Roman"/>
        </w:rPr>
        <w:t xml:space="preserve">  The process by which the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xml:space="preserve"> rule gave way to the </w:t>
      </w:r>
      <w:r w:rsidRPr="00B06D0A">
        <w:rPr>
          <w:rFonts w:ascii="Times New Roman" w:eastAsia="Times New Roman" w:hAnsi="Times New Roman" w:cs="Times New Roman"/>
          <w:i/>
          <w:iCs/>
        </w:rPr>
        <w:t>Falzone</w:t>
      </w:r>
      <w:r w:rsidRPr="00B06D0A">
        <w:rPr>
          <w:rFonts w:ascii="Times New Roman" w:eastAsia="Times New Roman" w:hAnsi="Times New Roman" w:cs="Times New Roman"/>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Default="00FA3CF9">
      <w:pPr>
        <w:rPr>
          <w:rFonts w:ascii="Times New Roman" w:hAnsi="Times New Roman" w:cs="Times New Roman"/>
        </w:rPr>
      </w:pPr>
    </w:p>
    <w:p w14:paraId="123791E6" w14:textId="77777777" w:rsidR="00C04514" w:rsidRPr="00B06D0A" w:rsidRDefault="00C04514">
      <w:pPr>
        <w:rPr>
          <w:rFonts w:ascii="Times New Roman" w:hAnsi="Times New Roman" w:cs="Times New Roman"/>
        </w:rPr>
      </w:pPr>
    </w:p>
    <w:p w14:paraId="6FFD663C" w14:textId="5C54E3DF" w:rsidR="00FA3CF9" w:rsidRPr="00F94B7E" w:rsidRDefault="750671CE" w:rsidP="00F94B7E">
      <w:pPr>
        <w:pStyle w:val="ListParagraph"/>
        <w:numPr>
          <w:ilvl w:val="0"/>
          <w:numId w:val="114"/>
        </w:numPr>
        <w:ind w:left="0" w:firstLine="360"/>
        <w:rPr>
          <w:rFonts w:ascii="Times New Roman" w:eastAsia="Times New Roman" w:hAnsi="Times New Roman" w:cs="Times New Roman"/>
        </w:rPr>
      </w:pPr>
      <w:r w:rsidRPr="00F94B7E">
        <w:rPr>
          <w:rFonts w:ascii="Times New Roman" w:eastAsia="Times New Roman" w:hAnsi="Times New Roman" w:cs="Times New Roman"/>
          <w:iCs/>
        </w:rPr>
        <w:t>Falzone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adoption. </w:t>
      </w:r>
      <w:r w:rsidRPr="00F94B7E">
        <w:rPr>
          <w:rFonts w:ascii="Times New Roman" w:eastAsia="Times New Roman" w:hAnsi="Times New Roman" w:cs="Times New Roman"/>
        </w:rPr>
        <w:t xml:space="preserve"> Currently, twelve states and the District of Columbia have adopted </w:t>
      </w:r>
      <w:r w:rsidRPr="00F94B7E">
        <w:rPr>
          <w:rFonts w:ascii="Times New Roman" w:eastAsia="Times New Roman" w:hAnsi="Times New Roman" w:cs="Times New Roman"/>
          <w:i/>
          <w:iCs/>
        </w:rPr>
        <w:t>Falzone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zone of danger test in adjudicating negligent infliction of emotional distress claims: Alabama, </w:t>
      </w:r>
      <w:r w:rsidRPr="00F94B7E">
        <w:rPr>
          <w:rFonts w:ascii="Times New Roman" w:eastAsia="Times New Roman" w:hAnsi="Times New Roman" w:cs="Times New Roman"/>
          <w:i/>
          <w:iCs/>
        </w:rPr>
        <w:t>Walmart Stores, Inc. v. Bowers</w:t>
      </w:r>
      <w:r w:rsidRPr="00F94B7E">
        <w:rPr>
          <w:rFonts w:ascii="Times New Roman" w:eastAsia="Times New Roman" w:hAnsi="Times New Roman" w:cs="Times New Roman"/>
        </w:rPr>
        <w:t xml:space="preserve">, 752 So. 2d 1201 (Ala. 1999); Colorado, </w:t>
      </w:r>
      <w:r w:rsidRPr="00F94B7E">
        <w:rPr>
          <w:rFonts w:ascii="Times New Roman" w:eastAsia="Times New Roman" w:hAnsi="Times New Roman" w:cs="Times New Roman"/>
          <w:i/>
          <w:iCs/>
        </w:rPr>
        <w:t>Towns v. Anderson</w:t>
      </w:r>
      <w:r w:rsidRPr="00F94B7E">
        <w:rPr>
          <w:rFonts w:ascii="Times New Roman" w:eastAsia="Times New Roman" w:hAnsi="Times New Roman" w:cs="Times New Roman"/>
        </w:rPr>
        <w:t xml:space="preserve">, 579 P.2d 1163 (Colo. 1978) (en banc); Delaware, </w:t>
      </w:r>
      <w:r w:rsidRPr="00F94B7E">
        <w:rPr>
          <w:rFonts w:ascii="Times New Roman" w:eastAsia="Times New Roman" w:hAnsi="Times New Roman" w:cs="Times New Roman"/>
          <w:i/>
          <w:iCs/>
        </w:rPr>
        <w:t>Robb v. Pa. R.R.</w:t>
      </w:r>
      <w:r w:rsidRPr="00F94B7E">
        <w:rPr>
          <w:rFonts w:ascii="Times New Roman" w:eastAsia="Times New Roman" w:hAnsi="Times New Roman" w:cs="Times New Roman"/>
        </w:rPr>
        <w:t xml:space="preserve">, 210 A.2d 709 (Del. 1965); District of Columbia, </w:t>
      </w:r>
      <w:r w:rsidRPr="00F94B7E">
        <w:rPr>
          <w:rFonts w:ascii="Times New Roman" w:eastAsia="Times New Roman" w:hAnsi="Times New Roman" w:cs="Times New Roman"/>
          <w:i/>
          <w:iCs/>
        </w:rPr>
        <w:t>Jane W. v. President &amp; Dirs. of Georgetown Coll.</w:t>
      </w:r>
      <w:r w:rsidRPr="00F94B7E">
        <w:rPr>
          <w:rFonts w:ascii="Times New Roman" w:eastAsia="Times New Roman" w:hAnsi="Times New Roman" w:cs="Times New Roman"/>
        </w:rPr>
        <w:t xml:space="preserve">, 863 A.2d 821 (D.C. 2004); Illinois, </w:t>
      </w:r>
      <w:r w:rsidRPr="00F94B7E">
        <w:rPr>
          <w:rFonts w:ascii="Times New Roman" w:eastAsia="Times New Roman" w:hAnsi="Times New Roman" w:cs="Times New Roman"/>
          <w:i/>
          <w:iCs/>
        </w:rPr>
        <w:t>Rickey v. Chi. Transit Auth.</w:t>
      </w:r>
      <w:r w:rsidRPr="00F94B7E">
        <w:rPr>
          <w:rFonts w:ascii="Times New Roman" w:eastAsia="Times New Roman" w:hAnsi="Times New Roman" w:cs="Times New Roman"/>
        </w:rPr>
        <w:t xml:space="preserve">, 457 N.E.2d 1 (Ill. 1983); Maryland, </w:t>
      </w:r>
      <w:r w:rsidRPr="00F94B7E">
        <w:rPr>
          <w:rFonts w:ascii="Times New Roman" w:eastAsia="Times New Roman" w:hAnsi="Times New Roman" w:cs="Times New Roman"/>
          <w:i/>
          <w:iCs/>
        </w:rPr>
        <w:t>Resavage v. Davies</w:t>
      </w:r>
      <w:r w:rsidRPr="00F94B7E">
        <w:rPr>
          <w:rFonts w:ascii="Times New Roman" w:eastAsia="Times New Roman" w:hAnsi="Times New Roman" w:cs="Times New Roman"/>
        </w:rPr>
        <w:t xml:space="preserve">, 86 A2d 879 (Md. 1952); Minnesota, </w:t>
      </w:r>
      <w:r w:rsidRPr="00F94B7E">
        <w:rPr>
          <w:rFonts w:ascii="Times New Roman" w:eastAsia="Times New Roman" w:hAnsi="Times New Roman" w:cs="Times New Roman"/>
          <w:i/>
          <w:iCs/>
        </w:rPr>
        <w:t>Engler v. Ill. Farmers Ins. Co.</w:t>
      </w:r>
      <w:r w:rsidRPr="00F94B7E">
        <w:rPr>
          <w:rFonts w:ascii="Times New Roman" w:eastAsia="Times New Roman" w:hAnsi="Times New Roman" w:cs="Times New Roman"/>
        </w:rPr>
        <w:t xml:space="preserve">, 706 N.W.2d 764 (Minn. 2005); Missouri, </w:t>
      </w:r>
      <w:r w:rsidRPr="00F94B7E">
        <w:rPr>
          <w:rFonts w:ascii="Times New Roman" w:eastAsia="Times New Roman" w:hAnsi="Times New Roman" w:cs="Times New Roman"/>
          <w:i/>
          <w:iCs/>
        </w:rPr>
        <w:t>Asaro v. Cardinal Glennon Mem</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 Hosp.</w:t>
      </w:r>
      <w:r w:rsidRPr="00F94B7E">
        <w:rPr>
          <w:rFonts w:ascii="Times New Roman" w:eastAsia="Times New Roman" w:hAnsi="Times New Roman" w:cs="Times New Roman"/>
        </w:rPr>
        <w:t xml:space="preserve">, 799 S.W.2d 595 (Mo. 1990) (en banc); New York, </w:t>
      </w:r>
      <w:r w:rsidRPr="00F94B7E">
        <w:rPr>
          <w:rFonts w:ascii="Times New Roman" w:eastAsia="Times New Roman" w:hAnsi="Times New Roman" w:cs="Times New Roman"/>
          <w:i/>
          <w:iCs/>
        </w:rPr>
        <w:t>Bovsun v. Sanperi</w:t>
      </w:r>
      <w:r w:rsidRPr="00F94B7E">
        <w:rPr>
          <w:rFonts w:ascii="Times New Roman" w:eastAsia="Times New Roman" w:hAnsi="Times New Roman" w:cs="Times New Roman"/>
        </w:rPr>
        <w:t xml:space="preserve">, 461 N.E.2d 843 (N.Y. 1984); North Dakota, </w:t>
      </w:r>
      <w:r w:rsidRPr="00F94B7E">
        <w:rPr>
          <w:rFonts w:ascii="Times New Roman" w:eastAsia="Times New Roman" w:hAnsi="Times New Roman" w:cs="Times New Roman"/>
          <w:i/>
          <w:iCs/>
        </w:rPr>
        <w:t>Whetham v. Bismarck Hosp.</w:t>
      </w:r>
      <w:r w:rsidRPr="00F94B7E">
        <w:rPr>
          <w:rFonts w:ascii="Times New Roman" w:eastAsia="Times New Roman" w:hAnsi="Times New Roman" w:cs="Times New Roman"/>
        </w:rPr>
        <w:t xml:space="preserve">, 197 N.W.2d 678 (N.D. 1972); South Dakota, </w:t>
      </w:r>
      <w:r w:rsidRPr="00F94B7E">
        <w:rPr>
          <w:rFonts w:ascii="Times New Roman" w:eastAsia="Times New Roman" w:hAnsi="Times New Roman" w:cs="Times New Roman"/>
          <w:i/>
          <w:iCs/>
        </w:rPr>
        <w:t>Nielson v. AT&amp;T Corp.</w:t>
      </w:r>
      <w:r w:rsidRPr="00F94B7E">
        <w:rPr>
          <w:rFonts w:ascii="Times New Roman" w:eastAsia="Times New Roman" w:hAnsi="Times New Roman" w:cs="Times New Roman"/>
        </w:rPr>
        <w:t xml:space="preserve">, 597 N.W.2d 434 (S.D. 1999); Utah, </w:t>
      </w:r>
      <w:r w:rsidRPr="00F94B7E">
        <w:rPr>
          <w:rFonts w:ascii="Times New Roman" w:eastAsia="Times New Roman" w:hAnsi="Times New Roman" w:cs="Times New Roman"/>
          <w:i/>
          <w:iCs/>
        </w:rPr>
        <w:t>Boucher v. Dixie Med. Ctr.</w:t>
      </w:r>
      <w:r w:rsidRPr="00F94B7E">
        <w:rPr>
          <w:rFonts w:ascii="Times New Roman" w:eastAsia="Times New Roman" w:hAnsi="Times New Roman" w:cs="Times New Roman"/>
        </w:rPr>
        <w:t xml:space="preserve">, 850 P.2d 1179 (Utah 1992); and Vermont, </w:t>
      </w:r>
      <w:r w:rsidRPr="00F94B7E">
        <w:rPr>
          <w:rFonts w:ascii="Times New Roman" w:eastAsia="Times New Roman" w:hAnsi="Times New Roman" w:cs="Times New Roman"/>
          <w:i/>
          <w:iCs/>
        </w:rPr>
        <w:t>Brueckner v. Norwich Univ.</w:t>
      </w:r>
      <w:r w:rsidRPr="00F94B7E">
        <w:rPr>
          <w:rFonts w:ascii="Times New Roman" w:eastAsia="Times New Roman" w:hAnsi="Times New Roman" w:cs="Times New Roman"/>
        </w:rPr>
        <w:t>, 730 A.2d 1086 (Vt. 1999).</w:t>
      </w:r>
    </w:p>
    <w:p w14:paraId="6747FB37" w14:textId="77777777" w:rsidR="00FA3CF9" w:rsidRDefault="00FA3CF9">
      <w:pPr>
        <w:rPr>
          <w:rFonts w:ascii="Times New Roman" w:hAnsi="Times New Roman" w:cs="Times New Roman"/>
        </w:rPr>
      </w:pPr>
    </w:p>
    <w:p w14:paraId="78E4DA46" w14:textId="77777777" w:rsidR="00C04514" w:rsidRPr="00B06D0A" w:rsidRDefault="00C04514">
      <w:pPr>
        <w:rPr>
          <w:rFonts w:ascii="Times New Roman" w:hAnsi="Times New Roman" w:cs="Times New Roman"/>
        </w:rPr>
      </w:pPr>
    </w:p>
    <w:p w14:paraId="4F7D4AB7" w14:textId="60208E10" w:rsidR="00FA3CF9" w:rsidRPr="00F94B7E" w:rsidRDefault="750671CE" w:rsidP="00F94B7E">
      <w:pPr>
        <w:pStyle w:val="ListParagraph"/>
        <w:numPr>
          <w:ilvl w:val="0"/>
          <w:numId w:val="11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Beyond the zone of danger?</w:t>
      </w:r>
      <w:r w:rsidRPr="00F94B7E">
        <w:rPr>
          <w:rFonts w:ascii="Times New Roman" w:eastAsia="Times New Roman" w:hAnsi="Times New Roman" w:cs="Times New Roman"/>
        </w:rPr>
        <w:t xml:space="preserve">  The rule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may have been an improvement over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But it still left unaddressed a class of cases in which the plaintiff was not in the zone of danger but nonetheless has demonstrable emotional injuries caused by the defendant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77777777" w:rsidR="00FA3CF9" w:rsidRDefault="00FA3CF9">
      <w:pPr>
        <w:rPr>
          <w:rFonts w:ascii="Times New Roman" w:hAnsi="Times New Roman" w:cs="Times New Roman"/>
        </w:rPr>
      </w:pPr>
    </w:p>
    <w:p w14:paraId="7E96B8B2" w14:textId="77777777" w:rsidR="00C04514" w:rsidRPr="00B06D0A" w:rsidRDefault="00C04514">
      <w:pPr>
        <w:rPr>
          <w:rFonts w:ascii="Times New Roman" w:hAnsi="Times New Roman" w:cs="Times New Roman"/>
        </w:rPr>
      </w:pPr>
    </w:p>
    <w:p w14:paraId="1375B413" w14:textId="4B8D2A21" w:rsidR="00FA3CF9" w:rsidRPr="00B06D0A" w:rsidRDefault="00EA5376" w:rsidP="00F94B7E">
      <w:pPr>
        <w:widowControl w:val="0"/>
        <w:overflowPunct w:val="0"/>
        <w:autoSpaceDE w:val="0"/>
        <w:autoSpaceDN w:val="0"/>
        <w:adjustRightInd w:val="0"/>
        <w:rPr>
          <w:rFonts w:ascii="Times New Roman" w:eastAsia="Times New Roman" w:hAnsi="Times New Roman" w:cs="Times New Roman"/>
        </w:rPr>
      </w:pPr>
      <w:bookmarkStart w:id="774" w:name="_Toc518323463"/>
      <w:r w:rsidRPr="00C17A3F">
        <w:rPr>
          <w:rStyle w:val="Heading3Char"/>
          <w:i/>
        </w:rPr>
        <w:t>Dillon v. Legg</w:t>
      </w:r>
      <w:bookmarkEnd w:id="774"/>
      <w:r w:rsidRPr="00B06D0A">
        <w:rPr>
          <w:rFonts w:ascii="Times New Roman" w:eastAsia="Times New Roman" w:hAnsi="Times New Roman" w:cs="Times New Roman"/>
          <w:b/>
          <w:bCs/>
        </w:rPr>
        <w:t>, 441 P.2d 912 (Cal. 1968)</w:t>
      </w:r>
    </w:p>
    <w:p w14:paraId="5BEA9AC9" w14:textId="77777777" w:rsidR="00FA3CF9" w:rsidRPr="00B06D0A" w:rsidRDefault="00FA3CF9" w:rsidP="00F94B7E">
      <w:pPr>
        <w:tabs>
          <w:tab w:val="left" w:pos="456"/>
        </w:tabs>
        <w:rPr>
          <w:rFonts w:ascii="Times New Roman" w:hAnsi="Times New Roman" w:cs="Times New Roman"/>
        </w:rPr>
      </w:pPr>
    </w:p>
    <w:p w14:paraId="4D5F3BAD" w14:textId="3D087497" w:rsidR="00BA1CDA" w:rsidRPr="00F94B7E" w:rsidRDefault="750671CE" w:rsidP="00F94B7E">
      <w:pPr>
        <w:pStyle w:val="NormalWeb"/>
        <w:shd w:val="clear" w:color="auto" w:fill="FFFFFF" w:themeFill="background1"/>
        <w:spacing w:before="0" w:beforeAutospacing="0" w:after="0" w:afterAutospacing="0"/>
        <w:textAlignment w:val="baseline"/>
        <w:rPr>
          <w:rFonts w:ascii="Times New Roman" w:eastAsia="Times New Roman,Cambria" w:hAnsi="Times New Roman"/>
          <w:b/>
          <w:bCs/>
          <w:sz w:val="24"/>
          <w:szCs w:val="24"/>
        </w:rPr>
      </w:pPr>
      <w:r w:rsidRPr="00F94B7E">
        <w:rPr>
          <w:rFonts w:ascii="Times New Roman" w:eastAsia="Times New Roman,Cambria" w:hAnsi="Times New Roman"/>
          <w:smallCaps/>
          <w:sz w:val="24"/>
          <w:szCs w:val="24"/>
        </w:rPr>
        <w:t>Tobriner, J</w:t>
      </w:r>
      <w:r w:rsidRPr="00F94B7E">
        <w:rPr>
          <w:rFonts w:ascii="Times New Roman" w:eastAsia="Times New Roman,Cambria" w:hAnsi="Times New Roman"/>
          <w:b/>
          <w:bCs/>
          <w:sz w:val="24"/>
          <w:szCs w:val="24"/>
        </w:rPr>
        <w:t>.</w:t>
      </w:r>
    </w:p>
    <w:p w14:paraId="4E00C695" w14:textId="77777777" w:rsidR="00BA1CDA" w:rsidRPr="00F349EC" w:rsidRDefault="00BA1CDA" w:rsidP="00F94B7E">
      <w:pPr>
        <w:pStyle w:val="NormalWeb"/>
        <w:shd w:val="clear" w:color="auto" w:fill="FFFFFF"/>
        <w:spacing w:before="0" w:beforeAutospacing="0" w:after="0" w:afterAutospacing="0"/>
        <w:ind w:firstLine="720"/>
        <w:textAlignment w:val="baseline"/>
        <w:rPr>
          <w:rFonts w:ascii="Times New Roman" w:eastAsiaTheme="minorHAnsi" w:hAnsi="Times New Roman"/>
          <w:b/>
          <w:sz w:val="24"/>
          <w:szCs w:val="24"/>
        </w:rPr>
      </w:pPr>
    </w:p>
    <w:p w14:paraId="5240EAA2" w14:textId="59813CA7" w:rsidR="00FA3CF9" w:rsidRPr="00B06D0A" w:rsidRDefault="750671CE"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Fonts w:ascii="Times New Roman" w:eastAsia="Times New Roman" w:hAnsi="Times New Roman"/>
          <w:sz w:val="24"/>
          <w:szCs w:val="24"/>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138221F0" w14:textId="5D89B828"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Nevertheless, past American decisions have barred the mother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recovery. Refusing the mother the right to take her case to the jury, these courts ground their position on an alleged absence of a required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duty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liability. In substance, they say, definition of liability being impossible, denial of liability is the only realistic alternative.</w:t>
      </w:r>
    </w:p>
    <w:p w14:paraId="025CC14B" w14:textId="77777777" w:rsidR="00FA3CF9" w:rsidRPr="00C14ACE"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cstheme="minorBidi"/>
          <w:sz w:val="24"/>
          <w:szCs w:val="24"/>
          <w:bdr w:val="none" w:sz="0" w:space="0" w:color="auto" w:frame="1"/>
        </w:rPr>
      </w:pPr>
    </w:p>
    <w:p w14:paraId="3B700A33" w14:textId="0382FCFA" w:rsidR="00FA3CF9" w:rsidRPr="00B06D0A" w:rsidRDefault="750671CE" w:rsidP="00F94B7E">
      <w:pPr>
        <w:widowControl w:val="0"/>
        <w:overflowPunct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We have concluded that neither of the feared dangers</w:t>
      </w:r>
      <w:r w:rsidRPr="00F94B7E">
        <w:rPr>
          <w:rFonts w:ascii="Times New Roman" w:eastAsia="Times New Roman,Cambria" w:hAnsi="Times New Roman" w:cs="Times New Roman"/>
        </w:rPr>
        <w:t xml:space="preserve"> </w:t>
      </w:r>
      <w:r w:rsidRPr="00F349EC">
        <w:rPr>
          <w:rFonts w:ascii="Times New Roman" w:eastAsia="Times New Roman" w:hAnsi="Times New Roman" w:cs="Times New Roman"/>
        </w:rPr>
        <w:t>excuses the frustration of the natural justice upon which the mother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claim rests. . . . </w:t>
      </w:r>
    </w:p>
    <w:p w14:paraId="544429F5" w14:textId="77777777" w:rsidR="00FA3CF9" w:rsidRPr="00C14ACE"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cstheme="minorBidi"/>
          <w:sz w:val="24"/>
          <w:szCs w:val="24"/>
          <w:bdr w:val="none" w:sz="0" w:space="0" w:color="auto" w:frame="1"/>
        </w:rPr>
      </w:pPr>
    </w:p>
    <w:p w14:paraId="560A8E45" w14:textId="2D27154B"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 the instant case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infant daughter, Erin Lee Dillon, lawfully crossed Bluegrass Road. The complaint further alleged that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negligent operation of his vehicle caused it to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collide with the deceased Erin Lee Dillon resulting in injuries to decedent which proximately resulted in her death.</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 . .</w:t>
      </w:r>
    </w:p>
    <w:p w14:paraId="6E00C6FA"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EDE63D3" w14:textId="0F10F00E"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[Plaintiff brought three causes of action: one for the death of her daughter Erin; a second on behalf of another daughter, Cheryl, for the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great emotional disturbance and shock and injury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her nervous system caused by her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close proximity to</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and personal witnessing of the collision; and a third on her own behalf for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great emotional disturbance and shock and injury to her nervous system</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arising because she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was in close proximity to the . . . collision and personally witnessed said collision.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Defendant moved for judgment on the pleadings as to the second two counts, contending that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B06D0A">
        <w:rPr>
          <w:rStyle w:val="ssrfcpassagedeactivated"/>
          <w:rFonts w:ascii="Times New Roman" w:eastAsia="Times New Roman" w:hAnsi="Times New Roman"/>
          <w:sz w:val="24"/>
          <w:szCs w:val="24"/>
        </w:rPr>
        <w:t xml:space="preserve"> . . . </w:t>
      </w:r>
      <w:r w:rsidRPr="00B06D0A">
        <w:rPr>
          <w:rStyle w:val="ssrfcpassagedeactivated"/>
          <w:rFonts w:ascii="Times New Roman" w:eastAsia="Times New Roman" w:hAnsi="Times New Roman"/>
          <w:sz w:val="24"/>
          <w:szCs w:val="24"/>
          <w:bdr w:val="none" w:sz="0" w:space="0" w:color="auto" w:frame="1"/>
        </w:rPr>
        <w:t xml:space="preserve"> Even where a child, sister or spouse is the object of the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apprehension no cause of action is stated . . . unless the complaint alleges that the plaintiff suffered emotional distress, fright or shock as a result of fear for his own safety.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The trial court sustained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bdr w:val="none" w:sz="0" w:space="0" w:color="auto" w:frame="1"/>
        </w:rPr>
      </w:pPr>
    </w:p>
    <w:p w14:paraId="6C1D8E34" w14:textId="53BE1EDA"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[T]he complaint here presents the claim of the emotionally traumatized mother, who admittedly was</w:t>
      </w:r>
      <w:r w:rsidRPr="00B06D0A">
        <w:rPr>
          <w:rStyle w:val="ssrfcpassagedeactivated"/>
          <w:rFonts w:ascii="Times New Roman" w:eastAsia="Times New Roman" w:hAnsi="Times New Roman"/>
          <w:sz w:val="24"/>
          <w:szCs w:val="24"/>
        </w:rPr>
        <w:t> not </w:t>
      </w:r>
      <w:r w:rsidRPr="00B06D0A">
        <w:rPr>
          <w:rStyle w:val="ssrfcpassagedeactivated"/>
          <w:rFonts w:ascii="Times New Roman" w:eastAsia="Times New Roman" w:hAnsi="Times New Roman"/>
          <w:sz w:val="24"/>
          <w:szCs w:val="24"/>
          <w:bdr w:val="none" w:sz="0" w:space="0" w:color="auto" w:frame="1"/>
        </w:rPr>
        <w:t>within the zone of danger, as contrasted with that of the sister, who</w:t>
      </w:r>
      <w:r w:rsidRPr="00B06D0A">
        <w:rPr>
          <w:rStyle w:val="ssrfcpassagedeactivated"/>
          <w:rFonts w:ascii="Times New Roman" w:eastAsia="Times New Roman" w:hAnsi="Times New Roman"/>
          <w:sz w:val="24"/>
          <w:szCs w:val="24"/>
        </w:rPr>
        <w:t> may have been </w:t>
      </w:r>
      <w:r w:rsidRPr="00B06D0A">
        <w:rPr>
          <w:rStyle w:val="ssrfcpassagedeactivated"/>
          <w:rFonts w:ascii="Times New Roman" w:eastAsia="Times New Roman" w:hAnsi="Times New Roman"/>
          <w:sz w:val="24"/>
          <w:szCs w:val="24"/>
          <w:bdr w:val="none" w:sz="0" w:space="0" w:color="auto" w:frame="1"/>
        </w:rPr>
        <w:t>within it. The case thus illustrates the fallacy of the rule that would deny recovery in the one situation and grant it in the other.</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In the first place, we can hardly justify relief to the sister for trauma which she suffered upon apprehension of the child</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for recovery. The zone-of-danger concept must, then, inevitably collapse because the only reason for the requirement of presence in that zone lies in the fact that one within it will fear the danger of</w:t>
      </w:r>
      <w:r w:rsidRPr="00B06D0A">
        <w:rPr>
          <w:rStyle w:val="ssrfcpassagedeactivated"/>
          <w:rFonts w:ascii="Times New Roman" w:eastAsia="Times New Roman" w:hAnsi="Times New Roman"/>
          <w:sz w:val="24"/>
          <w:szCs w:val="24"/>
        </w:rPr>
        <w:t> impact</w:t>
      </w:r>
      <w:r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 . .</w:t>
      </w:r>
    </w:p>
    <w:p w14:paraId="44E54B5D" w14:textId="77777777" w:rsidR="00FA3CF9" w:rsidRPr="00B06D0A" w:rsidRDefault="00FA3CF9" w:rsidP="00F94B7E">
      <w:pPr>
        <w:pStyle w:val="NormalWeb"/>
        <w:shd w:val="clear" w:color="auto" w:fill="FFFFFF"/>
        <w:spacing w:before="0" w:beforeAutospacing="0" w:after="0" w:afterAutospacing="0"/>
        <w:textAlignment w:val="baseline"/>
        <w:rPr>
          <w:rStyle w:val="ssrfcpassagedeactivated"/>
          <w:rFonts w:ascii="Times New Roman" w:hAnsi="Times New Roman"/>
          <w:sz w:val="24"/>
          <w:szCs w:val="24"/>
          <w:bdr w:val="none" w:sz="0" w:space="0" w:color="auto" w:frame="1"/>
        </w:rPr>
      </w:pPr>
    </w:p>
    <w:p w14:paraId="2B890CF9" w14:textId="3EB1FC8C"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Normally the simple facts of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3B1E7028" w14:textId="5BF6F4E5"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The assertion that liability must nevertheless be denied because defendant bears no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plaintiff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begs the essential question</w:t>
      </w:r>
      <w:r w:rsidR="00832826">
        <w:rPr>
          <w:rFonts w:ascii="Times New Roman" w:eastAsia="Times New Roman" w:hAnsi="Times New Roman"/>
          <w:lang w:eastAsia="en-US"/>
        </w:rPr>
        <w:t>—</w:t>
      </w:r>
      <w:r w:rsidRPr="00B06D0A">
        <w:rPr>
          <w:rStyle w:val="ssrfcpassagedeactivated"/>
          <w:rFonts w:ascii="Times New Roman" w:eastAsia="Times New Roman" w:hAnsi="Times New Roman"/>
          <w:sz w:val="24"/>
          <w:szCs w:val="24"/>
          <w:bdr w:val="none" w:sz="0" w:space="0" w:color="auto" w:frame="1"/>
        </w:rPr>
        <w:t>whether the plaintiff</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interests are entitled to legal protection against the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conduct. . . . It [duty] is a shorthand statement of a conclusion, rather than an aid to analysis in itself. .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(Prosser, Law of Torts, </w:t>
      </w:r>
      <w:r w:rsidRPr="00B06D0A">
        <w:rPr>
          <w:rStyle w:val="ssrfcpassagedeactivated"/>
          <w:rFonts w:ascii="Times New Roman" w:eastAsia="Times New Roman" w:hAnsi="Times New Roman"/>
          <w:sz w:val="24"/>
          <w:szCs w:val="24"/>
        </w:rPr>
        <w:t>supra</w:t>
      </w:r>
      <w:r w:rsidRPr="00B06D0A">
        <w:rPr>
          <w:rStyle w:val="ssrfcpassagedeactivated"/>
          <w:rFonts w:ascii="Times New Roman" w:eastAsia="Times New Roman" w:hAnsi="Times New Roman"/>
          <w:sz w:val="24"/>
          <w:szCs w:val="24"/>
          <w:bdr w:val="none" w:sz="0" w:space="0" w:color="auto" w:frame="1"/>
        </w:rPr>
        <w:t>, at pp. 332-333.)</w:t>
      </w:r>
    </w:p>
    <w:p w14:paraId="19C1927D"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color w:val="333333"/>
          <w:sz w:val="24"/>
          <w:szCs w:val="24"/>
        </w:rPr>
      </w:pPr>
    </w:p>
    <w:p w14:paraId="321D84BA" w14:textId="56FA5B6C"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It must not be forgotten that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duty</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(Fleming, An Introduction to the Law of Torts (1967) p. 47.)</w:t>
      </w:r>
    </w:p>
    <w:p w14:paraId="317999B4"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10A68D5" w14:textId="2C1DE36A" w:rsidR="00FA3CF9" w:rsidRPr="00B06D0A" w:rsidRDefault="00FA3CF9" w:rsidP="00F94B7E">
      <w:pPr>
        <w:pStyle w:val="NormalWeb"/>
        <w:shd w:val="clear" w:color="auto" w:fill="FFFFFF" w:themeFill="background1"/>
        <w:spacing w:before="0" w:beforeAutospacing="0" w:after="0" w:afterAutospacing="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w:t>
      </w:r>
    </w:p>
    <w:p w14:paraId="27647013"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bdr w:val="none" w:sz="0" w:space="0" w:color="auto" w:frame="1"/>
        </w:rPr>
      </w:pPr>
    </w:p>
    <w:p w14:paraId="532C4153" w14:textId="77777777" w:rsidR="00FA3CF9" w:rsidRPr="00B06D0A" w:rsidRDefault="00FA3CF9" w:rsidP="00F94B7E">
      <w:pPr>
        <w:pStyle w:val="NormalWeb"/>
        <w:shd w:val="clear" w:color="auto" w:fill="FFFFFF" w:themeFill="background1"/>
        <w:spacing w:before="0" w:beforeAutospacing="0" w:after="0" w:afterAutospacing="0"/>
        <w:textAlignment w:val="baseline"/>
        <w:rPr>
          <w:rStyle w:val="ssrfcpassagedeactivated"/>
          <w:rFonts w:ascii="Times New Roman" w:eastAsia="Times New Roman" w:hAnsi="Times New Roman"/>
          <w:i/>
          <w:iCs/>
          <w:sz w:val="24"/>
          <w:szCs w:val="24"/>
        </w:rPr>
      </w:pPr>
      <w:r w:rsidRPr="00B06D0A">
        <w:rPr>
          <w:rStyle w:val="ssrfcpassagedeactivated"/>
          <w:rFonts w:ascii="Times New Roman" w:eastAsia="Times New Roman" w:hAnsi="Times New Roman"/>
          <w:sz w:val="24"/>
          <w:szCs w:val="24"/>
          <w:bdr w:val="none" w:sz="0" w:space="0" w:color="auto" w:frame="1"/>
        </w:rPr>
        <w:t>1. </w:t>
      </w:r>
      <w:r w:rsidRPr="00B06D0A">
        <w:rPr>
          <w:rStyle w:val="ssrfcpassagedeactivated"/>
          <w:rFonts w:ascii="Times New Roman" w:eastAsia="Times New Roman" w:hAnsi="Times New Roman"/>
          <w:sz w:val="24"/>
          <w:szCs w:val="24"/>
        </w:rPr>
        <w:t>This court in the past has rejected the argument that we must deny recovery upon a legitimate claim because other fraudulent ones may be urged</w:t>
      </w:r>
      <w:r w:rsidRPr="00B06D0A">
        <w:rPr>
          <w:rStyle w:val="ssrfcpassagedeactivated"/>
          <w:rFonts w:ascii="Times New Roman" w:eastAsia="Times New Roman" w:hAnsi="Times New Roman"/>
          <w:sz w:val="24"/>
          <w:szCs w:val="24"/>
          <w:bdr w:val="none" w:sz="0" w:space="0" w:color="auto" w:frame="1"/>
        </w:rPr>
        <w:t>.</w:t>
      </w:r>
    </w:p>
    <w:p w14:paraId="63D2DE5F"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2BA9DED2" w14:textId="11AA1468"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5DD4273E"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B06D0A" w:rsidRDefault="00FA3CF9" w:rsidP="00F94B7E">
      <w:pPr>
        <w:pStyle w:val="NormalWeb"/>
        <w:shd w:val="clear" w:color="auto" w:fill="FFFFFF"/>
        <w:spacing w:before="0" w:beforeAutospacing="0" w:after="0" w:afterAutospacing="0"/>
        <w:textAlignment w:val="baseline"/>
        <w:rPr>
          <w:rStyle w:val="ssrfcpassagedeactivated"/>
          <w:rFonts w:ascii="Times New Roman" w:hAnsi="Times New Roman"/>
          <w:sz w:val="24"/>
          <w:szCs w:val="24"/>
          <w:bdr w:val="none" w:sz="0" w:space="0" w:color="auto" w:frame="1"/>
        </w:rPr>
      </w:pPr>
    </w:p>
    <w:p w14:paraId="21F247EA"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potentiality arises. . . .</w:t>
      </w:r>
    </w:p>
    <w:p w14:paraId="66BDA549"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147AD416" w14:textId="3E59C65E"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confidence in them by using the broad broom of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administrative convenience</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color w:val="333333"/>
          <w:sz w:val="24"/>
          <w:szCs w:val="24"/>
        </w:rPr>
      </w:pPr>
    </w:p>
    <w:p w14:paraId="42ED1407" w14:textId="77777777" w:rsidR="00FA3CF9" w:rsidRPr="00B06D0A" w:rsidRDefault="00FA3CF9" w:rsidP="00F94B7E">
      <w:pPr>
        <w:pStyle w:val="NormalWeb"/>
        <w:shd w:val="clear" w:color="auto" w:fill="FFFFFF" w:themeFill="background1"/>
        <w:spacing w:before="0" w:beforeAutospacing="0" w:after="0" w:afterAutospacing="0"/>
        <w:textAlignment w:val="baseline"/>
        <w:rPr>
          <w:rStyle w:val="ssrfcpassagedeactivated"/>
          <w:rFonts w:ascii="Times New Roman" w:eastAsia="Times New Roman" w:hAnsi="Times New Roman"/>
          <w:i/>
          <w:iCs/>
          <w:sz w:val="24"/>
          <w:szCs w:val="24"/>
        </w:rPr>
      </w:pPr>
      <w:r w:rsidRPr="00B06D0A">
        <w:rPr>
          <w:rStyle w:val="ssrfcpassagedeactivated"/>
          <w:rFonts w:ascii="Times New Roman" w:eastAsia="Times New Roman" w:hAnsi="Times New Roman"/>
          <w:sz w:val="24"/>
          <w:szCs w:val="24"/>
          <w:bdr w:val="none" w:sz="0" w:space="0" w:color="auto" w:frame="1"/>
        </w:rPr>
        <w:t>2. </w:t>
      </w:r>
      <w:r w:rsidRPr="00B06D0A">
        <w:rPr>
          <w:rStyle w:val="ssrfcpassagedeactivated"/>
          <w:rFonts w:ascii="Times New Roman" w:eastAsia="Times New Roman" w:hAnsi="Times New Roman"/>
          <w:sz w:val="24"/>
          <w:szCs w:val="24"/>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B06D0A">
        <w:rPr>
          <w:rStyle w:val="ssrfcpassagedeactivated"/>
          <w:rFonts w:ascii="Times New Roman" w:eastAsia="Times New Roman" w:hAnsi="Times New Roman"/>
          <w:sz w:val="24"/>
          <w:szCs w:val="24"/>
          <w:bdr w:val="none" w:sz="0" w:space="0" w:color="auto" w:frame="1"/>
        </w:rPr>
        <w:t>.</w:t>
      </w:r>
    </w:p>
    <w:p w14:paraId="1C262750"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7EBEE892"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rPr>
      </w:pPr>
    </w:p>
    <w:p w14:paraId="3395C734" w14:textId="44DD846A"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xml:space="preserve">In the absence of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overriding policy considerations . . . foreseeability of risk [is] of . . . primary importance in establishing the element of duty.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As a classic opinion states:</w:t>
      </w:r>
      <w:r w:rsidRPr="00B06D0A">
        <w:rPr>
          <w:rStyle w:val="ssrfcpassagedeactivated"/>
          <w:rFonts w:ascii="Times New Roman" w:eastAsia="Times New Roman" w:hAnsi="Times New Roman"/>
          <w:sz w:val="24"/>
          <w:szCs w:val="24"/>
        </w:rPr>
        <w:t>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The risk reasonably to be perceived defines the duty to be obeyed. . .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w:t>
      </w:r>
      <w:r w:rsidRPr="00B06D0A">
        <w:rPr>
          <w:rStyle w:val="ssrfcpassagedeactivated"/>
          <w:rFonts w:ascii="Times New Roman" w:eastAsia="Times New Roman" w:hAnsi="Times New Roman"/>
          <w:i/>
          <w:iCs/>
          <w:sz w:val="24"/>
          <w:szCs w:val="24"/>
        </w:rPr>
        <w:t>Palsgraf </w:t>
      </w:r>
      <w:r w:rsidRPr="00B06D0A">
        <w:rPr>
          <w:rStyle w:val="ssrfcpassagedeactivated"/>
          <w:rFonts w:ascii="Times New Roman" w:eastAsia="Times New Roman" w:hAnsi="Times New Roman"/>
          <w:i/>
          <w:iCs/>
          <w:sz w:val="24"/>
          <w:szCs w:val="24"/>
          <w:bdr w:val="none" w:sz="0" w:space="0" w:color="auto" w:frame="1"/>
        </w:rPr>
        <w:t>v.</w:t>
      </w:r>
      <w:r w:rsidRPr="00B06D0A">
        <w:rPr>
          <w:rStyle w:val="ssrfcpassagedeactivated"/>
          <w:rFonts w:ascii="Times New Roman" w:eastAsia="Times New Roman" w:hAnsi="Times New Roman"/>
          <w:i/>
          <w:iCs/>
          <w:sz w:val="24"/>
          <w:szCs w:val="24"/>
        </w:rPr>
        <w:t> Long Island R.R. Co</w:t>
      </w:r>
      <w:r w:rsidRPr="00B06D0A">
        <w:rPr>
          <w:rStyle w:val="ssrfcpassagedeactivated"/>
          <w:rFonts w:ascii="Times New Roman" w:eastAsia="Times New Roman" w:hAnsi="Times New Roman"/>
          <w:sz w:val="24"/>
          <w:szCs w:val="24"/>
          <w:bdr w:val="none" w:sz="0" w:space="0" w:color="auto" w:frame="1"/>
        </w:rPr>
        <w:t>. (1928) . . . [162 N.E. 99].)</w:t>
      </w:r>
      <w:r w:rsidRPr="00B06D0A">
        <w:rPr>
          <w:rStyle w:val="ssrfcpassagedeactivated"/>
          <w:rFonts w:ascii="Times New Roman" w:eastAsia="Times New Roman" w:hAnsi="Times New Roman"/>
          <w:sz w:val="24"/>
          <w:szCs w:val="24"/>
        </w:rPr>
        <w:t> </w:t>
      </w:r>
      <w:r w:rsidRPr="00B06D0A">
        <w:rPr>
          <w:rStyle w:val="ssrfcpassagedeactivated"/>
          <w:rFonts w:ascii="Times New Roman" w:eastAsia="Times New Roman" w:hAnsi="Times New Roman"/>
          <w:sz w:val="24"/>
          <w:szCs w:val="24"/>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Pr>
          <w:rStyle w:val="ssrfcpassagedeactivated"/>
          <w:rFonts w:ascii="Times New Roman" w:eastAsia="Times New Roman" w:hAnsi="Times New Roman"/>
          <w:sz w:val="24"/>
          <w:szCs w:val="24"/>
          <w:bdr w:val="none" w:sz="0" w:space="0" w:color="auto" w:frame="1"/>
        </w:rPr>
        <w:t xml:space="preserve"> </w:t>
      </w:r>
      <w:r w:rsidRPr="00B06D0A">
        <w:rPr>
          <w:rStyle w:val="ssrfcpassagedeactivated"/>
          <w:rFonts w:ascii="Times New Roman" w:eastAsia="Times New Roman" w:hAnsi="Times New Roman"/>
          <w:sz w:val="24"/>
          <w:szCs w:val="24"/>
          <w:bdr w:val="none" w:sz="0" w:space="0" w:color="auto" w:frame="1"/>
        </w:rPr>
        <w:t>. . . )</w:t>
      </w:r>
      <w:r w:rsidR="00F76D69">
        <w:rPr>
          <w:rStyle w:val="ssrfcpassagedeactivated"/>
          <w:rFonts w:ascii="Times New Roman" w:eastAsia="Times New Roman" w:hAnsi="Times New Roman"/>
          <w:sz w:val="24"/>
          <w:szCs w:val="24"/>
          <w:bdr w:val="none" w:sz="0" w:space="0" w:color="auto" w:frame="1"/>
        </w:rPr>
        <w:t>.</w:t>
      </w:r>
    </w:p>
    <w:p w14:paraId="1407D8A8" w14:textId="0ECF1BE5" w:rsidR="00FA3CF9" w:rsidRPr="00B06D0A" w:rsidRDefault="00BA1CDA" w:rsidP="00F94B7E">
      <w:pPr>
        <w:pStyle w:val="NormalWeb"/>
        <w:shd w:val="clear" w:color="auto" w:fill="FFFFFF"/>
        <w:tabs>
          <w:tab w:val="left" w:pos="2640"/>
        </w:tabs>
        <w:spacing w:before="0" w:beforeAutospacing="0" w:after="0" w:afterAutospacing="0"/>
        <w:ind w:firstLine="720"/>
        <w:textAlignment w:val="baseline"/>
        <w:rPr>
          <w:rFonts w:ascii="Times New Roman" w:hAnsi="Times New Roman"/>
          <w:color w:val="333333"/>
          <w:sz w:val="24"/>
          <w:szCs w:val="24"/>
        </w:rPr>
      </w:pPr>
      <w:r w:rsidRPr="00B06D0A">
        <w:rPr>
          <w:rFonts w:ascii="Times New Roman" w:hAnsi="Times New Roman"/>
          <w:color w:val="333333"/>
          <w:sz w:val="24"/>
          <w:szCs w:val="24"/>
        </w:rPr>
        <w:tab/>
      </w:r>
    </w:p>
    <w:p w14:paraId="0C0F5271" w14:textId="0826973B"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We cannot now predetermine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50EF83CD"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0DD3B9F2" w14:textId="5CB064C3" w:rsidR="00FA3CF9" w:rsidRPr="00B06D0A"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The evaluation of these factors will indicate the degree of the defendant</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B06D0A"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hAnsi="Times New Roman"/>
          <w:sz w:val="24"/>
          <w:szCs w:val="24"/>
          <w:bdr w:val="none" w:sz="0" w:space="0" w:color="auto" w:frame="1"/>
        </w:rPr>
      </w:pPr>
    </w:p>
    <w:p w14:paraId="7335806D"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color w:val="333333"/>
          <w:sz w:val="24"/>
          <w:szCs w:val="24"/>
        </w:rPr>
      </w:pPr>
      <w:r w:rsidRPr="00B06D0A">
        <w:rPr>
          <w:rStyle w:val="ssrfcpassagedeactivated"/>
          <w:rFonts w:ascii="Times New Roman" w:eastAsia="Times New Roman" w:hAnsi="Times New Roman"/>
          <w:sz w:val="24"/>
          <w:szCs w:val="24"/>
          <w:bdr w:val="none" w:sz="0" w:space="0" w:color="auto" w:frame="1"/>
        </w:rPr>
        <w:t>In light of these factors the court will determine whether the accident and harm was</w:t>
      </w:r>
      <w:r w:rsidRPr="00B06D0A">
        <w:rPr>
          <w:rStyle w:val="ssrfcpassagedeactivated"/>
          <w:rFonts w:ascii="Times New Roman" w:eastAsia="Times New Roman" w:hAnsi="Times New Roman"/>
          <w:sz w:val="24"/>
          <w:szCs w:val="24"/>
        </w:rPr>
        <w:t xml:space="preserve"> reasonably</w:t>
      </w:r>
      <w:r w:rsidRPr="00B06D0A">
        <w:rPr>
          <w:rStyle w:val="ssrfcpassagedeactivated"/>
          <w:rFonts w:ascii="Times New Roman" w:eastAsia="Times New Roman" w:hAnsi="Times New Roman"/>
          <w:sz w:val="24"/>
          <w:szCs w:val="24"/>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442C68A2" w14:textId="4E92A3A5" w:rsidR="00FA3CF9" w:rsidRPr="00F349EC"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w:t>
      </w:r>
      <w:r w:rsidRPr="00B06D0A">
        <w:rPr>
          <w:rStyle w:val="ssrfcpassagedeactivated"/>
          <w:rFonts w:ascii="Times New Roman" w:eastAsia="Times New Roman" w:hAnsi="Times New Roman"/>
          <w:sz w:val="24"/>
          <w:szCs w:val="24"/>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At first they insisted that there be no recovery</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for emotional trauma at all. . . . They then abandoned the requirement for physical impact but</w:t>
      </w:r>
      <w:r w:rsidRPr="00B06D0A">
        <w:rPr>
          <w:rStyle w:val="sspagshow"/>
          <w:rFonts w:ascii="Times New Roman" w:eastAsia="Times New Roman" w:hAnsi="Times New Roman"/>
          <w:b/>
          <w:bCs/>
          <w:sz w:val="24"/>
          <w:szCs w:val="24"/>
          <w:bdr w:val="none" w:sz="0" w:space="0" w:color="auto" w:frame="1"/>
        </w:rPr>
        <w:t> </w:t>
      </w:r>
      <w:r w:rsidRPr="00B06D0A">
        <w:rPr>
          <w:rStyle w:val="ssrfcpassagedeactivated"/>
          <w:rFonts w:ascii="Times New Roman" w:eastAsia="Times New Roman" w:hAnsi="Times New Roman"/>
          <w:sz w:val="24"/>
          <w:szCs w:val="24"/>
          <w:bdr w:val="none" w:sz="0" w:space="0" w:color="auto" w:frame="1"/>
        </w:rPr>
        <w:t>insisted that the victim fear for her own safety . . . , holding that a mother could recover for fear for her children</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zone of danger,</w:t>
      </w:r>
      <w:r w:rsidR="00B05F31" w:rsidRPr="00B06D0A">
        <w:rPr>
          <w:rStyle w:val="ssrfcpassagedeactivated"/>
          <w:rFonts w:ascii="Times New Roman" w:eastAsia="Times New Roman" w:hAnsi="Times New Roman"/>
          <w:sz w:val="24"/>
          <w:szCs w:val="24"/>
          <w:bdr w:val="none" w:sz="0" w:space="0" w:color="auto" w:frame="1"/>
        </w:rPr>
        <w:t>”</w:t>
      </w:r>
      <w:r w:rsidRPr="00B06D0A">
        <w:rPr>
          <w:rStyle w:val="ssrfcpassagedeactivated"/>
          <w:rFonts w:ascii="Times New Roman" w:eastAsia="Times New Roman" w:hAnsi="Times New Roman"/>
          <w:sz w:val="24"/>
          <w:szCs w:val="24"/>
          <w:bdr w:val="none" w:sz="0" w:space="0" w:color="auto" w:frame="1"/>
        </w:rPr>
        <w:t xml:space="preserve"> but the</w:t>
      </w:r>
      <w:r w:rsidRPr="00F94B7E">
        <w:rPr>
          <w:rStyle w:val="apple-converted-space"/>
          <w:rFonts w:ascii="Times New Roman" w:eastAsia="Times New Roman,Cambria" w:hAnsi="Times New Roman"/>
          <w:sz w:val="24"/>
          <w:szCs w:val="24"/>
          <w:bdr w:val="none" w:sz="0" w:space="0" w:color="auto" w:frame="1"/>
        </w:rPr>
        <w:t> </w:t>
      </w:r>
      <w:r w:rsidRPr="00F349EC">
        <w:rPr>
          <w:rStyle w:val="ssit"/>
          <w:rFonts w:ascii="Times New Roman" w:eastAsia="Times New Roman" w:hAnsi="Times New Roman"/>
          <w:i/>
          <w:iCs/>
          <w:sz w:val="24"/>
          <w:szCs w:val="24"/>
          <w:bdr w:val="none" w:sz="0" w:space="0" w:color="auto" w:frame="1"/>
        </w:rPr>
        <w:t>mother</w:t>
      </w:r>
      <w:r w:rsidRPr="00F349EC">
        <w:rPr>
          <w:rStyle w:val="ssrfcpassagedeactivated"/>
          <w:rFonts w:ascii="Times New Roman" w:eastAsia="Times New Roman" w:hAnsi="Times New Roman"/>
          <w:sz w:val="24"/>
          <w:szCs w:val="24"/>
          <w:bdr w:val="none" w:sz="0" w:space="0" w:color="auto" w:frame="1"/>
        </w:rPr>
        <w:t>, not far distant, would be barred from recovery.</w:t>
      </w:r>
    </w:p>
    <w:p w14:paraId="76B6E983"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B06D0A" w:rsidRDefault="750671CE" w:rsidP="00F94B7E">
      <w:pPr>
        <w:pStyle w:val="NormalWeb"/>
        <w:shd w:val="clear" w:color="auto" w:fill="FFFFFF" w:themeFill="background1"/>
        <w:spacing w:before="240" w:beforeAutospacing="0" w:after="0" w:afterAutospacing="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The judgment is reversed.</w:t>
      </w:r>
    </w:p>
    <w:p w14:paraId="635179B8" w14:textId="77777777" w:rsidR="00FA3CF9" w:rsidRPr="00B06D0A" w:rsidRDefault="00FA3CF9" w:rsidP="00F94B7E">
      <w:pPr>
        <w:pStyle w:val="NormalWeb"/>
        <w:shd w:val="clear" w:color="auto" w:fill="FFFFFF"/>
        <w:spacing w:before="240" w:beforeAutospacing="0" w:after="0" w:afterAutospacing="0"/>
        <w:textAlignment w:val="baseline"/>
        <w:rPr>
          <w:rFonts w:ascii="Times New Roman" w:hAnsi="Times New Roman"/>
          <w:color w:val="333333"/>
          <w:sz w:val="24"/>
          <w:szCs w:val="24"/>
        </w:rPr>
      </w:pPr>
    </w:p>
    <w:p w14:paraId="47B76128"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color w:val="333333"/>
          <w:sz w:val="24"/>
          <w:szCs w:val="24"/>
        </w:rPr>
      </w:pPr>
    </w:p>
    <w:p w14:paraId="2139AA9A" w14:textId="5A11BEE3" w:rsidR="00FA3CF9" w:rsidRPr="00A559C4" w:rsidRDefault="004F576C" w:rsidP="002502CC">
      <w:pPr>
        <w:pStyle w:val="Heading4"/>
      </w:pPr>
      <w:bookmarkStart w:id="775" w:name="_Toc364636221"/>
      <w:bookmarkStart w:id="776" w:name="_Toc518323464"/>
      <w:r w:rsidRPr="00C14ACE">
        <w:t>Notes</w:t>
      </w:r>
      <w:bookmarkEnd w:id="775"/>
      <w:bookmarkEnd w:id="776"/>
    </w:p>
    <w:p w14:paraId="75D50066" w14:textId="77777777" w:rsidR="004F576C" w:rsidRDefault="004F576C" w:rsidP="00F349EC">
      <w:pPr>
        <w:rPr>
          <w:rFonts w:ascii="Times New Roman" w:hAnsi="Times New Roman" w:cs="Times New Roman"/>
          <w:lang w:eastAsia="en-US"/>
        </w:rPr>
      </w:pPr>
    </w:p>
    <w:p w14:paraId="71F0023E" w14:textId="77777777" w:rsidR="00374CF4" w:rsidRPr="00F94B7E" w:rsidRDefault="00374CF4" w:rsidP="00F349EC">
      <w:pPr>
        <w:rPr>
          <w:rFonts w:ascii="Times New Roman" w:hAnsi="Times New Roman" w:cs="Times New Roman"/>
          <w:lang w:eastAsia="en-US"/>
        </w:rPr>
      </w:pPr>
    </w:p>
    <w:p w14:paraId="3C5293FD" w14:textId="1FD2D10E" w:rsidR="00FA3CF9" w:rsidRPr="00F94B7E" w:rsidRDefault="750671CE" w:rsidP="00F94B7E">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The triumph of foreseeability.</w:t>
      </w:r>
      <w:r w:rsidRPr="00F94B7E">
        <w:rPr>
          <w:rFonts w:ascii="Times New Roman" w:eastAsia="Times New Roman" w:hAnsi="Times New Roman" w:cs="Times New Roman"/>
        </w:rPr>
        <w:t xml:space="preserve">  Consider the relationship between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and the </w:t>
      </w:r>
      <w:r w:rsidRPr="00F94B7E">
        <w:rPr>
          <w:rFonts w:ascii="Times New Roman" w:eastAsia="Times New Roman" w:hAnsi="Times New Roman" w:cs="Times New Roman"/>
          <w:i/>
          <w:iCs/>
        </w:rPr>
        <w:t>Rowland</w:t>
      </w:r>
      <w:r w:rsidRPr="00F94B7E">
        <w:rPr>
          <w:rFonts w:ascii="Times New Roman" w:eastAsia="Times New Roman" w:hAnsi="Times New Roman" w:cs="Times New Roman"/>
        </w:rPr>
        <w:t xml:space="preserve"> case, which we read in the materials on landowners and occupiers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liability.  Each aims to replace a long-standing common law rule with a generalized foreseeability approach.  </w:t>
      </w:r>
    </w:p>
    <w:p w14:paraId="470413AC" w14:textId="77777777" w:rsidR="00FA3CF9" w:rsidRDefault="00FA3CF9">
      <w:pPr>
        <w:rPr>
          <w:rFonts w:ascii="Times New Roman" w:hAnsi="Times New Roman" w:cs="Times New Roman"/>
        </w:rPr>
      </w:pPr>
    </w:p>
    <w:p w14:paraId="05298912" w14:textId="77777777" w:rsidR="00374CF4" w:rsidRPr="00B06D0A" w:rsidRDefault="00374CF4">
      <w:pPr>
        <w:rPr>
          <w:rFonts w:ascii="Times New Roman" w:hAnsi="Times New Roman" w:cs="Times New Roman"/>
        </w:rPr>
      </w:pPr>
    </w:p>
    <w:p w14:paraId="02738142" w14:textId="3238D400" w:rsidR="00FA3CF9" w:rsidRPr="00B06D0A" w:rsidRDefault="750671CE" w:rsidP="00F94B7E">
      <w:pPr>
        <w:pStyle w:val="ListParagraph"/>
        <w:numPr>
          <w:ilvl w:val="0"/>
          <w:numId w:val="115"/>
        </w:numPr>
        <w:ind w:left="0" w:firstLine="360"/>
        <w:rPr>
          <w:rFonts w:ascii="Times New Roman" w:eastAsia="Times New Roman" w:hAnsi="Times New Roman" w:cs="Times New Roman"/>
        </w:rPr>
      </w:pPr>
      <w:r w:rsidRPr="00B06D0A">
        <w:rPr>
          <w:rFonts w:ascii="Times New Roman" w:eastAsia="Times New Roman" w:hAnsi="Times New Roman" w:cs="Times New Roman"/>
          <w:i/>
          <w:iCs/>
        </w:rPr>
        <w:t>Landmarks in the featureless generality of foreseeability</w:t>
      </w:r>
      <w:r w:rsidRPr="00B06D0A">
        <w:rPr>
          <w:rFonts w:ascii="Times New Roman" w:eastAsia="Times New Roman" w:hAnsi="Times New Roman" w:cs="Times New Roman"/>
        </w:rPr>
        <w:t xml:space="preserve">.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B06D0A" w:rsidRDefault="00FA3CF9">
      <w:pPr>
        <w:pStyle w:val="ListParagraph"/>
        <w:ind w:left="0"/>
        <w:rPr>
          <w:rFonts w:ascii="Times New Roman" w:hAnsi="Times New Roman" w:cs="Times New Roman"/>
        </w:rPr>
      </w:pPr>
    </w:p>
    <w:p w14:paraId="3F1792E7" w14:textId="64A86148" w:rsidR="00FA3CF9" w:rsidRPr="00B06D0A" w:rsidRDefault="750671CE">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For forty-five years, California courts have struggled to apply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of time, space, and relationship.  The goal of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was to eliminate the arbitrary distinctions between cases where recovery is permitted and cases where it is not.  But some observers argue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factors have reintroduced the very arbitrary distinctions the court aimed to banish from the law.  Consider that a father who witnesses his child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stillbirth as a result of negligent medical care may recover, </w:t>
      </w:r>
      <w:r w:rsidRPr="00B06D0A">
        <w:rPr>
          <w:rFonts w:ascii="Times New Roman" w:eastAsia="Times New Roman" w:hAnsi="Times New Roman" w:cs="Times New Roman"/>
          <w:i/>
          <w:iCs/>
        </w:rPr>
        <w:t>see Austin v. Regents of Univ. of Cal.</w:t>
      </w:r>
      <w:r w:rsidRPr="00B06D0A">
        <w:rPr>
          <w:rFonts w:ascii="Times New Roman" w:eastAsia="Times New Roman" w:hAnsi="Times New Roman" w:cs="Times New Roman"/>
        </w:rPr>
        <w:t xml:space="preserve">, 89 Cal. App. 3d 354 (1979), but that a father who receives real-time knowledge that his newborn baby has been delivered stillborn but does not witness the delivery cannot recover, </w:t>
      </w:r>
      <w:r w:rsidRPr="00B06D0A">
        <w:rPr>
          <w:rFonts w:ascii="Times New Roman" w:eastAsia="Times New Roman" w:hAnsi="Times New Roman" w:cs="Times New Roman"/>
          <w:i/>
          <w:iCs/>
        </w:rPr>
        <w:t>see Justus v. Atchinson</w:t>
      </w:r>
      <w:r w:rsidRPr="00B06D0A">
        <w:rPr>
          <w:rFonts w:ascii="Times New Roman" w:eastAsia="Times New Roman" w:hAnsi="Times New Roman" w:cs="Times New Roman"/>
        </w:rPr>
        <w:t xml:space="preserve">, 565 P.2d 122 (Cal. 1977). Nor can a mother who watches her daughter die as a result of a negligent misdiagnosis she did not observe, </w:t>
      </w:r>
      <w:r w:rsidRPr="00B06D0A">
        <w:rPr>
          <w:rFonts w:ascii="Times New Roman" w:eastAsia="Times New Roman" w:hAnsi="Times New Roman" w:cs="Times New Roman"/>
          <w:i/>
          <w:iCs/>
        </w:rPr>
        <w:t>see Jansen v. Children</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Hosp. Med. Ctr.</w:t>
      </w:r>
      <w:r w:rsidRPr="00B06D0A">
        <w:rPr>
          <w:rFonts w:ascii="Times New Roman" w:eastAsia="Times New Roman" w:hAnsi="Times New Roman" w:cs="Times New Roman"/>
        </w:rPr>
        <w:t xml:space="preserve">, 31 Cal. App. 3d 22 (1973).  A mother who arrives at the scene seconds after her son is injured in an explosion can recover, </w:t>
      </w:r>
      <w:r w:rsidRPr="00B06D0A">
        <w:rPr>
          <w:rFonts w:ascii="Times New Roman" w:eastAsia="Times New Roman" w:hAnsi="Times New Roman" w:cs="Times New Roman"/>
          <w:i/>
          <w:iCs/>
        </w:rPr>
        <w:t>see Archibald v. Braverman</w:t>
      </w:r>
      <w:r w:rsidRPr="00B06D0A">
        <w:rPr>
          <w:rFonts w:ascii="Times New Roman" w:eastAsia="Times New Roman" w:hAnsi="Times New Roman" w:cs="Times New Roman"/>
        </w:rPr>
        <w:t xml:space="preserve">, 275 Cal. App. 2d 253 (1969), but parents who arrive at the scene of a car accident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seconds after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their daughters were killed cannot, </w:t>
      </w:r>
      <w:r w:rsidRPr="00B06D0A">
        <w:rPr>
          <w:rFonts w:ascii="Times New Roman" w:eastAsia="Times New Roman" w:hAnsi="Times New Roman" w:cs="Times New Roman"/>
          <w:i/>
          <w:iCs/>
        </w:rPr>
        <w:t>see Parsons v. Superior Court</w:t>
      </w:r>
      <w:r w:rsidRPr="00B06D0A">
        <w:rPr>
          <w:rFonts w:ascii="Times New Roman" w:eastAsia="Times New Roman" w:hAnsi="Times New Roman" w:cs="Times New Roman"/>
        </w:rPr>
        <w:t xml:space="preserve">, 81 Cal. App. 3d 506 (1978). Nor can a mother who arrives at the scene of a car accident five minutes after her infant daughter dies, </w:t>
      </w:r>
      <w:r w:rsidRPr="00B06D0A">
        <w:rPr>
          <w:rFonts w:ascii="Times New Roman" w:eastAsia="Times New Roman" w:hAnsi="Times New Roman" w:cs="Times New Roman"/>
          <w:i/>
          <w:iCs/>
        </w:rPr>
        <w:t>see Arauz v. Gerhardt</w:t>
      </w:r>
      <w:r w:rsidRPr="00B06D0A">
        <w:rPr>
          <w:rFonts w:ascii="Times New Roman" w:eastAsia="Times New Roman" w:hAnsi="Times New Roman" w:cs="Times New Roman"/>
        </w:rPr>
        <w:t xml:space="preserve">, 68 Cal. App. 3d 937 (1977). Is there any good reason to doubt the emotional trauma experienced by any of these emotional distress plaintiffs? </w:t>
      </w:r>
    </w:p>
    <w:p w14:paraId="066B6ECE" w14:textId="77777777" w:rsidR="00FA3CF9" w:rsidRPr="00B06D0A" w:rsidRDefault="00FA3CF9">
      <w:pPr>
        <w:pStyle w:val="ListParagraph"/>
        <w:ind w:left="0"/>
        <w:rPr>
          <w:rFonts w:ascii="Times New Roman" w:hAnsi="Times New Roman" w:cs="Times New Roman"/>
        </w:rPr>
      </w:pPr>
    </w:p>
    <w:p w14:paraId="628681DE" w14:textId="77777777" w:rsidR="00FA3CF9" w:rsidRPr="00B06D0A" w:rsidRDefault="750671CE">
      <w:pPr>
        <w:pStyle w:val="ListParagraph"/>
        <w:ind w:left="0" w:firstLine="720"/>
        <w:rPr>
          <w:rFonts w:ascii="Times New Roman" w:eastAsia="Times New Roman" w:hAnsi="Times New Roman" w:cs="Times New Roman"/>
        </w:rPr>
      </w:pPr>
      <w:r w:rsidRPr="00B06D0A">
        <w:rPr>
          <w:rFonts w:ascii="Times New Roman" w:eastAsia="Times New Roman" w:hAnsi="Times New Roman" w:cs="Times New Roman"/>
        </w:rPr>
        <w:t xml:space="preserve">Twenty years after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was decided, the California Supreme Court announced that the </w:t>
      </w:r>
      <w:r w:rsidRPr="00B06D0A">
        <w:rPr>
          <w:rFonts w:ascii="Times New Roman" w:eastAsia="Times New Roman" w:hAnsi="Times New Roman" w:cs="Times New Roman"/>
          <w:i/>
          <w:iCs/>
        </w:rPr>
        <w:t xml:space="preserve">Dillon </w:t>
      </w:r>
      <w:r w:rsidRPr="00B06D0A">
        <w:rPr>
          <w:rFonts w:ascii="Times New Roman" w:eastAsia="Times New Roman" w:hAnsi="Times New Roman" w:cs="Times New Roman"/>
        </w:rPr>
        <w:t xml:space="preserve">factors ought to be viewed as rules so as to achieve predictability and consistency in future negligent infliction of emotional distress cases.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Thing v. La Chusa</w:t>
      </w:r>
      <w:r w:rsidRPr="00B06D0A">
        <w:rPr>
          <w:rFonts w:ascii="Times New Roman" w:eastAsia="Times New Roman" w:hAnsi="Times New Roman" w:cs="Times New Roman"/>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court described as arbitrary?  Do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La Chusa</w:t>
      </w:r>
      <w:r w:rsidRPr="00B06D0A">
        <w:rPr>
          <w:rFonts w:ascii="Times New Roman" w:eastAsia="Times New Roman" w:hAnsi="Times New Roman" w:cs="Times New Roman"/>
        </w:rPr>
        <w:t xml:space="preserve"> simply rebuild another Maginot Line?  For the first generation of post-</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cases, see George W. VanDeWeghe, Jr., </w:t>
      </w:r>
      <w:r w:rsidRPr="00B06D0A">
        <w:rPr>
          <w:rFonts w:ascii="Times New Roman" w:eastAsia="Times New Roman" w:hAnsi="Times New Roman" w:cs="Times New Roman"/>
          <w:i/>
          <w:iCs/>
        </w:rPr>
        <w:t>California Continues to Struggle with Bystander Claims for Negligent Infliction of Emotional Distress: Thing v. La Chusa</w:t>
      </w:r>
      <w:r w:rsidRPr="00B06D0A">
        <w:rPr>
          <w:rFonts w:ascii="Times New Roman" w:eastAsia="Times New Roman" w:hAnsi="Times New Roman" w:cs="Times New Roman"/>
        </w:rPr>
        <w:t xml:space="preserve">, 24 </w:t>
      </w:r>
      <w:r w:rsidRPr="00B06D0A">
        <w:rPr>
          <w:rFonts w:ascii="Times New Roman" w:eastAsia="Times New Roman" w:hAnsi="Times New Roman" w:cs="Times New Roman"/>
          <w:smallCaps/>
        </w:rPr>
        <w:t>Loy. L. Rev.</w:t>
      </w:r>
      <w:r w:rsidRPr="00B06D0A">
        <w:rPr>
          <w:rFonts w:ascii="Times New Roman" w:eastAsia="Times New Roman" w:hAnsi="Times New Roman" w:cs="Times New Roman"/>
        </w:rPr>
        <w:t xml:space="preserve"> 89, 93-96 (1990).</w:t>
      </w:r>
    </w:p>
    <w:p w14:paraId="5D3101DB" w14:textId="77777777" w:rsidR="00FA3CF9" w:rsidRPr="00B06D0A" w:rsidRDefault="00FA3CF9">
      <w:pPr>
        <w:pStyle w:val="ListParagraph"/>
        <w:ind w:left="0" w:firstLine="720"/>
        <w:rPr>
          <w:rFonts w:ascii="Times New Roman" w:hAnsi="Times New Roman" w:cs="Times New Roman"/>
        </w:rPr>
      </w:pPr>
    </w:p>
    <w:p w14:paraId="3C211117" w14:textId="77777777" w:rsidR="00FA3CF9" w:rsidRPr="00B06D0A" w:rsidRDefault="00FA3CF9">
      <w:pPr>
        <w:rPr>
          <w:rFonts w:ascii="Times New Roman" w:hAnsi="Times New Roman" w:cs="Times New Roman"/>
        </w:rPr>
      </w:pPr>
    </w:p>
    <w:p w14:paraId="5B9973B9" w14:textId="6744465C" w:rsidR="00FA3CF9" w:rsidRPr="00F94B7E" w:rsidRDefault="750671CE" w:rsidP="00F94B7E">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Cs/>
        </w:rPr>
        <w:t>Dillon</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reception</w:t>
      </w:r>
      <w:r w:rsidRPr="00F94B7E">
        <w:rPr>
          <w:rFonts w:ascii="Times New Roman" w:eastAsia="Times New Roman" w:hAnsi="Times New Roman" w:cs="Times New Roman"/>
        </w:rPr>
        <w:t xml:space="preserve">.  Currently, thirty-one states have adopted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bystander proximity test in adjudicating negligent infliction of emotional distress claims: Alaska, </w:t>
      </w:r>
      <w:r w:rsidRPr="00F94B7E">
        <w:rPr>
          <w:rFonts w:ascii="Times New Roman" w:eastAsia="Times New Roman" w:hAnsi="Times New Roman" w:cs="Times New Roman"/>
          <w:i/>
          <w:iCs/>
        </w:rPr>
        <w:t>Tommy</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Elbow Room, Inc. v. Kavorkian</w:t>
      </w:r>
      <w:r w:rsidRPr="00F94B7E">
        <w:rPr>
          <w:rFonts w:ascii="Times New Roman" w:eastAsia="Times New Roman" w:hAnsi="Times New Roman" w:cs="Times New Roman"/>
        </w:rPr>
        <w:t xml:space="preserve">, 727 P.2d 1038 (Alaska 1986); Arizona, </w:t>
      </w:r>
      <w:r w:rsidRPr="00F94B7E">
        <w:rPr>
          <w:rFonts w:ascii="Times New Roman" w:eastAsia="Times New Roman" w:hAnsi="Times New Roman" w:cs="Times New Roman"/>
          <w:i/>
          <w:iCs/>
        </w:rPr>
        <w:t>Keck v. Jackson</w:t>
      </w:r>
      <w:r w:rsidRPr="00F94B7E">
        <w:rPr>
          <w:rFonts w:ascii="Times New Roman" w:eastAsia="Times New Roman" w:hAnsi="Times New Roman" w:cs="Times New Roman"/>
        </w:rPr>
        <w:t xml:space="preserve">, 593 P.2d 668 (Ariz. 1979) (en banc); California, </w:t>
      </w:r>
      <w:r w:rsidRPr="00F94B7E">
        <w:rPr>
          <w:rFonts w:ascii="Times New Roman" w:eastAsia="Times New Roman" w:hAnsi="Times New Roman" w:cs="Times New Roman"/>
          <w:i/>
          <w:iCs/>
        </w:rPr>
        <w:t>Thing v. La Chusa</w:t>
      </w:r>
      <w:r w:rsidRPr="00F94B7E">
        <w:rPr>
          <w:rFonts w:ascii="Times New Roman" w:eastAsia="Times New Roman" w:hAnsi="Times New Roman" w:cs="Times New Roman"/>
        </w:rPr>
        <w:t xml:space="preserve">, 771 P.2d 814, 827 (Cal. 1989) (en banc); Connecticut, </w:t>
      </w:r>
      <w:r w:rsidRPr="00F94B7E">
        <w:rPr>
          <w:rFonts w:ascii="Times New Roman" w:eastAsia="Times New Roman" w:hAnsi="Times New Roman" w:cs="Times New Roman"/>
          <w:i/>
          <w:iCs/>
        </w:rPr>
        <w:t>Carrol v. Allstate Ins. Co.</w:t>
      </w:r>
      <w:r w:rsidRPr="00F94B7E">
        <w:rPr>
          <w:rFonts w:ascii="Times New Roman" w:eastAsia="Times New Roman" w:hAnsi="Times New Roman" w:cs="Times New Roman"/>
        </w:rPr>
        <w:t xml:space="preserve">, 815 A.2d 119 (Conn. 2003); Florida, </w:t>
      </w:r>
      <w:r w:rsidRPr="00F94B7E">
        <w:rPr>
          <w:rFonts w:ascii="Times New Roman" w:eastAsia="Times New Roman" w:hAnsi="Times New Roman" w:cs="Times New Roman"/>
          <w:i/>
          <w:iCs/>
        </w:rPr>
        <w:t>Champion v. Gray</w:t>
      </w:r>
      <w:r w:rsidRPr="00F94B7E">
        <w:rPr>
          <w:rFonts w:ascii="Times New Roman" w:eastAsia="Times New Roman" w:hAnsi="Times New Roman" w:cs="Times New Roman"/>
        </w:rPr>
        <w:t xml:space="preserve">, 478 So. 2d 17 (Fla. 1985); Hawaii, </w:t>
      </w:r>
      <w:r w:rsidRPr="00F94B7E">
        <w:rPr>
          <w:rFonts w:ascii="Times New Roman" w:eastAsia="Times New Roman" w:hAnsi="Times New Roman" w:cs="Times New Roman"/>
          <w:i/>
          <w:iCs/>
        </w:rPr>
        <w:t>Rodrigues v. State</w:t>
      </w:r>
      <w:r w:rsidRPr="00F94B7E">
        <w:rPr>
          <w:rFonts w:ascii="Times New Roman" w:eastAsia="Times New Roman" w:hAnsi="Times New Roman" w:cs="Times New Roman"/>
        </w:rPr>
        <w:t xml:space="preserve">, 472 P.2d 509 (Haw. 1970); Indiana, </w:t>
      </w:r>
      <w:r w:rsidRPr="00F94B7E">
        <w:rPr>
          <w:rFonts w:ascii="Times New Roman" w:eastAsia="Times New Roman" w:hAnsi="Times New Roman" w:cs="Times New Roman"/>
          <w:i/>
          <w:iCs/>
        </w:rPr>
        <w:t>Groves v. Taylor</w:t>
      </w:r>
      <w:r w:rsidRPr="00F94B7E">
        <w:rPr>
          <w:rFonts w:ascii="Times New Roman" w:eastAsia="Times New Roman" w:hAnsi="Times New Roman" w:cs="Times New Roman"/>
        </w:rPr>
        <w:t xml:space="preserve">, 729 N.E.2d 569 (Ind. 2000); Iowa, </w:t>
      </w:r>
      <w:r w:rsidRPr="00F94B7E">
        <w:rPr>
          <w:rFonts w:ascii="Times New Roman" w:eastAsia="Times New Roman" w:hAnsi="Times New Roman" w:cs="Times New Roman"/>
          <w:i/>
          <w:iCs/>
        </w:rPr>
        <w:t>Barnill v. Davis</w:t>
      </w:r>
      <w:r w:rsidRPr="00F94B7E">
        <w:rPr>
          <w:rFonts w:ascii="Times New Roman" w:eastAsia="Times New Roman" w:hAnsi="Times New Roman" w:cs="Times New Roman"/>
        </w:rPr>
        <w:t xml:space="preserve">, 300 N.W.2d 104 (Iowa 1981); Kentucky, </w:t>
      </w:r>
      <w:r w:rsidRPr="00F94B7E">
        <w:rPr>
          <w:rFonts w:ascii="Times New Roman" w:eastAsia="Times New Roman" w:hAnsi="Times New Roman" w:cs="Times New Roman"/>
          <w:i/>
          <w:iCs/>
        </w:rPr>
        <w:t>Osborne v. Keeney</w:t>
      </w:r>
      <w:r w:rsidRPr="00F94B7E">
        <w:rPr>
          <w:rFonts w:ascii="Times New Roman" w:eastAsia="Times New Roman" w:hAnsi="Times New Roman" w:cs="Times New Roman"/>
        </w:rPr>
        <w:t xml:space="preserve">, 399 S.W.3d 1 (Ky. 2012); Louisiana, </w:t>
      </w:r>
      <w:r w:rsidRPr="00F94B7E">
        <w:rPr>
          <w:rFonts w:ascii="Times New Roman" w:eastAsia="Times New Roman" w:hAnsi="Times New Roman" w:cs="Times New Roman"/>
          <w:i/>
          <w:iCs/>
        </w:rPr>
        <w:t>Maney v. Evans</w:t>
      </w:r>
      <w:r w:rsidRPr="00F94B7E">
        <w:rPr>
          <w:rFonts w:ascii="Times New Roman" w:eastAsia="Times New Roman" w:hAnsi="Times New Roman" w:cs="Times New Roman"/>
        </w:rPr>
        <w:t xml:space="preserve">, 780 So. 2d 1136 (La. Ct. App. 2001); Maine, </w:t>
      </w:r>
      <w:r w:rsidRPr="00F94B7E">
        <w:rPr>
          <w:rFonts w:ascii="Times New Roman" w:eastAsia="Times New Roman" w:hAnsi="Times New Roman" w:cs="Times New Roman"/>
          <w:i/>
          <w:iCs/>
        </w:rPr>
        <w:t>Michaud v. Great N. Nekoosa Corp</w:t>
      </w:r>
      <w:r w:rsidRPr="00F94B7E">
        <w:rPr>
          <w:rFonts w:ascii="Times New Roman" w:eastAsia="Times New Roman" w:hAnsi="Times New Roman" w:cs="Times New Roman"/>
        </w:rPr>
        <w:t xml:space="preserve">., 715 A.2d 955 (Me. 1998); Massachusetts, </w:t>
      </w:r>
      <w:r w:rsidRPr="00F94B7E">
        <w:rPr>
          <w:rFonts w:ascii="Times New Roman" w:eastAsia="Times New Roman" w:hAnsi="Times New Roman" w:cs="Times New Roman"/>
          <w:i/>
          <w:iCs/>
        </w:rPr>
        <w:t>Migliori v. Airborne Freight Corp.</w:t>
      </w:r>
      <w:r w:rsidRPr="00F94B7E">
        <w:rPr>
          <w:rFonts w:ascii="Times New Roman" w:eastAsia="Times New Roman" w:hAnsi="Times New Roman" w:cs="Times New Roman"/>
        </w:rPr>
        <w:t xml:space="preserve">, 690 N.E.2d 413 (Mass. 1998); Michigan, </w:t>
      </w:r>
      <w:r w:rsidRPr="00F94B7E">
        <w:rPr>
          <w:rFonts w:ascii="Times New Roman" w:eastAsia="Times New Roman" w:hAnsi="Times New Roman" w:cs="Times New Roman"/>
          <w:i/>
          <w:iCs/>
        </w:rPr>
        <w:t>Hesse v. Ashland Oil, Inc.</w:t>
      </w:r>
      <w:r w:rsidRPr="00F94B7E">
        <w:rPr>
          <w:rFonts w:ascii="Times New Roman" w:eastAsia="Times New Roman" w:hAnsi="Times New Roman" w:cs="Times New Roman"/>
        </w:rPr>
        <w:t xml:space="preserve">, 642 N.W.2d 330 (Mich. 2002); Mississippi, </w:t>
      </w:r>
      <w:r w:rsidRPr="00F94B7E">
        <w:rPr>
          <w:rFonts w:ascii="Times New Roman" w:eastAsia="Times New Roman" w:hAnsi="Times New Roman" w:cs="Times New Roman"/>
          <w:i/>
          <w:iCs/>
        </w:rPr>
        <w:t>Entex, Inc. v. McGuire</w:t>
      </w:r>
      <w:r w:rsidRPr="00F94B7E">
        <w:rPr>
          <w:rFonts w:ascii="Times New Roman" w:eastAsia="Times New Roman" w:hAnsi="Times New Roman" w:cs="Times New Roman"/>
        </w:rPr>
        <w:t xml:space="preserve">, 414 So. 2d 437 (Miss. 1982); Montana, </w:t>
      </w:r>
      <w:r w:rsidRPr="00F94B7E">
        <w:rPr>
          <w:rFonts w:ascii="Times New Roman" w:eastAsia="Times New Roman" w:hAnsi="Times New Roman" w:cs="Times New Roman"/>
          <w:i/>
          <w:iCs/>
        </w:rPr>
        <w:t>Versland v. Caron Transp.</w:t>
      </w:r>
      <w:r w:rsidRPr="00F94B7E">
        <w:rPr>
          <w:rFonts w:ascii="Times New Roman" w:eastAsia="Times New Roman" w:hAnsi="Times New Roman" w:cs="Times New Roman"/>
        </w:rPr>
        <w:t xml:space="preserve">, 671 P.2d 583 (Mont. 1983); Nebraska, </w:t>
      </w:r>
      <w:r w:rsidRPr="00F94B7E">
        <w:rPr>
          <w:rFonts w:ascii="Times New Roman" w:eastAsia="Times New Roman" w:hAnsi="Times New Roman" w:cs="Times New Roman"/>
          <w:i/>
          <w:iCs/>
        </w:rPr>
        <w:t>Vosburg v. Cenex-Land O</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Lakes Agronomy Co.</w:t>
      </w:r>
      <w:r w:rsidRPr="00F94B7E">
        <w:rPr>
          <w:rFonts w:ascii="Times New Roman" w:eastAsia="Times New Roman" w:hAnsi="Times New Roman" w:cs="Times New Roman"/>
        </w:rPr>
        <w:t xml:space="preserve">, 513 N.W.2d 870 (Neb. 1994); Nevada, </w:t>
      </w:r>
      <w:r w:rsidRPr="00F94B7E">
        <w:rPr>
          <w:rFonts w:ascii="Times New Roman" w:eastAsia="Times New Roman" w:hAnsi="Times New Roman" w:cs="Times New Roman"/>
          <w:i/>
          <w:iCs/>
        </w:rPr>
        <w:t>State v. Eaton</w:t>
      </w:r>
      <w:r w:rsidRPr="00F94B7E">
        <w:rPr>
          <w:rFonts w:ascii="Times New Roman" w:eastAsia="Times New Roman" w:hAnsi="Times New Roman" w:cs="Times New Roman"/>
        </w:rPr>
        <w:t xml:space="preserve">, 710 P.2d 1370 (Nev. 1985); New Hampshire, </w:t>
      </w:r>
      <w:r w:rsidRPr="00F94B7E">
        <w:rPr>
          <w:rFonts w:ascii="Times New Roman" w:eastAsia="Times New Roman" w:hAnsi="Times New Roman" w:cs="Times New Roman"/>
          <w:i/>
          <w:iCs/>
        </w:rPr>
        <w:t>Graves v. Estabrook</w:t>
      </w:r>
      <w:r w:rsidRPr="00F94B7E">
        <w:rPr>
          <w:rFonts w:ascii="Times New Roman" w:eastAsia="Times New Roman" w:hAnsi="Times New Roman" w:cs="Times New Roman"/>
        </w:rPr>
        <w:t xml:space="preserve">, 818 A.2d 1255 (N.H. 2003); New Jersey, </w:t>
      </w:r>
      <w:r w:rsidRPr="00F94B7E">
        <w:rPr>
          <w:rFonts w:ascii="Times New Roman" w:eastAsia="Times New Roman" w:hAnsi="Times New Roman" w:cs="Times New Roman"/>
          <w:i/>
          <w:iCs/>
        </w:rPr>
        <w:t>Portee v. Jaffee</w:t>
      </w:r>
      <w:r w:rsidRPr="00F94B7E">
        <w:rPr>
          <w:rFonts w:ascii="Times New Roman" w:eastAsia="Times New Roman" w:hAnsi="Times New Roman" w:cs="Times New Roman"/>
        </w:rPr>
        <w:t xml:space="preserve">, 417 A.2d 521 (N.J. 1980); New Mexico, </w:t>
      </w:r>
      <w:r w:rsidRPr="00F94B7E">
        <w:rPr>
          <w:rFonts w:ascii="Times New Roman" w:eastAsia="Times New Roman" w:hAnsi="Times New Roman" w:cs="Times New Roman"/>
          <w:i/>
          <w:iCs/>
        </w:rPr>
        <w:t>Folz v. State</w:t>
      </w:r>
      <w:r w:rsidRPr="00F94B7E">
        <w:rPr>
          <w:rFonts w:ascii="Times New Roman" w:eastAsia="Times New Roman" w:hAnsi="Times New Roman" w:cs="Times New Roman"/>
        </w:rPr>
        <w:t xml:space="preserve">, 797 P.2d 246 (N.M. 1990); North Carolina, </w:t>
      </w:r>
      <w:r w:rsidRPr="00F94B7E">
        <w:rPr>
          <w:rFonts w:ascii="Times New Roman" w:eastAsia="Times New Roman" w:hAnsi="Times New Roman" w:cs="Times New Roman"/>
          <w:i/>
          <w:iCs/>
        </w:rPr>
        <w:t>Johnson v. Ruark Obstetrics &amp; Gynecology Assocs., P.A.</w:t>
      </w:r>
      <w:r w:rsidRPr="00F94B7E">
        <w:rPr>
          <w:rFonts w:ascii="Times New Roman" w:eastAsia="Times New Roman" w:hAnsi="Times New Roman" w:cs="Times New Roman"/>
        </w:rPr>
        <w:t xml:space="preserve">, 395 S.E.2d 85 (N.C. 1990); Ohio, </w:t>
      </w:r>
      <w:r w:rsidRPr="00F94B7E">
        <w:rPr>
          <w:rFonts w:ascii="Times New Roman" w:eastAsia="Times New Roman" w:hAnsi="Times New Roman" w:cs="Times New Roman"/>
          <w:i/>
          <w:iCs/>
        </w:rPr>
        <w:t>Paugh v. Hanks</w:t>
      </w:r>
      <w:r w:rsidRPr="00F94B7E">
        <w:rPr>
          <w:rFonts w:ascii="Times New Roman" w:eastAsia="Times New Roman" w:hAnsi="Times New Roman" w:cs="Times New Roman"/>
        </w:rPr>
        <w:t xml:space="preserve">, 451 N.E.2d 759 (Ohio 1983); Pennsylvania, </w:t>
      </w:r>
      <w:r w:rsidRPr="00F94B7E">
        <w:rPr>
          <w:rFonts w:ascii="Times New Roman" w:eastAsia="Times New Roman" w:hAnsi="Times New Roman" w:cs="Times New Roman"/>
          <w:i/>
          <w:iCs/>
        </w:rPr>
        <w:t>Sinn v. Burd</w:t>
      </w:r>
      <w:r w:rsidRPr="00F94B7E">
        <w:rPr>
          <w:rFonts w:ascii="Times New Roman" w:eastAsia="Times New Roman" w:hAnsi="Times New Roman" w:cs="Times New Roman"/>
        </w:rPr>
        <w:t xml:space="preserve">, 404 A.2d 672 (Pa. 1979); Rhode Island, </w:t>
      </w:r>
      <w:r w:rsidRPr="00F94B7E">
        <w:rPr>
          <w:rFonts w:ascii="Times New Roman" w:eastAsia="Times New Roman" w:hAnsi="Times New Roman" w:cs="Times New Roman"/>
          <w:i/>
          <w:iCs/>
        </w:rPr>
        <w:t>Marchetti v. Parsons</w:t>
      </w:r>
      <w:r w:rsidRPr="00F94B7E">
        <w:rPr>
          <w:rFonts w:ascii="Times New Roman" w:eastAsia="Times New Roman" w:hAnsi="Times New Roman" w:cs="Times New Roman"/>
        </w:rPr>
        <w:t xml:space="preserve">, 638 A.2d 1047 (R.I. 1994); South Carolina, </w:t>
      </w:r>
      <w:r w:rsidRPr="00F94B7E">
        <w:rPr>
          <w:rFonts w:ascii="Times New Roman" w:eastAsia="Times New Roman" w:hAnsi="Times New Roman" w:cs="Times New Roman"/>
          <w:i/>
          <w:iCs/>
        </w:rPr>
        <w:t>Kinard v. Augusta Sash &amp; Door Co.</w:t>
      </w:r>
      <w:r w:rsidRPr="00F94B7E">
        <w:rPr>
          <w:rFonts w:ascii="Times New Roman" w:eastAsia="Times New Roman" w:hAnsi="Times New Roman" w:cs="Times New Roman"/>
        </w:rPr>
        <w:t xml:space="preserve">, 336 S.E.2d 465 (S.C. 1985); Tennessee, </w:t>
      </w:r>
      <w:r w:rsidRPr="00F94B7E">
        <w:rPr>
          <w:rFonts w:ascii="Times New Roman" w:eastAsia="Times New Roman" w:hAnsi="Times New Roman" w:cs="Times New Roman"/>
          <w:i/>
          <w:iCs/>
        </w:rPr>
        <w:t>Ramsey v. Beavers</w:t>
      </w:r>
      <w:r w:rsidRPr="00F94B7E">
        <w:rPr>
          <w:rFonts w:ascii="Times New Roman" w:eastAsia="Times New Roman" w:hAnsi="Times New Roman" w:cs="Times New Roman"/>
        </w:rPr>
        <w:t xml:space="preserve">, 931 S.W.2d 527 (Tenn. 1996); Texas, </w:t>
      </w:r>
      <w:r w:rsidRPr="00F94B7E">
        <w:rPr>
          <w:rFonts w:ascii="Times New Roman" w:eastAsia="Times New Roman" w:hAnsi="Times New Roman" w:cs="Times New Roman"/>
          <w:i/>
          <w:iCs/>
        </w:rPr>
        <w:t>Boyles v. Kerr</w:t>
      </w:r>
      <w:r w:rsidRPr="00F94B7E">
        <w:rPr>
          <w:rFonts w:ascii="Times New Roman" w:eastAsia="Times New Roman" w:hAnsi="Times New Roman" w:cs="Times New Roman"/>
        </w:rPr>
        <w:t xml:space="preserve">, 855 S.W.2d 593 (Tex. 1993); Washington, </w:t>
      </w:r>
      <w:r w:rsidRPr="00F94B7E">
        <w:rPr>
          <w:rFonts w:ascii="Times New Roman" w:eastAsia="Times New Roman" w:hAnsi="Times New Roman" w:cs="Times New Roman"/>
          <w:i/>
          <w:iCs/>
        </w:rPr>
        <w:t>Gain v. Carroll Mill Co.</w:t>
      </w:r>
      <w:r w:rsidRPr="00F94B7E">
        <w:rPr>
          <w:rFonts w:ascii="Times New Roman" w:eastAsia="Times New Roman" w:hAnsi="Times New Roman" w:cs="Times New Roman"/>
        </w:rPr>
        <w:t xml:space="preserve">, 787 P.2d 553 (Wash. 1990) (en banc); West Virginia, </w:t>
      </w:r>
      <w:r w:rsidRPr="00F94B7E">
        <w:rPr>
          <w:rFonts w:ascii="Times New Roman" w:eastAsia="Times New Roman" w:hAnsi="Times New Roman" w:cs="Times New Roman"/>
          <w:i/>
          <w:iCs/>
        </w:rPr>
        <w:t>Jones v. Sanger</w:t>
      </w:r>
      <w:r w:rsidRPr="00F94B7E">
        <w:rPr>
          <w:rFonts w:ascii="Times New Roman" w:eastAsia="Times New Roman" w:hAnsi="Times New Roman" w:cs="Times New Roman"/>
        </w:rPr>
        <w:t xml:space="preserve">, 512 S.E.2d 590 (W. Va. 1998); Wisconsin, </w:t>
      </w:r>
      <w:r w:rsidRPr="00F94B7E">
        <w:rPr>
          <w:rFonts w:ascii="Times New Roman" w:eastAsia="Times New Roman" w:hAnsi="Times New Roman" w:cs="Times New Roman"/>
          <w:i/>
          <w:iCs/>
        </w:rPr>
        <w:t>Rabideau v. City of Racine</w:t>
      </w:r>
      <w:r w:rsidRPr="00F94B7E">
        <w:rPr>
          <w:rFonts w:ascii="Times New Roman" w:eastAsia="Times New Roman" w:hAnsi="Times New Roman" w:cs="Times New Roman"/>
        </w:rPr>
        <w:t xml:space="preserve">, 627 N.W.2d 795 (Wis. 2001); and Wyoming, </w:t>
      </w:r>
      <w:r w:rsidRPr="00F94B7E">
        <w:rPr>
          <w:rFonts w:ascii="Times New Roman" w:eastAsia="Times New Roman" w:hAnsi="Times New Roman" w:cs="Times New Roman"/>
          <w:i/>
          <w:iCs/>
        </w:rPr>
        <w:t>Gates v. Richardson</w:t>
      </w:r>
      <w:r w:rsidRPr="00F94B7E">
        <w:rPr>
          <w:rFonts w:ascii="Times New Roman" w:eastAsia="Times New Roman" w:hAnsi="Times New Roman" w:cs="Times New Roman"/>
        </w:rPr>
        <w:t xml:space="preserve">, 719 P.2d 193 (Wyo. 1986). </w:t>
      </w:r>
    </w:p>
    <w:p w14:paraId="28F96E47" w14:textId="77777777" w:rsidR="00FA3CF9" w:rsidRPr="00B06D0A" w:rsidRDefault="00FA3CF9">
      <w:pPr>
        <w:rPr>
          <w:rFonts w:ascii="Times New Roman" w:hAnsi="Times New Roman" w:cs="Times New Roman"/>
        </w:rPr>
      </w:pPr>
    </w:p>
    <w:p w14:paraId="04086D1E" w14:textId="77777777" w:rsidR="00FA3CF9" w:rsidRPr="00B06D0A" w:rsidRDefault="00FA3CF9">
      <w:pPr>
        <w:rPr>
          <w:rFonts w:ascii="Times New Roman" w:hAnsi="Times New Roman" w:cs="Times New Roman"/>
        </w:rPr>
      </w:pPr>
    </w:p>
    <w:p w14:paraId="524ECAC6" w14:textId="463B5167" w:rsidR="00FA3CF9" w:rsidRPr="00F94B7E" w:rsidRDefault="750671CE" w:rsidP="00F94B7E">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Gender bias, redux. </w:t>
      </w:r>
      <w:r w:rsidRPr="00F94B7E">
        <w:rPr>
          <w:rFonts w:ascii="Times New Roman" w:eastAsia="Times New Roman" w:hAnsi="Times New Roman" w:cs="Times New Roman"/>
        </w:rPr>
        <w:t xml:space="preserve"> Interestingly, the disparate impact on women of the traditional common law rule</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if it really existed</w:t>
      </w:r>
      <w:r w:rsidR="006E38E6" w:rsidRPr="00F94B7E">
        <w:rPr>
          <w:rFonts w:ascii="Times New Roman" w:eastAsia="Times New Roman" w:hAnsi="Times New Roman" w:cs="Times New Roman"/>
        </w:rPr>
        <w:t>—</w:t>
      </w:r>
      <w:r w:rsidRPr="00F94B7E">
        <w:rPr>
          <w:rFonts w:ascii="Times New Roman" w:eastAsia="Times New Roman" w:hAnsi="Times New Roman" w:cs="Times New Roman"/>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iCs/>
        </w:rPr>
        <w:t>Prue Vines</w:t>
      </w:r>
      <w:r w:rsidR="00EC440F">
        <w:rPr>
          <w:rFonts w:ascii="Times New Roman" w:eastAsia="Times New Roman" w:hAnsi="Times New Roman" w:cs="Times New Roman"/>
          <w:iCs/>
        </w:rPr>
        <w:t xml:space="preserve">, </w:t>
      </w:r>
      <w:r w:rsidR="00EC440F">
        <w:rPr>
          <w:rFonts w:ascii="Times New Roman" w:eastAsia="Times New Roman" w:hAnsi="Times New Roman" w:cs="Times New Roman"/>
        </w:rPr>
        <w:t>Mehera San Roque &amp; Emily Rumble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Is Nervous Shock Still a Feminist Issue? The Duty of Care and Psychiatric Injury in Australia</w:t>
      </w:r>
      <w:r w:rsidRPr="00F94B7E">
        <w:rPr>
          <w:rFonts w:ascii="Times New Roman" w:eastAsia="Times New Roman" w:hAnsi="Times New Roman" w:cs="Times New Roman"/>
        </w:rPr>
        <w:t xml:space="preserve">, 18 </w:t>
      </w:r>
      <w:r w:rsidRPr="00F94B7E">
        <w:rPr>
          <w:rFonts w:ascii="Times New Roman" w:eastAsia="Times New Roman" w:hAnsi="Times New Roman" w:cs="Times New Roman"/>
          <w:smallCaps/>
        </w:rPr>
        <w:t>Tort L. Rev</w:t>
      </w:r>
      <w:r w:rsidRPr="00F94B7E">
        <w:rPr>
          <w:rFonts w:ascii="Times New Roman" w:eastAsia="Times New Roman" w:hAnsi="Times New Roman" w:cs="Times New Roman"/>
        </w:rPr>
        <w:t xml:space="preserve">. 9, 16 (2010).  Are such findings cause for celebration or critique?    </w:t>
      </w:r>
    </w:p>
    <w:p w14:paraId="33C5F495" w14:textId="77777777" w:rsidR="00FA3CF9" w:rsidRPr="00B06D0A" w:rsidRDefault="00FA3CF9">
      <w:pPr>
        <w:rPr>
          <w:rFonts w:ascii="Times New Roman" w:hAnsi="Times New Roman" w:cs="Times New Roman"/>
        </w:rPr>
      </w:pPr>
    </w:p>
    <w:p w14:paraId="4C44CC20" w14:textId="77777777" w:rsidR="00FA3CF9" w:rsidRPr="00B06D0A" w:rsidRDefault="00FA3CF9">
      <w:pPr>
        <w:rPr>
          <w:rFonts w:ascii="Times New Roman" w:hAnsi="Times New Roman" w:cs="Times New Roman"/>
        </w:rPr>
      </w:pPr>
    </w:p>
    <w:p w14:paraId="0657B2DB" w14:textId="458D6C59" w:rsidR="00FA3CF9" w:rsidRPr="00F94B7E" w:rsidRDefault="750671CE" w:rsidP="00F94B7E">
      <w:pPr>
        <w:pStyle w:val="ListParagraph"/>
        <w:numPr>
          <w:ilvl w:val="0"/>
          <w:numId w:val="11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Crystals and mud in tort law.</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crystals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mud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F94B7E">
        <w:rPr>
          <w:rFonts w:ascii="Times New Roman" w:eastAsia="Times New Roman" w:hAnsi="Times New Roman" w:cs="Times New Roman"/>
          <w:i/>
          <w:iCs/>
        </w:rPr>
        <w:t>Mitchell</w:t>
      </w:r>
      <w:r w:rsidRPr="00F94B7E">
        <w:rPr>
          <w:rFonts w:ascii="Times New Roman" w:eastAsia="Times New Roman" w:hAnsi="Times New Roman" w:cs="Times New Roman"/>
        </w:rPr>
        <w:t xml:space="preserve"> gets messy with an intermediate position in </w:t>
      </w:r>
      <w:r w:rsidRPr="00F94B7E">
        <w:rPr>
          <w:rFonts w:ascii="Times New Roman" w:eastAsia="Times New Roman" w:hAnsi="Times New Roman" w:cs="Times New Roman"/>
          <w:i/>
          <w:iCs/>
        </w:rPr>
        <w:t>Falzone</w:t>
      </w:r>
      <w:r w:rsidRPr="00F94B7E">
        <w:rPr>
          <w:rFonts w:ascii="Times New Roman" w:eastAsia="Times New Roman" w:hAnsi="Times New Roman" w:cs="Times New Roman"/>
        </w:rPr>
        <w:t xml:space="preserve"> and then gives way completely to the muddy standard of the reasonable foreseeability standard in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only to see the pendulum swing back again.  Same with the old common law rule for landowners and occupiers, which allows exceptions in attractive nuisance and other especially sympathetic cases and then gives way entirely in </w:t>
      </w:r>
      <w:r w:rsidRPr="00F94B7E">
        <w:rPr>
          <w:rFonts w:ascii="Times New Roman" w:eastAsia="Times New Roman" w:hAnsi="Times New Roman" w:cs="Times New Roman"/>
          <w:i/>
          <w:iCs/>
        </w:rPr>
        <w:t>Rowland</w:t>
      </w:r>
      <w:r w:rsidR="00D31C7F" w:rsidRPr="00F94B7E">
        <w:rPr>
          <w:rFonts w:ascii="Times New Roman" w:eastAsia="Times New Roman" w:hAnsi="Times New Roman" w:cs="Times New Roman"/>
        </w:rPr>
        <w:t>—</w:t>
      </w:r>
      <w:r w:rsidRPr="00F94B7E">
        <w:rPr>
          <w:rFonts w:ascii="Times New Roman" w:eastAsia="Times New Roman" w:hAnsi="Times New Roman" w:cs="Times New Roman"/>
        </w:rPr>
        <w:t xml:space="preserve">only to be revived, once again, in recent years. </w:t>
      </w:r>
    </w:p>
    <w:p w14:paraId="6D753D1E" w14:textId="77777777" w:rsidR="00FA3CF9" w:rsidRPr="00B06D0A" w:rsidRDefault="00FA3CF9">
      <w:pPr>
        <w:rPr>
          <w:rFonts w:ascii="Times New Roman" w:hAnsi="Times New Roman" w:cs="Times New Roman"/>
        </w:rPr>
      </w:pPr>
    </w:p>
    <w:p w14:paraId="45B6A5A1"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B06D0A" w:rsidRDefault="00FA3CF9">
      <w:pPr>
        <w:rPr>
          <w:rFonts w:ascii="Times New Roman" w:hAnsi="Times New Roman" w:cs="Times New Roman"/>
        </w:rPr>
      </w:pPr>
    </w:p>
    <w:p w14:paraId="22B1D4A4" w14:textId="77777777" w:rsidR="00FA3CF9" w:rsidRPr="00B06D0A" w:rsidRDefault="750671CE">
      <w:pPr>
        <w:ind w:left="720" w:right="720"/>
        <w:rPr>
          <w:rFonts w:ascii="Times New Roman" w:eastAsia="Times New Roman" w:hAnsi="Times New Roman" w:cs="Times New Roman"/>
        </w:rPr>
      </w:pPr>
      <w:r w:rsidRPr="00B06D0A">
        <w:rPr>
          <w:rFonts w:ascii="Times New Roman" w:eastAsia="Times New Roman" w:hAnsi="Times New Roman" w:cs="Times New Roman"/>
        </w:rPr>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B06D0A" w:rsidRDefault="00FA3CF9">
      <w:pPr>
        <w:rPr>
          <w:rFonts w:ascii="Times New Roman" w:hAnsi="Times New Roman" w:cs="Times New Roman"/>
        </w:rPr>
      </w:pPr>
    </w:p>
    <w:p w14:paraId="3432DF27" w14:textId="6F90C4C0"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xml:space="preserve">Carol M. Rose, </w:t>
      </w:r>
      <w:r w:rsidRPr="00B06D0A">
        <w:rPr>
          <w:rFonts w:ascii="Times New Roman" w:eastAsia="Times New Roman" w:hAnsi="Times New Roman" w:cs="Times New Roman"/>
          <w:i/>
          <w:iCs/>
        </w:rPr>
        <w:t>Crystals and Mud in Property Law</w:t>
      </w:r>
      <w:r w:rsidRPr="00B06D0A">
        <w:rPr>
          <w:rFonts w:ascii="Times New Roman" w:eastAsia="Times New Roman" w:hAnsi="Times New Roman" w:cs="Times New Roman"/>
        </w:rPr>
        <w:t xml:space="preserve">, 40 </w:t>
      </w:r>
      <w:r w:rsidRPr="00F94B7E">
        <w:rPr>
          <w:rFonts w:ascii="Times New Roman" w:eastAsia="Times New Roman" w:hAnsi="Times New Roman" w:cs="Times New Roman"/>
          <w:smallCaps/>
        </w:rPr>
        <w:t>Stan. L. Rev</w:t>
      </w:r>
      <w:r w:rsidRPr="00B06D0A">
        <w:rPr>
          <w:rFonts w:ascii="Times New Roman" w:eastAsia="Times New Roman" w:hAnsi="Times New Roman" w:cs="Times New Roman"/>
        </w:rPr>
        <w:t>. 577 (1988).  Rules and standards</w:t>
      </w:r>
      <w:r w:rsidR="00D31C7F" w:rsidRPr="00D31C7F">
        <w:rPr>
          <w:rFonts w:ascii="Times New Roman" w:eastAsia="Times New Roman" w:hAnsi="Times New Roman" w:cs="Times New Roman"/>
        </w:rPr>
        <w:t>—</w:t>
      </w:r>
      <w:r w:rsidRPr="00B06D0A">
        <w:rPr>
          <w:rFonts w:ascii="Times New Roman" w:eastAsia="Times New Roman" w:hAnsi="Times New Roman" w:cs="Times New Roman"/>
        </w:rPr>
        <w:t>crystals and mud</w:t>
      </w:r>
      <w:r w:rsidR="00D31C7F" w:rsidRPr="00D31C7F">
        <w:rPr>
          <w:rFonts w:ascii="Times New Roman" w:eastAsia="Times New Roman" w:hAnsi="Times New Roman" w:cs="Times New Roman"/>
        </w:rPr>
        <w:t>—</w:t>
      </w:r>
      <w:r w:rsidRPr="00B06D0A">
        <w:rPr>
          <w:rFonts w:ascii="Times New Roman" w:eastAsia="Times New Roman" w:hAnsi="Times New Roman" w:cs="Times New Roman"/>
        </w:rPr>
        <w:t xml:space="preserve">are legal technologies that each have powerfully appealing virtues and gravely troubling flaws. </w:t>
      </w:r>
    </w:p>
    <w:p w14:paraId="1EA7BBE7" w14:textId="77777777" w:rsidR="00FA3CF9" w:rsidRPr="00B06D0A" w:rsidRDefault="00FA3CF9">
      <w:pPr>
        <w:rPr>
          <w:rFonts w:ascii="Times New Roman" w:hAnsi="Times New Roman" w:cs="Times New Roman"/>
        </w:rPr>
      </w:pPr>
    </w:p>
    <w:p w14:paraId="23E05381"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If Rose is right, then it would have been shocking if </w:t>
      </w:r>
      <w:r w:rsidRPr="00B06D0A">
        <w:rPr>
          <w:rFonts w:ascii="Times New Roman" w:eastAsia="Times New Roman" w:hAnsi="Times New Roman" w:cs="Times New Roman"/>
          <w:i/>
          <w:iCs/>
        </w:rPr>
        <w:t>Dillon</w:t>
      </w:r>
      <w:r w:rsidRPr="00B06D0A">
        <w:rPr>
          <w:rFonts w:ascii="Times New Roman" w:eastAsia="Times New Roman" w:hAnsi="Times New Roman" w:cs="Times New Roman"/>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B06D0A" w:rsidRDefault="00FA3CF9">
      <w:pPr>
        <w:rPr>
          <w:rFonts w:ascii="Times New Roman" w:hAnsi="Times New Roman" w:cs="Times New Roman"/>
        </w:rPr>
      </w:pPr>
    </w:p>
    <w:p w14:paraId="54204947" w14:textId="77777777" w:rsidR="00FA3CF9" w:rsidRPr="00B06D0A" w:rsidRDefault="00FA3CF9">
      <w:pPr>
        <w:rPr>
          <w:rFonts w:ascii="Times New Roman" w:hAnsi="Times New Roman" w:cs="Times New Roman"/>
        </w:rPr>
      </w:pPr>
    </w:p>
    <w:p w14:paraId="4AC74385" w14:textId="73F9DF12" w:rsidR="00FA3CF9" w:rsidRPr="00F94B7E" w:rsidRDefault="00FA3CF9">
      <w:pPr>
        <w:rPr>
          <w:rFonts w:ascii="Times New Roman" w:hAnsi="Times New Roman" w:cs="Times New Roman"/>
        </w:rPr>
      </w:pPr>
      <w:bookmarkStart w:id="777" w:name="_Toc262765532"/>
      <w:bookmarkStart w:id="778" w:name="_Toc518323465"/>
      <w:r w:rsidRPr="00CB671B">
        <w:rPr>
          <w:rStyle w:val="Heading3Char"/>
          <w:i/>
        </w:rPr>
        <w:t>Metro-North Commuter Railroad Co. v. Buckley</w:t>
      </w:r>
      <w:bookmarkEnd w:id="777"/>
      <w:bookmarkEnd w:id="778"/>
      <w:r w:rsidR="00C13945"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b/>
          <w:bCs/>
        </w:rPr>
        <w:t>521 U.S. 424 (1997)</w:t>
      </w:r>
    </w:p>
    <w:p w14:paraId="59763389" w14:textId="77777777" w:rsidR="00FA3CF9" w:rsidRDefault="00FA3CF9" w:rsidP="00F94B7E">
      <w:pPr>
        <w:tabs>
          <w:tab w:val="left" w:pos="456"/>
        </w:tabs>
        <w:rPr>
          <w:rFonts w:ascii="Times New Roman" w:hAnsi="Times New Roman" w:cs="Times New Roman"/>
        </w:rPr>
      </w:pPr>
    </w:p>
    <w:p w14:paraId="49A8916C" w14:textId="2F6FC753" w:rsidR="00EC440F" w:rsidRDefault="00EC440F" w:rsidP="00F94B7E">
      <w:pPr>
        <w:tabs>
          <w:tab w:val="left" w:pos="456"/>
        </w:tabs>
        <w:rPr>
          <w:rFonts w:ascii="Times New Roman" w:hAnsi="Times New Roman" w:cs="Times New Roman"/>
        </w:rPr>
      </w:pPr>
      <w:r w:rsidRPr="003A38FD">
        <w:rPr>
          <w:rFonts w:ascii="Times New Roman" w:hAnsi="Times New Roman" w:cs="Times New Roman"/>
          <w:smallCaps/>
        </w:rPr>
        <w:t>B</w:t>
      </w:r>
      <w:r w:rsidR="00CB671B">
        <w:rPr>
          <w:rFonts w:ascii="Times New Roman" w:hAnsi="Times New Roman" w:cs="Times New Roman"/>
          <w:smallCaps/>
        </w:rPr>
        <w:t xml:space="preserve">reyer, J. </w:t>
      </w:r>
    </w:p>
    <w:p w14:paraId="695D708D" w14:textId="77777777" w:rsidR="00EC440F" w:rsidRPr="00F349EC" w:rsidRDefault="00EC440F" w:rsidP="00F94B7E">
      <w:pPr>
        <w:tabs>
          <w:tab w:val="left" w:pos="456"/>
        </w:tabs>
        <w:rPr>
          <w:rFonts w:ascii="Times New Roman" w:hAnsi="Times New Roman" w:cs="Times New Roman"/>
        </w:rPr>
      </w:pPr>
    </w:p>
    <w:p w14:paraId="26A3F007" w14:textId="6E28C738" w:rsidR="00FA3CF9" w:rsidRPr="00B06D0A" w:rsidRDefault="750671CE" w:rsidP="00F349EC">
      <w:pPr>
        <w:widowControl w:val="0"/>
        <w:autoSpaceDE w:val="0"/>
        <w:autoSpaceDN w:val="0"/>
        <w:adjustRightInd w:val="0"/>
        <w:ind w:firstLine="720"/>
        <w:rPr>
          <w:rFonts w:ascii="Times New Roman" w:eastAsia="Times New Roman" w:hAnsi="Times New Roman" w:cs="Times New Roman"/>
        </w:rPr>
      </w:pPr>
      <w:r w:rsidRPr="00F349EC">
        <w:rPr>
          <w:rFonts w:ascii="Times New Roman" w:eastAsia="Times New Roman" w:hAnsi="Times New Roman" w:cs="Times New Roman"/>
        </w:rPr>
        <w:t>The basic question in this case is whether a railroad worker negligently exposed to a carcinogen (here, asbestos) but without symptoms of any disease can recover</w:t>
      </w:r>
      <w:r w:rsidRPr="00B06D0A">
        <w:rPr>
          <w:rFonts w:ascii="Times New Roman" w:eastAsia="Times New Roman" w:hAnsi="Times New Roman" w:cs="Times New Roman"/>
        </w:rPr>
        <w:t xml:space="preserve"> under the Federal Employers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Liability Act (FELA or Act) for negligently inflicted emotional distress. We conclude that the worker before us here cannot recover unless, and until, he manifests symptoms of a disease. . . .</w:t>
      </w:r>
    </w:p>
    <w:p w14:paraId="7A3C0D8A" w14:textId="77777777" w:rsidR="00FA3CF9" w:rsidRPr="00B06D0A" w:rsidRDefault="00FA3CF9" w:rsidP="00F349EC">
      <w:pPr>
        <w:widowControl w:val="0"/>
        <w:autoSpaceDE w:val="0"/>
        <w:autoSpaceDN w:val="0"/>
        <w:adjustRightInd w:val="0"/>
        <w:ind w:firstLine="720"/>
        <w:rPr>
          <w:rFonts w:ascii="Times New Roman" w:hAnsi="Times New Roman" w:cs="Times New Roman"/>
        </w:rPr>
      </w:pPr>
    </w:p>
    <w:p w14:paraId="6CE04E8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I.</w:t>
      </w:r>
    </w:p>
    <w:p w14:paraId="7431AAB8" w14:textId="77777777" w:rsidR="00FA3CF9" w:rsidRPr="00B06D0A" w:rsidRDefault="00FA3CF9">
      <w:pPr>
        <w:widowControl w:val="0"/>
        <w:autoSpaceDE w:val="0"/>
        <w:autoSpaceDN w:val="0"/>
        <w:adjustRightInd w:val="0"/>
        <w:ind w:firstLine="720"/>
        <w:rPr>
          <w:rFonts w:ascii="Times New Roman" w:hAnsi="Times New Roman" w:cs="Times New Roman"/>
        </w:rPr>
      </w:pPr>
    </w:p>
    <w:p w14:paraId="306F43AA" w14:textId="5D95E9E1"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asbestos awareness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class, Buckley has feared that he would develop cancer</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B06D0A" w:rsidRDefault="00FA3CF9">
      <w:pPr>
        <w:widowControl w:val="0"/>
        <w:autoSpaceDE w:val="0"/>
        <w:autoSpaceDN w:val="0"/>
        <w:adjustRightInd w:val="0"/>
        <w:ind w:firstLine="720"/>
        <w:rPr>
          <w:rFonts w:ascii="Times New Roman" w:hAnsi="Times New Roman" w:cs="Times New Roman"/>
        </w:rPr>
      </w:pPr>
    </w:p>
    <w:p w14:paraId="4F2F1888" w14:textId="74725B79"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Buckley sued Metro-North under the FELA, a statute that permits a railroad worker to recover for an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injury . . . resulting . . . from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his employer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negligence.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His employer conceded negligence, but it did not concede that Buckley had actually suffered emotional distress, and it argued that the FELA did not permit a worker like Buckley, who had suffered no physical harm, to recover for [such] injuries. After hearing 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case, the District Court dismissed the action.  The court found that Buckley did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offer sufficient evidence to allow a jury to find that he suffered a real emotional 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in any event, Buckley suffered no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hence any emotional injury fell outside the limited set of circumstances in which, according to this Court, the FELA permits recovery. </w:t>
      </w:r>
      <w:r w:rsidR="00AD64C5">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[S]ee </w:t>
      </w:r>
      <w:r w:rsidRPr="00B06D0A">
        <w:rPr>
          <w:rFonts w:ascii="Times New Roman" w:eastAsia="Times New Roman" w:hAnsi="Times New Roman" w:cs="Times New Roman"/>
          <w:i/>
          <w:iCs/>
        </w:rPr>
        <w:t>Consolidated Rail Corporation v. Gottshall</w:t>
      </w:r>
      <w:r w:rsidRPr="00B06D0A">
        <w:rPr>
          <w:rFonts w:ascii="Times New Roman" w:eastAsia="Times New Roman" w:hAnsi="Times New Roman" w:cs="Times New Roman"/>
        </w:rPr>
        <w:t xml:space="preserve"> [U.S. 1994]. . . .</w:t>
      </w:r>
    </w:p>
    <w:p w14:paraId="5CCCFFAF" w14:textId="77777777" w:rsidR="00FA3CF9" w:rsidRPr="00B06D0A" w:rsidRDefault="00FA3CF9">
      <w:pPr>
        <w:widowControl w:val="0"/>
        <w:autoSpaceDE w:val="0"/>
        <w:autoSpaceDN w:val="0"/>
        <w:adjustRightInd w:val="0"/>
        <w:ind w:firstLine="720"/>
        <w:rPr>
          <w:rFonts w:ascii="Times New Roman" w:hAnsi="Times New Roman" w:cs="Times New Roman"/>
        </w:rPr>
      </w:pPr>
    </w:p>
    <w:p w14:paraId="3F79B417" w14:textId="54EDDDA3"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Buckley appealed, and the Second Circuit reversed. </w:t>
      </w:r>
      <w:r w:rsidR="00AD64C5">
        <w:rPr>
          <w:rFonts w:ascii="Times New Roman" w:eastAsia="Times New Roman" w:hAnsi="Times New Roman" w:cs="Times New Roman"/>
        </w:rPr>
        <w:t xml:space="preserve">. . </w:t>
      </w:r>
      <w:r w:rsidRPr="00B06D0A">
        <w:rPr>
          <w:rFonts w:ascii="Times New Roman" w:eastAsia="Times New Roman" w:hAnsi="Times New Roman" w:cs="Times New Roman"/>
        </w:rPr>
        <w:t>. 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evidence, it said, showed that his contact with the insulation dust (containing asbestos)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massive, lengthy, and tangible,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that the contact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would cause fear in a reasonable person.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Under these circumstances, the court held, the contact was what this Court in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had called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00201539" w:rsidRPr="00201539">
        <w:rPr>
          <w:rFonts w:ascii="Times New Roman" w:eastAsia="Times New Roman" w:hAnsi="Times New Roman" w:cs="Times New Roman"/>
        </w:rPr>
        <w:t>—</w:t>
      </w:r>
      <w:r w:rsidRPr="00B06D0A">
        <w:rPr>
          <w:rFonts w:ascii="Times New Roman" w:eastAsia="Times New Roman" w:hAnsi="Times New Roman" w:cs="Times New Roman"/>
        </w:rPr>
        <w:t xml:space="preserve">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that, when present, permits a FELA plaintiff to recover for accompanying emotional distress. . . .</w:t>
      </w:r>
    </w:p>
    <w:p w14:paraId="3AFEB630" w14:textId="77777777" w:rsidR="00FA3CF9" w:rsidRPr="00B06D0A" w:rsidRDefault="00FA3CF9">
      <w:pPr>
        <w:widowControl w:val="0"/>
        <w:autoSpaceDE w:val="0"/>
        <w:autoSpaceDN w:val="0"/>
        <w:adjustRightInd w:val="0"/>
        <w:ind w:firstLine="720"/>
        <w:rPr>
          <w:rFonts w:ascii="Times New Roman" w:hAnsi="Times New Roman" w:cs="Times New Roman"/>
        </w:rPr>
      </w:pPr>
    </w:p>
    <w:p w14:paraId="58A0357D"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II</w:t>
      </w:r>
    </w:p>
    <w:p w14:paraId="1530E563" w14:textId="77777777" w:rsidR="00FA3CF9" w:rsidRPr="00B06D0A" w:rsidRDefault="00FA3CF9">
      <w:pPr>
        <w:widowControl w:val="0"/>
        <w:autoSpaceDE w:val="0"/>
        <w:autoSpaceDN w:val="0"/>
        <w:adjustRightInd w:val="0"/>
        <w:ind w:firstLine="720"/>
        <w:rPr>
          <w:rFonts w:ascii="Times New Roman" w:hAnsi="Times New Roman" w:cs="Times New Roman"/>
        </w:rPr>
      </w:pPr>
    </w:p>
    <w:p w14:paraId="0FDCCCCD" w14:textId="146FC09F"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critical question before us in respect to 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emotional distress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claim is whether the physical contact with insulation dust that accompanied his emotional distress amounts to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as this Court used that term in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In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an emotional distress case, the Court interpreted the word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FELA § 1, a provision that makes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[e]very common carrier by railroad . . . liable in damages to any person suffering injury while .</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 employed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by the carrier if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results from carrier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negligence.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doing so, it initially set forth several general legal principles applicable here.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described FELA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purposes as basically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humanitarian.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It pointed out that the Act expressly abolishes or modifies a host of common-law doctrines that previously had limited recovery. It added that this Court has interpreted the 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language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liberally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light of its humanitarian purposes. But, at the same time, the Court noted that liability under the Act rests upon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negligence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that the Act does not make the railroad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insurer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for all employee injuries. The Court stated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common-law principles,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where not rejected in the text of the statute,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are entitled to great weight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interpreting the Act, and that those principles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play a significant role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determining whether, or when, an employee can recover damages for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negligent infliction of emotional distress.</w:t>
      </w:r>
      <w:r w:rsidR="00B05F31" w:rsidRPr="00B06D0A">
        <w:rPr>
          <w:rFonts w:ascii="Times New Roman" w:eastAsia="Times New Roman" w:hAnsi="Times New Roman" w:cs="Times New Roman"/>
        </w:rPr>
        <w:t>”</w:t>
      </w:r>
    </w:p>
    <w:p w14:paraId="24A9930A" w14:textId="77777777" w:rsidR="00FA3CF9" w:rsidRPr="00B06D0A" w:rsidRDefault="00FA3CF9">
      <w:pPr>
        <w:widowControl w:val="0"/>
        <w:autoSpaceDE w:val="0"/>
        <w:autoSpaceDN w:val="0"/>
        <w:adjustRightInd w:val="0"/>
        <w:ind w:firstLine="720"/>
        <w:rPr>
          <w:rFonts w:ascii="Times New Roman" w:hAnsi="Times New Roman" w:cs="Times New Roman"/>
        </w:rPr>
      </w:pPr>
    </w:p>
    <w:p w14:paraId="187AB3D0"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Court also set forth several more specific legal propositions. It recognized that the common law of torts does not permit recovery for negligently inflicted emotional distress </w:t>
      </w:r>
      <w:r w:rsidRPr="00B06D0A">
        <w:rPr>
          <w:rFonts w:ascii="Times New Roman" w:eastAsia="Times New Roman" w:hAnsi="Times New Roman" w:cs="Times New Roman"/>
          <w:i/>
          <w:iCs/>
        </w:rPr>
        <w:t xml:space="preserve">unless </w:t>
      </w:r>
      <w:r w:rsidRPr="00B06D0A">
        <w:rPr>
          <w:rFonts w:ascii="Times New Roman" w:eastAsia="Times New Roman" w:hAnsi="Times New Roman" w:cs="Times New Roman"/>
        </w:rPr>
        <w:t>the distress falls within certain specific categories that amount to recovery-permitting exceptions.</w:t>
      </w:r>
    </w:p>
    <w:p w14:paraId="3650E97C" w14:textId="77777777" w:rsidR="00FA3CF9" w:rsidRPr="00B06D0A" w:rsidRDefault="00FA3CF9">
      <w:pPr>
        <w:widowControl w:val="0"/>
        <w:autoSpaceDE w:val="0"/>
        <w:autoSpaceDN w:val="0"/>
        <w:adjustRightInd w:val="0"/>
        <w:ind w:firstLine="720"/>
        <w:rPr>
          <w:rFonts w:ascii="Times New Roman" w:hAnsi="Times New Roman" w:cs="Times New Roman"/>
        </w:rPr>
      </w:pPr>
    </w:p>
    <w:p w14:paraId="591A195B" w14:textId="5DF01AEB"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law, for example, does permit recovery for emotional distress where that distress accompanies a physical injury </w:t>
      </w:r>
      <w:r w:rsidR="00AD64C5">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and it often permits recovery for distress suffered by a close relative who witnesses the physical injury of a negligence victim, e.g., </w:t>
      </w:r>
      <w:r w:rsidRPr="00B06D0A">
        <w:rPr>
          <w:rFonts w:ascii="Times New Roman" w:eastAsia="Times New Roman" w:hAnsi="Times New Roman" w:cs="Times New Roman"/>
          <w:i/>
          <w:iCs/>
        </w:rPr>
        <w:t>Dillon v. Legg</w:t>
      </w:r>
      <w:r w:rsidRPr="00B06D0A">
        <w:rPr>
          <w:rFonts w:ascii="Times New Roman" w:eastAsia="Times New Roman" w:hAnsi="Times New Roman" w:cs="Times New Roman"/>
        </w:rPr>
        <w:t xml:space="preserve">, [Cal.  1968] . . . .  The Court then held that FELA § 1, mirroring the law of many States, sometimes permitted recovery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for damages for negligent infliction of emotional distress,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in particular, it does so where a plaintiff seeking such damages satisfies the common law</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zone of danger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test.  It defined that test by stating that the law permits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recovery for emotional 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by</w:t>
      </w:r>
    </w:p>
    <w:p w14:paraId="594B93B2" w14:textId="77777777" w:rsidR="00FA3CF9" w:rsidRPr="00B06D0A" w:rsidRDefault="00FA3CF9">
      <w:pPr>
        <w:widowControl w:val="0"/>
        <w:autoSpaceDE w:val="0"/>
        <w:autoSpaceDN w:val="0"/>
        <w:adjustRightInd w:val="0"/>
        <w:ind w:firstLine="720"/>
        <w:rPr>
          <w:rFonts w:ascii="Times New Roman" w:hAnsi="Times New Roman" w:cs="Times New Roman"/>
        </w:rPr>
      </w:pPr>
    </w:p>
    <w:p w14:paraId="436DF31F" w14:textId="14F53417" w:rsidR="00FA3CF9" w:rsidRPr="00B06D0A" w:rsidRDefault="750671CE" w:rsidP="00F94B7E">
      <w:pPr>
        <w:pStyle w:val="blockquote"/>
      </w:pPr>
      <w:r w:rsidRPr="00B06D0A">
        <w:t xml:space="preserve">those plaintiffs who </w:t>
      </w:r>
      <w:r w:rsidRPr="00B06D0A">
        <w:rPr>
          <w:i/>
          <w:iCs/>
        </w:rPr>
        <w:t xml:space="preserve">sustain </w:t>
      </w:r>
      <w:r w:rsidRPr="00B06D0A">
        <w:t>a physical impact as a result of a defendant</w:t>
      </w:r>
      <w:r w:rsidR="00B05F31" w:rsidRPr="00B06D0A">
        <w:t>’</w:t>
      </w:r>
      <w:r w:rsidRPr="00B06D0A">
        <w:t>s negligent conduct, or who are placed in immediate risk of physical harm by that conduct.</w:t>
      </w:r>
    </w:p>
    <w:p w14:paraId="765C49F5" w14:textId="5F458B4D"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case before us, as we have said, focuses on the italicized words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Second Circuit interpreted those words as including a simple physical contact with a substance that might cause a disease at a future time, so long as the contact was of a kind that would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cause fear in a reasonable person.</w:t>
      </w:r>
      <w:r w:rsidR="00B05F31" w:rsidRPr="00B06D0A">
        <w:rPr>
          <w:rFonts w:ascii="Times New Roman" w:eastAsia="Times New Roman" w:hAnsi="Times New Roman" w:cs="Times New Roman"/>
        </w:rPr>
        <w:t>”</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 xml:space="preserve"> In our view, however,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to which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referred does not include a simple physical contact with a substance that might cause a disease at a substantially later time</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where that substance, or related circumstance, threatens no harm other than that disease-related risk. . . .</w:t>
      </w:r>
    </w:p>
    <w:p w14:paraId="4D8E2654" w14:textId="77777777" w:rsidR="00FA3CF9" w:rsidRPr="00B06D0A" w:rsidRDefault="00FA3CF9">
      <w:pPr>
        <w:widowControl w:val="0"/>
        <w:autoSpaceDE w:val="0"/>
        <w:autoSpaceDN w:val="0"/>
        <w:adjustRightInd w:val="0"/>
        <w:ind w:firstLine="720"/>
        <w:rPr>
          <w:rFonts w:ascii="Times New Roman" w:hAnsi="Times New Roman" w:cs="Times New Roman"/>
        </w:rPr>
      </w:pPr>
    </w:p>
    <w:p w14:paraId="616134C3" w14:textId="6E461C76"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rPr>
          <w:rFonts w:ascii="Times New Roman" w:eastAsia="Times New Roman" w:hAnsi="Times New Roman" w:cs="Times New Roman"/>
        </w:rPr>
        <w:t xml:space="preserve">. . . </w:t>
      </w:r>
      <w:r w:rsidRPr="00B06D0A">
        <w:rPr>
          <w:rFonts w:ascii="Times New Roman" w:eastAsia="Times New Roman" w:hAnsi="Times New Roman" w:cs="Times New Roman"/>
        </w:rPr>
        <w:t>. But with only a few exceptions, common-law courts have denied recovery to those who, like Buckley, are disease and symptom free.</w:t>
      </w:r>
      <w:r w:rsidR="00AD64C5">
        <w:rPr>
          <w:rFonts w:ascii="Times New Roman" w:eastAsia="Times New Roman" w:hAnsi="Times New Roman" w:cs="Times New Roman"/>
        </w:rPr>
        <w:t xml:space="preserve"> . . </w:t>
      </w:r>
      <w:r w:rsidRPr="00B06D0A">
        <w:rPr>
          <w:rFonts w:ascii="Times New Roman" w:eastAsia="Times New Roman" w:hAnsi="Times New Roman" w:cs="Times New Roman"/>
        </w:rPr>
        <w:t>.</w:t>
      </w:r>
    </w:p>
    <w:p w14:paraId="69320B48" w14:textId="77777777" w:rsidR="00FA3CF9" w:rsidRPr="00B06D0A" w:rsidRDefault="00FA3CF9">
      <w:pPr>
        <w:widowControl w:val="0"/>
        <w:autoSpaceDE w:val="0"/>
        <w:autoSpaceDN w:val="0"/>
        <w:adjustRightInd w:val="0"/>
        <w:ind w:firstLine="720"/>
        <w:rPr>
          <w:rFonts w:ascii="Times New Roman" w:hAnsi="Times New Roman" w:cs="Times New Roman"/>
        </w:rPr>
      </w:pPr>
    </w:p>
    <w:p w14:paraId="3FE7BF52" w14:textId="3BB2739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general policy reasons to which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referred</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in its explanation of why common-law courts have restricted recovery for emotional harm to cases falling within rather narrowly defined categories</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 xml:space="preserve">militate against an expansive definition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physical impact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here.  Those reasons include: (a) special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difficult[y] for judges and juries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separating valid, important claims from those that are invalid 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trivial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 a threat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unlimited and unpredictable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(c)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potential for a flood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comparatively unimportant,  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trivial,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claims.</w:t>
      </w:r>
    </w:p>
    <w:p w14:paraId="38A3716D" w14:textId="77777777" w:rsidR="00FA3CF9" w:rsidRPr="00B06D0A" w:rsidRDefault="00FA3CF9">
      <w:pPr>
        <w:widowControl w:val="0"/>
        <w:autoSpaceDE w:val="0"/>
        <w:autoSpaceDN w:val="0"/>
        <w:adjustRightInd w:val="0"/>
        <w:ind w:firstLine="720"/>
        <w:rPr>
          <w:rFonts w:ascii="Times New Roman" w:hAnsi="Times New Roman" w:cs="Times New Roman"/>
        </w:rPr>
      </w:pPr>
    </w:p>
    <w:p w14:paraId="714324C2"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B06D0A" w:rsidRDefault="00FA3CF9">
      <w:pPr>
        <w:widowControl w:val="0"/>
        <w:autoSpaceDE w:val="0"/>
        <w:autoSpaceDN w:val="0"/>
        <w:adjustRightInd w:val="0"/>
        <w:ind w:firstLine="720"/>
        <w:rPr>
          <w:rFonts w:ascii="Times New Roman" w:hAnsi="Times New Roman" w:cs="Times New Roman"/>
        </w:rPr>
      </w:pPr>
    </w:p>
    <w:p w14:paraId="0FE2FB84" w14:textId="36BEE1C8"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More important, the physical contact at issue here</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a simple (though extensive) contact with a carcinogenic substance</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does not seem to offer much help in separating valid from invalid emotional distress claims.</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 xml:space="preserve"> That is because contacts, even extensive contacts, with serious carcinogens are common.  See, e.g., Nicholson, Perkel, &amp; Selikoff, Occupational Exposure to Asbestos:  Population at Risk and Projected Mortality</w:t>
      </w:r>
      <w:r w:rsidR="00C91EF4" w:rsidRPr="00C91EF4">
        <w:rPr>
          <w:rFonts w:ascii="Times New Roman" w:eastAsia="Times New Roman" w:hAnsi="Times New Roman" w:cs="Times New Roman"/>
        </w:rPr>
        <w:t>—</w:t>
      </w:r>
      <w:r w:rsidRPr="00B06D0A">
        <w:rPr>
          <w:rFonts w:ascii="Times New Roman" w:eastAsia="Times New Roman" w:hAnsi="Times New Roman" w:cs="Times New Roman"/>
        </w:rPr>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B06D0A">
        <w:rPr>
          <w:rFonts w:ascii="Times New Roman" w:eastAsia="Times New Roman" w:hAnsi="Times New Roman" w:cs="Times New Roman"/>
          <w:i/>
          <w:iCs/>
        </w:rPr>
        <w:t>increased</w:t>
      </w:r>
      <w:r w:rsidRPr="00B06D0A">
        <w:rPr>
          <w:rFonts w:ascii="Times New Roman" w:eastAsia="Times New Roman" w:hAnsi="Times New Roman" w:cs="Times New Roman"/>
        </w:rPr>
        <w:t xml:space="preserve"> risk of dying. An external circumstance—exposure—makes some emotional distress more likely. But how can one determine from the external circumstance of exposure whether, or when, a claimed strong emotional reaction to an </w:t>
      </w:r>
      <w:r w:rsidRPr="00B06D0A">
        <w:rPr>
          <w:rFonts w:ascii="Times New Roman" w:eastAsia="Times New Roman" w:hAnsi="Times New Roman" w:cs="Times New Roman"/>
          <w:i/>
          <w:iCs/>
        </w:rPr>
        <w:t>increased</w:t>
      </w:r>
      <w:r w:rsidRPr="00B06D0A">
        <w:rPr>
          <w:rFonts w:ascii="Times New Roman" w:eastAsia="Times New Roman" w:hAnsi="Times New Roman" w:cs="Times New Roman"/>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B06D0A" w:rsidRDefault="00FA3CF9">
      <w:pPr>
        <w:widowControl w:val="0"/>
        <w:autoSpaceDE w:val="0"/>
        <w:autoSpaceDN w:val="0"/>
        <w:adjustRightInd w:val="0"/>
        <w:ind w:firstLine="720"/>
        <w:rPr>
          <w:rFonts w:ascii="Times New Roman" w:hAnsi="Times New Roman" w:cs="Times New Roman"/>
        </w:rPr>
      </w:pPr>
    </w:p>
    <w:p w14:paraId="198CB151" w14:textId="40D91C53"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large number of those exposed and the uncertainties that may surround recovery also suggest what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called the problem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unlimited and unpredictable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F94B7E">
        <w:rPr>
          <w:rFonts w:ascii="Times New Roman" w:eastAsia="Times New Roman" w:hAnsi="Times New Roman" w:cs="Times New Roman"/>
          <w:smallCaps/>
        </w:rPr>
        <w:t xml:space="preserve">96 </w:t>
      </w:r>
      <w:r w:rsidRPr="00F94B7E">
        <w:rPr>
          <w:rFonts w:ascii="Times New Roman" w:eastAsia="Times New Roman" w:hAnsi="Times New Roman" w:cs="Times New Roman"/>
          <w:iCs/>
          <w:smallCaps/>
        </w:rPr>
        <w:t>Yale L.J.</w:t>
      </w:r>
      <w:r w:rsidRPr="00B06D0A">
        <w:rPr>
          <w:rFonts w:ascii="Times New Roman" w:eastAsia="Times New Roman" w:hAnsi="Times New Roman" w:cs="Times New Roman"/>
        </w:rPr>
        <w:t xml:space="preserve"> 1521 (1987)]. </w:t>
      </w:r>
      <w:r w:rsidR="00C91EF4">
        <w:rPr>
          <w:rFonts w:ascii="Times New Roman" w:eastAsia="Times New Roman" w:hAnsi="Times New Roman" w:cs="Times New Roman"/>
        </w:rPr>
        <w:t xml:space="preserve"> </w:t>
      </w:r>
      <w:r w:rsidRPr="00B06D0A">
        <w:rPr>
          <w:rFonts w:ascii="Times New Roman" w:eastAsia="Times New Roman" w:hAnsi="Times New Roman" w:cs="Times New Roman"/>
        </w:rPr>
        <w:t xml:space="preserve">The same characteristics further suggest what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 xml:space="preserve"> called the problem of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flood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cases that, if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trivial,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F94B7E">
        <w:rPr>
          <w:rFonts w:ascii="Times New Roman" w:eastAsia="Times New Roman" w:hAnsi="Times New Roman" w:cs="Times New Roman"/>
          <w:smallCaps/>
        </w:rPr>
        <w:t xml:space="preserve">J. Weinstein, </w:t>
      </w:r>
      <w:r w:rsidRPr="00F94B7E">
        <w:rPr>
          <w:rFonts w:ascii="Times New Roman" w:eastAsia="Times New Roman" w:hAnsi="Times New Roman" w:cs="Times New Roman"/>
          <w:iCs/>
          <w:smallCaps/>
        </w:rPr>
        <w:t>Individual Justice in Mass. Tort Litigation</w:t>
      </w:r>
      <w:r w:rsidRPr="00F94B7E">
        <w:rPr>
          <w:rFonts w:ascii="Times New Roman" w:eastAsia="Times New Roman" w:hAnsi="Times New Roman" w:cs="Times New Roman"/>
          <w:smallCaps/>
        </w:rPr>
        <w:t xml:space="preserve"> </w:t>
      </w:r>
      <w:r w:rsidRPr="00B06D0A">
        <w:rPr>
          <w:rFonts w:ascii="Times New Roman" w:eastAsia="Times New Roman" w:hAnsi="Times New Roman" w:cs="Times New Roman"/>
        </w:rPr>
        <w:t xml:space="preserve">10-11, 141 (1995); Schuck, </w:t>
      </w:r>
      <w:r w:rsidRPr="00F94B7E">
        <w:rPr>
          <w:rFonts w:ascii="Times New Roman" w:eastAsia="Times New Roman" w:hAnsi="Times New Roman" w:cs="Times New Roman"/>
          <w:i/>
        </w:rPr>
        <w:t>The Worst Should Go First: Deferral Registries in Asbestos Litigation</w:t>
      </w:r>
      <w:r w:rsidRPr="0081054B">
        <w:rPr>
          <w:rFonts w:ascii="Times New Roman" w:eastAsia="Times New Roman" w:hAnsi="Times New Roman" w:cs="Times New Roman"/>
        </w:rPr>
        <w:t>,</w:t>
      </w:r>
      <w:r w:rsidRPr="00B06D0A">
        <w:rPr>
          <w:rFonts w:ascii="Times New Roman" w:eastAsia="Times New Roman" w:hAnsi="Times New Roman" w:cs="Times New Roman"/>
        </w:rPr>
        <w:t xml:space="preserve"> 15 </w:t>
      </w:r>
      <w:r w:rsidRPr="00F94B7E">
        <w:rPr>
          <w:rFonts w:ascii="Times New Roman" w:eastAsia="Times New Roman" w:hAnsi="Times New Roman" w:cs="Times New Roman"/>
          <w:iCs/>
          <w:smallCaps/>
        </w:rPr>
        <w:t>Harv. J.L. &amp; Pub. Pol</w:t>
      </w:r>
      <w:r w:rsidR="00B05F31" w:rsidRPr="00F94B7E">
        <w:rPr>
          <w:rFonts w:ascii="Times New Roman" w:eastAsia="Times New Roman" w:hAnsi="Times New Roman" w:cs="Times New Roman"/>
          <w:smallCaps/>
        </w:rPr>
        <w:t>’</w:t>
      </w:r>
      <w:r w:rsidRPr="00F94B7E">
        <w:rPr>
          <w:rFonts w:ascii="Times New Roman" w:eastAsia="Times New Roman" w:hAnsi="Times New Roman" w:cs="Times New Roman"/>
          <w:iCs/>
          <w:smallCaps/>
        </w:rPr>
        <w:t>y</w:t>
      </w:r>
      <w:r w:rsidRPr="00F94B7E">
        <w:rPr>
          <w:rFonts w:ascii="Times New Roman" w:eastAsia="Times New Roman" w:hAnsi="Times New Roman" w:cs="Times New Roman"/>
          <w:smallCaps/>
        </w:rPr>
        <w:t xml:space="preserve"> 541</w:t>
      </w:r>
      <w:r w:rsidRPr="00B06D0A">
        <w:rPr>
          <w:rFonts w:ascii="Times New Roman" w:eastAsia="Times New Roman" w:hAnsi="Times New Roman" w:cs="Times New Roman"/>
        </w:rPr>
        <w:t xml:space="preserve"> (1992).</w:t>
      </w:r>
    </w:p>
    <w:p w14:paraId="457B32AA" w14:textId="77777777" w:rsidR="00FA3CF9" w:rsidRPr="00B06D0A" w:rsidRDefault="00FA3CF9">
      <w:pPr>
        <w:widowControl w:val="0"/>
        <w:autoSpaceDE w:val="0"/>
        <w:autoSpaceDN w:val="0"/>
        <w:adjustRightInd w:val="0"/>
        <w:ind w:firstLine="720"/>
        <w:rPr>
          <w:rFonts w:ascii="Times New Roman" w:hAnsi="Times New Roman" w:cs="Times New Roman"/>
        </w:rPr>
      </w:pPr>
    </w:p>
    <w:p w14:paraId="22536D1D"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B06D0A" w:rsidRDefault="00FA3CF9">
      <w:pPr>
        <w:widowControl w:val="0"/>
        <w:autoSpaceDE w:val="0"/>
        <w:autoSpaceDN w:val="0"/>
        <w:adjustRightInd w:val="0"/>
        <w:ind w:firstLine="720"/>
        <w:rPr>
          <w:rFonts w:ascii="Times New Roman" w:hAnsi="Times New Roman" w:cs="Times New Roman"/>
        </w:rPr>
      </w:pPr>
    </w:p>
    <w:p w14:paraId="5AC01F0E"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For the reasons stated, we reverse the determination of the Second Circuit, and we   remand the case for further proceedings consistent with this opinion.</w:t>
      </w:r>
    </w:p>
    <w:p w14:paraId="17744B0F" w14:textId="77777777" w:rsidR="00FA3CF9" w:rsidRPr="00B06D0A" w:rsidRDefault="00FA3CF9">
      <w:pPr>
        <w:widowControl w:val="0"/>
        <w:autoSpaceDE w:val="0"/>
        <w:autoSpaceDN w:val="0"/>
        <w:adjustRightInd w:val="0"/>
        <w:ind w:firstLine="720"/>
        <w:rPr>
          <w:rFonts w:ascii="Times New Roman" w:hAnsi="Times New Roman" w:cs="Times New Roman"/>
        </w:rPr>
      </w:pPr>
    </w:p>
    <w:p w14:paraId="6370324C" w14:textId="77777777" w:rsidR="00FA3CF9" w:rsidRPr="00B06D0A" w:rsidRDefault="750671CE">
      <w:pPr>
        <w:widowControl w:val="0"/>
        <w:autoSpaceDE w:val="0"/>
        <w:autoSpaceDN w:val="0"/>
        <w:adjustRightInd w:val="0"/>
        <w:ind w:firstLine="720"/>
        <w:rPr>
          <w:rFonts w:ascii="Times New Roman" w:eastAsia="Times New Roman" w:hAnsi="Times New Roman" w:cs="Times New Roman"/>
          <w:i/>
          <w:iCs/>
        </w:rPr>
      </w:pPr>
      <w:r w:rsidRPr="00B06D0A">
        <w:rPr>
          <w:rFonts w:ascii="Times New Roman" w:eastAsia="Times New Roman" w:hAnsi="Times New Roman" w:cs="Times New Roman"/>
          <w:i/>
          <w:iCs/>
        </w:rPr>
        <w:t>It is so ordered.</w:t>
      </w:r>
    </w:p>
    <w:p w14:paraId="6246821F" w14:textId="77777777" w:rsidR="00FA3CF9" w:rsidRPr="00B06D0A" w:rsidRDefault="00FA3CF9">
      <w:pPr>
        <w:widowControl w:val="0"/>
        <w:autoSpaceDE w:val="0"/>
        <w:autoSpaceDN w:val="0"/>
        <w:adjustRightInd w:val="0"/>
        <w:ind w:firstLine="720"/>
        <w:rPr>
          <w:rFonts w:ascii="Times New Roman" w:hAnsi="Times New Roman" w:cs="Times New Roman"/>
        </w:rPr>
      </w:pPr>
    </w:p>
    <w:p w14:paraId="45FACA69" w14:textId="4CCE5DC6"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[Justice Ginsburg, joined by Justice Stevens, separately concurred in this part of the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judgment. In Ginsburg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view,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extensive contact with asbestos particles in Grand Central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tunnels . . . constituted </w:t>
      </w:r>
      <w:r w:rsidR="004B75E8">
        <w:rPr>
          <w:rFonts w:ascii="Times New Roman" w:eastAsia="Times New Roman" w:hAnsi="Times New Roman" w:cs="Times New Roman"/>
        </w:rPr>
        <w:t>‘</w:t>
      </w:r>
      <w:r w:rsidRPr="00B06D0A">
        <w:rPr>
          <w:rFonts w:ascii="Times New Roman" w:eastAsia="Times New Roman" w:hAnsi="Times New Roman" w:cs="Times New Roman"/>
        </w:rPr>
        <w:t>physical impact</w:t>
      </w:r>
      <w:r w:rsidR="004B75E8">
        <w:rPr>
          <w:rFonts w:ascii="Times New Roman" w:eastAsia="Times New Roman" w:hAnsi="Times New Roman" w:cs="Times New Roman"/>
        </w:rPr>
        <w:t>’</w:t>
      </w:r>
      <w:r w:rsidRPr="00B06D0A">
        <w:rPr>
          <w:rFonts w:ascii="Times New Roman" w:eastAsia="Times New Roman" w:hAnsi="Times New Roman" w:cs="Times New Roman"/>
        </w:rPr>
        <w:t xml:space="preserve"> as that term was used in </w:t>
      </w:r>
      <w:r w:rsidRPr="00B06D0A">
        <w:rPr>
          <w:rFonts w:ascii="Times New Roman" w:eastAsia="Times New Roman" w:hAnsi="Times New Roman" w:cs="Times New Roman"/>
          <w:i/>
          <w:iCs/>
        </w:rPr>
        <w:t>Gottshall</w:t>
      </w:r>
      <w:r w:rsidRPr="00B06D0A">
        <w:rPr>
          <w:rFonts w:ascii="Times New Roman" w:eastAsia="Times New Roman" w:hAnsi="Times New Roman" w:cs="Times New Roman"/>
        </w:rPr>
        <w: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Nonetheless, Ginsburg found that Buckley had failed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present objective evidence of severe emotional distress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concluded therefore that his emotional distress claim failed.]</w:t>
      </w:r>
    </w:p>
    <w:p w14:paraId="4133EE3E" w14:textId="77777777" w:rsidR="00FA3CF9" w:rsidRPr="00B06D0A" w:rsidRDefault="00FA3CF9">
      <w:pPr>
        <w:widowControl w:val="0"/>
        <w:autoSpaceDE w:val="0"/>
        <w:autoSpaceDN w:val="0"/>
        <w:adjustRightInd w:val="0"/>
        <w:ind w:firstLine="720"/>
        <w:rPr>
          <w:rFonts w:ascii="Times New Roman" w:hAnsi="Times New Roman" w:cs="Times New Roman"/>
        </w:rPr>
      </w:pPr>
    </w:p>
    <w:p w14:paraId="0047A109" w14:textId="77777777" w:rsidR="00FA3CF9" w:rsidRPr="00B06D0A" w:rsidRDefault="00FA3CF9">
      <w:pPr>
        <w:widowControl w:val="0"/>
        <w:autoSpaceDE w:val="0"/>
        <w:autoSpaceDN w:val="0"/>
        <w:adjustRightInd w:val="0"/>
        <w:rPr>
          <w:rFonts w:ascii="Times New Roman" w:hAnsi="Times New Roman" w:cs="Times New Roman"/>
        </w:rPr>
      </w:pPr>
    </w:p>
    <w:p w14:paraId="3DE1392A" w14:textId="77777777" w:rsidR="00FA3CF9" w:rsidRPr="00A559C4" w:rsidRDefault="00FA3CF9" w:rsidP="002502CC">
      <w:pPr>
        <w:pStyle w:val="Heading4"/>
      </w:pPr>
      <w:bookmarkStart w:id="779" w:name="_Toc364636222"/>
      <w:bookmarkStart w:id="780" w:name="_Toc518323466"/>
      <w:r w:rsidRPr="00C14ACE">
        <w:t>Notes</w:t>
      </w:r>
      <w:bookmarkEnd w:id="779"/>
      <w:bookmarkEnd w:id="780"/>
    </w:p>
    <w:p w14:paraId="045AD7DA" w14:textId="77777777" w:rsidR="00FA3CF9" w:rsidRDefault="00FA3CF9">
      <w:pPr>
        <w:widowControl w:val="0"/>
        <w:autoSpaceDE w:val="0"/>
        <w:autoSpaceDN w:val="0"/>
        <w:adjustRightInd w:val="0"/>
        <w:rPr>
          <w:rFonts w:ascii="Times New Roman" w:hAnsi="Times New Roman" w:cs="Times New Roman"/>
        </w:rPr>
      </w:pPr>
    </w:p>
    <w:p w14:paraId="09436DD7" w14:textId="77777777" w:rsidR="005468ED" w:rsidRPr="00B06D0A" w:rsidRDefault="005468ED">
      <w:pPr>
        <w:widowControl w:val="0"/>
        <w:autoSpaceDE w:val="0"/>
        <w:autoSpaceDN w:val="0"/>
        <w:adjustRightInd w:val="0"/>
        <w:rPr>
          <w:rFonts w:ascii="Times New Roman" w:hAnsi="Times New Roman" w:cs="Times New Roman"/>
        </w:rPr>
      </w:pPr>
    </w:p>
    <w:p w14:paraId="2C1786A3" w14:textId="534481AC" w:rsidR="00FA3CF9" w:rsidRPr="00F94B7E" w:rsidRDefault="750671CE" w:rsidP="00F94B7E">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Resistance to </w:t>
      </w:r>
      <w:r w:rsidRPr="00F94B7E">
        <w:rPr>
          <w:rFonts w:ascii="Times New Roman" w:eastAsia="Times New Roman" w:hAnsi="Times New Roman" w:cs="Times New Roman"/>
          <w:iCs/>
        </w:rPr>
        <w:t>Dillon</w:t>
      </w:r>
      <w:r w:rsidRPr="00F94B7E">
        <w:rPr>
          <w:rFonts w:ascii="Times New Roman" w:eastAsia="Times New Roman" w:hAnsi="Times New Roman" w:cs="Times New Roman"/>
        </w:rPr>
        <w:t>.  The Supreme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decision is not alone in its skepticism for the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approach.  It may even stand for a broader resistance to </w:t>
      </w:r>
      <w:r w:rsidRPr="00F94B7E">
        <w:rPr>
          <w:rFonts w:ascii="Times New Roman" w:eastAsia="Times New Roman" w:hAnsi="Times New Roman" w:cs="Times New Roman"/>
          <w:i/>
          <w:iCs/>
        </w:rPr>
        <w:t>Dillon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heavy reliance on an open-ended and case-by-case reasonableness analysis.  Nearly fifty years after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seven states still do not recognize claims for the negligent infliction of emotional distress absent physical impact, retaining the old rule of </w:t>
      </w:r>
      <w:r w:rsidRPr="00F94B7E">
        <w:rPr>
          <w:rFonts w:ascii="Times New Roman" w:eastAsia="Times New Roman" w:hAnsi="Times New Roman" w:cs="Times New Roman"/>
          <w:i/>
          <w:iCs/>
        </w:rPr>
        <w:t>Mitchell v. Rochester Railway</w:t>
      </w:r>
      <w:r w:rsidRPr="00F94B7E">
        <w:rPr>
          <w:rFonts w:ascii="Times New Roman" w:eastAsia="Times New Roman" w:hAnsi="Times New Roman" w:cs="Times New Roman"/>
        </w:rPr>
        <w:t xml:space="preserve">.  For cases retaining the common law rule, see Arkansas, </w:t>
      </w:r>
      <w:r w:rsidRPr="00F94B7E">
        <w:rPr>
          <w:rFonts w:ascii="Times New Roman" w:eastAsia="Times New Roman" w:hAnsi="Times New Roman" w:cs="Times New Roman"/>
          <w:i/>
          <w:iCs/>
        </w:rPr>
        <w:t>Mechs. Lumber Co. v. Smith</w:t>
      </w:r>
      <w:r w:rsidRPr="00F94B7E">
        <w:rPr>
          <w:rFonts w:ascii="Times New Roman" w:eastAsia="Times New Roman" w:hAnsi="Times New Roman" w:cs="Times New Roman"/>
        </w:rPr>
        <w:t xml:space="preserve">, 752 S.W.2d 763 (Ark. 1988); Georgia, </w:t>
      </w:r>
      <w:r w:rsidRPr="00F94B7E">
        <w:rPr>
          <w:rFonts w:ascii="Times New Roman" w:eastAsia="Times New Roman" w:hAnsi="Times New Roman" w:cs="Times New Roman"/>
          <w:i/>
          <w:iCs/>
        </w:rPr>
        <w:t>Lee v. State Farm Mut. Ins. Co.</w:t>
      </w:r>
      <w:r w:rsidRPr="00F94B7E">
        <w:rPr>
          <w:rFonts w:ascii="Times New Roman" w:eastAsia="Times New Roman" w:hAnsi="Times New Roman" w:cs="Times New Roman"/>
        </w:rPr>
        <w:t xml:space="preserve">, 533 S.E.2d 82 (Ga. 2000); Idaho, </w:t>
      </w:r>
      <w:r w:rsidRPr="00F94B7E">
        <w:rPr>
          <w:rFonts w:ascii="Times New Roman" w:eastAsia="Times New Roman" w:hAnsi="Times New Roman" w:cs="Times New Roman"/>
          <w:i/>
          <w:iCs/>
        </w:rPr>
        <w:t>Evans v. Twin Falls Cnty.</w:t>
      </w:r>
      <w:r w:rsidRPr="00F94B7E">
        <w:rPr>
          <w:rFonts w:ascii="Times New Roman" w:eastAsia="Times New Roman" w:hAnsi="Times New Roman" w:cs="Times New Roman"/>
        </w:rPr>
        <w:t xml:space="preserve">, 796 P.2d 87 (Idaho 1990); Kansas, </w:t>
      </w:r>
      <w:r w:rsidRPr="00F94B7E">
        <w:rPr>
          <w:rFonts w:ascii="Times New Roman" w:eastAsia="Times New Roman" w:hAnsi="Times New Roman" w:cs="Times New Roman"/>
          <w:i/>
          <w:iCs/>
        </w:rPr>
        <w:t>Hopkins v. State</w:t>
      </w:r>
      <w:r w:rsidRPr="00F94B7E">
        <w:rPr>
          <w:rFonts w:ascii="Times New Roman" w:eastAsia="Times New Roman" w:hAnsi="Times New Roman" w:cs="Times New Roman"/>
        </w:rPr>
        <w:t xml:space="preserve">, 702 P.2d 311 (Kan. 1985); Oklahoma, </w:t>
      </w:r>
      <w:r w:rsidRPr="00F94B7E">
        <w:rPr>
          <w:rFonts w:ascii="Times New Roman" w:eastAsia="Times New Roman" w:hAnsi="Times New Roman" w:cs="Times New Roman"/>
          <w:i/>
          <w:iCs/>
        </w:rPr>
        <w:t>Kraszewski v. Baptist Med. Ctr. of Okla., Inc.</w:t>
      </w:r>
      <w:r w:rsidRPr="00F94B7E">
        <w:rPr>
          <w:rFonts w:ascii="Times New Roman" w:eastAsia="Times New Roman" w:hAnsi="Times New Roman" w:cs="Times New Roman"/>
        </w:rPr>
        <w:t xml:space="preserve">, 916 P.2d 241 (Okla. 1996); Oregon, </w:t>
      </w:r>
      <w:r w:rsidRPr="00F94B7E">
        <w:rPr>
          <w:rFonts w:ascii="Times New Roman" w:eastAsia="Times New Roman" w:hAnsi="Times New Roman" w:cs="Times New Roman"/>
          <w:i/>
          <w:iCs/>
        </w:rPr>
        <w:t>Hammond v. Cent. Lane Commc</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ns Ctr.</w:t>
      </w:r>
      <w:r w:rsidRPr="00F94B7E">
        <w:rPr>
          <w:rFonts w:ascii="Times New Roman" w:eastAsia="Times New Roman" w:hAnsi="Times New Roman" w:cs="Times New Roman"/>
        </w:rPr>
        <w:t xml:space="preserve">, 816 P.2d 593 (Or. 1991) (en banc); and Virginia, </w:t>
      </w:r>
      <w:r w:rsidRPr="00F94B7E">
        <w:rPr>
          <w:rFonts w:ascii="Times New Roman" w:eastAsia="Times New Roman" w:hAnsi="Times New Roman" w:cs="Times New Roman"/>
          <w:i/>
          <w:iCs/>
        </w:rPr>
        <w:t>Hughes v. Moore</w:t>
      </w:r>
      <w:r w:rsidRPr="00F94B7E">
        <w:rPr>
          <w:rFonts w:ascii="Times New Roman" w:eastAsia="Times New Roman" w:hAnsi="Times New Roman" w:cs="Times New Roman"/>
        </w:rPr>
        <w:t>, 197 S.E.2d 214 (Va. 1973).</w:t>
      </w:r>
    </w:p>
    <w:p w14:paraId="7200A001" w14:textId="73FBDCB2" w:rsidR="00FA3CF9" w:rsidRPr="00B06D0A" w:rsidRDefault="00FA3CF9">
      <w:pPr>
        <w:widowControl w:val="0"/>
        <w:autoSpaceDE w:val="0"/>
        <w:autoSpaceDN w:val="0"/>
        <w:adjustRightInd w:val="0"/>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Justice Breyer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opinion in </w:t>
      </w:r>
      <w:r w:rsidRPr="00B06D0A">
        <w:rPr>
          <w:rFonts w:ascii="Times New Roman" w:eastAsia="Times New Roman" w:hAnsi="Times New Roman" w:cs="Times New Roman"/>
          <w:i/>
          <w:iCs/>
        </w:rPr>
        <w:t>Buckley</w:t>
      </w:r>
      <w:r w:rsidRPr="00B06D0A">
        <w:rPr>
          <w:rFonts w:ascii="Times New Roman" w:eastAsia="Times New Roman" w:hAnsi="Times New Roman" w:cs="Times New Roman"/>
        </w:rPr>
        <w:t xml:space="preserve"> does not, however, merely restate the generalized fears of a glut of litigation cited by the state courts in cases like </w:t>
      </w:r>
      <w:r w:rsidRPr="00B06D0A">
        <w:rPr>
          <w:rFonts w:ascii="Times New Roman" w:eastAsia="Times New Roman" w:hAnsi="Times New Roman" w:cs="Times New Roman"/>
          <w:i/>
          <w:iCs/>
        </w:rPr>
        <w:t>Mitchell</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Ward</w:t>
      </w:r>
      <w:r w:rsidRPr="00B06D0A">
        <w:rPr>
          <w:rFonts w:ascii="Times New Roman" w:eastAsia="Times New Roman" w:hAnsi="Times New Roman" w:cs="Times New Roman"/>
        </w:rPr>
        <w:t>.  Instead, Justice Breyer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B06D0A" w:rsidRDefault="00FA3CF9">
      <w:pPr>
        <w:widowControl w:val="0"/>
        <w:autoSpaceDE w:val="0"/>
        <w:autoSpaceDN w:val="0"/>
        <w:adjustRightInd w:val="0"/>
        <w:rPr>
          <w:rFonts w:ascii="Times New Roman" w:hAnsi="Times New Roman" w:cs="Times New Roman"/>
          <w:b/>
        </w:rPr>
      </w:pPr>
    </w:p>
    <w:p w14:paraId="37A46308" w14:textId="77777777" w:rsidR="00FA3CF9" w:rsidRPr="00B06D0A" w:rsidRDefault="00FA3CF9">
      <w:pPr>
        <w:widowControl w:val="0"/>
        <w:autoSpaceDE w:val="0"/>
        <w:autoSpaceDN w:val="0"/>
        <w:adjustRightInd w:val="0"/>
        <w:rPr>
          <w:rFonts w:ascii="Times New Roman" w:hAnsi="Times New Roman" w:cs="Times New Roman"/>
          <w:b/>
        </w:rPr>
      </w:pPr>
    </w:p>
    <w:p w14:paraId="3877FFED" w14:textId="7ECC9221" w:rsidR="00FA3CF9" w:rsidRPr="00F94B7E" w:rsidRDefault="750671CE" w:rsidP="00F94B7E">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b/>
          <w:bCs/>
        </w:rPr>
      </w:pP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 xml:space="preserve"> and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edical </w:t>
      </w:r>
      <w:r w:rsidR="00A71B38" w:rsidRPr="00F94B7E">
        <w:rPr>
          <w:rFonts w:ascii="Times New Roman" w:eastAsia="Times New Roman" w:hAnsi="Times New Roman" w:cs="Times New Roman"/>
          <w:i/>
          <w:iCs/>
        </w:rPr>
        <w:t>m</w:t>
      </w:r>
      <w:r w:rsidRPr="00F94B7E">
        <w:rPr>
          <w:rFonts w:ascii="Times New Roman" w:eastAsia="Times New Roman" w:hAnsi="Times New Roman" w:cs="Times New Roman"/>
          <w:i/>
          <w:iCs/>
        </w:rPr>
        <w:t xml:space="preserve">onitoring </w:t>
      </w:r>
      <w:r w:rsidR="00A71B38" w:rsidRPr="00F94B7E">
        <w:rPr>
          <w:rFonts w:ascii="Times New Roman" w:eastAsia="Times New Roman" w:hAnsi="Times New Roman" w:cs="Times New Roman"/>
          <w:i/>
          <w:iCs/>
        </w:rPr>
        <w:t>d</w:t>
      </w:r>
      <w:r w:rsidRPr="00F94B7E">
        <w:rPr>
          <w:rFonts w:ascii="Times New Roman" w:eastAsia="Times New Roman" w:hAnsi="Times New Roman" w:cs="Times New Roman"/>
          <w:i/>
          <w:iCs/>
        </w:rPr>
        <w:t>amages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also advanced a separate claim for damages arising out of increased medical monitoring costs. In a separate part of Justice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opinion for the Court, not excerpted above, he assumed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exposed plaintiff can recover related reasonable medical monitoring costs if and when he develops symptoms.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But to the extent that the Second Circuit had recognized a distinct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tort law cause of action [under the FELA] permitting . . . the recovery of medical cost damages in the form of a lump sum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absent such symptoms, the Supreme Court drew back. Justice Breyer noted that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tens of millions of individuals may have suffered exposure to substances that might justify some form of substance-exposure-related medical monitoring.</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 Breyer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view, this fact threatened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both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flood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of less important cases (potentially absorbing resources better left available to those more seriously harmed </w:t>
      </w:r>
      <w:r w:rsidR="0026352C" w:rsidRPr="00F94B7E">
        <w:rPr>
          <w:rFonts w:ascii="Times New Roman" w:eastAsia="Times New Roman" w:hAnsi="Times New Roman" w:cs="Times New Roman"/>
        </w:rPr>
        <w:t>. . .</w:t>
      </w:r>
      <w:r w:rsidRPr="00F94B7E">
        <w:rPr>
          <w:rFonts w:ascii="Times New Roman" w:eastAsia="Times New Roman" w:hAnsi="Times New Roman" w:cs="Times New Roman"/>
        </w:rPr>
        <w:t xml:space="preserve">) and the systemic harms that can accompany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unlimited and unpredictable liability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(for example, vast testing liability adversely affecting the allocation of scarce medical resources).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Breyer noted, for example, that while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Buckley here sought damages worth $950 annually for 36 years,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average settlement for plaintiffs injured by asbestos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1988 and 1993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was about $12,500.</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(Nonmalignant plaintiffs received settlements averaging still less: $8,810.)</w:t>
      </w:r>
    </w:p>
    <w:p w14:paraId="6EA1EEA7" w14:textId="77777777" w:rsidR="00FA3CF9" w:rsidRPr="00B06D0A" w:rsidRDefault="00FA3CF9">
      <w:pPr>
        <w:widowControl w:val="0"/>
        <w:autoSpaceDE w:val="0"/>
        <w:autoSpaceDN w:val="0"/>
        <w:adjustRightInd w:val="0"/>
        <w:ind w:firstLine="720"/>
        <w:rPr>
          <w:rFonts w:ascii="Times New Roman" w:hAnsi="Times New Roman" w:cs="Times New Roman"/>
        </w:rPr>
      </w:pPr>
    </w:p>
    <w:p w14:paraId="554D686A" w14:textId="090EF9A6"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Breyer also observed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traditional, full-blown ordinary tort liability rule would ignore the presence of existing alternative sources of payment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such as health insurance or statutorily-mandated monitoring for asbestos injuries,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B06D0A">
        <w:rPr>
          <w:rFonts w:ascii="Times New Roman" w:eastAsia="Times New Roman" w:hAnsi="Times New Roman" w:cs="Times New Roman"/>
        </w:rPr>
        <w:t>”</w:t>
      </w:r>
    </w:p>
    <w:p w14:paraId="15AB8C24" w14:textId="77777777" w:rsidR="00FA3CF9" w:rsidRPr="00B06D0A" w:rsidRDefault="00FA3CF9">
      <w:pPr>
        <w:widowControl w:val="0"/>
        <w:autoSpaceDE w:val="0"/>
        <w:autoSpaceDN w:val="0"/>
        <w:adjustRightInd w:val="0"/>
        <w:ind w:firstLine="720"/>
        <w:rPr>
          <w:rFonts w:ascii="Times New Roman" w:hAnsi="Times New Roman" w:cs="Times New Roman"/>
        </w:rPr>
      </w:pPr>
    </w:p>
    <w:p w14:paraId="712C0E8D" w14:textId="1F177FF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Accordingly, the Court rejected 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medical monitoring claim. In doing so, however, the Court declined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express any view here about the extent to which the FELA might, or might not, accommodate medical cost recovery rules more finely tailored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than the lump-sum full-recovery rule advocated by the plaintiff and adopted by the Second Circuit.</w:t>
      </w:r>
    </w:p>
    <w:p w14:paraId="42373062" w14:textId="77777777" w:rsidR="00FA3CF9" w:rsidRPr="00B06D0A" w:rsidRDefault="00FA3CF9">
      <w:pPr>
        <w:widowControl w:val="0"/>
        <w:autoSpaceDE w:val="0"/>
        <w:autoSpaceDN w:val="0"/>
        <w:adjustRightInd w:val="0"/>
        <w:ind w:firstLine="720"/>
        <w:rPr>
          <w:rFonts w:ascii="Times New Roman" w:hAnsi="Times New Roman" w:cs="Times New Roman"/>
        </w:rPr>
      </w:pPr>
    </w:p>
    <w:p w14:paraId="5A47EE80" w14:textId="114EDDBE"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Justices Ginsburg and Stevens dissented from the majority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decision to order the dismissal of Buckley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medical monitoring claim:</w:t>
      </w:r>
    </w:p>
    <w:p w14:paraId="1495889B" w14:textId="77777777" w:rsidR="00FA3CF9" w:rsidRPr="00B06D0A" w:rsidRDefault="00FA3CF9">
      <w:pPr>
        <w:widowControl w:val="0"/>
        <w:autoSpaceDE w:val="0"/>
        <w:autoSpaceDN w:val="0"/>
        <w:adjustRightInd w:val="0"/>
        <w:ind w:firstLine="720"/>
        <w:rPr>
          <w:rFonts w:ascii="Times New Roman" w:hAnsi="Times New Roman" w:cs="Times New Roman"/>
        </w:rPr>
      </w:pPr>
    </w:p>
    <w:p w14:paraId="47A66F8F" w14:textId="7B008BEE" w:rsidR="00FA3CF9" w:rsidRPr="00B06D0A" w:rsidRDefault="750671CE" w:rsidP="00F94B7E">
      <w:pPr>
        <w:pStyle w:val="blockquote"/>
      </w:pPr>
      <w:r w:rsidRPr="00B06D0A">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B06D0A">
        <w:t>“</w:t>
      </w:r>
      <w:r w:rsidRPr="00B06D0A">
        <w:t>extremely high levels of asbestos,</w:t>
      </w:r>
      <w:r w:rsidR="00B05F31" w:rsidRPr="00B06D0A">
        <w:t>”</w:t>
      </w:r>
      <w:r w:rsidRPr="00B06D0A">
        <w:t xml:space="preserve"> and that this exposure warrants </w:t>
      </w:r>
      <w:r w:rsidR="00B05F31" w:rsidRPr="00B06D0A">
        <w:t>“</w:t>
      </w:r>
      <w:r w:rsidRPr="00B06D0A">
        <w:t>medical monitoring in order to detect and treat [asbestos-related] diseases as they may arise.</w:t>
      </w:r>
      <w:r w:rsidR="00B05F31" w:rsidRPr="00B06D0A">
        <w:t>”</w:t>
      </w:r>
      <w:r w:rsidRPr="00B06D0A">
        <w:t xml:space="preserve"> </w:t>
      </w:r>
      <w:r w:rsidR="00DF2708">
        <w:t xml:space="preserve">. . . </w:t>
      </w:r>
      <w:r w:rsidRPr="00B06D0A">
        <w:t xml:space="preserve"> Buckley</w:t>
      </w:r>
      <w:r w:rsidR="00B05F31" w:rsidRPr="00B06D0A">
        <w:t>’</w:t>
      </w:r>
      <w:r w:rsidRPr="00B06D0A">
        <w:t>s expert medical witness estimated the annual costs of proper monitoring at $950. We do not know from the Court</w:t>
      </w:r>
      <w:r w:rsidR="00B05F31" w:rsidRPr="00B06D0A">
        <w:t>’</w:t>
      </w:r>
      <w:r w:rsidRPr="00B06D0A">
        <w:t>s opinion what more a plaintiff must show to qualify for relief.</w:t>
      </w:r>
    </w:p>
    <w:p w14:paraId="5712A534" w14:textId="77777777" w:rsidR="00FA3CF9" w:rsidRPr="00B06D0A" w:rsidRDefault="00FA3CF9">
      <w:pPr>
        <w:widowControl w:val="0"/>
        <w:autoSpaceDE w:val="0"/>
        <w:autoSpaceDN w:val="0"/>
        <w:adjustRightInd w:val="0"/>
        <w:rPr>
          <w:rFonts w:ascii="Times New Roman" w:hAnsi="Times New Roman" w:cs="Times New Roman"/>
        </w:rPr>
      </w:pPr>
    </w:p>
    <w:p w14:paraId="01589715" w14:textId="77777777"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xml:space="preserve"> 521 U.S. at 448 (Ginsburg, J., concurring and dissenting).</w:t>
      </w:r>
    </w:p>
    <w:p w14:paraId="3EA8B647" w14:textId="77777777" w:rsidR="00FA3CF9" w:rsidRPr="00B06D0A" w:rsidRDefault="00FA3CF9">
      <w:pPr>
        <w:widowControl w:val="0"/>
        <w:autoSpaceDE w:val="0"/>
        <w:autoSpaceDN w:val="0"/>
        <w:adjustRightInd w:val="0"/>
        <w:rPr>
          <w:rFonts w:ascii="Times New Roman" w:hAnsi="Times New Roman" w:cs="Times New Roman"/>
          <w:color w:val="333333"/>
        </w:rPr>
      </w:pPr>
    </w:p>
    <w:p w14:paraId="69659DBB" w14:textId="77777777" w:rsidR="00FA3CF9" w:rsidRPr="00B06D0A" w:rsidRDefault="00FA3CF9">
      <w:pPr>
        <w:widowControl w:val="0"/>
        <w:autoSpaceDE w:val="0"/>
        <w:autoSpaceDN w:val="0"/>
        <w:adjustRightInd w:val="0"/>
        <w:rPr>
          <w:rFonts w:ascii="Times New Roman" w:hAnsi="Times New Roman" w:cs="Times New Roman"/>
          <w:color w:val="333333"/>
        </w:rPr>
      </w:pPr>
    </w:p>
    <w:p w14:paraId="7A60EF5D" w14:textId="234A720A" w:rsidR="00FA3CF9" w:rsidRPr="00F94B7E" w:rsidRDefault="00FA3CF9" w:rsidP="00F94B7E">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Cs/>
        </w:rPr>
        <w:t>Norfolk &amp; Western v. Ayres</w:t>
      </w:r>
      <w:r w:rsidRPr="00F94B7E">
        <w:rPr>
          <w:rFonts w:ascii="Times New Roman" w:eastAsia="Times New Roman" w:hAnsi="Times New Roman" w:cs="Times New Roman"/>
          <w:i/>
          <w:iCs/>
        </w:rPr>
        <w:t xml:space="preserve">: </w:t>
      </w:r>
      <w:r w:rsidR="004B75E8">
        <w:rPr>
          <w:rFonts w:ascii="Times New Roman" w:eastAsia="Times New Roman" w:hAnsi="Times New Roman" w:cs="Times New Roman"/>
          <w:i/>
          <w:iCs/>
        </w:rPr>
        <w:t>T</w:t>
      </w:r>
      <w:r w:rsidRPr="00F94B7E">
        <w:rPr>
          <w:rFonts w:ascii="Times New Roman" w:eastAsia="Times New Roman" w:hAnsi="Times New Roman" w:cs="Times New Roman"/>
          <w:i/>
          <w:iCs/>
        </w:rPr>
        <w:t xml:space="preserve">he limits of </w:t>
      </w:r>
      <w:r w:rsidRPr="00F94B7E">
        <w:rPr>
          <w:rFonts w:ascii="Times New Roman" w:eastAsia="Times New Roman" w:hAnsi="Times New Roman" w:cs="Times New Roman"/>
          <w:iCs/>
        </w:rPr>
        <w:t>Buckley</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What about plaintiffs with mental anguish alongside physical symptoms caused by asbestos exposure?  Did </w:t>
      </w:r>
      <w:r w:rsidRPr="00F94B7E">
        <w:rPr>
          <w:rFonts w:ascii="Times New Roman" w:eastAsia="Times New Roman" w:hAnsi="Times New Roman" w:cs="Times New Roman"/>
          <w:i/>
          <w:iCs/>
        </w:rPr>
        <w:t>Buckley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rationale extend to their emotional distress claims as well?  The Supreme Court took up this question six years after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in </w:t>
      </w:r>
      <w:bookmarkStart w:id="781" w:name="_Toc262765533"/>
      <w:r w:rsidRPr="00F94B7E">
        <w:rPr>
          <w:rFonts w:ascii="Times New Roman" w:eastAsia="Times New Roman" w:hAnsi="Times New Roman" w:cs="Times New Roman"/>
          <w:i/>
          <w:iCs/>
        </w:rPr>
        <w:t>Norfolk &amp; Western Railway v. Ayers</w:t>
      </w:r>
      <w:bookmarkEnd w:id="781"/>
      <w:r w:rsidR="0051296A" w:rsidRPr="00F94B7E">
        <w:rPr>
          <w:rFonts w:ascii="Times New Roman" w:eastAsia="Times New Roman" w:hAnsi="Times New Roman" w:cs="Times New Roman"/>
        </w:rPr>
        <w:t>, 53</w:t>
      </w:r>
      <w:r w:rsidR="004B75E8">
        <w:rPr>
          <w:rFonts w:ascii="Times New Roman" w:eastAsia="Times New Roman" w:hAnsi="Times New Roman" w:cs="Times New Roman"/>
        </w:rPr>
        <w:t>8</w:t>
      </w:r>
      <w:r w:rsidR="0051296A" w:rsidRPr="00F94B7E">
        <w:rPr>
          <w:rFonts w:ascii="Times New Roman" w:eastAsia="Times New Roman" w:hAnsi="Times New Roman" w:cs="Times New Roman"/>
        </w:rPr>
        <w:t xml:space="preserve"> U.S. </w:t>
      </w:r>
      <w:r w:rsidR="004B75E8">
        <w:rPr>
          <w:rFonts w:ascii="Times New Roman" w:eastAsia="Times New Roman" w:hAnsi="Times New Roman" w:cs="Times New Roman"/>
        </w:rPr>
        <w:t>135</w:t>
      </w:r>
      <w:r w:rsidR="004B75E8" w:rsidRPr="00F94B7E">
        <w:rPr>
          <w:rFonts w:ascii="Times New Roman" w:eastAsia="Times New Roman" w:hAnsi="Times New Roman" w:cs="Times New Roman"/>
        </w:rPr>
        <w:t xml:space="preserve"> </w:t>
      </w:r>
      <w:r w:rsidR="0051296A" w:rsidRPr="00F94B7E">
        <w:rPr>
          <w:rFonts w:ascii="Times New Roman" w:eastAsia="Times New Roman" w:hAnsi="Times New Roman" w:cs="Times New Roman"/>
        </w:rPr>
        <w:t>(2003).</w:t>
      </w:r>
    </w:p>
    <w:p w14:paraId="73CBBA38" w14:textId="77777777" w:rsidR="00FA3CF9" w:rsidRPr="00B06D0A" w:rsidRDefault="00FA3CF9" w:rsidP="00F94B7E">
      <w:pPr>
        <w:widowControl w:val="0"/>
        <w:autoSpaceDE w:val="0"/>
        <w:autoSpaceDN w:val="0"/>
        <w:adjustRightInd w:val="0"/>
        <w:spacing w:before="1"/>
        <w:ind w:firstLine="720"/>
        <w:rPr>
          <w:rFonts w:ascii="Times New Roman" w:hAnsi="Times New Roman" w:cs="Times New Roman"/>
        </w:rPr>
      </w:pPr>
    </w:p>
    <w:p w14:paraId="69B3E4DC" w14:textId="1A13F0C5" w:rsidR="00FA3CF9" w:rsidRPr="00B06D0A" w:rsidRDefault="00FA3CF9"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Norfolk &amp; Western</w:t>
      </w:r>
      <w:r w:rsidRPr="00B06D0A">
        <w:rPr>
          <w:rFonts w:ascii="Times New Roman" w:eastAsia="Times New Roman" w:hAnsi="Times New Roman" w:cs="Times New Roman"/>
        </w:rPr>
        <w:t xml:space="preserve">, the Court clarified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ental anguish da</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ages resulting from</w:t>
      </w:r>
      <w:r w:rsidRPr="00B06D0A">
        <w:rPr>
          <w:rFonts w:ascii="Times New Roman" w:eastAsia="Times New Roman" w:hAnsi="Times New Roman" w:cs="Times New Roman"/>
          <w:spacing w:val="-2"/>
        </w:rPr>
        <w:t xml:space="preserve"> </w:t>
      </w:r>
      <w:r w:rsidRPr="00B06D0A">
        <w:rPr>
          <w:rFonts w:ascii="Times New Roman" w:eastAsia="Times New Roman" w:hAnsi="Times New Roman" w:cs="Times New Roman"/>
        </w:rPr>
        <w:t xml:space="preserve">the fear of developing cancer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ay be recovered under the FELA by a railroad worker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when they are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associated with, 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parasitic</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on, a physical 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p>
    <w:p w14:paraId="355FC921" w14:textId="77777777" w:rsidR="00FA3CF9" w:rsidRPr="00B06D0A" w:rsidRDefault="00FA3CF9" w:rsidP="00F94B7E">
      <w:pPr>
        <w:widowControl w:val="0"/>
        <w:autoSpaceDE w:val="0"/>
        <w:autoSpaceDN w:val="0"/>
        <w:adjustRightInd w:val="0"/>
        <w:rPr>
          <w:rFonts w:ascii="Times New Roman" w:hAnsi="Times New Roman" w:cs="Times New Roman"/>
        </w:rPr>
      </w:pPr>
    </w:p>
    <w:p w14:paraId="36B3BE79" w14:textId="7A05BAED" w:rsidR="00FA3CF9" w:rsidRPr="00B06D0A" w:rsidRDefault="00FA3CF9"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Distinguishing </w:t>
      </w:r>
      <w:r w:rsidRPr="00B06D0A">
        <w:rPr>
          <w:rFonts w:ascii="Times New Roman" w:eastAsia="Times New Roman" w:hAnsi="Times New Roman" w:cs="Times New Roman"/>
          <w:i/>
          <w:iCs/>
        </w:rPr>
        <w:t>Metro-North v. Buckley</w:t>
      </w:r>
      <w:r w:rsidRPr="00B06D0A">
        <w:rPr>
          <w:rFonts w:ascii="Times New Roman" w:eastAsia="Times New Roman" w:hAnsi="Times New Roman" w:cs="Times New Roman"/>
        </w:rPr>
        <w:t xml:space="preserve">, the Court contended that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universe of potential clai</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with asbestosis symptoms in fear of cancer clai</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s would be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only a fraction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of those exposed to asbestos, citing studies indicating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of per</w:t>
      </w:r>
      <w:r w:rsidRPr="00B06D0A">
        <w:rPr>
          <w:rFonts w:ascii="Times New Roman" w:eastAsia="Times New Roman" w:hAnsi="Times New Roman" w:cs="Times New Roman"/>
          <w:spacing w:val="1"/>
        </w:rPr>
        <w:t>s</w:t>
      </w:r>
      <w:r w:rsidRPr="00B06D0A">
        <w:rPr>
          <w:rFonts w:ascii="Times New Roman" w:eastAsia="Times New Roman" w:hAnsi="Times New Roman" w:cs="Times New Roman"/>
        </w:rPr>
        <w:t>ons exposed to asbestos after 1959, only 2 percent had asbestosis when first exa</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ined.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Norfolk &amp; Western</w:t>
      </w:r>
      <w:r w:rsidRPr="00B06D0A">
        <w:rPr>
          <w:rFonts w:ascii="Times New Roman" w:eastAsia="Times New Roman" w:hAnsi="Times New Roman" w:cs="Times New Roman"/>
        </w:rPr>
        <w:t xml:space="preserve">, </w:t>
      </w:r>
      <w:r w:rsidR="004B75E8">
        <w:rPr>
          <w:rFonts w:ascii="Times New Roman" w:eastAsia="Times New Roman" w:hAnsi="Times New Roman" w:cs="Times New Roman"/>
        </w:rPr>
        <w:t>538 U.S. at 157</w:t>
      </w:r>
      <w:r w:rsidRPr="00B06D0A">
        <w:rPr>
          <w:rFonts w:ascii="Times New Roman" w:eastAsia="Times New Roman" w:hAnsi="Times New Roman" w:cs="Times New Roman"/>
        </w:rPr>
        <w:t>.</w:t>
      </w:r>
    </w:p>
    <w:p w14:paraId="289EE660" w14:textId="77777777" w:rsidR="00FA3CF9" w:rsidRPr="00B06D0A" w:rsidRDefault="00FA3CF9" w:rsidP="00F94B7E">
      <w:pPr>
        <w:widowControl w:val="0"/>
        <w:autoSpaceDE w:val="0"/>
        <w:autoSpaceDN w:val="0"/>
        <w:adjustRightInd w:val="0"/>
        <w:spacing w:before="20"/>
        <w:ind w:firstLine="720"/>
        <w:rPr>
          <w:rFonts w:ascii="Times New Roman" w:hAnsi="Times New Roman" w:cs="Times New Roman"/>
        </w:rPr>
      </w:pPr>
    </w:p>
    <w:p w14:paraId="72F8B01D" w14:textId="7E973457" w:rsidR="00FA3CF9" w:rsidRPr="00B06D0A" w:rsidRDefault="00FA3CF9"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Finally, the Court acknowledged concerns it had articulated in the late 1990s in class action asbestos cases: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elephantine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ass of asbestos cases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lodged in state and federal courts, we again recognize,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defies custo</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ary judicial ad</w:t>
      </w:r>
      <w:r w:rsidRPr="00B06D0A">
        <w:rPr>
          <w:rFonts w:ascii="Times New Roman" w:eastAsia="Times New Roman" w:hAnsi="Times New Roman" w:cs="Times New Roman"/>
          <w:spacing w:val="-2"/>
        </w:rPr>
        <w:t>m</w:t>
      </w:r>
      <w:r w:rsidRPr="00B06D0A">
        <w:rPr>
          <w:rFonts w:ascii="Times New Roman" w:eastAsia="Times New Roman" w:hAnsi="Times New Roman" w:cs="Times New Roman"/>
          <w:spacing w:val="1"/>
        </w:rPr>
        <w:t>i</w:t>
      </w:r>
      <w:r w:rsidRPr="00B06D0A">
        <w:rPr>
          <w:rFonts w:ascii="Times New Roman" w:eastAsia="Times New Roman" w:hAnsi="Times New Roman" w:cs="Times New Roman"/>
        </w:rPr>
        <w:t>nistration and calls for national legislation.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Ortiz v. Fibreboard Corp</w:t>
      </w:r>
      <w:r w:rsidRPr="00B06D0A">
        <w:rPr>
          <w:rFonts w:ascii="Times New Roman" w:eastAsia="Times New Roman" w:hAnsi="Times New Roman" w:cs="Times New Roman"/>
        </w:rPr>
        <w:t>., 527 U.S. 815, 821 (1999).</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But Justice Ginsburg insisted that courts must nonetheless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resist pleas of</w:t>
      </w:r>
      <w:r w:rsidRPr="00B06D0A">
        <w:rPr>
          <w:rFonts w:ascii="Times New Roman" w:eastAsia="Times New Roman" w:hAnsi="Times New Roman" w:cs="Times New Roman"/>
          <w:spacing w:val="-1"/>
        </w:rPr>
        <w:t xml:space="preserve"> </w:t>
      </w:r>
      <w:r w:rsidRPr="00B06D0A">
        <w:rPr>
          <w:rFonts w:ascii="Times New Roman" w:eastAsia="Times New Roman" w:hAnsi="Times New Roman" w:cs="Times New Roman"/>
        </w:rPr>
        <w:t>the kind Nor</w:t>
      </w:r>
      <w:r w:rsidRPr="00B06D0A">
        <w:rPr>
          <w:rFonts w:ascii="Times New Roman" w:eastAsia="Times New Roman" w:hAnsi="Times New Roman" w:cs="Times New Roman"/>
          <w:spacing w:val="-1"/>
        </w:rPr>
        <w:t>f</w:t>
      </w:r>
      <w:r w:rsidRPr="00B06D0A">
        <w:rPr>
          <w:rFonts w:ascii="Times New Roman" w:eastAsia="Times New Roman" w:hAnsi="Times New Roman" w:cs="Times New Roman"/>
        </w:rPr>
        <w:t xml:space="preserve">olk has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ade, essentially to recon</w:t>
      </w:r>
      <w:r w:rsidRPr="00B06D0A">
        <w:rPr>
          <w:rFonts w:ascii="Times New Roman" w:eastAsia="Times New Roman" w:hAnsi="Times New Roman" w:cs="Times New Roman"/>
          <w:spacing w:val="-1"/>
        </w:rPr>
        <w:t>f</w:t>
      </w:r>
      <w:r w:rsidRPr="00B06D0A">
        <w:rPr>
          <w:rFonts w:ascii="Times New Roman" w:eastAsia="Times New Roman" w:hAnsi="Times New Roman" w:cs="Times New Roman"/>
        </w:rPr>
        <w:t>igure established liability rules because they do not serve to abate today</w:t>
      </w:r>
      <w:r w:rsidR="00B05F31" w:rsidRPr="00B06D0A">
        <w:rPr>
          <w:rFonts w:ascii="Times New Roman" w:eastAsia="Times New Roman" w:hAnsi="Times New Roman" w:cs="Times New Roman"/>
          <w:spacing w:val="-1"/>
        </w:rPr>
        <w:t>’</w:t>
      </w:r>
      <w:r w:rsidRPr="00B06D0A">
        <w:rPr>
          <w:rFonts w:ascii="Times New Roman" w:eastAsia="Times New Roman" w:hAnsi="Times New Roman" w:cs="Times New Roman"/>
        </w:rPr>
        <w:t>s asbestos litigation crisis.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Norfolk &amp; Western</w:t>
      </w:r>
      <w:r w:rsidRPr="00B06D0A">
        <w:rPr>
          <w:rFonts w:ascii="Times New Roman" w:eastAsia="Times New Roman" w:hAnsi="Times New Roman" w:cs="Times New Roman"/>
        </w:rPr>
        <w:t xml:space="preserve">, </w:t>
      </w:r>
      <w:r w:rsidR="004B75E8">
        <w:rPr>
          <w:rFonts w:ascii="Times New Roman" w:eastAsia="Times New Roman" w:hAnsi="Times New Roman" w:cs="Times New Roman"/>
        </w:rPr>
        <w:t>538 U.S. at 166.</w:t>
      </w:r>
    </w:p>
    <w:p w14:paraId="49892E10" w14:textId="77777777" w:rsidR="00FA3CF9" w:rsidRPr="00B06D0A" w:rsidRDefault="00FA3CF9" w:rsidP="00F94B7E">
      <w:pPr>
        <w:widowControl w:val="0"/>
        <w:autoSpaceDE w:val="0"/>
        <w:autoSpaceDN w:val="0"/>
        <w:adjustRightInd w:val="0"/>
        <w:spacing w:before="20"/>
        <w:ind w:firstLine="720"/>
        <w:rPr>
          <w:rFonts w:ascii="Times New Roman" w:hAnsi="Times New Roman" w:cs="Times New Roman"/>
        </w:rPr>
      </w:pPr>
    </w:p>
    <w:p w14:paraId="2EB8FA73" w14:textId="20AEAB92" w:rsidR="00FA3CF9" w:rsidRPr="00B06D0A" w:rsidRDefault="00FA3CF9"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Justice Kennedy, joined by Chief Justice Rehnquist and Justices O</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Connor and Breyer dissented from</w:t>
      </w:r>
      <w:r w:rsidRPr="00B06D0A">
        <w:rPr>
          <w:rFonts w:ascii="Times New Roman" w:eastAsia="Times New Roman" w:hAnsi="Times New Roman" w:cs="Times New Roman"/>
          <w:spacing w:val="-2"/>
        </w:rPr>
        <w:t xml:space="preserve"> </w:t>
      </w:r>
      <w:r w:rsidRPr="00B06D0A">
        <w:rPr>
          <w:rFonts w:ascii="Times New Roman" w:eastAsia="Times New Roman" w:hAnsi="Times New Roman" w:cs="Times New Roman"/>
        </w:rPr>
        <w:t xml:space="preserve">the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ajority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holding on the fear of cancer clai</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s at issue on the grounds that neither the Court</w:t>
      </w:r>
      <w:r w:rsidR="00B05F31" w:rsidRPr="00B06D0A">
        <w:rPr>
          <w:rFonts w:ascii="Times New Roman" w:eastAsia="Times New Roman" w:hAnsi="Times New Roman" w:cs="Times New Roman"/>
          <w:spacing w:val="-1"/>
        </w:rPr>
        <w:t>’</w:t>
      </w:r>
      <w:r w:rsidRPr="00B06D0A">
        <w:rPr>
          <w:rFonts w:ascii="Times New Roman" w:eastAsia="Times New Roman" w:hAnsi="Times New Roman" w:cs="Times New Roman"/>
        </w:rPr>
        <w:t>s prior FELA interpretations nor co</w:t>
      </w:r>
      <w:r w:rsidRPr="00B06D0A">
        <w:rPr>
          <w:rFonts w:ascii="Times New Roman" w:eastAsia="Times New Roman" w:hAnsi="Times New Roman" w:cs="Times New Roman"/>
          <w:spacing w:val="-2"/>
        </w:rPr>
        <w:t>mm</w:t>
      </w:r>
      <w:r w:rsidRPr="00B06D0A">
        <w:rPr>
          <w:rFonts w:ascii="Times New Roman" w:eastAsia="Times New Roman" w:hAnsi="Times New Roman" w:cs="Times New Roman"/>
        </w:rPr>
        <w:t>on law principles co</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pelled or justi</w:t>
      </w:r>
      <w:r w:rsidRPr="00B06D0A">
        <w:rPr>
          <w:rFonts w:ascii="Times New Roman" w:eastAsia="Times New Roman" w:hAnsi="Times New Roman" w:cs="Times New Roman"/>
          <w:spacing w:val="-1"/>
        </w:rPr>
        <w:t>f</w:t>
      </w:r>
      <w:r w:rsidRPr="00B06D0A">
        <w:rPr>
          <w:rFonts w:ascii="Times New Roman" w:eastAsia="Times New Roman" w:hAnsi="Times New Roman" w:cs="Times New Roman"/>
        </w:rPr>
        <w:t xml:space="preserve">ied the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ajority view. Moreover, Justice Kennedy contended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realities of</w:t>
      </w:r>
      <w:r w:rsidRPr="00B06D0A">
        <w:rPr>
          <w:rFonts w:ascii="Times New Roman" w:eastAsia="Times New Roman" w:hAnsi="Times New Roman" w:cs="Times New Roman"/>
          <w:spacing w:val="-1"/>
        </w:rPr>
        <w:t xml:space="preserve"> </w:t>
      </w:r>
      <w:r w:rsidRPr="00B06D0A">
        <w:rPr>
          <w:rFonts w:ascii="Times New Roman" w:eastAsia="Times New Roman" w:hAnsi="Times New Roman" w:cs="Times New Roman"/>
        </w:rPr>
        <w:t>asbestos litigation,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 xml:space="preserve">at </w:t>
      </w:r>
      <w:r w:rsidR="004B75E8">
        <w:rPr>
          <w:rFonts w:ascii="Times New Roman" w:eastAsia="Times New Roman" w:hAnsi="Times New Roman" w:cs="Times New Roman"/>
        </w:rPr>
        <w:t>167</w:t>
      </w:r>
      <w:r w:rsidRPr="00B06D0A">
        <w:rPr>
          <w:rFonts w:ascii="Times New Roman" w:eastAsia="Times New Roman" w:hAnsi="Times New Roman" w:cs="Times New Roman"/>
        </w:rPr>
        <w:t>, warranted holding that asbestos plaintiffs suffering from</w:t>
      </w:r>
      <w:r w:rsidRPr="00B06D0A">
        <w:rPr>
          <w:rFonts w:ascii="Times New Roman" w:eastAsia="Times New Roman" w:hAnsi="Times New Roman" w:cs="Times New Roman"/>
          <w:spacing w:val="-2"/>
        </w:rPr>
        <w:t xml:space="preserve"> </w:t>
      </w:r>
      <w:r w:rsidRPr="00B06D0A">
        <w:rPr>
          <w:rFonts w:ascii="Times New Roman" w:eastAsia="Times New Roman" w:hAnsi="Times New Roman" w:cs="Times New Roman"/>
        </w:rPr>
        <w:t xml:space="preserve">asbestosis should not be able to recover for fear of future cancer. In particular, Justice Kennedy expressed concern that those asbestos plaintiffs who eventually contract diseases such as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esothelio</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 for exa</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ple, would be less likely to be able to recover da</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ages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for the si</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ple reason that, by the ti</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e [they were] entitled to sue for the cancer, the funds available for co</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pensation in all likelihood will have disappeared, depleted by verdicts awarding da</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ages for unrealized fear, verdicts the </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ajority is so willing to e</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brace.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4B75E8">
        <w:rPr>
          <w:rFonts w:ascii="Times New Roman" w:eastAsia="Times New Roman" w:hAnsi="Times New Roman" w:cs="Times New Roman"/>
          <w:i/>
          <w:iCs/>
          <w:u w:val="single"/>
        </w:rPr>
        <w:t>Id.</w:t>
      </w:r>
      <w:r w:rsidR="004B75E8">
        <w:rPr>
          <w:rFonts w:ascii="Times New Roman" w:eastAsia="Times New Roman" w:hAnsi="Times New Roman" w:cs="Times New Roman"/>
          <w:iCs/>
        </w:rPr>
        <w:t xml:space="preserve"> at 168</w:t>
      </w:r>
      <w:r w:rsidRPr="00B06D0A">
        <w:rPr>
          <w:rFonts w:ascii="Times New Roman" w:eastAsia="Times New Roman" w:hAnsi="Times New Roman" w:cs="Times New Roman"/>
          <w:i/>
          <w:iCs/>
        </w:rPr>
        <w:t>.</w:t>
      </w:r>
    </w:p>
    <w:p w14:paraId="096CD111" w14:textId="77777777" w:rsidR="00FA3CF9" w:rsidRPr="00B06D0A" w:rsidRDefault="00FA3CF9" w:rsidP="00F94B7E">
      <w:pPr>
        <w:widowControl w:val="0"/>
        <w:autoSpaceDE w:val="0"/>
        <w:autoSpaceDN w:val="0"/>
        <w:adjustRightInd w:val="0"/>
        <w:spacing w:before="20"/>
        <w:ind w:firstLine="720"/>
        <w:rPr>
          <w:rFonts w:ascii="Times New Roman" w:hAnsi="Times New Roman" w:cs="Times New Roman"/>
        </w:rPr>
      </w:pPr>
    </w:p>
    <w:p w14:paraId="2E9D3100" w14:textId="67F8BC6E" w:rsidR="00FA3CF9" w:rsidRPr="00B06D0A" w:rsidRDefault="00FA3CF9"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Justice Breyer added a separate dissenting opinion, e</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phasizing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Second Restate</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 xml:space="preserve">ent neither gives a definition of the kind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otional disturbance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for which recovery is available nor otherwise states that recovery is available for any kind of e</w:t>
      </w:r>
      <w:r w:rsidRPr="00B06D0A">
        <w:rPr>
          <w:rFonts w:ascii="Times New Roman" w:eastAsia="Times New Roman" w:hAnsi="Times New Roman" w:cs="Times New Roman"/>
          <w:spacing w:val="-2"/>
        </w:rPr>
        <w:t>m</w:t>
      </w:r>
      <w:r w:rsidRPr="00B06D0A">
        <w:rPr>
          <w:rFonts w:ascii="Times New Roman" w:eastAsia="Times New Roman" w:hAnsi="Times New Roman" w:cs="Times New Roman"/>
        </w:rPr>
        <w:t>otional disturbance whatsoever.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 xml:space="preserve">at </w:t>
      </w:r>
      <w:r w:rsidR="004B75E8">
        <w:rPr>
          <w:rFonts w:ascii="Times New Roman" w:eastAsia="Times New Roman" w:hAnsi="Times New Roman" w:cs="Times New Roman"/>
        </w:rPr>
        <w:t>182</w:t>
      </w:r>
      <w:r w:rsidRPr="00B06D0A">
        <w:rPr>
          <w:rFonts w:ascii="Times New Roman" w:eastAsia="Times New Roman" w:hAnsi="Times New Roman" w:cs="Times New Roman"/>
        </w:rPr>
        <w:t>.</w:t>
      </w:r>
    </w:p>
    <w:p w14:paraId="5F6D8CD6" w14:textId="77777777" w:rsidR="00FA3CF9" w:rsidRPr="00B06D0A" w:rsidRDefault="00FA3CF9" w:rsidP="00F94B7E">
      <w:pPr>
        <w:widowControl w:val="0"/>
        <w:autoSpaceDE w:val="0"/>
        <w:autoSpaceDN w:val="0"/>
        <w:adjustRightInd w:val="0"/>
        <w:spacing w:before="20"/>
        <w:ind w:firstLine="720"/>
        <w:rPr>
          <w:rFonts w:ascii="Times New Roman" w:hAnsi="Times New Roman" w:cs="Times New Roman"/>
        </w:rPr>
      </w:pPr>
    </w:p>
    <w:p w14:paraId="08C0E4A8" w14:textId="6A4F7B8B" w:rsidR="00FA3CF9" w:rsidRPr="00B06D0A" w:rsidRDefault="00FA3CF9" w:rsidP="00F94B7E">
      <w:pPr>
        <w:pStyle w:val="blockquote"/>
      </w:pPr>
      <w:r w:rsidRPr="00B06D0A">
        <w:t xml:space="preserve">The underlying history underscores the openness of the legal question and the consequent uncertainty as to the answer. </w:t>
      </w:r>
      <w:r w:rsidRPr="00B06D0A">
        <w:rPr>
          <w:spacing w:val="-2"/>
        </w:rPr>
        <w:t>W</w:t>
      </w:r>
      <w:r w:rsidRPr="00B06D0A">
        <w:t>hen Congress enacted the Federal E</w:t>
      </w:r>
      <w:r w:rsidRPr="00B06D0A">
        <w:rPr>
          <w:spacing w:val="-2"/>
        </w:rPr>
        <w:t>m</w:t>
      </w:r>
      <w:r w:rsidRPr="00B06D0A">
        <w:t>ployers</w:t>
      </w:r>
      <w:r w:rsidR="00B05F31" w:rsidRPr="00B06D0A">
        <w:t>’</w:t>
      </w:r>
      <w:r w:rsidRPr="00B06D0A">
        <w:rPr>
          <w:spacing w:val="-1"/>
        </w:rPr>
        <w:t xml:space="preserve"> </w:t>
      </w:r>
      <w:r w:rsidRPr="00B06D0A">
        <w:t>Liability Act (FELA) in 1908, the kinds of injury that it pri</w:t>
      </w:r>
      <w:r w:rsidRPr="00B06D0A">
        <w:rPr>
          <w:spacing w:val="-2"/>
        </w:rPr>
        <w:t>m</w:t>
      </w:r>
      <w:r w:rsidRPr="00B06D0A">
        <w:t xml:space="preserve">arily had in </w:t>
      </w:r>
      <w:r w:rsidRPr="00B06D0A">
        <w:rPr>
          <w:spacing w:val="-2"/>
        </w:rPr>
        <w:t>m</w:t>
      </w:r>
      <w:r w:rsidRPr="00B06D0A">
        <w:rPr>
          <w:spacing w:val="1"/>
        </w:rPr>
        <w:t>i</w:t>
      </w:r>
      <w:r w:rsidRPr="00B06D0A">
        <w:t>nd were those resulting directly from</w:t>
      </w:r>
      <w:r w:rsidRPr="00B06D0A">
        <w:rPr>
          <w:spacing w:val="-2"/>
        </w:rPr>
        <w:t xml:space="preserve"> </w:t>
      </w:r>
      <w:r w:rsidRPr="00B06D0A">
        <w:t>physical accidents, such as railway collisions and entangle</w:t>
      </w:r>
      <w:r w:rsidRPr="00B06D0A">
        <w:rPr>
          <w:spacing w:val="-2"/>
        </w:rPr>
        <w:t>m</w:t>
      </w:r>
      <w:r w:rsidRPr="00B06D0A">
        <w:t xml:space="preserve">ent with </w:t>
      </w:r>
      <w:r w:rsidRPr="00B06D0A">
        <w:rPr>
          <w:spacing w:val="-2"/>
        </w:rPr>
        <w:t>m</w:t>
      </w:r>
      <w:r w:rsidRPr="00B06D0A">
        <w:t xml:space="preserve">achinery. </w:t>
      </w:r>
    </w:p>
    <w:p w14:paraId="6B10BE9F" w14:textId="77777777" w:rsidR="00FA3CF9" w:rsidRPr="00B06D0A" w:rsidRDefault="00FA3CF9" w:rsidP="00F94B7E">
      <w:pPr>
        <w:widowControl w:val="0"/>
        <w:autoSpaceDE w:val="0"/>
        <w:autoSpaceDN w:val="0"/>
        <w:adjustRightInd w:val="0"/>
        <w:spacing w:before="20"/>
        <w:ind w:right="720"/>
        <w:rPr>
          <w:rFonts w:ascii="Times New Roman" w:hAnsi="Times New Roman" w:cs="Times New Roman"/>
        </w:rPr>
      </w:pPr>
    </w:p>
    <w:p w14:paraId="7C6DBF70" w14:textId="4C61B13C" w:rsidR="00FA3CF9" w:rsidRPr="00B06D0A" w:rsidRDefault="00B05F31" w:rsidP="00F94B7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w:t>
      </w:r>
      <w:r w:rsidR="00FA3CF9" w:rsidRPr="00B06D0A">
        <w:rPr>
          <w:rFonts w:ascii="Times New Roman" w:eastAsia="Times New Roman" w:hAnsi="Times New Roman" w:cs="Times New Roman"/>
        </w:rPr>
        <w:t>Given the legal uncertainty,</w:t>
      </w:r>
      <w:r w:rsidRPr="00B06D0A">
        <w:rPr>
          <w:rFonts w:ascii="Times New Roman" w:eastAsia="Times New Roman" w:hAnsi="Times New Roman" w:cs="Times New Roman"/>
        </w:rPr>
        <w:t>”</w:t>
      </w:r>
      <w:r w:rsidR="00FA3CF9" w:rsidRPr="00B06D0A">
        <w:rPr>
          <w:rFonts w:ascii="Times New Roman" w:eastAsia="Times New Roman" w:hAnsi="Times New Roman" w:cs="Times New Roman"/>
        </w:rPr>
        <w:t xml:space="preserve"> Justice Breyer wrote, </w:t>
      </w:r>
      <w:r w:rsidRPr="00B06D0A">
        <w:rPr>
          <w:rFonts w:ascii="Times New Roman" w:eastAsia="Times New Roman" w:hAnsi="Times New Roman" w:cs="Times New Roman"/>
        </w:rPr>
        <w:t>“</w:t>
      </w:r>
      <w:r w:rsidR="00FA3CF9" w:rsidRPr="00B06D0A">
        <w:rPr>
          <w:rFonts w:ascii="Times New Roman" w:eastAsia="Times New Roman" w:hAnsi="Times New Roman" w:cs="Times New Roman"/>
        </w:rPr>
        <w:t>this Court, acting like any court interpreting the co</w:t>
      </w:r>
      <w:r w:rsidR="00FA3CF9" w:rsidRPr="00B06D0A">
        <w:rPr>
          <w:rFonts w:ascii="Times New Roman" w:eastAsia="Times New Roman" w:hAnsi="Times New Roman" w:cs="Times New Roman"/>
          <w:spacing w:val="-2"/>
        </w:rPr>
        <w:t>mm</w:t>
      </w:r>
      <w:r w:rsidR="00FA3CF9" w:rsidRPr="00B06D0A">
        <w:rPr>
          <w:rFonts w:ascii="Times New Roman" w:eastAsia="Times New Roman" w:hAnsi="Times New Roman" w:cs="Times New Roman"/>
        </w:rPr>
        <w:t>on law . . . should deter</w:t>
      </w:r>
      <w:r w:rsidR="00FA3CF9" w:rsidRPr="00B06D0A">
        <w:rPr>
          <w:rFonts w:ascii="Times New Roman" w:eastAsia="Times New Roman" w:hAnsi="Times New Roman" w:cs="Times New Roman"/>
          <w:spacing w:val="-2"/>
        </w:rPr>
        <w:t>m</w:t>
      </w:r>
      <w:r w:rsidR="00FA3CF9" w:rsidRPr="00B06D0A">
        <w:rPr>
          <w:rFonts w:ascii="Times New Roman" w:eastAsia="Times New Roman" w:hAnsi="Times New Roman" w:cs="Times New Roman"/>
        </w:rPr>
        <w:t xml:space="preserve">ine the proper rule of law through reference to the underlying factors that have helped to shape related </w:t>
      </w:r>
      <w:r w:rsidRPr="00B06D0A">
        <w:rPr>
          <w:rFonts w:ascii="Times New Roman" w:eastAsia="Times New Roman" w:hAnsi="Times New Roman" w:cs="Times New Roman"/>
        </w:rPr>
        <w:t>‘</w:t>
      </w:r>
      <w:r w:rsidR="00FA3CF9" w:rsidRPr="00B06D0A">
        <w:rPr>
          <w:rFonts w:ascii="Times New Roman" w:eastAsia="Times New Roman" w:hAnsi="Times New Roman" w:cs="Times New Roman"/>
        </w:rPr>
        <w:t>e</w:t>
      </w:r>
      <w:r w:rsidR="00FA3CF9" w:rsidRPr="00B06D0A">
        <w:rPr>
          <w:rFonts w:ascii="Times New Roman" w:eastAsia="Times New Roman" w:hAnsi="Times New Roman" w:cs="Times New Roman"/>
          <w:spacing w:val="-2"/>
        </w:rPr>
        <w:t>m</w:t>
      </w:r>
      <w:r w:rsidR="00FA3CF9" w:rsidRPr="00B06D0A">
        <w:rPr>
          <w:rFonts w:ascii="Times New Roman" w:eastAsia="Times New Roman" w:hAnsi="Times New Roman" w:cs="Times New Roman"/>
        </w:rPr>
        <w:t>otional distress</w:t>
      </w:r>
      <w:r w:rsidRPr="00B06D0A">
        <w:rPr>
          <w:rFonts w:ascii="Times New Roman" w:eastAsia="Times New Roman" w:hAnsi="Times New Roman" w:cs="Times New Roman"/>
        </w:rPr>
        <w:t>’</w:t>
      </w:r>
      <w:r w:rsidR="00FA3CF9" w:rsidRPr="00B06D0A">
        <w:rPr>
          <w:rFonts w:ascii="Times New Roman" w:eastAsia="Times New Roman" w:hAnsi="Times New Roman" w:cs="Times New Roman"/>
        </w:rPr>
        <w:t xml:space="preserve"> rules. Those </w:t>
      </w:r>
      <w:r w:rsidR="00FA3CF9" w:rsidRPr="00B06D0A">
        <w:rPr>
          <w:rFonts w:ascii="Times New Roman" w:eastAsia="Times New Roman" w:hAnsi="Times New Roman" w:cs="Times New Roman"/>
          <w:spacing w:val="-1"/>
        </w:rPr>
        <w:t>f</w:t>
      </w:r>
      <w:r w:rsidR="00FA3CF9" w:rsidRPr="00B06D0A">
        <w:rPr>
          <w:rFonts w:ascii="Times New Roman" w:eastAsia="Times New Roman" w:hAnsi="Times New Roman" w:cs="Times New Roman"/>
        </w:rPr>
        <w:t xml:space="preserve">actors argue </w:t>
      </w:r>
      <w:r w:rsidR="00FA3CF9" w:rsidRPr="00B06D0A">
        <w:rPr>
          <w:rFonts w:ascii="Times New Roman" w:eastAsia="Times New Roman" w:hAnsi="Times New Roman" w:cs="Times New Roman"/>
          <w:spacing w:val="-1"/>
        </w:rPr>
        <w:t>f</w:t>
      </w:r>
      <w:r w:rsidR="00FA3CF9" w:rsidRPr="00B06D0A">
        <w:rPr>
          <w:rFonts w:ascii="Times New Roman" w:eastAsia="Times New Roman" w:hAnsi="Times New Roman" w:cs="Times New Roman"/>
        </w:rPr>
        <w:t>or the kind of</w:t>
      </w:r>
      <w:r w:rsidR="00FA3CF9" w:rsidRPr="00B06D0A">
        <w:rPr>
          <w:rFonts w:ascii="Times New Roman" w:eastAsia="Times New Roman" w:hAnsi="Times New Roman" w:cs="Times New Roman"/>
          <w:spacing w:val="-1"/>
        </w:rPr>
        <w:t xml:space="preserve"> </w:t>
      </w:r>
      <w:r w:rsidR="00FA3CF9" w:rsidRPr="00B06D0A">
        <w:rPr>
          <w:rFonts w:ascii="Times New Roman" w:eastAsia="Times New Roman" w:hAnsi="Times New Roman" w:cs="Times New Roman"/>
        </w:rPr>
        <w:t>liability li</w:t>
      </w:r>
      <w:r w:rsidR="00FA3CF9" w:rsidRPr="00B06D0A">
        <w:rPr>
          <w:rFonts w:ascii="Times New Roman" w:eastAsia="Times New Roman" w:hAnsi="Times New Roman" w:cs="Times New Roman"/>
          <w:spacing w:val="-2"/>
        </w:rPr>
        <w:t>m</w:t>
      </w:r>
      <w:r w:rsidR="00FA3CF9" w:rsidRPr="00B06D0A">
        <w:rPr>
          <w:rFonts w:ascii="Times New Roman" w:eastAsia="Times New Roman" w:hAnsi="Times New Roman" w:cs="Times New Roman"/>
        </w:rPr>
        <w:t>itation that Justice Kennedy has described.</w:t>
      </w:r>
      <w:r w:rsidRPr="00B06D0A">
        <w:rPr>
          <w:rFonts w:ascii="Times New Roman" w:eastAsia="Times New Roman" w:hAnsi="Times New Roman" w:cs="Times New Roman"/>
        </w:rPr>
        <w:t>”</w:t>
      </w:r>
      <w:r w:rsidR="00FA3CF9" w:rsidRPr="00B06D0A">
        <w:rPr>
          <w:rFonts w:ascii="Times New Roman" w:eastAsia="Times New Roman" w:hAnsi="Times New Roman" w:cs="Times New Roman"/>
        </w:rPr>
        <w:t xml:space="preserve">  </w:t>
      </w:r>
      <w:r w:rsidR="00FA3CF9" w:rsidRPr="00B06D0A">
        <w:rPr>
          <w:rFonts w:ascii="Times New Roman" w:eastAsia="Times New Roman" w:hAnsi="Times New Roman" w:cs="Times New Roman"/>
          <w:i/>
          <w:iCs/>
        </w:rPr>
        <w:t xml:space="preserve">Id. </w:t>
      </w:r>
      <w:r w:rsidR="00FA3CF9" w:rsidRPr="00B06D0A">
        <w:rPr>
          <w:rFonts w:ascii="Times New Roman" w:eastAsia="Times New Roman" w:hAnsi="Times New Roman" w:cs="Times New Roman"/>
        </w:rPr>
        <w:t xml:space="preserve">at </w:t>
      </w:r>
      <w:r w:rsidR="004B75E8">
        <w:rPr>
          <w:rFonts w:ascii="Times New Roman" w:eastAsia="Times New Roman" w:hAnsi="Times New Roman" w:cs="Times New Roman"/>
        </w:rPr>
        <w:t>182-84</w:t>
      </w:r>
      <w:r w:rsidR="00FA3CF9" w:rsidRPr="00B06D0A">
        <w:rPr>
          <w:rFonts w:ascii="Times New Roman" w:eastAsia="Times New Roman" w:hAnsi="Times New Roman" w:cs="Times New Roman"/>
        </w:rPr>
        <w:t>.</w:t>
      </w:r>
    </w:p>
    <w:p w14:paraId="19561843" w14:textId="77777777" w:rsidR="00FA3CF9" w:rsidRPr="00B06D0A" w:rsidRDefault="00FA3CF9" w:rsidP="00F349EC">
      <w:pPr>
        <w:widowControl w:val="0"/>
        <w:autoSpaceDE w:val="0"/>
        <w:autoSpaceDN w:val="0"/>
        <w:adjustRightInd w:val="0"/>
        <w:rPr>
          <w:rFonts w:ascii="Times New Roman" w:hAnsi="Times New Roman" w:cs="Times New Roman"/>
        </w:rPr>
      </w:pPr>
    </w:p>
    <w:p w14:paraId="16ED7D76" w14:textId="77777777" w:rsidR="00FA3CF9" w:rsidRPr="00B06D0A" w:rsidRDefault="00FA3CF9" w:rsidP="00F94B7E">
      <w:pPr>
        <w:widowControl w:val="0"/>
        <w:autoSpaceDE w:val="0"/>
        <w:autoSpaceDN w:val="0"/>
        <w:adjustRightInd w:val="0"/>
        <w:rPr>
          <w:rFonts w:ascii="Times New Roman" w:hAnsi="Times New Roman" w:cs="Times New Roman"/>
        </w:rPr>
      </w:pPr>
    </w:p>
    <w:p w14:paraId="2FF2D768" w14:textId="588D254E" w:rsidR="00FA3CF9" w:rsidRPr="00F94B7E" w:rsidRDefault="750671CE" w:rsidP="00F94B7E">
      <w:pPr>
        <w:pStyle w:val="ListParagraph"/>
        <w:widowControl w:val="0"/>
        <w:numPr>
          <w:ilvl w:val="0"/>
          <w:numId w:val="116"/>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Whither negligent infliction of emotional distress?</w:t>
      </w:r>
      <w:r w:rsidRPr="00F94B7E">
        <w:rPr>
          <w:rFonts w:ascii="Times New Roman" w:eastAsia="Times New Roman" w:hAnsi="Times New Roman" w:cs="Times New Roman"/>
        </w:rPr>
        <w:t xml:space="preserve">  What is the current state of play in the oscillation of crystals and mud in the law of negligently inflicted emotional distress?  Where do </w:t>
      </w:r>
      <w:r w:rsidRPr="00F94B7E">
        <w:rPr>
          <w:rFonts w:ascii="Times New Roman" w:eastAsia="Times New Roman" w:hAnsi="Times New Roman" w:cs="Times New Roman"/>
          <w:i/>
          <w:iCs/>
        </w:rPr>
        <w:t>Dillon</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Buckley</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Ayers</w:t>
      </w:r>
      <w:r w:rsidRPr="00F94B7E">
        <w:rPr>
          <w:rFonts w:ascii="Times New Roman" w:eastAsia="Times New Roman" w:hAnsi="Times New Roman" w:cs="Times New Roman"/>
        </w:rPr>
        <w:t xml:space="preserve"> leave the law in this area?</w:t>
      </w:r>
    </w:p>
    <w:p w14:paraId="123E8BD2" w14:textId="77777777" w:rsidR="00FA3CF9" w:rsidRPr="00B06D0A" w:rsidRDefault="00FA3CF9" w:rsidP="00F94B7E">
      <w:pPr>
        <w:widowControl w:val="0"/>
        <w:overflowPunct w:val="0"/>
        <w:autoSpaceDE w:val="0"/>
        <w:autoSpaceDN w:val="0"/>
        <w:adjustRightInd w:val="0"/>
        <w:ind w:firstLine="720"/>
        <w:rPr>
          <w:rFonts w:ascii="Times New Roman" w:hAnsi="Times New Roman" w:cs="Times New Roman"/>
        </w:rPr>
      </w:pPr>
    </w:p>
    <w:p w14:paraId="0486C55E" w14:textId="77777777" w:rsidR="00FA3CF9" w:rsidRPr="00B06D0A" w:rsidRDefault="00FA3CF9" w:rsidP="00F94B7E">
      <w:pPr>
        <w:widowControl w:val="0"/>
        <w:overflowPunct w:val="0"/>
        <w:autoSpaceDE w:val="0"/>
        <w:autoSpaceDN w:val="0"/>
        <w:adjustRightInd w:val="0"/>
        <w:rPr>
          <w:rFonts w:ascii="Times New Roman" w:eastAsiaTheme="minorHAnsi" w:hAnsi="Times New Roman" w:cs="Times New Roman"/>
          <w:b/>
        </w:rPr>
      </w:pPr>
    </w:p>
    <w:p w14:paraId="2496E96A" w14:textId="2F8DE42D" w:rsidR="00FA3CF9" w:rsidRPr="00A559C4" w:rsidRDefault="00A019E0" w:rsidP="00F349EC">
      <w:pPr>
        <w:pStyle w:val="Heading2"/>
        <w:rPr>
          <w:rFonts w:cs="Times New Roman"/>
        </w:rPr>
      </w:pPr>
      <w:bookmarkStart w:id="782" w:name="_Toc364636223"/>
      <w:bookmarkStart w:id="783" w:name="_Toc518323467"/>
      <w:r>
        <w:rPr>
          <w:rFonts w:cs="Times New Roman"/>
        </w:rPr>
        <w:t xml:space="preserve">D.  </w:t>
      </w:r>
      <w:r w:rsidR="00FA3CF9" w:rsidRPr="00C14ACE">
        <w:rPr>
          <w:rFonts w:cs="Times New Roman"/>
        </w:rPr>
        <w:t>To Whom Does a Defendant Owe a Duty?</w:t>
      </w:r>
      <w:bookmarkEnd w:id="782"/>
      <w:bookmarkEnd w:id="783"/>
    </w:p>
    <w:p w14:paraId="4C853CC8" w14:textId="77777777" w:rsidR="00FA3CF9" w:rsidRDefault="00FA3CF9">
      <w:pPr>
        <w:rPr>
          <w:rFonts w:ascii="Times New Roman" w:hAnsi="Times New Roman" w:cs="Times New Roman"/>
        </w:rPr>
      </w:pPr>
    </w:p>
    <w:p w14:paraId="7AD9815B" w14:textId="77777777" w:rsidR="005468ED" w:rsidRPr="00B06D0A" w:rsidRDefault="005468ED">
      <w:pPr>
        <w:rPr>
          <w:rFonts w:ascii="Times New Roman" w:hAnsi="Times New Roman" w:cs="Times New Roman"/>
        </w:rPr>
      </w:pPr>
    </w:p>
    <w:p w14:paraId="2E79A41E" w14:textId="77777777" w:rsidR="00FA3CF9" w:rsidRPr="00F349EC" w:rsidRDefault="00FA3CF9" w:rsidP="00322687">
      <w:pPr>
        <w:pStyle w:val="Heading3"/>
      </w:pPr>
      <w:bookmarkStart w:id="784" w:name="_Toc265592540"/>
      <w:bookmarkStart w:id="785" w:name="_Toc364636224"/>
      <w:bookmarkStart w:id="786" w:name="_Toc518323468"/>
      <w:r w:rsidRPr="00F94B7E">
        <w:rPr>
          <w:rFonts w:cstheme="majorBidi"/>
        </w:rPr>
        <w:t xml:space="preserve">1.  </w:t>
      </w:r>
      <w:r w:rsidRPr="00F349EC">
        <w:t>The Duty Debate (Part 1</w:t>
      </w:r>
      <w:bookmarkEnd w:id="784"/>
      <w:r w:rsidRPr="00F349EC">
        <w:t>)</w:t>
      </w:r>
      <w:bookmarkEnd w:id="785"/>
      <w:bookmarkEnd w:id="786"/>
    </w:p>
    <w:p w14:paraId="0B99D61D" w14:textId="77777777" w:rsidR="00FA3CF9" w:rsidRPr="00B06D0A" w:rsidRDefault="00FA3CF9">
      <w:pPr>
        <w:rPr>
          <w:rFonts w:ascii="Times New Roman" w:hAnsi="Times New Roman" w:cs="Times New Roman"/>
          <w:b/>
        </w:rPr>
      </w:pPr>
    </w:p>
    <w:p w14:paraId="27B7C764"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Default="00FA3CF9">
      <w:pPr>
        <w:rPr>
          <w:rFonts w:ascii="Times New Roman" w:hAnsi="Times New Roman" w:cs="Times New Roman"/>
          <w:b/>
        </w:rPr>
      </w:pPr>
    </w:p>
    <w:p w14:paraId="05447F5E" w14:textId="77777777" w:rsidR="005468ED" w:rsidRPr="00B06D0A" w:rsidRDefault="005468ED">
      <w:pPr>
        <w:rPr>
          <w:rFonts w:ascii="Times New Roman" w:hAnsi="Times New Roman" w:cs="Times New Roman"/>
          <w:b/>
        </w:rPr>
      </w:pPr>
    </w:p>
    <w:p w14:paraId="68E2E60E" w14:textId="77777777" w:rsidR="00FA3CF9" w:rsidRPr="00B06D0A" w:rsidRDefault="00FA3CF9">
      <w:pPr>
        <w:rPr>
          <w:rFonts w:ascii="Times New Roman" w:eastAsia="Times New Roman" w:hAnsi="Times New Roman" w:cs="Times New Roman"/>
        </w:rPr>
      </w:pPr>
      <w:bookmarkStart w:id="787" w:name="_Toc518323469"/>
      <w:r w:rsidRPr="00476ACE">
        <w:rPr>
          <w:rStyle w:val="Heading4Char"/>
          <w:i w:val="0"/>
          <w:szCs w:val="24"/>
        </w:rPr>
        <w:t xml:space="preserve">William L. Prosser, </w:t>
      </w:r>
      <w:r w:rsidRPr="00A559C4">
        <w:rPr>
          <w:rStyle w:val="Heading4Char"/>
          <w:szCs w:val="24"/>
        </w:rPr>
        <w:t xml:space="preserve">Handbook of the Law of </w:t>
      </w:r>
      <w:r w:rsidRPr="00A15645">
        <w:rPr>
          <w:rStyle w:val="Heading4Char"/>
          <w:szCs w:val="24"/>
        </w:rPr>
        <w:t>Torts</w:t>
      </w:r>
      <w:bookmarkEnd w:id="787"/>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b/>
          <w:bCs/>
        </w:rPr>
        <w:t>§ 31, at 180, 185 (1941)</w:t>
      </w:r>
    </w:p>
    <w:p w14:paraId="63A08E8F" w14:textId="77777777" w:rsidR="00FA3CF9" w:rsidRPr="00B06D0A" w:rsidRDefault="00FA3CF9">
      <w:pPr>
        <w:ind w:left="720"/>
        <w:rPr>
          <w:rFonts w:ascii="Times New Roman" w:hAnsi="Times New Roman" w:cs="Times New Roman"/>
        </w:rPr>
      </w:pPr>
    </w:p>
    <w:p w14:paraId="2189FE3C" w14:textId="5C3F232D" w:rsidR="00FA3CF9" w:rsidRPr="00B06D0A" w:rsidRDefault="750671CE" w:rsidP="00F94B7E">
      <w:pPr>
        <w:pStyle w:val="blockquote"/>
      </w:pPr>
      <w:r w:rsidRPr="00B06D0A">
        <w:t>The statement that there is or is not a duty [of care] begs the essential question—whether the plaintiff</w:t>
      </w:r>
      <w:r w:rsidR="00B05F31" w:rsidRPr="00B06D0A">
        <w:t>’</w:t>
      </w:r>
      <w:r w:rsidRPr="00B06D0A">
        <w:t>s interests are entitled to legal protection against the defendant</w:t>
      </w:r>
      <w:r w:rsidR="00B05F31" w:rsidRPr="00B06D0A">
        <w:t>’</w:t>
      </w:r>
      <w:r w:rsidRPr="00B06D0A">
        <w:t>s conduct. . . . It is a shorthand statement of a conclusion, rather than an aid to analysis in itself. . . . </w:t>
      </w:r>
      <w:r w:rsidR="00322687">
        <w:t>‘</w:t>
      </w:r>
      <w:r w:rsidRPr="00B06D0A">
        <w:t>[D]uty</w:t>
      </w:r>
      <w:r w:rsidR="00B05F31" w:rsidRPr="00B06D0A">
        <w:t>’</w:t>
      </w:r>
      <w:r w:rsidRPr="00B06D0A">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B06D0A" w:rsidRDefault="00FA3CF9">
      <w:pPr>
        <w:ind w:left="720"/>
        <w:rPr>
          <w:rFonts w:ascii="Times New Roman" w:hAnsi="Times New Roman" w:cs="Times New Roman"/>
        </w:rPr>
      </w:pPr>
    </w:p>
    <w:p w14:paraId="64A0ED21" w14:textId="77777777" w:rsidR="00FA3CF9" w:rsidRPr="00B06D0A" w:rsidRDefault="00FA3CF9">
      <w:pPr>
        <w:rPr>
          <w:rFonts w:ascii="Times New Roman" w:hAnsi="Times New Roman" w:cs="Times New Roman"/>
          <w:b/>
        </w:rPr>
      </w:pPr>
    </w:p>
    <w:p w14:paraId="0CB60859" w14:textId="798C447C" w:rsidR="00FA3CF9" w:rsidRPr="00B06D0A" w:rsidRDefault="00FA3CF9">
      <w:pPr>
        <w:rPr>
          <w:rFonts w:ascii="Times New Roman" w:eastAsia="Times New Roman" w:hAnsi="Times New Roman" w:cs="Times New Roman"/>
          <w:b/>
          <w:bCs/>
        </w:rPr>
      </w:pPr>
      <w:bookmarkStart w:id="788" w:name="_Toc518323470"/>
      <w:r w:rsidRPr="00F94B7E">
        <w:rPr>
          <w:rStyle w:val="Heading4Char"/>
          <w:i w:val="0"/>
          <w:szCs w:val="24"/>
        </w:rPr>
        <w:t xml:space="preserve">John Goldberg &amp; Benjamin Zipursky, </w:t>
      </w:r>
      <w:r w:rsidRPr="00A15645">
        <w:rPr>
          <w:rStyle w:val="Heading4Char"/>
          <w:szCs w:val="24"/>
        </w:rPr>
        <w:t xml:space="preserve">The Moral of </w:t>
      </w:r>
      <w:r w:rsidRPr="00F94B7E">
        <w:rPr>
          <w:rStyle w:val="Heading4Char"/>
          <w:i w:val="0"/>
          <w:szCs w:val="24"/>
        </w:rPr>
        <w:t>M</w:t>
      </w:r>
      <w:r w:rsidR="00AA76F7" w:rsidRPr="00F94B7E">
        <w:rPr>
          <w:rStyle w:val="Heading4Char"/>
          <w:i w:val="0"/>
          <w:szCs w:val="24"/>
        </w:rPr>
        <w:t>a</w:t>
      </w:r>
      <w:r w:rsidRPr="00F94B7E">
        <w:rPr>
          <w:rStyle w:val="Heading4Char"/>
          <w:i w:val="0"/>
          <w:szCs w:val="24"/>
        </w:rPr>
        <w:t>cPherson</w:t>
      </w:r>
      <w:bookmarkEnd w:id="788"/>
      <w:r w:rsidRPr="00F94B7E">
        <w:rPr>
          <w:rFonts w:ascii="Times New Roman" w:hAnsi="Times New Roman" w:cs="Times New Roman"/>
          <w:b/>
          <w:bCs/>
        </w:rPr>
        <w:t xml:space="preserve"> </w:t>
      </w:r>
      <w:r w:rsidRPr="00F349EC">
        <w:rPr>
          <w:rFonts w:ascii="Times New Roman" w:eastAsia="Times New Roman" w:hAnsi="Times New Roman" w:cs="Times New Roman"/>
          <w:b/>
          <w:bCs/>
        </w:rPr>
        <w:t xml:space="preserve">146 </w:t>
      </w:r>
      <w:r w:rsidRPr="00F349EC">
        <w:rPr>
          <w:rFonts w:ascii="Times New Roman" w:eastAsia="Times New Roman" w:hAnsi="Times New Roman" w:cs="Times New Roman"/>
          <w:b/>
          <w:bCs/>
          <w:smallCaps/>
        </w:rPr>
        <w:t>U. P</w:t>
      </w:r>
      <w:r w:rsidR="00096EE4">
        <w:rPr>
          <w:rFonts w:ascii="Times New Roman" w:eastAsia="Times New Roman" w:hAnsi="Times New Roman" w:cs="Times New Roman"/>
          <w:b/>
          <w:bCs/>
          <w:smallCaps/>
        </w:rPr>
        <w:t>a</w:t>
      </w:r>
      <w:r w:rsidRPr="00F349EC">
        <w:rPr>
          <w:rFonts w:ascii="Times New Roman" w:eastAsia="Times New Roman" w:hAnsi="Times New Roman" w:cs="Times New Roman"/>
          <w:b/>
          <w:bCs/>
          <w:smallCaps/>
        </w:rPr>
        <w:t xml:space="preserve">. L. Rev. </w:t>
      </w:r>
      <w:r w:rsidRPr="00F349EC">
        <w:rPr>
          <w:rFonts w:ascii="Times New Roman" w:eastAsia="Times New Roman" w:hAnsi="Times New Roman" w:cs="Times New Roman"/>
          <w:b/>
          <w:bCs/>
        </w:rPr>
        <w:t>1733, 1810-11 (1998)</w:t>
      </w:r>
    </w:p>
    <w:p w14:paraId="3E6AED63" w14:textId="77777777" w:rsidR="00FA3CF9" w:rsidRPr="00B06D0A" w:rsidRDefault="00FA3CF9">
      <w:pPr>
        <w:rPr>
          <w:rFonts w:ascii="Times New Roman" w:hAnsi="Times New Roman" w:cs="Times New Roman"/>
          <w:b/>
        </w:rPr>
      </w:pPr>
    </w:p>
    <w:p w14:paraId="2721CB81" w14:textId="77777777" w:rsidR="00FA3CF9" w:rsidRPr="00B06D0A" w:rsidRDefault="750671CE" w:rsidP="00F94B7E">
      <w:pPr>
        <w:pStyle w:val="blockquote"/>
      </w:pPr>
      <w:r w:rsidRPr="00B06D0A">
        <w:t>[Prosser]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B06D0A" w:rsidRDefault="00FA3CF9">
      <w:pPr>
        <w:rPr>
          <w:rFonts w:ascii="Times New Roman" w:hAnsi="Times New Roman" w:cs="Times New Roman"/>
        </w:rPr>
      </w:pPr>
    </w:p>
    <w:p w14:paraId="5A3430AE" w14:textId="77777777"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xml:space="preserve">What is the nub of the disagreement between Prosser, on the one hand, and Goldberg and Zipursky, on the other? </w:t>
      </w:r>
    </w:p>
    <w:p w14:paraId="1F3C5EED" w14:textId="77777777" w:rsidR="00FA3CF9" w:rsidRPr="00B06D0A" w:rsidRDefault="00FA3CF9">
      <w:pPr>
        <w:rPr>
          <w:rFonts w:ascii="Times New Roman" w:hAnsi="Times New Roman" w:cs="Times New Roman"/>
        </w:rPr>
      </w:pPr>
    </w:p>
    <w:p w14:paraId="6A126A29" w14:textId="194C1E45"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When mid-twentieth-century torts jurist William Prosser—the long-time dean at the University of California at Berkeley—argued that the duty stage of the tort analysis was redundant, his critique represented the culmination of legal realists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functional analysis of tort law in the early twentieth century. The same generation of lawyers that critiqued such traditional doctrinal notions as causation and fault made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duty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 principal target of their functionalist project.  A half-century later, their view continues to be influential. The Third Restatement, for example, recommends that typical torts cases ought not involve a separate duty analysis at all; duty or modified duty determinations, the Third Restatement urges, should be limited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exceptional cases, when an articulated countervailing principle or policy warrants denying or limiting liability in a particular class of cases.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F94B7E">
        <w:rPr>
          <w:rFonts w:ascii="Times New Roman" w:eastAsia="Times New Roman" w:hAnsi="Times New Roman" w:cs="Times New Roman"/>
          <w:smallCaps/>
        </w:rPr>
        <w:t>The Restatement (Third) of Torts: Liab. for Physical &amp; Emotional Harm</w:t>
      </w:r>
      <w:r w:rsidRPr="00B06D0A">
        <w:rPr>
          <w:rFonts w:ascii="Times New Roman" w:eastAsia="Times New Roman" w:hAnsi="Times New Roman" w:cs="Times New Roman"/>
        </w:rPr>
        <w:t xml:space="preserve"> § 7(b), cmt. a.</w:t>
      </w:r>
    </w:p>
    <w:p w14:paraId="5F7F8C59" w14:textId="77777777" w:rsidR="00FA3CF9" w:rsidRPr="00B06D0A" w:rsidRDefault="00FA3CF9">
      <w:pPr>
        <w:ind w:firstLine="720"/>
        <w:rPr>
          <w:rFonts w:ascii="Times New Roman" w:hAnsi="Times New Roman" w:cs="Times New Roman"/>
        </w:rPr>
      </w:pPr>
    </w:p>
    <w:p w14:paraId="3B3809EC" w14:textId="474CE663"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Nonetheless, the duty concept remains a separate analytic stage in virtually every American jurisdiction.  And of late, distinguished jurists like Harvard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Goldberg and Fordham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Zipursky (authors of the excerpt above) have defended the duty analysis and countered Prosser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long-standing realist argument against it.  Defenders of the duty principle insist that the idea of particular relational duties is central to the normative structure of tort law.  Rejecting the realists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instrumental or functional ideas of duty, scholars like Goldberg and Zipursky argue that duty embodies the essential bilateral structure of tort law</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duties: duties that do not run to the whole world, but that run (as Cardozo</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w:t>
      </w:r>
      <w:r w:rsidR="00662A7F">
        <w:rPr>
          <w:rFonts w:ascii="Times New Roman" w:eastAsia="Times New Roman" w:hAnsi="Times New Roman" w:cs="Times New Roman"/>
          <w:i/>
          <w:iCs/>
        </w:rPr>
        <w:t>Palsgra</w:t>
      </w:r>
      <w:r w:rsidRPr="00B06D0A">
        <w:rPr>
          <w:rFonts w:ascii="Times New Roman" w:eastAsia="Times New Roman" w:hAnsi="Times New Roman" w:cs="Times New Roman"/>
          <w:i/>
          <w:iCs/>
        </w:rPr>
        <w:t>f</w:t>
      </w:r>
      <w:r w:rsidRPr="00B06D0A">
        <w:rPr>
          <w:rFonts w:ascii="Times New Roman" w:eastAsia="Times New Roman" w:hAnsi="Times New Roman" w:cs="Times New Roman"/>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The duty element of the analysis (according to its defenders, anyway) focuses the torts inquiry on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wrongfulness and on the significance of that wrongfulness for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injuries and for whether defendant has an obligation to repair those injuries.  </w:t>
      </w:r>
      <w:r w:rsidRPr="00B06D0A">
        <w:rPr>
          <w:rFonts w:ascii="Times New Roman" w:eastAsia="Times New Roman" w:hAnsi="Times New Roman" w:cs="Times New Roman"/>
          <w:i/>
          <w:iCs/>
        </w:rPr>
        <w:t>See generally</w:t>
      </w:r>
      <w:r w:rsidRPr="00B06D0A">
        <w:rPr>
          <w:rFonts w:ascii="Times New Roman" w:eastAsia="Times New Roman" w:hAnsi="Times New Roman" w:cs="Times New Roman"/>
        </w:rPr>
        <w:t xml:space="preserve"> Benjamin C. Zipursky, </w:t>
      </w:r>
      <w:r w:rsidRPr="00B06D0A">
        <w:rPr>
          <w:rFonts w:ascii="Times New Roman" w:eastAsia="Times New Roman" w:hAnsi="Times New Roman" w:cs="Times New Roman"/>
          <w:i/>
          <w:iCs/>
        </w:rPr>
        <w:t>Civil Recourse, Not Corrective Justice</w:t>
      </w:r>
      <w:r w:rsidRPr="00B06D0A">
        <w:rPr>
          <w:rFonts w:ascii="Times New Roman" w:eastAsia="Times New Roman" w:hAnsi="Times New Roman" w:cs="Times New Roman"/>
        </w:rPr>
        <w:t xml:space="preserve">, 91 </w:t>
      </w:r>
      <w:r w:rsidRPr="00B06D0A">
        <w:rPr>
          <w:rFonts w:ascii="Times New Roman" w:eastAsia="Times New Roman" w:hAnsi="Times New Roman" w:cs="Times New Roman"/>
          <w:smallCaps/>
        </w:rPr>
        <w:t>Geo. L. Rev.</w:t>
      </w:r>
      <w:r w:rsidRPr="00B06D0A">
        <w:rPr>
          <w:rFonts w:ascii="Times New Roman" w:eastAsia="Times New Roman" w:hAnsi="Times New Roman" w:cs="Times New Roman"/>
        </w:rPr>
        <w:t xml:space="preserve"> 695, 699-709 (2003).</w:t>
      </w:r>
    </w:p>
    <w:p w14:paraId="6FE18989" w14:textId="77777777" w:rsidR="00FA3CF9" w:rsidRPr="00B06D0A" w:rsidRDefault="00FA3CF9">
      <w:pPr>
        <w:ind w:firstLine="720"/>
        <w:rPr>
          <w:rFonts w:ascii="Times New Roman" w:hAnsi="Times New Roman" w:cs="Times New Roman"/>
        </w:rPr>
      </w:pPr>
    </w:p>
    <w:p w14:paraId="2D9DFBEB" w14:textId="77777777" w:rsidR="00322687" w:rsidRDefault="750671CE" w:rsidP="00F94B7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Keep the debate in mind as you read the cases.  Ask yourself the question: Who has the better of the argument over duty in American tort law? </w:t>
      </w:r>
    </w:p>
    <w:p w14:paraId="522B9A2C" w14:textId="77777777" w:rsidR="00322687" w:rsidRDefault="00322687" w:rsidP="00F94B7E">
      <w:pPr>
        <w:ind w:firstLine="720"/>
        <w:rPr>
          <w:rFonts w:ascii="Times New Roman" w:eastAsia="Times New Roman" w:hAnsi="Times New Roman" w:cs="Times New Roman"/>
        </w:rPr>
      </w:pPr>
    </w:p>
    <w:p w14:paraId="3D621C96" w14:textId="20D623E4" w:rsidR="00FA3CF9" w:rsidRPr="00B06D0A" w:rsidRDefault="750671CE" w:rsidP="00F94B7E">
      <w:pPr>
        <w:ind w:firstLine="720"/>
        <w:rPr>
          <w:rFonts w:ascii="Times New Roman" w:hAnsi="Times New Roman" w:cs="Times New Roman"/>
        </w:rPr>
      </w:pPr>
      <w:r w:rsidRPr="00B06D0A">
        <w:rPr>
          <w:rFonts w:ascii="Times New Roman" w:eastAsia="Times New Roman" w:hAnsi="Times New Roman" w:cs="Times New Roman"/>
        </w:rPr>
        <w:t xml:space="preserve"> </w:t>
      </w:r>
    </w:p>
    <w:p w14:paraId="3AA50858" w14:textId="6F7AA3B6" w:rsidR="00FA3CF9" w:rsidRPr="00B06D0A" w:rsidRDefault="00FA3CF9" w:rsidP="00322687">
      <w:pPr>
        <w:pStyle w:val="Heading3"/>
      </w:pPr>
      <w:bookmarkStart w:id="789" w:name="_Toc364636225"/>
      <w:bookmarkStart w:id="790" w:name="_Toc518323471"/>
      <w:r w:rsidRPr="00C14ACE">
        <w:t>2.  Cases and Materials</w:t>
      </w:r>
      <w:bookmarkEnd w:id="789"/>
      <w:bookmarkEnd w:id="790"/>
    </w:p>
    <w:p w14:paraId="683DEB83" w14:textId="77777777" w:rsidR="00FA3CF9" w:rsidRPr="00B06D0A" w:rsidRDefault="00FA3CF9" w:rsidP="00F94B7E">
      <w:pPr>
        <w:rPr>
          <w:rFonts w:ascii="Times New Roman" w:hAnsi="Times New Roman" w:cs="Times New Roman"/>
        </w:rPr>
      </w:pPr>
    </w:p>
    <w:p w14:paraId="2F537C96" w14:textId="7A091029" w:rsidR="00FA3CF9" w:rsidRPr="00F94B7E" w:rsidRDefault="00FA3CF9" w:rsidP="00F349EC">
      <w:pPr>
        <w:rPr>
          <w:rFonts w:ascii="Times New Roman" w:hAnsi="Times New Roman" w:cs="Times New Roman"/>
        </w:rPr>
      </w:pPr>
      <w:bookmarkStart w:id="791" w:name="_Toc518323472"/>
      <w:bookmarkStart w:id="792" w:name="_Toc265592541"/>
      <w:r w:rsidRPr="00C14ACE">
        <w:rPr>
          <w:rStyle w:val="Heading4Char"/>
          <w:szCs w:val="24"/>
        </w:rPr>
        <w:t>Strauss</w:t>
      </w:r>
      <w:r w:rsidRPr="00A559C4">
        <w:rPr>
          <w:rStyle w:val="Heading4Char"/>
          <w:szCs w:val="24"/>
        </w:rPr>
        <w:t xml:space="preserve"> v. Belle Realty Co</w:t>
      </w:r>
      <w:bookmarkEnd w:id="791"/>
      <w:r w:rsidRPr="00B06D0A">
        <w:rPr>
          <w:rFonts w:ascii="Times New Roman" w:eastAsia="Times New Roman" w:hAnsi="Times New Roman" w:cs="Times New Roman"/>
          <w:b/>
          <w:bCs/>
        </w:rPr>
        <w:t>.</w:t>
      </w:r>
      <w:bookmarkEnd w:id="792"/>
      <w:r w:rsidR="00C13945"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b/>
          <w:bCs/>
        </w:rPr>
        <w:t>482 N.E.2d 34 (N.Y. 1985)</w:t>
      </w:r>
    </w:p>
    <w:p w14:paraId="30DF5B9D" w14:textId="77777777" w:rsidR="00FA3CF9" w:rsidRPr="00F349EC" w:rsidRDefault="00FA3CF9" w:rsidP="00F94B7E">
      <w:pPr>
        <w:widowControl w:val="0"/>
        <w:overflowPunct w:val="0"/>
        <w:autoSpaceDE w:val="0"/>
        <w:autoSpaceDN w:val="0"/>
        <w:adjustRightInd w:val="0"/>
        <w:ind w:firstLine="720"/>
        <w:rPr>
          <w:rFonts w:ascii="Times New Roman" w:hAnsi="Times New Roman" w:cs="Times New Roman"/>
        </w:rPr>
      </w:pPr>
    </w:p>
    <w:p w14:paraId="48BDE24A" w14:textId="1F291BEA" w:rsidR="00C13945" w:rsidRPr="00F94B7E" w:rsidRDefault="750671CE" w:rsidP="00F349EC">
      <w:pPr>
        <w:rPr>
          <w:rFonts w:ascii="Times New Roman" w:eastAsia="Times New Roman,Cambria" w:hAnsi="Times New Roman" w:cs="Times New Roman"/>
          <w:b/>
          <w:bCs/>
        </w:rPr>
      </w:pPr>
      <w:r w:rsidRPr="00F94B7E">
        <w:rPr>
          <w:rFonts w:ascii="Times New Roman" w:eastAsia="Times New Roman,Cambria" w:hAnsi="Times New Roman" w:cs="Times New Roman"/>
          <w:smallCaps/>
        </w:rPr>
        <w:t>Kaye, J</w:t>
      </w:r>
      <w:r w:rsidRPr="00F94B7E">
        <w:rPr>
          <w:rFonts w:ascii="Times New Roman" w:eastAsia="Times New Roman,Cambria" w:hAnsi="Times New Roman" w:cs="Times New Roman"/>
          <w:b/>
          <w:bCs/>
        </w:rPr>
        <w:t xml:space="preserve">. </w:t>
      </w:r>
    </w:p>
    <w:p w14:paraId="0720AF96" w14:textId="77777777" w:rsidR="0051296A" w:rsidRPr="00F349EC" w:rsidRDefault="0051296A" w:rsidP="00F349EC">
      <w:pPr>
        <w:ind w:firstLine="720"/>
        <w:rPr>
          <w:rFonts w:ascii="Times New Roman" w:hAnsi="Times New Roman" w:cs="Times New Roman"/>
        </w:rPr>
      </w:pPr>
    </w:p>
    <w:p w14:paraId="03CA56B4" w14:textId="115CBF4E" w:rsidR="00FA3CF9" w:rsidRPr="00B06D0A" w:rsidRDefault="750671CE" w:rsidP="00F349EC">
      <w:pPr>
        <w:ind w:firstLine="720"/>
        <w:rPr>
          <w:rFonts w:ascii="Times New Roman" w:eastAsia="Times New Roman" w:hAnsi="Times New Roman" w:cs="Times New Roman"/>
        </w:rPr>
      </w:pPr>
      <w:r w:rsidRPr="00F349EC">
        <w:rPr>
          <w:rFonts w:ascii="Times New Roman" w:eastAsia="Times New Roman" w:hAnsi="Times New Roman" w:cs="Times New Roman"/>
        </w:rPr>
        <w:t>On July 13, 1977, a failure of defendant Consolidated Edison</w:t>
      </w:r>
      <w:r w:rsidR="00B05F31" w:rsidRPr="00F349EC">
        <w:rPr>
          <w:rFonts w:ascii="Times New Roman" w:eastAsia="Times New Roman" w:hAnsi="Times New Roman" w:cs="Times New Roman"/>
        </w:rPr>
        <w:t>’</w:t>
      </w:r>
      <w:r w:rsidRPr="00F349EC">
        <w:rPr>
          <w:rFonts w:ascii="Times New Roman" w:eastAsia="Times New Roman" w:hAnsi="Times New Roman" w:cs="Times New Roman"/>
        </w:rPr>
        <w:t>s power system left most of New York City in darkness. In this action for damages allegedly resulting from the power failu</w:t>
      </w:r>
      <w:r w:rsidRPr="00B06D0A">
        <w:rPr>
          <w:rFonts w:ascii="Times New Roman" w:eastAsia="Times New Roman" w:hAnsi="Times New Roman" w:cs="Times New Roman"/>
        </w:rPr>
        <w:t>re, we are asked to determine whether Con Edison owed a duty of care to a tenant who suffered personal injuries in a common area of an apartment building, where his landlord</w:t>
      </w:r>
      <w:r w:rsidR="00025F35" w:rsidRPr="00025F35">
        <w:rPr>
          <w:rFonts w:ascii="Times New Roman" w:eastAsia="Times New Roman" w:hAnsi="Times New Roman" w:cs="Times New Roman"/>
        </w:rPr>
        <w:t>—</w:t>
      </w:r>
      <w:r w:rsidRPr="00B06D0A">
        <w:rPr>
          <w:rFonts w:ascii="Times New Roman" w:eastAsia="Times New Roman" w:hAnsi="Times New Roman" w:cs="Times New Roman"/>
        </w:rPr>
        <w:t>but not he</w:t>
      </w:r>
      <w:r w:rsidR="00025F35" w:rsidRPr="00025F35">
        <w:rPr>
          <w:rFonts w:ascii="Times New Roman" w:eastAsia="Times New Roman" w:hAnsi="Times New Roman" w:cs="Times New Roman"/>
        </w:rPr>
        <w:t>—</w:t>
      </w:r>
      <w:r w:rsidRPr="00B06D0A">
        <w:rPr>
          <w:rFonts w:ascii="Times New Roman" w:eastAsia="Times New Roman" w:hAnsi="Times New Roman" w:cs="Times New Roman"/>
        </w:rPr>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common areas should, as a matter of public policy, be limited by the contractual relationship. . . .</w:t>
      </w:r>
    </w:p>
    <w:p w14:paraId="046CE181" w14:textId="77777777" w:rsidR="00FA3CF9" w:rsidRPr="00B06D0A" w:rsidRDefault="00FA3CF9" w:rsidP="00F94B7E">
      <w:pPr>
        <w:rPr>
          <w:rFonts w:ascii="Times New Roman" w:hAnsi="Times New Roman" w:cs="Times New Roman"/>
        </w:rPr>
      </w:pPr>
    </w:p>
    <w:p w14:paraId="6013C87C" w14:textId="2E23BB33"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B06D0A" w:rsidRDefault="00FA3CF9" w:rsidP="00F94B7E">
      <w:pPr>
        <w:rPr>
          <w:rFonts w:ascii="Times New Roman" w:hAnsi="Times New Roman" w:cs="Times New Roman"/>
        </w:rPr>
      </w:pPr>
    </w:p>
    <w:p w14:paraId="64821897" w14:textId="564299C8"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B06D0A">
        <w:rPr>
          <w:rFonts w:ascii="Times New Roman" w:eastAsia="Times New Roman" w:hAnsi="Times New Roman" w:cs="Times New Roman"/>
          <w:i/>
          <w:iCs/>
        </w:rPr>
        <w:t xml:space="preserve">Food Pageant v. Consolidated Edison </w:t>
      </w:r>
      <w:r w:rsidRPr="00B06D0A">
        <w:rPr>
          <w:rFonts w:ascii="Times New Roman" w:eastAsia="Times New Roman" w:hAnsi="Times New Roman" w:cs="Times New Roman"/>
        </w:rPr>
        <w:t xml:space="preserve">[a prior case arising out of the same blackout], and that it owed plaintiff a duty even though he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not a customer of Consolidated Edison in a place where the accident occurred.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Con Edison cross-moved for summary judgment dismissing the complaint, maintaining it had no duty to a noncustomer.</w:t>
      </w:r>
    </w:p>
    <w:p w14:paraId="6DF636E3" w14:textId="77777777" w:rsidR="00FA3CF9" w:rsidRPr="00B06D0A" w:rsidRDefault="00FA3CF9" w:rsidP="00F94B7E">
      <w:pPr>
        <w:rPr>
          <w:rFonts w:ascii="Times New Roman" w:hAnsi="Times New Roman" w:cs="Times New Roman"/>
        </w:rPr>
      </w:pPr>
    </w:p>
    <w:p w14:paraId="19A4A119" w14:textId="2D568BCC"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The court granted the motion insofar as it sought collateral estoppel regarding gross negligence, and denied Con Edison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cross motion to dismiss the complaint, finding a question of fact as to whether it owed plaintiff a duty of care. The Appellate Division reversed and dismissed the complaint against Con Edison. Citing </w:t>
      </w:r>
      <w:r w:rsidRPr="00B06D0A">
        <w:rPr>
          <w:rFonts w:ascii="Times New Roman" w:eastAsia="Times New Roman" w:hAnsi="Times New Roman" w:cs="Times New Roman"/>
          <w:i/>
          <w:iCs/>
        </w:rPr>
        <w:t xml:space="preserve">Moch Co. v. Rensselaer Water Co., </w:t>
      </w:r>
      <w:r w:rsidRPr="00B06D0A">
        <w:rPr>
          <w:rFonts w:ascii="Times New Roman" w:eastAsia="Times New Roman" w:hAnsi="Times New Roman" w:cs="Times New Roman"/>
        </w:rPr>
        <w:t xml:space="preserve">the plurality concluded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Con Ed did not owe a duty to plaintiff in any compensable legal sense.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Justice Gibbons dissented, finding extension of the duty tolerable here because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tenants of the building in question constitute a defined, limited and known group of people.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On public policy grounds, we now affirm the Appellate Division order dismissing the complaint against Con Edison.</w:t>
      </w:r>
    </w:p>
    <w:p w14:paraId="5BC4EEA8" w14:textId="77777777" w:rsidR="00FA3CF9" w:rsidRPr="00B06D0A" w:rsidRDefault="00FA3CF9" w:rsidP="00F94B7E">
      <w:pPr>
        <w:rPr>
          <w:rFonts w:ascii="Times New Roman" w:hAnsi="Times New Roman" w:cs="Times New Roman"/>
        </w:rPr>
      </w:pPr>
    </w:p>
    <w:p w14:paraId="2D04942D" w14:textId="2BD15F48"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common areas.</w:t>
      </w:r>
    </w:p>
    <w:p w14:paraId="23B54077" w14:textId="77777777" w:rsidR="00FA3CF9" w:rsidRPr="00B06D0A" w:rsidRDefault="00FA3CF9">
      <w:pPr>
        <w:rPr>
          <w:rFonts w:ascii="Times New Roman" w:hAnsi="Times New Roman" w:cs="Times New Roman"/>
        </w:rPr>
      </w:pPr>
    </w:p>
    <w:p w14:paraId="7B76DEF5" w14:textId="58AFCA32"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Duty in negligence cases is defined neither by foreseeability of injury . . . nor by privity of contract. As this court has long recognized, an obligation rooted in contract may engender a duty owed to those not in privity, for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[t]here is nothing anomalous in a rule which imposes upon A, who has contracted with B, a duty to C and D and others according as he knows or does not know that the subject-matter of the contract is intended for their use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MacPherson v. Buick Motor Co.</w:t>
      </w:r>
      <w:r w:rsidRPr="00B06D0A">
        <w:rPr>
          <w:rFonts w:ascii="Times New Roman" w:eastAsia="Times New Roman" w:hAnsi="Times New Roman" w:cs="Times New Roman"/>
        </w:rPr>
        <w:t xml:space="preserve">). In </w:t>
      </w:r>
      <w:r w:rsidRPr="00B06D0A">
        <w:rPr>
          <w:rFonts w:ascii="Times New Roman" w:eastAsia="Times New Roman" w:hAnsi="Times New Roman" w:cs="Times New Roman"/>
          <w:i/>
          <w:iCs/>
        </w:rPr>
        <w:t xml:space="preserve">Fish v. Waverly Elec. Light &amp; Power Co., </w:t>
      </w:r>
      <w:r w:rsidRPr="00B06D0A">
        <w:rPr>
          <w:rFonts w:ascii="Times New Roman" w:eastAsia="Times New Roman" w:hAnsi="Times New Roman" w:cs="Times New Roman"/>
        </w:rPr>
        <w:t>for example, an electric company which had contracted with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employer to install ceiling lights had a duty to the plaintiff to exercise reasonable care. And in </w:t>
      </w:r>
      <w:r w:rsidRPr="00B06D0A">
        <w:rPr>
          <w:rFonts w:ascii="Times New Roman" w:eastAsia="Times New Roman" w:hAnsi="Times New Roman" w:cs="Times New Roman"/>
          <w:i/>
          <w:iCs/>
        </w:rPr>
        <w:t>Glanzer v. Shepard</w:t>
      </w:r>
      <w:r w:rsidRPr="00B06D0A">
        <w:rPr>
          <w:rFonts w:ascii="Times New Roman" w:eastAsia="Times New Roman" w:hAnsi="Times New Roman" w:cs="Times New Roman"/>
        </w:rPr>
        <w:t>, a public weigher, hired by a seller of beans to certify the weight of a particular shipment, was found liable in negligence to the buyer.</w:t>
      </w:r>
    </w:p>
    <w:p w14:paraId="1A545305" w14:textId="77777777" w:rsidR="00FA3CF9" w:rsidRPr="00B06D0A" w:rsidRDefault="00FA3CF9">
      <w:pPr>
        <w:rPr>
          <w:rFonts w:ascii="Times New Roman" w:hAnsi="Times New Roman" w:cs="Times New Roman"/>
        </w:rPr>
      </w:pPr>
    </w:p>
    <w:p w14:paraId="30019D97" w14:textId="6F24E850"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But while the absence of privity does not foreclose recognition of a duty, it is still the responsibility of courts, in fixing the orbit of duty,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to limit the legal consequences of wrongs to a controllable degree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DF2708">
        <w:rPr>
          <w:rFonts w:ascii="Times New Roman" w:eastAsia="Times New Roman" w:hAnsi="Times New Roman" w:cs="Times New Roman"/>
        </w:rPr>
        <w:t>.</w:t>
      </w:r>
      <w:r w:rsidR="00DF2708" w:rsidRPr="00B06D0A">
        <w:rPr>
          <w:rFonts w:ascii="Times New Roman" w:eastAsia="Times New Roman" w:hAnsi="Times New Roman" w:cs="Times New Roman"/>
        </w:rPr>
        <w:t xml:space="preserve"> </w:t>
      </w:r>
      <w:r w:rsidR="00DF2708">
        <w:rPr>
          <w:rFonts w:ascii="Times New Roman" w:eastAsia="Times New Roman" w:hAnsi="Times New Roman" w:cs="Times New Roman"/>
        </w:rPr>
        <w:t xml:space="preserve">. . </w:t>
      </w:r>
      <w:r w:rsidRPr="00B06D0A">
        <w:rPr>
          <w:rFonts w:ascii="Times New Roman" w:eastAsia="Times New Roman" w:hAnsi="Times New Roman" w:cs="Times New Roman"/>
        </w:rPr>
        <w:t xml:space="preserve">and to protect against crushing exposure to liability </w:t>
      </w:r>
      <w:r w:rsidR="00DF2708">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 fixing the bounds of that duty, not only logic and science, but policy play an important role.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DF2708">
        <w:rPr>
          <w:rFonts w:ascii="Times New Roman" w:eastAsia="Times New Roman" w:hAnsi="Times New Roman" w:cs="Times New Roman"/>
        </w:rPr>
        <w:t xml:space="preserve">. . . </w:t>
      </w:r>
      <w:r w:rsidRPr="00B06D0A">
        <w:rPr>
          <w:rFonts w:ascii="Times New Roman" w:eastAsia="Times New Roman" w:hAnsi="Times New Roman" w:cs="Times New Roman"/>
        </w:rPr>
        <w:t>The courts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B06D0A" w:rsidRDefault="00FA3CF9" w:rsidP="00F94B7E">
      <w:pPr>
        <w:rPr>
          <w:rFonts w:ascii="Times New Roman" w:hAnsi="Times New Roman" w:cs="Times New Roman"/>
        </w:rPr>
      </w:pPr>
    </w:p>
    <w:p w14:paraId="3F0F43F3" w14:textId="435A1AB1" w:rsidR="00FA3CF9" w:rsidRPr="00B06D0A" w:rsidRDefault="750671CE" w:rsidP="00F349EC">
      <w:pPr>
        <w:ind w:firstLine="720"/>
        <w:rPr>
          <w:rFonts w:ascii="Times New Roman" w:eastAsia="Times New Roman" w:hAnsi="Times New Roman" w:cs="Times New Roman"/>
          <w:b/>
          <w:bCs/>
        </w:rPr>
      </w:pPr>
      <w:r w:rsidRPr="00B06D0A">
        <w:rPr>
          <w:rFonts w:ascii="Times New Roman" w:eastAsia="Times New Roman" w:hAnsi="Times New Roman" w:cs="Times New Roman"/>
        </w:rPr>
        <w:t>Considerations of privity are not entirely irrelevant in implementing policy. Indeed, in determining the liability of utilities for consequential damages for failure to provide service</w:t>
      </w:r>
      <w:r w:rsidR="00025F35" w:rsidRPr="00025F35">
        <w:rPr>
          <w:rFonts w:ascii="Times New Roman" w:eastAsia="Times New Roman" w:hAnsi="Times New Roman" w:cs="Times New Roman"/>
        </w:rPr>
        <w:t>—</w:t>
      </w:r>
      <w:r w:rsidRPr="00B06D0A">
        <w:rPr>
          <w:rFonts w:ascii="Times New Roman" w:eastAsia="Times New Roman" w:hAnsi="Times New Roman" w:cs="Times New Roman"/>
        </w:rPr>
        <w:t xml:space="preserve">a liability which could obviously be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enormous,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has been described 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i/>
          <w:iCs/>
        </w:rPr>
        <w:t>sui generis,</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rather than strictly governed by tort or contract law principles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Prosser and Keeton, Torts § 92, at 663 [5th ed] )</w:t>
      </w:r>
      <w:r w:rsidR="0006711F" w:rsidRPr="0006711F">
        <w:rPr>
          <w:rFonts w:ascii="Times New Roman" w:eastAsia="Times New Roman" w:hAnsi="Times New Roman" w:cs="Times New Roman"/>
        </w:rPr>
        <w:t>—</w:t>
      </w:r>
      <w:r w:rsidRPr="00B06D0A">
        <w:rPr>
          <w:rFonts w:ascii="Times New Roman" w:eastAsia="Times New Roman" w:hAnsi="Times New Roman" w:cs="Times New Roman"/>
        </w:rPr>
        <w:t xml:space="preserve">courts have declined to extend the duty of care to noncustomers. For example, in </w:t>
      </w:r>
      <w:r w:rsidRPr="00B06D0A">
        <w:rPr>
          <w:rFonts w:ascii="Times New Roman" w:eastAsia="Times New Roman" w:hAnsi="Times New Roman" w:cs="Times New Roman"/>
          <w:i/>
          <w:iCs/>
        </w:rPr>
        <w:t xml:space="preserve">Moch, supra, </w:t>
      </w:r>
      <w:r w:rsidRPr="00B06D0A">
        <w:rPr>
          <w:rFonts w:ascii="Times New Roman" w:eastAsia="Times New Roman" w:hAnsi="Times New Roman" w:cs="Times New Roman"/>
        </w:rPr>
        <w:t>a water works company contracted with the City of Rensselaer to satisfy its water requirements.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warehouse burned and plaintiff brought an action against the water company in part based on its alleged negligence in failing to supply sufficient water pressure to the city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hydrants. The court denied recovery, concluding that the proposed enlargement of the zone of duty would unduly extend liability. . . .</w:t>
      </w:r>
    </w:p>
    <w:p w14:paraId="47AE9FFD" w14:textId="77777777" w:rsidR="00FA3CF9" w:rsidRPr="00B06D0A" w:rsidRDefault="00FA3CF9" w:rsidP="00F94B7E">
      <w:pPr>
        <w:rPr>
          <w:rFonts w:ascii="Times New Roman" w:hAnsi="Times New Roman" w:cs="Times New Roman"/>
        </w:rPr>
      </w:pPr>
    </w:p>
    <w:p w14:paraId="113C772B" w14:textId="1EA47456"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In the view of the Appellate Division dissenter, </w:t>
      </w:r>
      <w:r w:rsidRPr="00B06D0A">
        <w:rPr>
          <w:rFonts w:ascii="Times New Roman" w:eastAsia="Times New Roman" w:hAnsi="Times New Roman" w:cs="Times New Roman"/>
          <w:i/>
          <w:iCs/>
        </w:rPr>
        <w:t xml:space="preserve">Moch </w:t>
      </w:r>
      <w:r w:rsidRPr="00B06D0A">
        <w:rPr>
          <w:rFonts w:ascii="Times New Roman" w:eastAsia="Times New Roman" w:hAnsi="Times New Roman" w:cs="Times New Roman"/>
        </w:rPr>
        <w:t xml:space="preserve">does not control because the injuries here were foreseeable and plaintiff was a member of a specific, limited, circumscribed class with a close relationship with Con Edison. The situation was thought to be akin to </w:t>
      </w:r>
      <w:r w:rsidRPr="00B06D0A">
        <w:rPr>
          <w:rFonts w:ascii="Times New Roman" w:eastAsia="Times New Roman" w:hAnsi="Times New Roman" w:cs="Times New Roman"/>
          <w:i/>
          <w:iCs/>
        </w:rPr>
        <w:t xml:space="preserve">White v. Guarente, </w:t>
      </w:r>
      <w:r w:rsidRPr="00B06D0A">
        <w:rPr>
          <w:rFonts w:ascii="Times New Roman" w:eastAsia="Times New Roman" w:hAnsi="Times New Roman" w:cs="Times New Roman"/>
        </w:rPr>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services of the accountant were not extended to a faceless or unresolved class of persons, but rather to a known group possessed of vested rights, marked by a definable limit and made up of certain components.</w:t>
      </w:r>
      <w:r w:rsidR="00B05F31" w:rsidRPr="00B06D0A">
        <w:rPr>
          <w:rFonts w:ascii="Times New Roman" w:eastAsia="Times New Roman" w:hAnsi="Times New Roman" w:cs="Times New Roman"/>
        </w:rPr>
        <w:t>”</w:t>
      </w:r>
      <w:r w:rsidR="002A49F6">
        <w:rPr>
          <w:rFonts w:ascii="Times New Roman" w:eastAsia="Times New Roman" w:hAnsi="Times New Roman" w:cs="Times New Roman"/>
        </w:rPr>
        <w:t xml:space="preserve"> . . .</w:t>
      </w:r>
    </w:p>
    <w:p w14:paraId="57B46052" w14:textId="77777777" w:rsidR="00FA3CF9" w:rsidRPr="00B06D0A" w:rsidRDefault="00FA3CF9" w:rsidP="00F94B7E">
      <w:pPr>
        <w:rPr>
          <w:rFonts w:ascii="Times New Roman" w:hAnsi="Times New Roman" w:cs="Times New Roman"/>
        </w:rPr>
      </w:pPr>
    </w:p>
    <w:p w14:paraId="3DE0105E" w14:textId="3FFCECCB"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Central to these decisions was an ability to extend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relationship with Con Edison is viewed from this perspective, it is no answer to say that a duty is owed because, as a tenant in an apartment building, plaintiff belongs to a narrowly defined class.</w:t>
      </w:r>
    </w:p>
    <w:p w14:paraId="57E0B32C" w14:textId="77777777" w:rsidR="00FA3CF9" w:rsidRPr="00B06D0A" w:rsidRDefault="00FA3CF9" w:rsidP="00F94B7E">
      <w:pPr>
        <w:rPr>
          <w:rFonts w:ascii="Times New Roman" w:hAnsi="Times New Roman" w:cs="Times New Roman"/>
        </w:rPr>
      </w:pPr>
    </w:p>
    <w:p w14:paraId="624694B2" w14:textId="0AAAEC81"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Additionally, we deal here with a system-wide power failure occasioned by what has already been determined to be the utility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gross negligence. If liability could be found here, then in logic and fairness the same result must follow in many similar situations. For example, a tenant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recovery to those in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circumstances would, in our view, violate the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responsibility to define an orbit of duty that places controllable limits on liability. . . .</w:t>
      </w:r>
    </w:p>
    <w:p w14:paraId="48C35837" w14:textId="77777777" w:rsidR="00FA3CF9" w:rsidRPr="00B06D0A" w:rsidRDefault="00FA3CF9" w:rsidP="00F94B7E">
      <w:pPr>
        <w:rPr>
          <w:rFonts w:ascii="Times New Roman" w:hAnsi="Times New Roman" w:cs="Times New Roman"/>
        </w:rPr>
      </w:pPr>
    </w:p>
    <w:p w14:paraId="091C10DF" w14:textId="599BA373"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In sum, Con Edison is not answerable to the tenant of an apartment building injured in a common area as a result of Con Edison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negligent failure to provide electric service as required by its agreement with the building owner. Accordingly, the order of the Appellate Division should be affirmed, with costs.</w:t>
      </w:r>
    </w:p>
    <w:p w14:paraId="41DF96FF" w14:textId="77777777" w:rsidR="0006711F" w:rsidRDefault="0006711F" w:rsidP="00F94B7E">
      <w:pPr>
        <w:rPr>
          <w:rFonts w:ascii="Times New Roman" w:hAnsi="Times New Roman" w:cs="Times New Roman"/>
        </w:rPr>
      </w:pPr>
    </w:p>
    <w:p w14:paraId="0BFCBD3A" w14:textId="5FC0A7C1" w:rsidR="0051296A" w:rsidRPr="00B06D0A" w:rsidRDefault="0006711F" w:rsidP="00F349EC">
      <w:pPr>
        <w:rPr>
          <w:rFonts w:ascii="Times New Roman" w:eastAsia="Times New Roman" w:hAnsi="Times New Roman" w:cs="Times New Roman"/>
        </w:rPr>
      </w:pPr>
      <w:r>
        <w:rPr>
          <w:rFonts w:ascii="Times New Roman" w:hAnsi="Times New Roman" w:cs="Times New Roman"/>
        </w:rPr>
        <w:t>M</w:t>
      </w:r>
      <w:r w:rsidRPr="00F94B7E">
        <w:rPr>
          <w:rFonts w:ascii="Times New Roman" w:hAnsi="Times New Roman" w:cs="Times New Roman"/>
          <w:smallCaps/>
        </w:rPr>
        <w:t>eyer</w:t>
      </w:r>
      <w:r w:rsidR="750671CE" w:rsidRPr="00B06D0A">
        <w:rPr>
          <w:rFonts w:ascii="Times New Roman" w:eastAsia="Times New Roman" w:hAnsi="Times New Roman" w:cs="Times New Roman"/>
          <w:caps/>
        </w:rPr>
        <w:t>, J</w:t>
      </w:r>
      <w:r w:rsidR="750671CE" w:rsidRPr="00B06D0A">
        <w:rPr>
          <w:rFonts w:ascii="Times New Roman" w:eastAsia="Times New Roman" w:hAnsi="Times New Roman" w:cs="Times New Roman"/>
          <w:smallCaps/>
        </w:rPr>
        <w:t>.</w:t>
      </w:r>
      <w:r w:rsidR="00883A42">
        <w:rPr>
          <w:rFonts w:ascii="Times New Roman" w:eastAsia="Times New Roman" w:hAnsi="Times New Roman" w:cs="Times New Roman"/>
        </w:rPr>
        <w:t xml:space="preserve">, </w:t>
      </w:r>
      <w:r w:rsidR="750671CE" w:rsidRPr="00B06D0A">
        <w:rPr>
          <w:rFonts w:ascii="Times New Roman" w:eastAsia="Times New Roman" w:hAnsi="Times New Roman" w:cs="Times New Roman"/>
        </w:rPr>
        <w:t>dissenting</w:t>
      </w:r>
      <w:r w:rsidR="00883A42">
        <w:rPr>
          <w:rFonts w:ascii="Times New Roman" w:eastAsia="Times New Roman" w:hAnsi="Times New Roman" w:cs="Times New Roman"/>
        </w:rPr>
        <w:t>.</w:t>
      </w:r>
    </w:p>
    <w:p w14:paraId="21067910" w14:textId="77777777" w:rsidR="0051296A" w:rsidRPr="00B06D0A" w:rsidRDefault="0051296A">
      <w:pPr>
        <w:rPr>
          <w:rFonts w:ascii="Times New Roman" w:hAnsi="Times New Roman" w:cs="Times New Roman"/>
        </w:rPr>
      </w:pPr>
    </w:p>
    <w:p w14:paraId="2412CD3A" w14:textId="500429AB"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My disagreement with the majority results not from its consideration of public policy as a factor in determining the scope of Con 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duty, but from the fact that in reaching its public policy conclusion it has considered only one side of the equation . . . .</w:t>
      </w:r>
    </w:p>
    <w:p w14:paraId="0057FD8B" w14:textId="77777777" w:rsidR="00FA3CF9" w:rsidRPr="00B06D0A" w:rsidRDefault="00FA3CF9" w:rsidP="00F94B7E">
      <w:pPr>
        <w:rPr>
          <w:rFonts w:ascii="Times New Roman" w:hAnsi="Times New Roman" w:cs="Times New Roman"/>
        </w:rPr>
      </w:pPr>
    </w:p>
    <w:p w14:paraId="4AA67E4F" w14:textId="7CF08B53" w:rsidR="00FA3CF9"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As Professors Prosser and Keeton have emphasized,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statement that there is or is not a duty begs the essential question</w:t>
      </w:r>
      <w:r w:rsidR="002D56E0" w:rsidRPr="002D56E0">
        <w:rPr>
          <w:rFonts w:ascii="Times New Roman" w:eastAsia="Times New Roman" w:hAnsi="Times New Roman" w:cs="Times New Roman"/>
        </w:rPr>
        <w:t>—</w:t>
      </w:r>
      <w:r w:rsidRPr="00B06D0A">
        <w:rPr>
          <w:rFonts w:ascii="Times New Roman" w:eastAsia="Times New Roman" w:hAnsi="Times New Roman" w:cs="Times New Roman"/>
        </w:rPr>
        <w:t>whether the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interests are entitled to legal protection against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conduct . . . .</w:t>
      </w:r>
      <w:r w:rsidR="00B05F31" w:rsidRPr="00B06D0A">
        <w:rPr>
          <w:rFonts w:ascii="Times New Roman" w:eastAsia="Times New Roman" w:hAnsi="Times New Roman" w:cs="Times New Roman"/>
        </w:rPr>
        <w:t>”</w:t>
      </w:r>
    </w:p>
    <w:p w14:paraId="45126A5B" w14:textId="77777777" w:rsidR="00D93476" w:rsidRPr="00B06D0A" w:rsidRDefault="00D93476" w:rsidP="00F349EC">
      <w:pPr>
        <w:ind w:firstLine="720"/>
        <w:rPr>
          <w:rFonts w:ascii="Times New Roman" w:eastAsia="Times New Roman" w:hAnsi="Times New Roman" w:cs="Times New Roman"/>
        </w:rPr>
      </w:pPr>
    </w:p>
    <w:p w14:paraId="70487B1C" w14:textId="331DE4CA" w:rsidR="00FA3CF9" w:rsidRPr="00B06D0A" w:rsidRDefault="750671CE" w:rsidP="00F94B7E">
      <w:pPr>
        <w:rPr>
          <w:rFonts w:ascii="Times New Roman" w:eastAsia="Times New Roman" w:hAnsi="Times New Roman" w:cs="Times New Roman"/>
        </w:rPr>
      </w:pPr>
      <w:r w:rsidRPr="00B06D0A">
        <w:rPr>
          <w:rFonts w:ascii="Times New Roman" w:eastAsia="Times New Roman" w:hAnsi="Times New Roman" w:cs="Times New Roman"/>
        </w:rPr>
        <w:t>. . .</w:t>
      </w:r>
    </w:p>
    <w:p w14:paraId="27A7C44E" w14:textId="77777777" w:rsidR="00FA3CF9" w:rsidRPr="00B06D0A" w:rsidRDefault="00FA3CF9">
      <w:pPr>
        <w:rPr>
          <w:rFonts w:ascii="Times New Roman" w:hAnsi="Times New Roman" w:cs="Times New Roman"/>
        </w:rPr>
      </w:pPr>
    </w:p>
    <w:p w14:paraId="6A22A3CC" w14:textId="1CDEFA1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majority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equity </w:t>
      </w:r>
      <w:r w:rsidR="0026352C">
        <w:rPr>
          <w:rFonts w:ascii="Times New Roman" w:eastAsia="Times New Roman" w:hAnsi="Times New Roman" w:cs="Times New Roman"/>
        </w:rPr>
        <w:t xml:space="preserve">. . . </w:t>
      </w:r>
      <w:r w:rsidRPr="00B06D0A">
        <w:rPr>
          <w:rFonts w:ascii="Times New Roman" w:eastAsia="Times New Roman" w:hAnsi="Times New Roman" w:cs="Times New Roman"/>
        </w:rPr>
        <w:t>, or increase in its rates, or both, as may be necessary to pay the judgments obtained against it. It ignores as well the burden imposed upon the persons physically injured by Con 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gross negligence, the less the responsibility for injuries incurred.</w:t>
      </w:r>
    </w:p>
    <w:p w14:paraId="4DF2C38B" w14:textId="77777777" w:rsidR="00FA3CF9" w:rsidRPr="00B06D0A" w:rsidRDefault="00FA3CF9" w:rsidP="00F94B7E">
      <w:pPr>
        <w:rPr>
          <w:rFonts w:ascii="Times New Roman" w:hAnsi="Times New Roman" w:cs="Times New Roman"/>
        </w:rPr>
      </w:pPr>
    </w:p>
    <w:p w14:paraId="75447DB1" w14:textId="20DF082B" w:rsidR="00FA3CF9" w:rsidRPr="00B06D0A" w:rsidRDefault="750671CE" w:rsidP="00F349EC">
      <w:pPr>
        <w:rPr>
          <w:rFonts w:ascii="Times New Roman" w:eastAsia="Times New Roman" w:hAnsi="Times New Roman" w:cs="Times New Roman"/>
        </w:rPr>
      </w:pPr>
      <w:r w:rsidRPr="00B06D0A">
        <w:rPr>
          <w:rFonts w:ascii="Times New Roman" w:eastAsia="Times New Roman" w:hAnsi="Times New Roman" w:cs="Times New Roman"/>
          <w:smallCaps/>
        </w:rPr>
        <w:t>W</w:t>
      </w:r>
      <w:r w:rsidR="002D56E0">
        <w:rPr>
          <w:rFonts w:ascii="Times New Roman" w:eastAsia="Times New Roman" w:hAnsi="Times New Roman" w:cs="Times New Roman"/>
          <w:smallCaps/>
        </w:rPr>
        <w:t>achtler</w:t>
      </w:r>
      <w:r w:rsidRPr="00B06D0A">
        <w:rPr>
          <w:rFonts w:ascii="Times New Roman" w:eastAsia="Times New Roman" w:hAnsi="Times New Roman" w:cs="Times New Roman"/>
        </w:rPr>
        <w:t xml:space="preserve">, C.J., and </w:t>
      </w:r>
      <w:r w:rsidRPr="00B06D0A">
        <w:rPr>
          <w:rFonts w:ascii="Times New Roman" w:eastAsia="Times New Roman" w:hAnsi="Times New Roman" w:cs="Times New Roman"/>
          <w:smallCaps/>
        </w:rPr>
        <w:t>S</w:t>
      </w:r>
      <w:r w:rsidR="002D56E0">
        <w:rPr>
          <w:rFonts w:ascii="Times New Roman" w:eastAsia="Times New Roman" w:hAnsi="Times New Roman" w:cs="Times New Roman"/>
          <w:smallCaps/>
        </w:rPr>
        <w:t>imons</w:t>
      </w:r>
      <w:r w:rsidRPr="00B06D0A">
        <w:rPr>
          <w:rFonts w:ascii="Times New Roman" w:eastAsia="Times New Roman" w:hAnsi="Times New Roman" w:cs="Times New Roman"/>
        </w:rPr>
        <w:t xml:space="preserve">, </w:t>
      </w:r>
      <w:r w:rsidRPr="00F94B7E">
        <w:rPr>
          <w:rFonts w:ascii="Times New Roman" w:eastAsia="Times New Roman" w:hAnsi="Times New Roman" w:cs="Times New Roman"/>
          <w:smallCaps/>
        </w:rPr>
        <w:t>A</w:t>
      </w:r>
      <w:r w:rsidR="002D56E0" w:rsidRPr="00F94B7E">
        <w:rPr>
          <w:rFonts w:ascii="Times New Roman" w:eastAsia="Times New Roman" w:hAnsi="Times New Roman" w:cs="Times New Roman"/>
          <w:smallCaps/>
        </w:rPr>
        <w:t>lexander</w:t>
      </w:r>
      <w:r w:rsidRPr="00F94B7E">
        <w:rPr>
          <w:rFonts w:ascii="Times New Roman" w:eastAsia="Times New Roman" w:hAnsi="Times New Roman" w:cs="Times New Roman"/>
          <w:smallCaps/>
        </w:rPr>
        <w:t xml:space="preserve"> </w:t>
      </w:r>
      <w:r w:rsidRPr="00D655CE">
        <w:rPr>
          <w:rFonts w:ascii="Times New Roman" w:eastAsia="Times New Roman" w:hAnsi="Times New Roman" w:cs="Times New Roman"/>
        </w:rPr>
        <w:t>and</w:t>
      </w:r>
      <w:r w:rsidRPr="00F94B7E">
        <w:rPr>
          <w:rFonts w:ascii="Times New Roman" w:eastAsia="Times New Roman" w:hAnsi="Times New Roman" w:cs="Times New Roman"/>
          <w:smallCaps/>
        </w:rPr>
        <w:t xml:space="preserve"> T</w:t>
      </w:r>
      <w:r w:rsidR="002D56E0" w:rsidRPr="00F94B7E">
        <w:rPr>
          <w:rFonts w:ascii="Times New Roman" w:eastAsia="Times New Roman" w:hAnsi="Times New Roman" w:cs="Times New Roman"/>
          <w:smallCaps/>
        </w:rPr>
        <w:t>itone</w:t>
      </w:r>
      <w:r w:rsidRPr="00F94B7E">
        <w:rPr>
          <w:rFonts w:ascii="Times New Roman" w:eastAsia="Times New Roman" w:hAnsi="Times New Roman" w:cs="Times New Roman"/>
          <w:smallCaps/>
        </w:rPr>
        <w:t xml:space="preserve">, JJ., </w:t>
      </w:r>
      <w:r w:rsidRPr="00D655CE">
        <w:rPr>
          <w:rFonts w:ascii="Times New Roman" w:eastAsia="Times New Roman" w:hAnsi="Times New Roman" w:cs="Times New Roman"/>
        </w:rPr>
        <w:t>concur with</w:t>
      </w:r>
      <w:r w:rsidRPr="00F94B7E">
        <w:rPr>
          <w:rFonts w:ascii="Times New Roman" w:eastAsia="Times New Roman" w:hAnsi="Times New Roman" w:cs="Times New Roman"/>
          <w:smallCaps/>
        </w:rPr>
        <w:t xml:space="preserve"> K</w:t>
      </w:r>
      <w:r w:rsidR="002D56E0" w:rsidRPr="00F94B7E">
        <w:rPr>
          <w:rFonts w:ascii="Times New Roman" w:eastAsia="Times New Roman" w:hAnsi="Times New Roman" w:cs="Times New Roman"/>
          <w:smallCaps/>
        </w:rPr>
        <w:t>aye</w:t>
      </w:r>
      <w:r w:rsidRPr="00B06D0A">
        <w:rPr>
          <w:rFonts w:ascii="Times New Roman" w:eastAsia="Times New Roman" w:hAnsi="Times New Roman" w:cs="Times New Roman"/>
        </w:rPr>
        <w:t>, J.</w:t>
      </w:r>
    </w:p>
    <w:p w14:paraId="5F96D31B" w14:textId="77777777" w:rsidR="00FA3CF9" w:rsidRPr="00B06D0A" w:rsidRDefault="00FA3CF9" w:rsidP="00F94B7E">
      <w:pPr>
        <w:rPr>
          <w:rFonts w:ascii="Times New Roman" w:hAnsi="Times New Roman" w:cs="Times New Roman"/>
        </w:rPr>
      </w:pPr>
    </w:p>
    <w:p w14:paraId="382D8A8D" w14:textId="3C6ADD02" w:rsidR="00FA3CF9" w:rsidRPr="00B06D0A" w:rsidRDefault="750671CE" w:rsidP="00F349EC">
      <w:pPr>
        <w:ind w:firstLine="42"/>
        <w:rPr>
          <w:rFonts w:ascii="Times New Roman" w:eastAsia="Times New Roman" w:hAnsi="Times New Roman" w:cs="Times New Roman"/>
        </w:rPr>
      </w:pPr>
      <w:r w:rsidRPr="00F94B7E">
        <w:rPr>
          <w:rFonts w:ascii="Times New Roman" w:eastAsia="Times New Roman" w:hAnsi="Times New Roman" w:cs="Times New Roman"/>
          <w:smallCaps/>
        </w:rPr>
        <w:t>M</w:t>
      </w:r>
      <w:r w:rsidR="002D56E0" w:rsidRPr="00F94B7E">
        <w:rPr>
          <w:rFonts w:ascii="Times New Roman" w:eastAsia="Times New Roman" w:hAnsi="Times New Roman" w:cs="Times New Roman"/>
          <w:smallCaps/>
        </w:rPr>
        <w:t>eyer</w:t>
      </w:r>
      <w:r w:rsidRPr="00B06D0A">
        <w:rPr>
          <w:rFonts w:ascii="Times New Roman" w:eastAsia="Times New Roman" w:hAnsi="Times New Roman" w:cs="Times New Roman"/>
        </w:rPr>
        <w:t xml:space="preserve">, J., dissents and votes to reverse in a separate opinion in which </w:t>
      </w:r>
      <w:r w:rsidRPr="00F94B7E">
        <w:rPr>
          <w:rFonts w:ascii="Times New Roman" w:eastAsia="Times New Roman" w:hAnsi="Times New Roman" w:cs="Times New Roman"/>
          <w:smallCaps/>
        </w:rPr>
        <w:t>J</w:t>
      </w:r>
      <w:r w:rsidR="002D56E0" w:rsidRPr="00F94B7E">
        <w:rPr>
          <w:rFonts w:ascii="Times New Roman" w:eastAsia="Times New Roman" w:hAnsi="Times New Roman" w:cs="Times New Roman"/>
          <w:smallCaps/>
        </w:rPr>
        <w:t>asen</w:t>
      </w:r>
      <w:r w:rsidRPr="00B06D0A">
        <w:rPr>
          <w:rFonts w:ascii="Times New Roman" w:eastAsia="Times New Roman" w:hAnsi="Times New Roman" w:cs="Times New Roman"/>
        </w:rPr>
        <w:t>, J., concurs.</w:t>
      </w:r>
    </w:p>
    <w:p w14:paraId="46291199"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3094F446" w14:textId="77777777" w:rsidR="00FA3CF9" w:rsidRPr="00B06D0A" w:rsidRDefault="00FA3CF9" w:rsidP="00F349EC">
      <w:pPr>
        <w:pStyle w:val="Heading2"/>
        <w:rPr>
          <w:rFonts w:cs="Times New Roman"/>
        </w:rPr>
      </w:pPr>
      <w:bookmarkStart w:id="793" w:name="_Toc265592542"/>
    </w:p>
    <w:p w14:paraId="5D6BE52A" w14:textId="77777777" w:rsidR="00FA3CF9" w:rsidRPr="00A559C4" w:rsidRDefault="00FA3CF9" w:rsidP="00AB034A">
      <w:pPr>
        <w:pStyle w:val="Heading5"/>
      </w:pPr>
      <w:bookmarkStart w:id="794" w:name="_Toc364636226"/>
      <w:bookmarkStart w:id="795" w:name="_Toc518323473"/>
      <w:r w:rsidRPr="00C14ACE">
        <w:t>Notes</w:t>
      </w:r>
      <w:bookmarkEnd w:id="793"/>
      <w:bookmarkEnd w:id="794"/>
      <w:bookmarkEnd w:id="795"/>
    </w:p>
    <w:p w14:paraId="0F435DE5" w14:textId="77777777" w:rsidR="00FA3CF9" w:rsidRDefault="00FA3CF9" w:rsidP="00F94B7E">
      <w:pPr>
        <w:widowControl w:val="0"/>
        <w:overflowPunct w:val="0"/>
        <w:autoSpaceDE w:val="0"/>
        <w:autoSpaceDN w:val="0"/>
        <w:adjustRightInd w:val="0"/>
        <w:rPr>
          <w:rFonts w:ascii="Times New Roman" w:hAnsi="Times New Roman" w:cs="Times New Roman"/>
        </w:rPr>
      </w:pPr>
    </w:p>
    <w:p w14:paraId="227E322D" w14:textId="77777777" w:rsidR="005468ED" w:rsidRPr="00B06D0A" w:rsidRDefault="005468ED" w:rsidP="00F94B7E">
      <w:pPr>
        <w:widowControl w:val="0"/>
        <w:overflowPunct w:val="0"/>
        <w:autoSpaceDE w:val="0"/>
        <w:autoSpaceDN w:val="0"/>
        <w:adjustRightInd w:val="0"/>
        <w:rPr>
          <w:rFonts w:ascii="Times New Roman" w:hAnsi="Times New Roman" w:cs="Times New Roman"/>
        </w:rPr>
      </w:pPr>
    </w:p>
    <w:p w14:paraId="2675C14E" w14:textId="463B4659" w:rsidR="00FA3CF9" w:rsidRPr="00F94B7E" w:rsidRDefault="750671CE" w:rsidP="00F94B7E">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Liability for public utilities.</w:t>
      </w:r>
      <w:r w:rsidRPr="00F94B7E">
        <w:rPr>
          <w:rFonts w:ascii="Times New Roman" w:eastAsia="Times New Roman" w:hAnsi="Times New Roman" w:cs="Times New Roman"/>
        </w:rPr>
        <w:t xml:space="preserve"> Unlike the New York Court of Appeals in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and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other courts have refused to immunize utility companies from liability incurred by third parties. After the New York Court of Appeals decided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the Pennsylvania Supreme Court held that a defendant-utility company could be liable for negligence even though the plaintiff had no contractual relationship with the defendant.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Doyle v. South Pittsburgh Water Co.</w:t>
      </w:r>
      <w:r w:rsidRPr="00F94B7E">
        <w:rPr>
          <w:rFonts w:ascii="Times New Roman" w:eastAsia="Times New Roman" w:hAnsi="Times New Roman" w:cs="Times New Roman"/>
        </w:rPr>
        <w:t xml:space="preserve">, 199 A.2d 875, 878 (Pa. 1964). After the New York Court of Appeals decided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the New Jersey Supreme Court refused to immunize a defendant-utility company from liability arising outside of a contractual relationship. </w:t>
      </w:r>
      <w:r w:rsidRPr="00F94B7E">
        <w:rPr>
          <w:rFonts w:ascii="Times New Roman" w:eastAsia="Times New Roman" w:hAnsi="Times New Roman" w:cs="Times New Roman"/>
          <w:i/>
          <w:iCs/>
        </w:rPr>
        <w:t>See Weinberg v. Dinger</w:t>
      </w:r>
      <w:r w:rsidRPr="00F94B7E">
        <w:rPr>
          <w:rFonts w:ascii="Times New Roman" w:eastAsia="Times New Roman" w:hAnsi="Times New Roman" w:cs="Times New Roman"/>
        </w:rPr>
        <w:t>, 524 A.2d 366, 378 (N.J. 1987).     </w:t>
      </w:r>
    </w:p>
    <w:p w14:paraId="0E85A023" w14:textId="77777777"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375D072D" w14:textId="5FDCDB2A"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Restatement (Third) of Torts criticizes </w:t>
      </w:r>
      <w:r w:rsidRPr="00B06D0A">
        <w:rPr>
          <w:rFonts w:ascii="Times New Roman" w:eastAsia="Times New Roman" w:hAnsi="Times New Roman" w:cs="Times New Roman"/>
          <w:i/>
          <w:iCs/>
        </w:rPr>
        <w:t>Moch</w:t>
      </w:r>
      <w:r w:rsidRPr="00B06D0A">
        <w:rPr>
          <w:rFonts w:ascii="Times New Roman" w:eastAsia="Times New Roman" w:hAnsi="Times New Roman" w:cs="Times New Roman"/>
        </w:rPr>
        <w:t>. In particular, the Restatement notes:</w:t>
      </w:r>
    </w:p>
    <w:p w14:paraId="06E9267D" w14:textId="77777777"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3976346B" w14:textId="2402FC3F" w:rsidR="00FA3CF9" w:rsidRPr="00B06D0A" w:rsidRDefault="750671CE" w:rsidP="00F94B7E">
      <w:pPr>
        <w:pStyle w:val="blockquote"/>
      </w:pPr>
      <w:r w:rsidRPr="00B06D0A">
        <w:t>[t]he difficulty with [</w:t>
      </w:r>
      <w:r w:rsidRPr="00B06D0A">
        <w:rPr>
          <w:i/>
          <w:iCs/>
        </w:rPr>
        <w:t>Moch</w:t>
      </w:r>
      <w:r w:rsidRPr="00B06D0A">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B06D0A">
        <w:t>’</w:t>
      </w:r>
      <w:r w:rsidRPr="00B06D0A">
        <w:t>s continuing to provide its services is a cause of harm.</w:t>
      </w:r>
    </w:p>
    <w:p w14:paraId="06C5D0C1" w14:textId="77777777"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6DE63475" w14:textId="3D430189"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smallCaps/>
        </w:rPr>
        <w:t>Restatement (Third) of Torts: Liab. for Physical &amp; Emotional Harm</w:t>
      </w:r>
      <w:r w:rsidRPr="00B06D0A">
        <w:rPr>
          <w:rFonts w:ascii="Times New Roman" w:eastAsia="Times New Roman" w:hAnsi="Times New Roman" w:cs="Times New Roman"/>
        </w:rPr>
        <w:t xml:space="preserve"> § 42 cmt. i (2012).  Nevertheless, the New York Court of Appeals continues to apply </w:t>
      </w:r>
      <w:r w:rsidRPr="00B06D0A">
        <w:rPr>
          <w:rFonts w:ascii="Times New Roman" w:eastAsia="Times New Roman" w:hAnsi="Times New Roman" w:cs="Times New Roman"/>
          <w:i/>
          <w:iCs/>
        </w:rPr>
        <w:t xml:space="preserve">Strauss </w:t>
      </w:r>
      <w:r w:rsidRPr="00B06D0A">
        <w:rPr>
          <w:rFonts w:ascii="Times New Roman" w:eastAsia="Times New Roman" w:hAnsi="Times New Roman" w:cs="Times New Roman"/>
        </w:rPr>
        <w:t xml:space="preserve">and </w:t>
      </w:r>
      <w:r w:rsidRPr="00B06D0A">
        <w:rPr>
          <w:rFonts w:ascii="Times New Roman" w:eastAsia="Times New Roman" w:hAnsi="Times New Roman" w:cs="Times New Roman"/>
          <w:i/>
          <w:iCs/>
        </w:rPr>
        <w:t>Moch</w:t>
      </w:r>
      <w:r w:rsidRPr="00B06D0A">
        <w:rPr>
          <w:rFonts w:ascii="Times New Roman" w:eastAsia="Times New Roman" w:hAnsi="Times New Roman" w:cs="Times New Roman"/>
        </w:rPr>
        <w:t xml:space="preserve">, even in cases that do not involve utility companies.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e.g.</w:t>
      </w:r>
      <w:r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Espinal v. Melville Snow Contrs.</w:t>
      </w:r>
      <w:r w:rsidRPr="00B06D0A">
        <w:rPr>
          <w:rFonts w:ascii="Times New Roman" w:eastAsia="Times New Roman" w:hAnsi="Times New Roman" w:cs="Times New Roman"/>
        </w:rPr>
        <w:t>, 773 N.E.2d 485, 489 (N.Y. 2002) (holding that defendant snow removal company owed the injured party no duty of care because the defendant contracted with the injured party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employer, not the injured party himself).</w:t>
      </w:r>
    </w:p>
    <w:p w14:paraId="33775D1F" w14:textId="77777777" w:rsidR="00FA3CF9"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053C4868" w14:textId="6B069015" w:rsidR="00FA3CF9" w:rsidRPr="00F94B7E" w:rsidRDefault="750671CE" w:rsidP="00F94B7E">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Scholarly reaction to </w:t>
      </w:r>
      <w:r w:rsidRPr="00F94B7E">
        <w:rPr>
          <w:rFonts w:ascii="Times New Roman" w:eastAsia="Times New Roman" w:hAnsi="Times New Roman" w:cs="Times New Roman"/>
        </w:rPr>
        <w:t>Strauss</w:t>
      </w:r>
      <w:r w:rsidRPr="00F94B7E">
        <w:rPr>
          <w:rFonts w:ascii="Times New Roman" w:eastAsia="Times New Roman" w:hAnsi="Times New Roman" w:cs="Times New Roman"/>
          <w:i/>
          <w:iCs/>
        </w:rPr>
        <w:t>.</w:t>
      </w:r>
      <w:r w:rsidRPr="00F94B7E">
        <w:rPr>
          <w:rFonts w:ascii="Times New Roman" w:eastAsia="Times New Roman" w:hAnsi="Times New Roman" w:cs="Times New Roman"/>
        </w:rPr>
        <w:t xml:space="preserve">  Certain scholars have criticized 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reasoning. For example, Professors Goldberg and Zipursky have stated that the plaintiff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case for a duty was particularly strong in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because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very point in providing electricity to building owners is to provide for the needs and safety of their tenants.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John C.P. Goldberg &amp; Benjamin C. Zipursky, </w:t>
      </w:r>
      <w:r w:rsidRPr="00F94B7E">
        <w:rPr>
          <w:rFonts w:ascii="Times New Roman" w:eastAsia="Times New Roman" w:hAnsi="Times New Roman" w:cs="Times New Roman"/>
          <w:i/>
          <w:iCs/>
        </w:rPr>
        <w:t>The Restatement (Third) and the Place of Duty in Negligence Law</w:t>
      </w:r>
      <w:r w:rsidRPr="00F94B7E">
        <w:rPr>
          <w:rFonts w:ascii="Times New Roman" w:eastAsia="Times New Roman" w:hAnsi="Times New Roman" w:cs="Times New Roman"/>
        </w:rPr>
        <w:t xml:space="preserve">, 54 </w:t>
      </w:r>
      <w:r w:rsidRPr="00F94B7E">
        <w:rPr>
          <w:rFonts w:ascii="Times New Roman" w:eastAsia="Times New Roman" w:hAnsi="Times New Roman" w:cs="Times New Roman"/>
          <w:smallCaps/>
        </w:rPr>
        <w:t>Vand. L. Rev</w:t>
      </w:r>
      <w:r w:rsidRPr="00F94B7E">
        <w:rPr>
          <w:rFonts w:ascii="Times New Roman" w:eastAsia="Times New Roman" w:hAnsi="Times New Roman" w:cs="Times New Roman"/>
        </w:rPr>
        <w:t xml:space="preserve">. 657, 719 (2001). The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court, however, was concerned about the monetary burden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imposed on New York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major electrical supplier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if the defendant-utility company was negligent.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Thus, the court disguised a policy rationale by issuing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no duty decision.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Id.</w:t>
      </w:r>
      <w:r w:rsidRPr="00F94B7E">
        <w:rPr>
          <w:rFonts w:ascii="Times New Roman" w:eastAsia="Times New Roman" w:hAnsi="Times New Roman" w:cs="Times New Roman"/>
        </w:rPr>
        <w:t xml:space="preserve"> Other scholars have stated that New York courts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act like a legislature when deciding duty in [cases like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Anthony J. Sebok,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Law Got to Do with It? Designing Compensation Schemes in the Shadow of the Tort System</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L. Rev.</w:t>
      </w:r>
      <w:r w:rsidRPr="00F94B7E">
        <w:rPr>
          <w:rFonts w:ascii="Times New Roman" w:eastAsia="Times New Roman" w:hAnsi="Times New Roman" w:cs="Times New Roman"/>
        </w:rPr>
        <w:t xml:space="preserve"> 501, 516 (2001).  Does a court have a non-legislative option in such cases?  </w:t>
      </w:r>
    </w:p>
    <w:p w14:paraId="74B25E99" w14:textId="77777777"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79E402D9" w14:textId="7739CE2A"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Professor Daniel Farber has praised the </w:t>
      </w:r>
      <w:r w:rsidRPr="00B06D0A">
        <w:rPr>
          <w:rFonts w:ascii="Times New Roman" w:eastAsia="Times New Roman" w:hAnsi="Times New Roman" w:cs="Times New Roman"/>
          <w:i/>
          <w:iCs/>
        </w:rPr>
        <w:t xml:space="preserve">Strauss </w:t>
      </w:r>
      <w:r w:rsidRPr="00B06D0A">
        <w:rPr>
          <w:rFonts w:ascii="Times New Roman" w:eastAsia="Times New Roman" w:hAnsi="Times New Roman" w:cs="Times New Roman"/>
        </w:rPr>
        <w:t xml:space="preserve">court: </w:t>
      </w:r>
      <w:r w:rsidR="00B05F31" w:rsidRPr="00B06D0A">
        <w:rPr>
          <w:rFonts w:ascii="Times New Roman" w:eastAsia="Times New Roman" w:hAnsi="Times New Roman" w:cs="Times New Roman"/>
        </w:rPr>
        <w:t>“</w:t>
      </w:r>
      <w:r w:rsidRPr="00B06D0A">
        <w:rPr>
          <w:rFonts w:ascii="Times New Roman" w:eastAsia="Times New Roman" w:hAnsi="Times New Roman" w:cs="Times New Roman"/>
          <w:i/>
          <w:iCs/>
        </w:rPr>
        <w:t>Strauss</w:t>
      </w:r>
      <w:r w:rsidRPr="00B06D0A">
        <w:rPr>
          <w:rFonts w:ascii="Times New Roman" w:eastAsia="Times New Roman" w:hAnsi="Times New Roman" w:cs="Times New Roman"/>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Daniel A. Farber, </w:t>
      </w:r>
      <w:r w:rsidRPr="00B06D0A">
        <w:rPr>
          <w:rFonts w:ascii="Times New Roman" w:eastAsia="Times New Roman" w:hAnsi="Times New Roman" w:cs="Times New Roman"/>
          <w:i/>
          <w:iCs/>
        </w:rPr>
        <w:t>Tort Law in the Era of Climate Change, Katrina, and 9/11: Exploring Liability for Extraordinary Risks</w:t>
      </w:r>
      <w:r w:rsidRPr="00B06D0A">
        <w:rPr>
          <w:rFonts w:ascii="Times New Roman" w:eastAsia="Times New Roman" w:hAnsi="Times New Roman" w:cs="Times New Roman"/>
        </w:rPr>
        <w:t xml:space="preserve">, 43 </w:t>
      </w:r>
      <w:r w:rsidRPr="00B06D0A">
        <w:rPr>
          <w:rFonts w:ascii="Times New Roman" w:eastAsia="Times New Roman" w:hAnsi="Times New Roman" w:cs="Times New Roman"/>
          <w:smallCaps/>
        </w:rPr>
        <w:t>Val. U. L. Rev</w:t>
      </w:r>
      <w:r w:rsidRPr="00B06D0A">
        <w:rPr>
          <w:rFonts w:ascii="Times New Roman" w:eastAsia="Times New Roman" w:hAnsi="Times New Roman" w:cs="Times New Roman"/>
        </w:rPr>
        <w:t>. 1075, 1128 (2009).</w:t>
      </w:r>
    </w:p>
    <w:p w14:paraId="3B4E34FF" w14:textId="77777777" w:rsidR="00FA3CF9" w:rsidRPr="00B06D0A" w:rsidRDefault="00FA3CF9">
      <w:pPr>
        <w:widowControl w:val="0"/>
        <w:autoSpaceDE w:val="0"/>
        <w:autoSpaceDN w:val="0"/>
        <w:adjustRightInd w:val="0"/>
        <w:rPr>
          <w:rFonts w:ascii="Times New Roman" w:hAnsi="Times New Roman" w:cs="Times New Roman"/>
        </w:rPr>
      </w:pPr>
    </w:p>
    <w:p w14:paraId="4253DF59" w14:textId="77777777" w:rsidR="00FA3CF9" w:rsidRPr="00B06D0A" w:rsidRDefault="00FA3CF9">
      <w:pPr>
        <w:widowControl w:val="0"/>
        <w:autoSpaceDE w:val="0"/>
        <w:autoSpaceDN w:val="0"/>
        <w:adjustRightInd w:val="0"/>
        <w:rPr>
          <w:rFonts w:ascii="Times New Roman" w:hAnsi="Times New Roman" w:cs="Times New Roman"/>
        </w:rPr>
      </w:pPr>
    </w:p>
    <w:p w14:paraId="26AC2277" w14:textId="1B1F8C29" w:rsidR="00FA3CF9" w:rsidRPr="00F94B7E" w:rsidRDefault="750671CE" w:rsidP="00F94B7E">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Policy arguments?</w:t>
      </w:r>
      <w:r w:rsidR="00651C02"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What other policy arguments would support the </w:t>
      </w:r>
      <w:r w:rsidRPr="00F94B7E">
        <w:rPr>
          <w:rFonts w:ascii="Times New Roman" w:eastAsia="Times New Roman" w:hAnsi="Times New Roman" w:cs="Times New Roman"/>
          <w:i/>
          <w:iCs/>
        </w:rPr>
        <w:t xml:space="preserve">Strauss </w:t>
      </w:r>
      <w:r w:rsidRPr="00F94B7E">
        <w:rPr>
          <w:rFonts w:ascii="Times New Roman" w:eastAsia="Times New Roman" w:hAnsi="Times New Roman" w:cs="Times New Roman"/>
        </w:rPr>
        <w:t xml:space="preserve">and </w:t>
      </w:r>
      <w:r w:rsidRPr="00F94B7E">
        <w:rPr>
          <w:rFonts w:ascii="Times New Roman" w:eastAsia="Times New Roman" w:hAnsi="Times New Roman" w:cs="Times New Roman"/>
          <w:i/>
          <w:iCs/>
        </w:rPr>
        <w:t>Moch</w:t>
      </w:r>
      <w:r w:rsidRPr="00F94B7E">
        <w:rPr>
          <w:rFonts w:ascii="Times New Roman" w:eastAsia="Times New Roman" w:hAnsi="Times New Roman" w:cs="Times New Roman"/>
        </w:rPr>
        <w:t xml:space="preserve"> courts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holdings?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One court has considered consumer welfare as a reason to immunize utility companies from liability. </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According to the court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analysis, liability would increase utility companies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costs, which would be passed on to consumers in the form of higher utility rates.</w:t>
      </w:r>
      <w:r w:rsidR="00651C02" w:rsidRPr="00F94B7E">
        <w:rPr>
          <w:rFonts w:ascii="Times New Roman" w:eastAsia="Times New Roman" w:hAnsi="Times New Roman" w:cs="Times New Roman"/>
        </w:rPr>
        <w:t xml:space="preserve"> </w:t>
      </w:r>
      <w:r w:rsidRPr="00F94B7E">
        <w:rPr>
          <w:rFonts w:ascii="Times New Roman" w:eastAsia="Times New Roman" w:hAnsi="Times New Roman" w:cs="Times New Roman"/>
        </w:rPr>
        <w:t xml:space="preserve"> In contrast to insurance premiums, which vary according to the risk of loss, higher rates would be uniform for all consumers.  The class of insurance company customers would form an ersatz insurance pool</w:t>
      </w:r>
      <w:r w:rsidR="00651C02" w:rsidRPr="00F94B7E">
        <w:rPr>
          <w:rFonts w:ascii="Times New Roman" w:eastAsia="Times New Roman" w:hAnsi="Times New Roman" w:cs="Times New Roman"/>
        </w:rPr>
        <w:t>—</w:t>
      </w:r>
      <w:r w:rsidRPr="00F94B7E">
        <w:rPr>
          <w:rFonts w:ascii="Times New Roman" w:eastAsia="Times New Roman" w:hAnsi="Times New Roman" w:cs="Times New Roman"/>
        </w:rPr>
        <w:t xml:space="preserve">but one in which the low-risk consumers would subsidize high-risk consumers.  </w:t>
      </w:r>
      <w:r w:rsidRPr="00F94B7E">
        <w:rPr>
          <w:rFonts w:ascii="Times New Roman" w:eastAsia="Times New Roman" w:hAnsi="Times New Roman" w:cs="Times New Roman"/>
          <w:i/>
          <w:iCs/>
        </w:rPr>
        <w:t>See Reimann v. Monmouth Consol. Water Co.</w:t>
      </w:r>
      <w:r w:rsidRPr="00F94B7E">
        <w:rPr>
          <w:rFonts w:ascii="Times New Roman" w:eastAsia="Times New Roman" w:hAnsi="Times New Roman" w:cs="Times New Roman"/>
        </w:rPr>
        <w:t xml:space="preserve">, 87 A.2d 325, 327 (N.J. 1952), </w:t>
      </w:r>
      <w:r w:rsidRPr="00F94B7E">
        <w:rPr>
          <w:rFonts w:ascii="Times New Roman" w:eastAsia="Times New Roman" w:hAnsi="Times New Roman" w:cs="Times New Roman"/>
          <w:i/>
          <w:iCs/>
        </w:rPr>
        <w:t>overruled</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by</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Weinberg v. Dinger</w:t>
      </w:r>
      <w:r w:rsidRPr="00F94B7E">
        <w:rPr>
          <w:rFonts w:ascii="Times New Roman" w:eastAsia="Times New Roman" w:hAnsi="Times New Roman" w:cs="Times New Roman"/>
        </w:rPr>
        <w:t>, 524 A.2d 366, 378 (N.J. 1987).  Why won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the costs be borne, as the dissenter in </w:t>
      </w:r>
      <w:r w:rsidRPr="00F94B7E">
        <w:rPr>
          <w:rFonts w:ascii="Times New Roman" w:eastAsia="Times New Roman" w:hAnsi="Times New Roman" w:cs="Times New Roman"/>
          <w:i/>
          <w:iCs/>
        </w:rPr>
        <w:t>Strauss</w:t>
      </w:r>
      <w:r w:rsidRPr="00F94B7E">
        <w:rPr>
          <w:rFonts w:ascii="Times New Roman" w:eastAsia="Times New Roman" w:hAnsi="Times New Roman" w:cs="Times New Roman"/>
        </w:rPr>
        <w:t xml:space="preserve"> objected, by the utility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shareholders in the form of lower returns to capital or by the company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F94B7E">
        <w:rPr>
          <w:rFonts w:ascii="Times New Roman" w:eastAsia="Times New Roman" w:hAnsi="Times New Roman" w:cs="Times New Roman"/>
          <w:i/>
        </w:rPr>
        <w:t>See, e.g.</w:t>
      </w:r>
      <w:r w:rsidRPr="00F94B7E">
        <w:rPr>
          <w:rFonts w:ascii="Times New Roman" w:eastAsia="Times New Roman" w:hAnsi="Times New Roman" w:cs="Times New Roman"/>
        </w:rPr>
        <w:t xml:space="preserve">, Price Fishback &amp; Shawn Kantor, </w:t>
      </w:r>
      <w:r w:rsidRPr="00F94B7E">
        <w:rPr>
          <w:rFonts w:ascii="Times New Roman" w:eastAsia="Times New Roman" w:hAnsi="Times New Roman" w:cs="Times New Roman"/>
          <w:i/>
          <w:iCs/>
        </w:rPr>
        <w:t>Prelude to the Welfare State: The Origins of Workers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 Compensation</w:t>
      </w:r>
      <w:r w:rsidRPr="00F94B7E">
        <w:rPr>
          <w:rFonts w:ascii="Times New Roman" w:eastAsia="Times New Roman" w:hAnsi="Times New Roman" w:cs="Times New Roman"/>
        </w:rPr>
        <w:t xml:space="preserve"> (2000) (employing sophisticated econometric techniques to conclude that the enactment of workers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compensation statutes created costs that were born</w:t>
      </w:r>
      <w:r w:rsidR="00651C02" w:rsidRPr="00F94B7E">
        <w:rPr>
          <w:rFonts w:ascii="Times New Roman" w:eastAsia="Times New Roman" w:hAnsi="Times New Roman" w:cs="Times New Roman"/>
        </w:rPr>
        <w:t>e</w:t>
      </w:r>
      <w:r w:rsidRPr="00F94B7E">
        <w:rPr>
          <w:rFonts w:ascii="Times New Roman" w:eastAsia="Times New Roman" w:hAnsi="Times New Roman" w:cs="Times New Roman"/>
        </w:rPr>
        <w:t xml:space="preserve"> in part by employers and in part by employees in the form of lower wages).    </w:t>
      </w:r>
    </w:p>
    <w:p w14:paraId="34B2ED7F" w14:textId="6C41F651" w:rsidR="00AB034A" w:rsidRDefault="00AB034A">
      <w:pPr>
        <w:rPr>
          <w:rFonts w:ascii="Times New Roman" w:eastAsia="Times New Roman" w:hAnsi="Times New Roman" w:cs="Times New Roman"/>
        </w:rPr>
      </w:pPr>
      <w:r>
        <w:rPr>
          <w:rFonts w:ascii="Times New Roman" w:eastAsia="Times New Roman" w:hAnsi="Times New Roman" w:cs="Times New Roman"/>
        </w:rPr>
        <w:br w:type="page"/>
      </w:r>
    </w:p>
    <w:p w14:paraId="4F4DF8CD" w14:textId="52F1A0C8" w:rsidR="00FA3CF9" w:rsidRPr="00F94B7E" w:rsidRDefault="750671CE" w:rsidP="00F94B7E">
      <w:pPr>
        <w:pStyle w:val="ListParagraph"/>
        <w:widowControl w:val="0"/>
        <w:numPr>
          <w:ilvl w:val="0"/>
          <w:numId w:val="117"/>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Subrogation claims</w:t>
      </w:r>
      <w:r w:rsidRPr="00F94B7E">
        <w:rPr>
          <w:rFonts w:ascii="Times New Roman" w:eastAsia="Times New Roman" w:hAnsi="Times New Roman" w:cs="Times New Roman"/>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or renters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insurance to cover future risks but would also pay higher water rates to utility companies. </w:t>
      </w:r>
      <w:r w:rsidRPr="00F94B7E">
        <w:rPr>
          <w:rFonts w:ascii="Times New Roman" w:eastAsia="Times New Roman" w:hAnsi="Times New Roman" w:cs="Times New Roman"/>
          <w:i/>
          <w:iCs/>
        </w:rPr>
        <w:t>Franklin Mut. Ins. Co. v. Jersey Cent. Power &amp; Light Co.</w:t>
      </w:r>
      <w:r w:rsidRPr="00F94B7E">
        <w:rPr>
          <w:rFonts w:ascii="Times New Roman" w:eastAsia="Times New Roman" w:hAnsi="Times New Roman" w:cs="Times New Roman"/>
        </w:rPr>
        <w:t xml:space="preserve">, 902 A.2d 885, 887 (N.J. 2006); </w:t>
      </w:r>
      <w:r w:rsidRPr="00F94B7E">
        <w:rPr>
          <w:rFonts w:ascii="Times New Roman" w:eastAsia="Times New Roman" w:hAnsi="Times New Roman" w:cs="Times New Roman"/>
          <w:i/>
          <w:iCs/>
        </w:rPr>
        <w:t>William Bufford &amp; Co. v. Glasgow Water Co.</w:t>
      </w:r>
      <w:r w:rsidRPr="00F94B7E">
        <w:rPr>
          <w:rFonts w:ascii="Times New Roman" w:eastAsia="Times New Roman" w:hAnsi="Times New Roman" w:cs="Times New Roman"/>
        </w:rPr>
        <w:t xml:space="preserve">, 2 S.W.2d 1027, 1029 (Ky. 1928).  An insurer may, however, bring subrogation claims against utility companies that negligently cause property damage as opposed to service disruptions. </w:t>
      </w:r>
      <w:r w:rsidRPr="00F94B7E">
        <w:rPr>
          <w:rFonts w:ascii="Times New Roman" w:eastAsia="Times New Roman" w:hAnsi="Times New Roman" w:cs="Times New Roman"/>
          <w:i/>
          <w:iCs/>
        </w:rPr>
        <w:t>See E &amp; M Liquors, Inc. v. Public. Serv. Elec. &amp; Gas Co.</w:t>
      </w:r>
      <w:r w:rsidRPr="00F94B7E">
        <w:rPr>
          <w:rFonts w:ascii="Times New Roman" w:eastAsia="Times New Roman" w:hAnsi="Times New Roman" w:cs="Times New Roman"/>
        </w:rPr>
        <w:t>, 909 A.2d 1141, 1143 (N.J. App. Div. 2006).</w:t>
      </w:r>
    </w:p>
    <w:p w14:paraId="7D4EBE3D" w14:textId="77777777" w:rsidR="00FA3CF9" w:rsidRPr="00B06D0A" w:rsidRDefault="750671CE" w:rsidP="00F94B7E">
      <w:pPr>
        <w:widowControl w:val="0"/>
        <w:overflowPunct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w:t>
      </w:r>
    </w:p>
    <w:p w14:paraId="50E52E55" w14:textId="0ECC3ED3" w:rsidR="00FA3CF9" w:rsidRPr="00F94B7E" w:rsidRDefault="750671CE" w:rsidP="00F94B7E">
      <w:pPr>
        <w:pStyle w:val="ListParagraph"/>
        <w:widowControl w:val="0"/>
        <w:numPr>
          <w:ilvl w:val="0"/>
          <w:numId w:val="117"/>
        </w:numPr>
        <w:overflowPunct w:val="0"/>
        <w:autoSpaceDE w:val="0"/>
        <w:autoSpaceDN w:val="0"/>
        <w:adjustRightInd w:val="0"/>
        <w:spacing w:line="264" w:lineRule="auto"/>
        <w:ind w:left="0" w:firstLine="360"/>
        <w:rPr>
          <w:rFonts w:ascii="Times New Roman" w:eastAsia="Times New Roman" w:hAnsi="Times New Roman" w:cs="Times New Roman"/>
        </w:rPr>
      </w:pPr>
      <w:r w:rsidRPr="00F94B7E">
        <w:rPr>
          <w:rFonts w:ascii="Times New Roman" w:eastAsia="Times New Roman" w:hAnsi="Times New Roman" w:cs="Times New Roman"/>
        </w:rPr>
        <w:t>What about one party</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obligations to exercise reasonable care in controlling another?  The next materials take up this problem. </w:t>
      </w:r>
    </w:p>
    <w:p w14:paraId="032F5C9B" w14:textId="77777777" w:rsidR="00FA3CF9" w:rsidRPr="00B06D0A" w:rsidRDefault="00FA3CF9" w:rsidP="00F94B7E">
      <w:pPr>
        <w:widowControl w:val="0"/>
        <w:overflowPunct w:val="0"/>
        <w:autoSpaceDE w:val="0"/>
        <w:autoSpaceDN w:val="0"/>
        <w:adjustRightInd w:val="0"/>
        <w:rPr>
          <w:rFonts w:ascii="Times New Roman" w:hAnsi="Times New Roman" w:cs="Times New Roman"/>
        </w:rPr>
      </w:pPr>
    </w:p>
    <w:p w14:paraId="70E3FD2E" w14:textId="77777777" w:rsidR="00FA3CF9" w:rsidRPr="00F94B7E" w:rsidRDefault="00FA3CF9">
      <w:pPr>
        <w:rPr>
          <w:rFonts w:ascii="Times New Roman" w:hAnsi="Times New Roman" w:cs="Times New Roman"/>
        </w:rPr>
      </w:pPr>
    </w:p>
    <w:p w14:paraId="1CAD801A" w14:textId="4287D4D4" w:rsidR="00FA3CF9" w:rsidRPr="00F94B7E" w:rsidRDefault="00FA3CF9">
      <w:pPr>
        <w:rPr>
          <w:rFonts w:ascii="Times New Roman" w:hAnsi="Times New Roman" w:cs="Times New Roman"/>
          <w:b/>
          <w:bCs/>
        </w:rPr>
      </w:pPr>
      <w:bookmarkStart w:id="796" w:name="_Toc518323474"/>
      <w:bookmarkStart w:id="797" w:name="_Toc265592545"/>
      <w:r w:rsidRPr="00F349EC">
        <w:rPr>
          <w:rStyle w:val="Heading4Char"/>
          <w:szCs w:val="24"/>
        </w:rPr>
        <w:t xml:space="preserve">Kline v. 1500 Massachusetts </w:t>
      </w:r>
      <w:r w:rsidR="0050551D">
        <w:rPr>
          <w:rStyle w:val="Heading4Char"/>
          <w:szCs w:val="24"/>
        </w:rPr>
        <w:t>Ave.</w:t>
      </w:r>
      <w:r w:rsidR="0050551D" w:rsidRPr="00F349EC">
        <w:rPr>
          <w:rStyle w:val="Heading4Char"/>
          <w:szCs w:val="24"/>
        </w:rPr>
        <w:t xml:space="preserve"> </w:t>
      </w:r>
      <w:r w:rsidRPr="00F349EC">
        <w:rPr>
          <w:rStyle w:val="Heading4Char"/>
          <w:szCs w:val="24"/>
        </w:rPr>
        <w:t xml:space="preserve">Apartment </w:t>
      </w:r>
      <w:r w:rsidR="00651C02">
        <w:rPr>
          <w:rStyle w:val="Heading4Char"/>
          <w:szCs w:val="24"/>
        </w:rPr>
        <w:t>Corp</w:t>
      </w:r>
      <w:r w:rsidR="0050551D">
        <w:rPr>
          <w:rStyle w:val="Heading4Char"/>
          <w:szCs w:val="24"/>
        </w:rPr>
        <w:t>.</w:t>
      </w:r>
      <w:bookmarkEnd w:id="796"/>
      <w:r w:rsidRPr="00F349EC">
        <w:rPr>
          <w:rFonts w:ascii="Times New Roman" w:eastAsia="Times New Roman" w:hAnsi="Times New Roman" w:cs="Times New Roman"/>
          <w:b/>
          <w:bCs/>
        </w:rPr>
        <w:t>.</w:t>
      </w:r>
      <w:bookmarkEnd w:id="797"/>
      <w:r w:rsidR="00733C82" w:rsidRPr="00F349EC">
        <w:rPr>
          <w:rFonts w:ascii="Times New Roman" w:eastAsia="Times New Roman" w:hAnsi="Times New Roman" w:cs="Times New Roman"/>
          <w:b/>
          <w:bCs/>
        </w:rPr>
        <w:t xml:space="preserve">, </w:t>
      </w:r>
      <w:r w:rsidRPr="00ED7BEB">
        <w:rPr>
          <w:rFonts w:ascii="Times New Roman" w:eastAsia="Times New Roman" w:hAnsi="Times New Roman" w:cs="Times New Roman"/>
          <w:b/>
          <w:bCs/>
        </w:rPr>
        <w:t>439 F.2d 477 (D.C. Cir. 1970)</w:t>
      </w:r>
    </w:p>
    <w:p w14:paraId="5F883AD6" w14:textId="5F4AC168" w:rsidR="00733C82" w:rsidRPr="00F349EC" w:rsidRDefault="750671CE" w:rsidP="00F94B7E">
      <w:pPr>
        <w:pStyle w:val="NormalWeb"/>
        <w:shd w:val="clear" w:color="auto" w:fill="FFFFFF" w:themeFill="background1"/>
        <w:spacing w:before="240" w:beforeAutospacing="0" w:after="0" w:afterAutospacing="0"/>
        <w:textAlignment w:val="baseline"/>
        <w:rPr>
          <w:rFonts w:ascii="Times New Roman" w:eastAsia="Times New Roman" w:hAnsi="Times New Roman"/>
          <w:sz w:val="24"/>
          <w:szCs w:val="24"/>
        </w:rPr>
      </w:pPr>
      <w:r w:rsidRPr="00F349EC">
        <w:rPr>
          <w:rFonts w:ascii="Times New Roman" w:eastAsia="Times New Roman" w:hAnsi="Times New Roman"/>
          <w:smallCaps/>
          <w:sz w:val="24"/>
          <w:szCs w:val="24"/>
        </w:rPr>
        <w:t>Wilkey, J.</w:t>
      </w:r>
      <w:r w:rsidRPr="00F349EC">
        <w:rPr>
          <w:rFonts w:ascii="Times New Roman" w:eastAsia="Times New Roman" w:hAnsi="Times New Roman"/>
          <w:sz w:val="24"/>
          <w:szCs w:val="24"/>
        </w:rPr>
        <w:t xml:space="preserve"> </w:t>
      </w:r>
    </w:p>
    <w:p w14:paraId="47181506" w14:textId="663FD7C2"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 xml:space="preserve">The appellee apartment corporation states that there is </w:t>
      </w:r>
      <w:r w:rsidR="00B05F31" w:rsidRPr="00B06D0A">
        <w:rPr>
          <w:rFonts w:ascii="Times New Roman" w:eastAsia="Times New Roman" w:hAnsi="Times New Roman"/>
          <w:color w:val="333333"/>
          <w:sz w:val="24"/>
          <w:szCs w:val="24"/>
        </w:rPr>
        <w:t>“</w:t>
      </w:r>
      <w:r w:rsidRPr="00B06D0A">
        <w:rPr>
          <w:rFonts w:ascii="Times New Roman" w:eastAsia="Times New Roman" w:hAnsi="Times New Roman"/>
          <w:color w:val="333333"/>
          <w:sz w:val="24"/>
          <w:szCs w:val="24"/>
        </w:rPr>
        <w:t>only one issue presented for revie</w:t>
      </w:r>
      <w:r w:rsidRPr="000A71D1">
        <w:rPr>
          <w:rFonts w:ascii="Times New Roman" w:eastAsia="Times New Roman" w:hAnsi="Times New Roman"/>
          <w:color w:val="333333"/>
          <w:sz w:val="24"/>
          <w:szCs w:val="24"/>
        </w:rPr>
        <w:t>w</w:t>
      </w:r>
      <w:r w:rsidR="00651C02" w:rsidRPr="000A71D1">
        <w:rPr>
          <w:rFonts w:ascii="Times New Roman" w:eastAsia="Times New Roman" w:hAnsi="Times New Roman"/>
          <w:color w:val="333333"/>
          <w:sz w:val="24"/>
          <w:szCs w:val="24"/>
        </w:rPr>
        <w:t xml:space="preserve"> . . . </w:t>
      </w:r>
      <w:r w:rsidRPr="00B06D0A">
        <w:rPr>
          <w:rFonts w:ascii="Times New Roman" w:eastAsia="Times New Roman" w:hAnsi="Times New Roman"/>
          <w:color w:val="333333"/>
          <w:sz w:val="24"/>
          <w:szCs w:val="24"/>
        </w:rPr>
        <w:t>whether a duty should be placed on a landlord to take steps to protect tenants from foreseeable criminal acts committed by third parties</w:t>
      </w:r>
      <w:r w:rsidR="00B05F31" w:rsidRPr="00B06D0A">
        <w:rPr>
          <w:rFonts w:ascii="Times New Roman" w:eastAsia="Times New Roman" w:hAnsi="Times New Roman"/>
          <w:color w:val="333333"/>
          <w:sz w:val="24"/>
          <w:szCs w:val="24"/>
        </w:rPr>
        <w:t>”</w:t>
      </w:r>
      <w:r w:rsidRPr="00B06D0A">
        <w:rPr>
          <w:rFonts w:ascii="Times New Roman" w:eastAsia="Times New Roman" w:hAnsi="Times New Roman"/>
          <w:color w:val="333333"/>
          <w:sz w:val="24"/>
          <w:szCs w:val="24"/>
        </w:rPr>
        <w:t>. The District Court as a matter of law held that there is no such duty. We find that there is, and that in the circumstances here the applicable standard of care was breached. . . .</w:t>
      </w:r>
    </w:p>
    <w:p w14:paraId="01EB6E23" w14:textId="77777777" w:rsidR="00FA3CF9" w:rsidRPr="00B06D0A" w:rsidRDefault="00FA3CF9" w:rsidP="00F94B7E">
      <w:pPr>
        <w:pStyle w:val="NormalWeb"/>
        <w:shd w:val="clear" w:color="auto" w:fill="FFFFFF"/>
        <w:spacing w:before="240" w:beforeAutospacing="0" w:after="0" w:afterAutospacing="0"/>
        <w:textAlignment w:val="baseline"/>
        <w:rPr>
          <w:rFonts w:ascii="Times New Roman" w:hAnsi="Times New Roman"/>
          <w:color w:val="333333"/>
          <w:sz w:val="24"/>
          <w:szCs w:val="24"/>
        </w:rPr>
      </w:pPr>
    </w:p>
    <w:p w14:paraId="3FECD7DB" w14:textId="77777777"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color w:val="333333"/>
          <w:sz w:val="24"/>
          <w:szCs w:val="24"/>
        </w:rPr>
      </w:pPr>
      <w:r w:rsidRPr="00B06D0A">
        <w:rPr>
          <w:rFonts w:ascii="Times New Roman" w:eastAsia="Times New Roman" w:hAnsi="Times New Roman"/>
          <w:color w:val="333333"/>
          <w:sz w:val="24"/>
          <w:szCs w:val="24"/>
        </w:rPr>
        <w:t>I</w:t>
      </w:r>
    </w:p>
    <w:p w14:paraId="7C21CDAA"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color w:val="333333"/>
          <w:sz w:val="24"/>
          <w:szCs w:val="24"/>
        </w:rPr>
      </w:pPr>
    </w:p>
    <w:p w14:paraId="37DBF330" w14:textId="77777777"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is a large apartment building with approximately 585 individual apartment units. It has a main entrance</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on Massachusetts Avenue, with side entrances on both 15th and 16th Streets. At the time the appellant first signed a lease a doorman was on duty at the main entrance twenty-four hours a day, and at least one employee at all times manned a desk </w:t>
      </w:r>
      <w:r w:rsidRPr="00B06D0A">
        <w:rPr>
          <w:rFonts w:ascii="Times New Roman" w:eastAsia="Times New Roman" w:hAnsi="Times New Roman"/>
          <w:sz w:val="24"/>
          <w:szCs w:val="24"/>
        </w:rPr>
        <w:t>in the lobby from which all persons using the elevators could be observed.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The 15th Street door adjoined the entrance to a parking garage used by both the tenants and the public. Two garage attendants were stationed at this dual entranceway; the duties of </w:t>
      </w:r>
      <w:r w:rsidRPr="00B06D0A">
        <w:rPr>
          <w:rFonts w:ascii="Times New Roman" w:eastAsia="Times New Roman" w:hAnsi="Times New Roman"/>
          <w:sz w:val="24"/>
          <w:szCs w:val="24"/>
        </w:rPr>
        <w:t>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7248EB6F" w14:textId="77777777"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ＭＳ ゴシック" w:hAnsi="Times New Roman"/>
          <w:b/>
          <w:bCs/>
          <w:sz w:val="24"/>
          <w:szCs w:val="24"/>
        </w:rPr>
      </w:pPr>
      <w:r w:rsidRPr="00B06D0A">
        <w:rPr>
          <w:rFonts w:ascii="Times New Roman" w:eastAsia="Times New Roman" w:hAnsi="Times New Roman"/>
          <w:sz w:val="24"/>
          <w:szCs w:val="24"/>
        </w:rPr>
        <w:t>By mid-1966, however, the main entrance had no doorman, the desk in</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 lobby was left unattended much of the time, the 15th Street entrance was generally unguarded due to a decrease in garage personnel, and the 16th Street entrance was often left unlocked all night. The entrances were allo</w:t>
      </w:r>
      <w:r w:rsidRPr="00B06D0A">
        <w:rPr>
          <w:rFonts w:ascii="Times New Roman" w:eastAsia="Times New Roman" w:hAnsi="Times New Roman"/>
          <w:sz w:val="24"/>
          <w:szCs w:val="24"/>
        </w:rPr>
        <w:t>wed to be thus unguarded in the face of an increasing number of assaults, larcenies, and robberies being perpetrated against the tenants in and from the common hallways of the apartment building. These facts were undisputed,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F94B7E">
        <w:rPr>
          <w:rStyle w:val="apple-converted-space"/>
          <w:rFonts w:ascii="Times New Roman" w:eastAsia="Times New Roman,Cambria" w:hAnsi="Times New Roman"/>
          <w:sz w:val="24"/>
          <w:szCs w:val="24"/>
        </w:rPr>
        <w:t> </w:t>
      </w:r>
    </w:p>
    <w:p w14:paraId="727CEECB"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1A13E227" w14:textId="3A451374" w:rsidR="00FA3CF9" w:rsidRPr="00B06D0A" w:rsidRDefault="00FA3CF9" w:rsidP="00F94B7E">
      <w:pPr>
        <w:pStyle w:val="NormalWeb"/>
        <w:shd w:val="clear" w:color="auto" w:fill="FFFFFF" w:themeFill="background1"/>
        <w:spacing w:before="0" w:beforeAutospacing="0" w:after="0" w:afterAutospacing="0"/>
        <w:textAlignment w:val="baseline"/>
        <w:rPr>
          <w:rFonts w:ascii="Times New Roman" w:hAnsi="Times New Roman"/>
          <w:sz w:val="24"/>
          <w:szCs w:val="24"/>
        </w:rPr>
      </w:pPr>
      <w:r w:rsidRPr="00B06D0A">
        <w:rPr>
          <w:rStyle w:val="sspagshow"/>
          <w:rFonts w:ascii="Times New Roman" w:eastAsia="Times New Roman" w:hAnsi="Times New Roman"/>
          <w:b/>
          <w:bCs/>
          <w:sz w:val="24"/>
          <w:szCs w:val="24"/>
          <w:bdr w:val="none" w:sz="0" w:space="0" w:color="auto" w:frame="1"/>
        </w:rPr>
        <w:t> </w:t>
      </w:r>
      <w:r w:rsidRPr="00B06D0A">
        <w:rPr>
          <w:rStyle w:val="sspagshow"/>
          <w:rFonts w:ascii="Times New Roman" w:hAnsi="Times New Roman"/>
          <w:b/>
          <w:bCs/>
          <w:sz w:val="24"/>
          <w:szCs w:val="24"/>
          <w:bdr w:val="none" w:sz="0" w:space="0" w:color="auto" w:frame="1"/>
        </w:rPr>
        <w:tab/>
      </w:r>
      <w:r w:rsidRPr="00B06D0A">
        <w:rPr>
          <w:rFonts w:ascii="Times New Roman" w:eastAsia="Times New Roman" w:hAnsi="Times New Roman"/>
          <w:sz w:val="24"/>
          <w:szCs w:val="24"/>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78E046C1" w14:textId="77777777"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II</w:t>
      </w:r>
    </w:p>
    <w:p w14:paraId="4F0753F2"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672C523D" w14:textId="77777777"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At the outset we note that of the crimes of violence, robbery, and assault which had been occurring with mounting frequency on the premises at 1500</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xml:space="preserve">Massachusetts Avenue, the assaults on Miss Kline and </w:t>
      </w:r>
      <w:r w:rsidRPr="00B06D0A">
        <w:rPr>
          <w:rFonts w:ascii="Times New Roman" w:eastAsia="Times New Roman" w:hAnsi="Times New Roman"/>
          <w:sz w:val="24"/>
          <w:szCs w:val="24"/>
        </w:rPr>
        <w:t>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These premises fronted on three heavily traveled streets, and had multiple entrances. The risk to be guarded against therefore was the risk of unauthorized entrance into the apartment house by intruders bent upon some cr</w:t>
      </w:r>
      <w:r w:rsidRPr="00B06D0A">
        <w:rPr>
          <w:rFonts w:ascii="Times New Roman" w:eastAsia="Times New Roman" w:hAnsi="Times New Roman"/>
          <w:sz w:val="24"/>
          <w:szCs w:val="24"/>
        </w:rPr>
        <w:t>ime of violence or theft.</w:t>
      </w:r>
    </w:p>
    <w:p w14:paraId="2A5BDA82"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F349EC"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of appellant on November 17, 1966.</w:t>
      </w:r>
    </w:p>
    <w:p w14:paraId="787CBFDD" w14:textId="77777777" w:rsidR="00FA3CF9" w:rsidRPr="00B06D0A" w:rsidRDefault="00FA3CF9" w:rsidP="00F94B7E">
      <w:pPr>
        <w:pStyle w:val="NormalWeb"/>
        <w:shd w:val="clear" w:color="auto" w:fill="FFFFFF"/>
        <w:tabs>
          <w:tab w:val="left" w:pos="5587"/>
        </w:tabs>
        <w:spacing w:before="0" w:beforeAutospacing="0" w:after="0" w:afterAutospacing="0"/>
        <w:ind w:firstLine="720"/>
        <w:textAlignment w:val="baseline"/>
        <w:rPr>
          <w:rFonts w:ascii="Times New Roman" w:hAnsi="Times New Roman"/>
          <w:sz w:val="24"/>
          <w:szCs w:val="24"/>
        </w:rPr>
      </w:pPr>
      <w:r w:rsidRPr="00B06D0A">
        <w:rPr>
          <w:rFonts w:ascii="Times New Roman" w:hAnsi="Times New Roman"/>
          <w:sz w:val="24"/>
          <w:szCs w:val="24"/>
        </w:rPr>
        <w:tab/>
      </w:r>
    </w:p>
    <w:p w14:paraId="64D985AE" w14:textId="77777777"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III</w:t>
      </w:r>
    </w:p>
    <w:p w14:paraId="07EA62EB"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159BBD9E" w14:textId="514B6908"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Style w:val="ssrfcpassagedeactivated"/>
          <w:rFonts w:ascii="Times New Roman" w:eastAsia="Times New Roman" w:hAnsi="Times New Roman"/>
          <w:sz w:val="24"/>
          <w:szCs w:val="24"/>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w:t>
      </w:r>
      <w:r w:rsidRPr="00B06D0A">
        <w:rPr>
          <w:rStyle w:val="ssrfcpassagedeactivated"/>
          <w:rFonts w:ascii="Times New Roman" w:eastAsia="Times New Roman" w:hAnsi="Times New Roman"/>
          <w:sz w:val="24"/>
          <w:szCs w:val="24"/>
          <w:bdr w:val="none" w:sz="0" w:space="0" w:color="auto" w:frame="1"/>
        </w:rPr>
        <w:t>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allocating the duty of protecting citizens from criminal acts to the government rather than the private sector.</w:t>
      </w:r>
    </w:p>
    <w:p w14:paraId="12C61BDC" w14:textId="3BC04C8D"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safety, but he certainly is no bystander. And where, as here, the landlord has notice of repeated criminal assaults and robberies, has notice that these crimes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occurred in the portion of the premises exclusive</w:t>
      </w:r>
      <w:r w:rsidRPr="00B06D0A">
        <w:rPr>
          <w:rFonts w:ascii="Times New Roman" w:eastAsia="Times New Roman" w:hAnsi="Times New Roman"/>
          <w:sz w:val="24"/>
          <w:szCs w:val="24"/>
        </w:rPr>
        <w:t>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B06D0A" w:rsidRDefault="750671CE" w:rsidP="00F94B7E">
      <w:pPr>
        <w:pStyle w:val="NormalWeb"/>
        <w:shd w:val="clear" w:color="auto" w:fill="FFFFFF" w:themeFill="background1"/>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68BFF381"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26ED9DA4" w14:textId="77777777" w:rsidR="00FA3CF9" w:rsidRPr="00F94B7E" w:rsidRDefault="00FA3CF9" w:rsidP="00F94B7E">
      <w:pPr>
        <w:pStyle w:val="NormalWeb"/>
        <w:shd w:val="clear" w:color="auto" w:fill="FFFFFF" w:themeFill="background1"/>
        <w:spacing w:before="0" w:beforeAutospacing="0" w:after="0" w:afterAutospacing="0"/>
        <w:ind w:firstLine="720"/>
        <w:textAlignment w:val="baseline"/>
        <w:rPr>
          <w:rStyle w:val="apple-converted-space"/>
          <w:rFonts w:ascii="Times New Roman" w:eastAsia="Times New Roman,Cambria" w:hAnsi="Times New Roman"/>
          <w:sz w:val="24"/>
          <w:szCs w:val="24"/>
        </w:rPr>
      </w:pPr>
      <w:r w:rsidRPr="00B06D0A">
        <w:rPr>
          <w:rStyle w:val="ssrfcpassagedeactivated"/>
          <w:rFonts w:ascii="Times New Roman" w:eastAsia="Times New Roman" w:hAnsi="Times New Roman"/>
          <w:sz w:val="24"/>
          <w:szCs w:val="24"/>
          <w:bdr w:val="none" w:sz="0" w:space="0" w:color="auto" w:frame="1"/>
        </w:rPr>
        <w:t>Other relationships in which similar duties have been imposed include landowner-invitee, businessman-patron, employer-employee,</w:t>
      </w:r>
      <w:r w:rsidRPr="00F94B7E">
        <w:rPr>
          <w:rStyle w:val="apple-converted-space"/>
          <w:rFonts w:ascii="Times New Roman" w:eastAsia="Times New Roman,Cambria" w:hAnsi="Times New Roman"/>
          <w:sz w:val="24"/>
          <w:szCs w:val="24"/>
          <w:bdr w:val="none" w:sz="0" w:space="0" w:color="auto" w:frame="1"/>
        </w:rPr>
        <w:t> </w:t>
      </w:r>
      <w:r w:rsidRPr="00F349EC">
        <w:rPr>
          <w:rStyle w:val="ssrfcpassagedeactivated"/>
          <w:rFonts w:ascii="Times New Roman" w:eastAsia="Times New Roman" w:hAnsi="Times New Roman"/>
          <w:sz w:val="24"/>
          <w:szCs w:val="24"/>
          <w:bdr w:val="none" w:sz="0" w:space="0" w:color="auto" w:frame="1"/>
        </w:rPr>
        <w:t xml:space="preserve">school district-pupil, hospital-patient, and carrier-passenger. In all, the theory of </w:t>
      </w:r>
      <w:r w:rsidRPr="00B06D0A">
        <w:rPr>
          <w:rStyle w:val="ssrfcpassagedeactivated"/>
          <w:rFonts w:ascii="Times New Roman" w:eastAsia="Times New Roman" w:hAnsi="Times New Roman"/>
          <w:sz w:val="24"/>
          <w:szCs w:val="24"/>
          <w:bdr w:val="none" w:sz="0" w:space="0" w:color="auto" w:frame="1"/>
        </w:rPr>
        <w:t>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F94B7E">
        <w:rPr>
          <w:rStyle w:val="apple-converted-space"/>
          <w:rFonts w:ascii="Times New Roman" w:eastAsia="Times New Roman,Cambria" w:hAnsi="Times New Roman"/>
          <w:sz w:val="24"/>
          <w:szCs w:val="24"/>
          <w:bdr w:val="none" w:sz="0" w:space="0" w:color="auto" w:frame="1"/>
        </w:rPr>
        <w:t> </w:t>
      </w:r>
    </w:p>
    <w:p w14:paraId="04C56723" w14:textId="77777777" w:rsidR="00FA3CF9" w:rsidRPr="00F349EC" w:rsidRDefault="00FA3CF9" w:rsidP="00F94B7E">
      <w:pPr>
        <w:pStyle w:val="NormalWeb"/>
        <w:shd w:val="clear" w:color="auto" w:fill="FFFFFF"/>
        <w:spacing w:before="0" w:beforeAutospacing="0" w:after="0" w:afterAutospacing="0"/>
        <w:ind w:firstLine="720"/>
        <w:textAlignment w:val="baseline"/>
        <w:rPr>
          <w:rStyle w:val="apple-converted-space"/>
          <w:rFonts w:ascii="Times New Roman" w:eastAsiaTheme="minorHAnsi" w:hAnsi="Times New Roman"/>
          <w:sz w:val="24"/>
          <w:szCs w:val="24"/>
          <w:bdr w:val="none" w:sz="0" w:space="0" w:color="auto" w:frame="1"/>
        </w:rPr>
      </w:pPr>
    </w:p>
    <w:p w14:paraId="241252ED" w14:textId="5B678DD6" w:rsidR="00FA3CF9" w:rsidRPr="00F94B7E" w:rsidRDefault="00FA3CF9" w:rsidP="00F94B7E">
      <w:pPr>
        <w:pStyle w:val="NormalWeb"/>
        <w:shd w:val="clear" w:color="auto" w:fill="FFFFFF" w:themeFill="background1"/>
        <w:spacing w:before="0" w:beforeAutospacing="0" w:after="0" w:afterAutospacing="0"/>
        <w:textAlignment w:val="baseline"/>
        <w:rPr>
          <w:rFonts w:ascii="Times New Roman" w:eastAsia="Times New Roman,ＭＳ ゴシック" w:hAnsi="Times New Roman"/>
          <w:b/>
          <w:bCs/>
          <w:sz w:val="24"/>
          <w:szCs w:val="24"/>
        </w:rPr>
      </w:pPr>
      <w:r w:rsidRPr="00F94B7E">
        <w:rPr>
          <w:rStyle w:val="apple-converted-space"/>
          <w:rFonts w:ascii="Times New Roman" w:eastAsia="Times New Roman,Cambria" w:hAnsi="Times New Roman"/>
          <w:sz w:val="24"/>
          <w:szCs w:val="24"/>
          <w:bdr w:val="none" w:sz="0" w:space="0" w:color="auto" w:frame="1"/>
        </w:rPr>
        <w:t>. . .</w:t>
      </w:r>
    </w:p>
    <w:p w14:paraId="6E042430"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F349EC">
        <w:rPr>
          <w:rFonts w:ascii="Times New Roman" w:eastAsia="Times New Roman" w:hAnsi="Times New Roman"/>
          <w:sz w:val="24"/>
          <w:szCs w:val="24"/>
        </w:rPr>
        <w:t xml:space="preserve">Upon consideration of all pertinent factors, we find that there is a duty of protection owed by the landlord to the tenant in an </w:t>
      </w:r>
      <w:r w:rsidRPr="00B06D0A">
        <w:rPr>
          <w:rFonts w:ascii="Times New Roman" w:eastAsia="Times New Roman" w:hAnsi="Times New Roman"/>
          <w:sz w:val="24"/>
          <w:szCs w:val="24"/>
        </w:rPr>
        <w:t>urban multiple unit apartment dwelling.</w:t>
      </w:r>
    </w:p>
    <w:p w14:paraId="2FED3A54" w14:textId="2EB9282E" w:rsidR="00FA3CF9" w:rsidRPr="00B06D0A" w:rsidRDefault="750671CE" w:rsidP="00F94B7E">
      <w:pPr>
        <w:pStyle w:val="NormalWeb"/>
        <w:shd w:val="clear" w:color="auto" w:fill="FFFFFF" w:themeFill="background1"/>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415DD926"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4860692F" w14:textId="77777777"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IV</w:t>
      </w:r>
    </w:p>
    <w:p w14:paraId="35B01CDF"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405066F6" w14:textId="10473399" w:rsidR="00FA3CF9" w:rsidRPr="00F349EC"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[I]n the last analysis the standard of care is the same</w:t>
      </w:r>
      <w:r w:rsidR="000A71D1" w:rsidRPr="000A71D1">
        <w:rPr>
          <w:rFonts w:ascii="Times New Roman" w:eastAsia="Times New Roman" w:hAnsi="Times New Roman"/>
          <w:sz w:val="24"/>
          <w:szCs w:val="24"/>
        </w:rPr>
        <w:t>—</w:t>
      </w:r>
      <w:r w:rsidRPr="00B06D0A">
        <w:rPr>
          <w:rFonts w:ascii="Times New Roman" w:eastAsia="Times New Roman" w:hAnsi="Times New Roman"/>
          <w:sz w:val="24"/>
          <w:szCs w:val="24"/>
        </w:rPr>
        <w:t>reasonable care in all the circumstances.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The specific measures to achieve this standard vary with the individual circumstances. It may be impo</w:t>
      </w:r>
      <w:r w:rsidRPr="00B06D0A">
        <w:rPr>
          <w:rFonts w:ascii="Times New Roman" w:eastAsia="Times New Roman" w:hAnsi="Times New Roman"/>
          <w:sz w:val="24"/>
          <w:szCs w:val="24"/>
        </w:rPr>
        <w:t>ssible to describe in detail for all situations of landlord-tenant relationships, and evidence of custom amongst landlords of the same class of building may play a significant</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role in determining if the standard has been met.</w:t>
      </w:r>
    </w:p>
    <w:p w14:paraId="678ABDF0" w14:textId="7CF2A384"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In the case at bar, appellant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counsel and the trial judge, not appellant.</w:t>
      </w:r>
    </w:p>
    <w:p w14:paraId="50A58078"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783E6517" w14:textId="77777777"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we do hold that the same relative degree of security should have been maintained.</w:t>
      </w:r>
    </w:p>
    <w:p w14:paraId="0CB919F8"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34260740" w14:textId="2F1CA0EA"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ＭＳ ゴシック" w:hAnsi="Times New Roman"/>
          <w:b/>
          <w:bCs/>
          <w:sz w:val="24"/>
          <w:szCs w:val="24"/>
        </w:rPr>
      </w:pPr>
      <w:r w:rsidRPr="00B06D0A">
        <w:rPr>
          <w:rFonts w:ascii="Times New Roman" w:eastAsia="Times New Roman" w:hAnsi="Times New Roman"/>
          <w:sz w:val="24"/>
          <w:szCs w:val="24"/>
        </w:rPr>
        <w:t>The appellant tenant was entitled</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to performance by the landlord measured by this standard of protection whether the landlord</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048DF555" w14:textId="77777777"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V</w:t>
      </w:r>
    </w:p>
    <w:p w14:paraId="5509806A"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689047BC" w14:textId="77777777" w:rsidR="00FA3CF9" w:rsidRPr="00F349EC"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Given this duty of protection, and the standard of care as defined, it is clear</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that the appellee landlord breached its duty toward the appellant tenant here.</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 . .</w:t>
      </w:r>
    </w:p>
    <w:p w14:paraId="021CE05A"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28D78323" w14:textId="77777777"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Having said this, it would be well to state what is</w:t>
      </w:r>
      <w:r w:rsidRPr="00F94B7E">
        <w:rPr>
          <w:rStyle w:val="apple-converted-space"/>
          <w:rFonts w:ascii="Times New Roman" w:eastAsia="Times New Roman,Cambria" w:hAnsi="Times New Roman"/>
          <w:sz w:val="24"/>
          <w:szCs w:val="24"/>
        </w:rPr>
        <w:t> </w:t>
      </w:r>
      <w:r w:rsidRPr="00F349EC">
        <w:rPr>
          <w:rStyle w:val="ssit"/>
          <w:rFonts w:ascii="Times New Roman" w:eastAsia="Times New Roman" w:hAnsi="Times New Roman"/>
          <w:sz w:val="24"/>
          <w:szCs w:val="24"/>
          <w:bdr w:val="none" w:sz="0" w:space="0" w:color="auto" w:frame="1"/>
        </w:rPr>
        <w:t>not</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said by this decision. We do not hold that the landlord is by any means</w:t>
      </w:r>
      <w:r w:rsidRPr="00B06D0A">
        <w:rPr>
          <w:rFonts w:ascii="Times New Roman" w:eastAsia="Times New Roman" w:hAnsi="Times New Roman"/>
          <w:sz w:val="24"/>
          <w:szCs w:val="24"/>
        </w:rPr>
        <w:t xml:space="preserve">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F94B7E">
        <w:rPr>
          <w:rStyle w:val="apple-converted-space"/>
          <w:rFonts w:ascii="Times New Roman" w:eastAsia="Times New Roman,Cambria" w:hAnsi="Times New Roman"/>
          <w:sz w:val="24"/>
          <w:szCs w:val="24"/>
        </w:rPr>
        <w:t> </w:t>
      </w:r>
      <w:r w:rsidRPr="00F349EC">
        <w:rPr>
          <w:rFonts w:ascii="Times New Roman" w:eastAsia="Times New Roman" w:hAnsi="Times New Roman"/>
          <w:sz w:val="24"/>
          <w:szCs w:val="24"/>
        </w:rPr>
        <w:t>Avenue should have precisely thos</w:t>
      </w:r>
      <w:r w:rsidRPr="00B06D0A">
        <w:rPr>
          <w:rFonts w:ascii="Times New Roman" w:eastAsia="Times New Roman" w:hAnsi="Times New Roman"/>
          <w:sz w:val="24"/>
          <w:szCs w:val="24"/>
        </w:rPr>
        <w:t>e same measures in effect at the present time. Alternative and more up-to-date methods may be equally or even more effective.</w:t>
      </w:r>
    </w:p>
    <w:p w14:paraId="6ECE9029" w14:textId="1693219E" w:rsidR="00FA3CF9" w:rsidRPr="00B06D0A" w:rsidRDefault="750671CE" w:rsidP="00F94B7E">
      <w:pPr>
        <w:pStyle w:val="NormalWeb"/>
        <w:shd w:val="clear" w:color="auto" w:fill="FFFFFF" w:themeFill="background1"/>
        <w:spacing w:before="24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057D5974"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Reversed and remanded to the District Court for the determination of damages.</w:t>
      </w:r>
    </w:p>
    <w:p w14:paraId="45E52135" w14:textId="77777777" w:rsidR="005468ED" w:rsidRDefault="005468ED" w:rsidP="00F349EC">
      <w:pPr>
        <w:rPr>
          <w:rFonts w:ascii="Times New Roman" w:hAnsi="Times New Roman" w:cs="Times New Roman"/>
          <w:color w:val="333333"/>
        </w:rPr>
      </w:pPr>
    </w:p>
    <w:p w14:paraId="2BF71097" w14:textId="257D643F" w:rsidR="0051296A" w:rsidRPr="00B06D0A" w:rsidRDefault="0051296A" w:rsidP="00F349EC">
      <w:pPr>
        <w:rPr>
          <w:rFonts w:ascii="Times New Roman" w:hAnsi="Times New Roman" w:cs="Times New Roman"/>
          <w:color w:val="333333"/>
        </w:rPr>
      </w:pPr>
    </w:p>
    <w:p w14:paraId="4044460D" w14:textId="77777777" w:rsidR="00FA3CF9" w:rsidRPr="002B22E0" w:rsidRDefault="00FA3CF9" w:rsidP="00910387">
      <w:pPr>
        <w:pStyle w:val="Heading5"/>
      </w:pPr>
      <w:bookmarkStart w:id="798" w:name="_Toc265592546"/>
      <w:bookmarkStart w:id="799" w:name="_Toc364636227"/>
      <w:bookmarkStart w:id="800" w:name="_Toc518323475"/>
      <w:r w:rsidRPr="00176C74">
        <w:t>Note</w:t>
      </w:r>
      <w:bookmarkEnd w:id="798"/>
      <w:r w:rsidRPr="00176C74">
        <w:t>s</w:t>
      </w:r>
      <w:bookmarkEnd w:id="799"/>
      <w:bookmarkEnd w:id="800"/>
    </w:p>
    <w:p w14:paraId="1640285B" w14:textId="77777777" w:rsidR="00FA3CF9" w:rsidRDefault="00FA3CF9" w:rsidP="00F94B7E">
      <w:pPr>
        <w:tabs>
          <w:tab w:val="left" w:pos="456"/>
        </w:tabs>
        <w:rPr>
          <w:rFonts w:ascii="Times New Roman" w:hAnsi="Times New Roman" w:cs="Times New Roman"/>
        </w:rPr>
      </w:pPr>
    </w:p>
    <w:p w14:paraId="0237C819" w14:textId="77777777" w:rsidR="005468ED" w:rsidRPr="00B06D0A" w:rsidRDefault="005468ED" w:rsidP="00F94B7E">
      <w:pPr>
        <w:tabs>
          <w:tab w:val="left" w:pos="456"/>
        </w:tabs>
        <w:rPr>
          <w:rFonts w:ascii="Times New Roman" w:hAnsi="Times New Roman" w:cs="Times New Roman"/>
        </w:rPr>
      </w:pPr>
    </w:p>
    <w:p w14:paraId="3658F769" w14:textId="567B810E" w:rsidR="00FA3CF9" w:rsidRPr="00F94B7E" w:rsidRDefault="750671CE" w:rsidP="00F94B7E">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Cs/>
        </w:rPr>
        <w:t>Kline</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durability</w:t>
      </w:r>
      <w:r w:rsidRPr="00F94B7E">
        <w:rPr>
          <w:rFonts w:ascii="Times New Roman" w:eastAsia="Times New Roman" w:hAnsi="Times New Roman" w:cs="Times New Roman"/>
        </w:rPr>
        <w:t xml:space="preserve">.  D.C. courts have continued to apply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Novak v. Capital Mgmt. &amp; Dev. Corp.</w:t>
      </w:r>
      <w:r w:rsidRPr="00F94B7E">
        <w:rPr>
          <w:rFonts w:ascii="Times New Roman" w:eastAsia="Times New Roman" w:hAnsi="Times New Roman" w:cs="Times New Roman"/>
        </w:rPr>
        <w:t xml:space="preserve">, 452 F.3d 902 (D.C. Cir. 2006). Other federal courts of appeal and most state supreme courts have also applied </w:t>
      </w:r>
      <w:r w:rsidRPr="00F94B7E">
        <w:rPr>
          <w:rFonts w:ascii="Times New Roman" w:eastAsia="Times New Roman" w:hAnsi="Times New Roman" w:cs="Times New Roman"/>
          <w:i/>
          <w:iCs/>
        </w:rPr>
        <w:t xml:space="preserve">Kline </w:t>
      </w:r>
      <w:r w:rsidRPr="00F94B7E">
        <w:rPr>
          <w:rFonts w:ascii="Times New Roman" w:eastAsia="Times New Roman" w:hAnsi="Times New Roman" w:cs="Times New Roman"/>
        </w:rPr>
        <w:t xml:space="preserve">in similar contexts.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Banks v. Hyatt Corp.</w:t>
      </w:r>
      <w:r w:rsidRPr="00F94B7E">
        <w:rPr>
          <w:rFonts w:ascii="Times New Roman" w:eastAsia="Times New Roman" w:hAnsi="Times New Roman" w:cs="Times New Roman"/>
        </w:rPr>
        <w:t xml:space="preserve">, 722 F.2d 214 (5th Cir. 1984); </w:t>
      </w:r>
      <w:r w:rsidRPr="00F94B7E">
        <w:rPr>
          <w:rFonts w:ascii="Times New Roman" w:eastAsia="Times New Roman" w:hAnsi="Times New Roman" w:cs="Times New Roman"/>
          <w:i/>
          <w:iCs/>
        </w:rPr>
        <w:t>Frances T. v. Village Green Owners Ass</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n</w:t>
      </w:r>
      <w:r w:rsidRPr="00F94B7E">
        <w:rPr>
          <w:rFonts w:ascii="Times New Roman" w:eastAsia="Times New Roman" w:hAnsi="Times New Roman" w:cs="Times New Roman"/>
        </w:rPr>
        <w:t xml:space="preserve">, 723 P.2d 573 (Cal. 1986). One state supreme court, however, has limited </w:t>
      </w:r>
      <w:r w:rsidRPr="00F94B7E">
        <w:rPr>
          <w:rFonts w:ascii="Times New Roman" w:eastAsia="Times New Roman" w:hAnsi="Times New Roman" w:cs="Times New Roman"/>
          <w:i/>
          <w:iCs/>
        </w:rPr>
        <w:t>Kline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situations in which the landlord either agrees to provide security or creates a physical defect that foreseeably increases the risk of criminal attack.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Ward v. Inishmann Assocs.</w:t>
      </w:r>
      <w:r w:rsidRPr="00F94B7E">
        <w:rPr>
          <w:rFonts w:ascii="Times New Roman" w:eastAsia="Times New Roman" w:hAnsi="Times New Roman" w:cs="Times New Roman"/>
        </w:rPr>
        <w:t>, 931 A.2d 1235 (N.H. 2007).</w:t>
      </w:r>
    </w:p>
    <w:p w14:paraId="0E185482" w14:textId="77777777" w:rsidR="00FA3CF9" w:rsidRDefault="00FA3CF9" w:rsidP="00F94B7E">
      <w:pPr>
        <w:tabs>
          <w:tab w:val="left" w:pos="456"/>
        </w:tabs>
        <w:rPr>
          <w:rFonts w:ascii="Times New Roman" w:hAnsi="Times New Roman" w:cs="Times New Roman"/>
        </w:rPr>
      </w:pPr>
    </w:p>
    <w:p w14:paraId="31041264" w14:textId="77777777" w:rsidR="005468ED" w:rsidRPr="00B06D0A" w:rsidRDefault="005468ED" w:rsidP="00F94B7E">
      <w:pPr>
        <w:tabs>
          <w:tab w:val="left" w:pos="456"/>
        </w:tabs>
        <w:rPr>
          <w:rFonts w:ascii="Times New Roman" w:hAnsi="Times New Roman" w:cs="Times New Roman"/>
        </w:rPr>
      </w:pPr>
    </w:p>
    <w:p w14:paraId="566EBF24" w14:textId="7AEDB235" w:rsidR="00FA3CF9" w:rsidRPr="00F94B7E" w:rsidRDefault="750671CE" w:rsidP="00F94B7E">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High-rent protections for slum prices? </w:t>
      </w:r>
      <w:r w:rsidRPr="00F94B7E">
        <w:rPr>
          <w:rFonts w:ascii="Times New Roman" w:eastAsia="Times New Roman" w:hAnsi="Times New Roman" w:cs="Times New Roman"/>
        </w:rPr>
        <w:t xml:space="preserve">Does the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court decision give the plaintiff 1959 protections for 1966 prices?  What if the rental market would no longer support the kinds of staffing that the building had in 1959?  One way to think of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some tenants might not have been able to afford the higher security apartments.  But if a tenant prefers low security and concomitantly low rent payments, shouldn</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t a landlord be able to offer this combination?  The alternative is simple paternalism: it would deny low-income tenants a low-cost option in the marketplace.  </w:t>
      </w:r>
    </w:p>
    <w:p w14:paraId="71A79F97" w14:textId="77777777" w:rsidR="00FA3CF9" w:rsidRPr="00B06D0A" w:rsidRDefault="00FA3CF9" w:rsidP="00F94B7E">
      <w:pPr>
        <w:tabs>
          <w:tab w:val="left" w:pos="456"/>
        </w:tabs>
        <w:rPr>
          <w:rFonts w:ascii="Times New Roman" w:hAnsi="Times New Roman" w:cs="Times New Roman"/>
        </w:rPr>
      </w:pPr>
    </w:p>
    <w:p w14:paraId="46A26A0D" w14:textId="350C569C" w:rsidR="00FA3CF9" w:rsidRPr="00B06D0A" w:rsidRDefault="00FA3CF9" w:rsidP="00F94B7E">
      <w:pPr>
        <w:tabs>
          <w:tab w:val="left" w:pos="456"/>
        </w:tabs>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Note that none of these arguments necessarily go to the question of whether the landlord in </w:t>
      </w:r>
      <w:r w:rsidRPr="00B06D0A">
        <w:rPr>
          <w:rFonts w:ascii="Times New Roman" w:eastAsia="Times New Roman" w:hAnsi="Times New Roman" w:cs="Times New Roman"/>
          <w:i/>
          <w:iCs/>
        </w:rPr>
        <w:t>Kline</w:t>
      </w:r>
      <w:r w:rsidRPr="00B06D0A">
        <w:rPr>
          <w:rFonts w:ascii="Times New Roman" w:eastAsia="Times New Roman" w:hAnsi="Times New Roman" w:cs="Times New Roman"/>
        </w:rPr>
        <w:t xml:space="preserve"> had a duty of reasonable care.  They are probably best thought of as considerations in determining whether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conduct breached its </w:t>
      </w:r>
      <w:r w:rsidR="0051296A" w:rsidRPr="00B06D0A">
        <w:rPr>
          <w:rFonts w:ascii="Times New Roman" w:eastAsia="Times New Roman" w:hAnsi="Times New Roman" w:cs="Times New Roman"/>
        </w:rPr>
        <w:t>duty of care to the plaintiff.</w:t>
      </w:r>
    </w:p>
    <w:p w14:paraId="5FCB5AD9" w14:textId="77777777" w:rsidR="00FA3CF9" w:rsidRPr="00B06D0A" w:rsidRDefault="00FA3CF9" w:rsidP="00F349EC">
      <w:pPr>
        <w:rPr>
          <w:rFonts w:ascii="Times New Roman" w:hAnsi="Times New Roman" w:cs="Times New Roman"/>
        </w:rPr>
      </w:pPr>
    </w:p>
    <w:p w14:paraId="38016202" w14:textId="5B90946D" w:rsidR="00FA3CF9" w:rsidRPr="00F94B7E" w:rsidRDefault="750671CE" w:rsidP="00F94B7E">
      <w:pPr>
        <w:pStyle w:val="ListParagraph"/>
        <w:numPr>
          <w:ilvl w:val="0"/>
          <w:numId w:val="118"/>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Duties versus liabilities.</w:t>
      </w:r>
      <w:r w:rsidRPr="00F94B7E">
        <w:rPr>
          <w:rFonts w:ascii="Times New Roman" w:eastAsia="Times New Roman" w:hAnsi="Times New Roman" w:cs="Times New Roman"/>
        </w:rPr>
        <w:t xml:space="preserve">  A recent variation on </w:t>
      </w:r>
      <w:r w:rsidRPr="00F94B7E">
        <w:rPr>
          <w:rFonts w:ascii="Times New Roman" w:eastAsia="Times New Roman" w:hAnsi="Times New Roman" w:cs="Times New Roman"/>
          <w:i/>
          <w:iCs/>
        </w:rPr>
        <w:t>Kline</w:t>
      </w:r>
      <w:r w:rsidRPr="00F94B7E">
        <w:rPr>
          <w:rFonts w:ascii="Times New Roman" w:eastAsia="Times New Roman" w:hAnsi="Times New Roman" w:cs="Times New Roman"/>
        </w:rPr>
        <w:t xml:space="preserve"> arose in Illinois, where Detroy Marshall, III, was eating in a Winnebago County Burger King when a car crashed through the restaurant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 wall and killed him.  In the wrongful death suit against Burger King that followed, the court observed that the defendants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arguments about the great costs that would be imposed on them by a finding of a duty to protect against such third party drivers was deeply flawed:</w:t>
      </w:r>
    </w:p>
    <w:p w14:paraId="2819A5AB" w14:textId="77777777" w:rsidR="00FA3CF9" w:rsidRPr="00B06D0A" w:rsidRDefault="00FA3CF9">
      <w:pPr>
        <w:rPr>
          <w:rFonts w:ascii="Times New Roman" w:hAnsi="Times New Roman" w:cs="Times New Roman"/>
        </w:rPr>
      </w:pPr>
    </w:p>
    <w:p w14:paraId="7AF55AC6" w14:textId="6CB4467D" w:rsidR="00FA3CF9" w:rsidRPr="00B06D0A" w:rsidRDefault="750671CE" w:rsidP="00F94B7E">
      <w:pPr>
        <w:pStyle w:val="blockquote"/>
      </w:pPr>
      <w:r w:rsidRPr="00B06D0A">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B06D0A">
        <w:t>’</w:t>
      </w:r>
      <w:r w:rsidRPr="00B06D0A">
        <w:t>s injuries. In short, merely concluding that the duty applies does not constitute an automatic, broad-based declaration of negligence liability.</w:t>
      </w:r>
    </w:p>
    <w:p w14:paraId="31A84CFA" w14:textId="77777777" w:rsidR="00FA3CF9" w:rsidRPr="00B06D0A" w:rsidRDefault="00FA3CF9">
      <w:pPr>
        <w:rPr>
          <w:rFonts w:ascii="Times New Roman" w:hAnsi="Times New Roman" w:cs="Times New Roman"/>
        </w:rPr>
      </w:pPr>
    </w:p>
    <w:p w14:paraId="041A80E5" w14:textId="77777777" w:rsidR="00733C82" w:rsidRPr="00B06D0A" w:rsidRDefault="00FA3CF9">
      <w:pPr>
        <w:rPr>
          <w:rFonts w:ascii="Times New Roman" w:eastAsia="Times New Roman" w:hAnsi="Times New Roman" w:cs="Times New Roman"/>
        </w:rPr>
      </w:pPr>
      <w:bookmarkStart w:id="801" w:name="_Toc265592547"/>
      <w:r w:rsidRPr="00B06D0A">
        <w:rPr>
          <w:rFonts w:ascii="Times New Roman" w:eastAsia="Times New Roman" w:hAnsi="Times New Roman" w:cs="Times New Roman"/>
          <w:i/>
          <w:iCs/>
        </w:rPr>
        <w:t>Marshall v. Burger King Corp</w:t>
      </w:r>
      <w:r w:rsidRPr="00B06D0A">
        <w:rPr>
          <w:rFonts w:ascii="Times New Roman" w:eastAsia="Times New Roman" w:hAnsi="Times New Roman" w:cs="Times New Roman"/>
        </w:rPr>
        <w:t>.</w:t>
      </w:r>
      <w:bookmarkEnd w:id="801"/>
      <w:r w:rsidRPr="00B06D0A">
        <w:rPr>
          <w:rFonts w:ascii="Times New Roman" w:eastAsia="Times New Roman" w:hAnsi="Times New Roman" w:cs="Times New Roman"/>
        </w:rPr>
        <w:t xml:space="preserve">, 856 N.E.2d 1048 (Ill. 2006).  </w:t>
      </w:r>
    </w:p>
    <w:p w14:paraId="762F9855" w14:textId="77777777" w:rsidR="003876FC" w:rsidRPr="00B06D0A" w:rsidRDefault="003876FC">
      <w:pPr>
        <w:rPr>
          <w:rFonts w:ascii="Times New Roman" w:hAnsi="Times New Roman" w:cs="Times New Roman"/>
        </w:rPr>
      </w:pPr>
    </w:p>
    <w:p w14:paraId="209DCDCB" w14:textId="548F95D6" w:rsidR="00FA3CF9" w:rsidRPr="00B06D0A" w:rsidRDefault="00733C82">
      <w:pPr>
        <w:rPr>
          <w:rFonts w:ascii="Times New Roman" w:eastAsia="Times New Roman" w:hAnsi="Times New Roman" w:cs="Times New Roman"/>
        </w:rPr>
      </w:pPr>
      <w:r w:rsidRPr="00B06D0A">
        <w:rPr>
          <w:rFonts w:ascii="Times New Roman" w:hAnsi="Times New Roman" w:cs="Times New Roman"/>
        </w:rPr>
        <w:tab/>
      </w:r>
      <w:r w:rsidR="00FA3CF9" w:rsidRPr="00B06D0A">
        <w:rPr>
          <w:rFonts w:ascii="Times New Roman" w:eastAsia="Times New Roman" w:hAnsi="Times New Roman" w:cs="Times New Roman"/>
        </w:rPr>
        <w:t xml:space="preserve">The </w:t>
      </w:r>
      <w:r w:rsidR="00FA3CF9" w:rsidRPr="00B06D0A">
        <w:rPr>
          <w:rFonts w:ascii="Times New Roman" w:eastAsia="Times New Roman" w:hAnsi="Times New Roman" w:cs="Times New Roman"/>
          <w:i/>
          <w:iCs/>
        </w:rPr>
        <w:t>Marshall</w:t>
      </w:r>
      <w:r w:rsidR="00FA3CF9" w:rsidRPr="00B06D0A">
        <w:rPr>
          <w:rFonts w:ascii="Times New Roman" w:eastAsia="Times New Roman" w:hAnsi="Times New Roman" w:cs="Times New Roman"/>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B06D0A">
        <w:rPr>
          <w:rFonts w:ascii="Times New Roman" w:eastAsia="Times New Roman" w:hAnsi="Times New Roman" w:cs="Times New Roman"/>
        </w:rPr>
        <w:t>’</w:t>
      </w:r>
      <w:r w:rsidR="00FA3CF9" w:rsidRPr="00B06D0A">
        <w:rPr>
          <w:rFonts w:ascii="Times New Roman" w:eastAsia="Times New Roman" w:hAnsi="Times New Roman" w:cs="Times New Roman"/>
        </w:rPr>
        <w:t xml:space="preserve">s exterior walls.  </w:t>
      </w:r>
    </w:p>
    <w:p w14:paraId="60EC9659"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6F50B79C" w14:textId="121126BF" w:rsidR="00FA3CF9" w:rsidRPr="00F94B7E"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Cambria" w:hAnsi="Times New Roman"/>
          <w:sz w:val="24"/>
          <w:szCs w:val="24"/>
        </w:rPr>
      </w:pPr>
      <w:r w:rsidRPr="00F94B7E">
        <w:rPr>
          <w:rFonts w:ascii="Times New Roman" w:eastAsia="Times New Roman,Cambria" w:hAnsi="Times New Roman"/>
          <w:sz w:val="24"/>
          <w:szCs w:val="24"/>
        </w:rPr>
        <w:t xml:space="preserve">Other jurisdictions have been reluctant to adopt the </w:t>
      </w:r>
      <w:r w:rsidRPr="00F94B7E">
        <w:rPr>
          <w:rFonts w:ascii="Times New Roman" w:eastAsia="Times New Roman,Cambria" w:hAnsi="Times New Roman"/>
          <w:i/>
          <w:iCs/>
          <w:sz w:val="24"/>
          <w:szCs w:val="24"/>
        </w:rPr>
        <w:t>Marshall</w:t>
      </w:r>
      <w:r w:rsidRPr="00F94B7E">
        <w:rPr>
          <w:rFonts w:ascii="Times New Roman" w:eastAsia="Times New Roman,Cambria" w:hAnsi="Times New Roman"/>
          <w:sz w:val="24"/>
          <w:szCs w:val="24"/>
        </w:rPr>
        <w:t xml:space="preserve"> court</w:t>
      </w:r>
      <w:r w:rsidR="00B05F31" w:rsidRPr="00F94B7E">
        <w:rPr>
          <w:rFonts w:ascii="Times New Roman" w:eastAsia="Times New Roman,Cambria" w:hAnsi="Times New Roman"/>
          <w:sz w:val="24"/>
          <w:szCs w:val="24"/>
        </w:rPr>
        <w:t>’</w:t>
      </w:r>
      <w:r w:rsidRPr="00F94B7E">
        <w:rPr>
          <w:rFonts w:ascii="Times New Roman" w:eastAsia="Times New Roman,Cambria" w:hAnsi="Times New Roman"/>
          <w:sz w:val="24"/>
          <w:szCs w:val="24"/>
        </w:rPr>
        <w:t xml:space="preserve">s reasoning. The Indiana Court of Appeals has held that business owners owe a duty to business invitees in vehicular collision cases, </w:t>
      </w:r>
      <w:r w:rsidRPr="00F94B7E">
        <w:rPr>
          <w:rFonts w:ascii="Times New Roman" w:eastAsia="Times New Roman,Cambria" w:hAnsi="Times New Roman"/>
          <w:i/>
          <w:iCs/>
          <w:sz w:val="24"/>
          <w:szCs w:val="24"/>
        </w:rPr>
        <w:t>see Schoop</w:t>
      </w:r>
      <w:r w:rsidR="00B05F31" w:rsidRPr="00F94B7E">
        <w:rPr>
          <w:rFonts w:ascii="Times New Roman" w:eastAsia="Times New Roman,Cambria" w:hAnsi="Times New Roman"/>
          <w:i/>
          <w:iCs/>
          <w:sz w:val="24"/>
          <w:szCs w:val="24"/>
        </w:rPr>
        <w:t>’</w:t>
      </w:r>
      <w:r w:rsidRPr="00F94B7E">
        <w:rPr>
          <w:rFonts w:ascii="Times New Roman" w:eastAsia="Times New Roman,Cambria" w:hAnsi="Times New Roman"/>
          <w:i/>
          <w:iCs/>
          <w:sz w:val="24"/>
          <w:szCs w:val="24"/>
        </w:rPr>
        <w:t>s Rest. v. Hardy</w:t>
      </w:r>
      <w:r w:rsidRPr="00F94B7E">
        <w:rPr>
          <w:rFonts w:ascii="Times New Roman" w:eastAsia="Times New Roman,Cambria" w:hAnsi="Times New Roman"/>
          <w:sz w:val="24"/>
          <w:szCs w:val="24"/>
        </w:rPr>
        <w:t xml:space="preserve">, 863 N.E.2d 451 (Ind. Ct. App. 2007), but has not officially overruled a previous case that held the opposite, </w:t>
      </w:r>
      <w:r w:rsidRPr="00F94B7E">
        <w:rPr>
          <w:rFonts w:ascii="Times New Roman" w:eastAsia="Times New Roman,Cambria" w:hAnsi="Times New Roman"/>
          <w:i/>
          <w:iCs/>
          <w:sz w:val="24"/>
          <w:szCs w:val="24"/>
        </w:rPr>
        <w:t>see Fawley v. Martin</w:t>
      </w:r>
      <w:r w:rsidR="00B05F31" w:rsidRPr="00F94B7E">
        <w:rPr>
          <w:rFonts w:ascii="Times New Roman" w:eastAsia="Times New Roman,Cambria" w:hAnsi="Times New Roman"/>
          <w:i/>
          <w:iCs/>
          <w:sz w:val="24"/>
          <w:szCs w:val="24"/>
        </w:rPr>
        <w:t>’</w:t>
      </w:r>
      <w:r w:rsidRPr="00F94B7E">
        <w:rPr>
          <w:rFonts w:ascii="Times New Roman" w:eastAsia="Times New Roman,Cambria" w:hAnsi="Times New Roman"/>
          <w:i/>
          <w:iCs/>
          <w:sz w:val="24"/>
          <w:szCs w:val="24"/>
        </w:rPr>
        <w:t>s Supermarkets, Inc.</w:t>
      </w:r>
      <w:r w:rsidRPr="00F94B7E">
        <w:rPr>
          <w:rFonts w:ascii="Times New Roman" w:eastAsia="Times New Roman,Cambria" w:hAnsi="Times New Roman"/>
          <w:sz w:val="24"/>
          <w:szCs w:val="24"/>
        </w:rPr>
        <w:t xml:space="preserve">, 618 N.E.2d 10 (Ind. Ct. App. 1993). Some jurisdictions have declined to recognize such a duty. </w:t>
      </w:r>
      <w:r w:rsidRPr="00F94B7E">
        <w:rPr>
          <w:rFonts w:ascii="Times New Roman" w:eastAsia="Times New Roman,Cambria" w:hAnsi="Times New Roman"/>
          <w:i/>
          <w:iCs/>
          <w:sz w:val="24"/>
          <w:szCs w:val="24"/>
        </w:rPr>
        <w:t>See, e.g.</w:t>
      </w:r>
      <w:r w:rsidRPr="00F94B7E">
        <w:rPr>
          <w:rFonts w:ascii="Times New Roman" w:eastAsia="Times New Roman,Cambria" w:hAnsi="Times New Roman"/>
          <w:sz w:val="24"/>
          <w:szCs w:val="24"/>
        </w:rPr>
        <w:t xml:space="preserve">, </w:t>
      </w:r>
      <w:r w:rsidRPr="00F94B7E">
        <w:rPr>
          <w:rFonts w:ascii="Times New Roman" w:eastAsia="Times New Roman,Cambria" w:hAnsi="Times New Roman"/>
          <w:i/>
          <w:iCs/>
          <w:sz w:val="24"/>
          <w:szCs w:val="24"/>
        </w:rPr>
        <w:t>Albert v. Hsu</w:t>
      </w:r>
      <w:r w:rsidRPr="00F94B7E">
        <w:rPr>
          <w:rFonts w:ascii="Times New Roman" w:eastAsia="Times New Roman,Cambria" w:hAnsi="Times New Roman"/>
          <w:sz w:val="24"/>
          <w:szCs w:val="24"/>
        </w:rPr>
        <w:t xml:space="preserve">, 602 So. 2d 895 (Ala. 1992); </w:t>
      </w:r>
      <w:r w:rsidRPr="00F94B7E">
        <w:rPr>
          <w:rFonts w:ascii="Times New Roman" w:eastAsia="Times New Roman,Cambria" w:hAnsi="Times New Roman"/>
          <w:i/>
          <w:iCs/>
          <w:sz w:val="24"/>
          <w:szCs w:val="24"/>
        </w:rPr>
        <w:t>Glick v. Prince Italian Foods, Inc.</w:t>
      </w:r>
      <w:r w:rsidRPr="00F94B7E">
        <w:rPr>
          <w:rFonts w:ascii="Times New Roman" w:eastAsia="Times New Roman,Cambria" w:hAnsi="Times New Roman"/>
          <w:sz w:val="24"/>
          <w:szCs w:val="24"/>
        </w:rPr>
        <w:t xml:space="preserve">, 514 N.E.2d 100 (Mass. App. Ct. 1987); </w:t>
      </w:r>
      <w:r w:rsidRPr="00F94B7E">
        <w:rPr>
          <w:rFonts w:ascii="Times New Roman" w:eastAsia="Times New Roman,Cambria" w:hAnsi="Times New Roman"/>
          <w:i/>
          <w:iCs/>
          <w:sz w:val="24"/>
          <w:szCs w:val="24"/>
        </w:rPr>
        <w:t>Howe v. Stubbs</w:t>
      </w:r>
      <w:r w:rsidRPr="00F94B7E">
        <w:rPr>
          <w:rFonts w:ascii="Times New Roman" w:eastAsia="Times New Roman,Cambria" w:hAnsi="Times New Roman"/>
          <w:sz w:val="24"/>
          <w:szCs w:val="24"/>
        </w:rPr>
        <w:t xml:space="preserve">, 570 A.2d 1203 (Me. 1990); </w:t>
      </w:r>
      <w:r w:rsidRPr="00F94B7E">
        <w:rPr>
          <w:rFonts w:ascii="Times New Roman" w:eastAsia="Times New Roman,Cambria" w:hAnsi="Times New Roman"/>
          <w:i/>
          <w:iCs/>
          <w:sz w:val="24"/>
          <w:szCs w:val="24"/>
        </w:rPr>
        <w:t>Carpenter v. Stop-N-Go Markets of Ga., Inc.</w:t>
      </w:r>
      <w:r w:rsidRPr="00F94B7E">
        <w:rPr>
          <w:rFonts w:ascii="Times New Roman" w:eastAsia="Times New Roman,Cambria" w:hAnsi="Times New Roman"/>
          <w:sz w:val="24"/>
          <w:szCs w:val="24"/>
        </w:rPr>
        <w:t xml:space="preserve">, 512 So. 2d 708 (Miss. 1987); </w:t>
      </w:r>
      <w:r w:rsidRPr="00F94B7E">
        <w:rPr>
          <w:rFonts w:ascii="Times New Roman" w:eastAsia="Times New Roman,Cambria" w:hAnsi="Times New Roman"/>
          <w:i/>
          <w:iCs/>
          <w:sz w:val="24"/>
          <w:szCs w:val="24"/>
        </w:rPr>
        <w:t>Watkins v. Davis</w:t>
      </w:r>
      <w:r w:rsidRPr="00F94B7E">
        <w:rPr>
          <w:rFonts w:ascii="Times New Roman" w:eastAsia="Times New Roman,Cambria" w:hAnsi="Times New Roman"/>
          <w:sz w:val="24"/>
          <w:szCs w:val="24"/>
        </w:rPr>
        <w:t xml:space="preserve">, 308 S.W.2d 906 (Tex. Civ. App. 1957).  </w:t>
      </w:r>
    </w:p>
    <w:p w14:paraId="06A0CF5D" w14:textId="77777777" w:rsidR="00FA3CF9" w:rsidRPr="00F349EC" w:rsidRDefault="00FA3CF9" w:rsidP="00F94B7E">
      <w:pPr>
        <w:pStyle w:val="NormalWeb"/>
        <w:shd w:val="clear" w:color="auto" w:fill="FFFFFF"/>
        <w:spacing w:before="0" w:beforeAutospacing="0" w:after="0" w:afterAutospacing="0"/>
        <w:textAlignment w:val="baseline"/>
        <w:rPr>
          <w:rFonts w:ascii="Times New Roman" w:eastAsiaTheme="minorHAnsi" w:hAnsi="Times New Roman"/>
          <w:b/>
          <w:sz w:val="24"/>
          <w:szCs w:val="24"/>
        </w:rPr>
      </w:pPr>
    </w:p>
    <w:p w14:paraId="48A67C02" w14:textId="77777777" w:rsidR="00FA3CF9" w:rsidRPr="00F94B7E" w:rsidRDefault="00FA3CF9">
      <w:pPr>
        <w:rPr>
          <w:rFonts w:ascii="Times New Roman" w:hAnsi="Times New Roman" w:cs="Times New Roman"/>
        </w:rPr>
      </w:pPr>
    </w:p>
    <w:p w14:paraId="5B3271F3" w14:textId="12799F90" w:rsidR="00FA3CF9" w:rsidRPr="00F94B7E" w:rsidRDefault="00FA3CF9">
      <w:pPr>
        <w:rPr>
          <w:rFonts w:ascii="Times New Roman" w:hAnsi="Times New Roman" w:cs="Times New Roman"/>
        </w:rPr>
      </w:pPr>
      <w:bookmarkStart w:id="802" w:name="_Toc265592549"/>
      <w:bookmarkStart w:id="803" w:name="_Toc518323476"/>
      <w:r w:rsidRPr="00F349EC">
        <w:rPr>
          <w:rStyle w:val="Heading4Char"/>
          <w:szCs w:val="24"/>
        </w:rPr>
        <w:t>Ennabe v. Manosa</w:t>
      </w:r>
      <w:bookmarkEnd w:id="802"/>
      <w:bookmarkEnd w:id="803"/>
      <w:r w:rsidR="00733C82" w:rsidRPr="00F94B7E">
        <w:rPr>
          <w:rFonts w:ascii="Times New Roman" w:hAnsi="Times New Roman" w:cs="Times New Roman"/>
          <w:b/>
        </w:rPr>
        <w:t xml:space="preserve">, </w:t>
      </w:r>
      <w:r w:rsidRPr="00F94B7E">
        <w:rPr>
          <w:rFonts w:ascii="Times New Roman" w:eastAsia="Times New Roman" w:hAnsi="Times New Roman" w:cs="Times New Roman"/>
          <w:b/>
        </w:rPr>
        <w:t>319 P.3d 201 (Cal. 2014)</w:t>
      </w:r>
    </w:p>
    <w:p w14:paraId="394A5E01" w14:textId="77777777" w:rsidR="00FA3CF9" w:rsidRPr="00F349EC" w:rsidRDefault="00FA3CF9" w:rsidP="00F94B7E">
      <w:pPr>
        <w:tabs>
          <w:tab w:val="left" w:pos="456"/>
        </w:tabs>
        <w:rPr>
          <w:rFonts w:ascii="Times New Roman" w:hAnsi="Times New Roman" w:cs="Times New Roman"/>
        </w:rPr>
      </w:pPr>
    </w:p>
    <w:p w14:paraId="75052753" w14:textId="5666D774" w:rsidR="00FA3CF9" w:rsidRPr="00F94B7E" w:rsidRDefault="750671CE" w:rsidP="00F94B7E">
      <w:pPr>
        <w:pStyle w:val="NormalWeb"/>
        <w:shd w:val="clear" w:color="auto" w:fill="FFFFFF" w:themeFill="background1"/>
        <w:spacing w:before="0" w:beforeAutospacing="0" w:after="0" w:afterAutospacing="0"/>
        <w:textAlignment w:val="baseline"/>
        <w:rPr>
          <w:rStyle w:val="ssrfcpassagedeactivated"/>
          <w:rFonts w:ascii="Times New Roman" w:eastAsia="Times New Roman,Cambria" w:hAnsi="Times New Roman"/>
          <w:color w:val="333333"/>
          <w:sz w:val="24"/>
          <w:szCs w:val="24"/>
        </w:rPr>
      </w:pPr>
      <w:r w:rsidRPr="00F349EC">
        <w:rPr>
          <w:rFonts w:ascii="Times New Roman" w:eastAsia="Times New Roman" w:hAnsi="Times New Roman"/>
          <w:smallCaps/>
          <w:sz w:val="24"/>
          <w:szCs w:val="24"/>
        </w:rPr>
        <w:t>Werdegar, J.</w:t>
      </w:r>
    </w:p>
    <w:p w14:paraId="61C2889F" w14:textId="77777777" w:rsidR="00FA3CF9" w:rsidRPr="00F349EC" w:rsidRDefault="00FA3CF9" w:rsidP="00F94B7E">
      <w:pPr>
        <w:pStyle w:val="NormalWeb"/>
        <w:shd w:val="clear" w:color="auto" w:fill="FFFFFF"/>
        <w:spacing w:before="0" w:beforeAutospacing="0" w:after="0" w:afterAutospacing="0"/>
        <w:ind w:firstLine="720"/>
        <w:textAlignment w:val="baseline"/>
        <w:rPr>
          <w:rStyle w:val="ssrfcpassagedeactivated"/>
          <w:rFonts w:ascii="Times New Roman" w:eastAsiaTheme="minorHAnsi" w:hAnsi="Times New Roman"/>
          <w:color w:val="333333"/>
          <w:sz w:val="24"/>
          <w:szCs w:val="24"/>
          <w:bdr w:val="none" w:sz="0" w:space="0" w:color="auto" w:frame="1"/>
        </w:rPr>
      </w:pPr>
    </w:p>
    <w:p w14:paraId="4E1A7393" w14:textId="6754D8F8"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F94B7E">
        <w:rPr>
          <w:rStyle w:val="ssrfcpassagedeactivated"/>
          <w:rFonts w:ascii="Times New Roman" w:eastAsia="Times New Roman,Cambria" w:hAnsi="Times New Roman"/>
          <w:color w:val="333333"/>
          <w:bdr w:val="none" w:sz="0" w:space="0" w:color="auto" w:frame="1"/>
        </w:rPr>
        <w:t xml:space="preserve">. . . </w:t>
      </w:r>
      <w:r w:rsidRPr="00F94B7E">
        <w:rPr>
          <w:rStyle w:val="ssrfcpassagedeactivated"/>
          <w:rFonts w:ascii="Times New Roman" w:eastAsia="Times New Roman,Cambria" w:hAnsi="Times New Roman"/>
          <w:sz w:val="24"/>
          <w:szCs w:val="24"/>
          <w:bdr w:val="none" w:sz="0" w:space="0" w:color="auto" w:frame="1"/>
        </w:rPr>
        <w:t>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F349EC">
        <w:rPr>
          <w:rStyle w:val="apple-converted-space"/>
          <w:rFonts w:ascii="Times New Roman" w:eastAsia="Times New Roman" w:hAnsi="Times New Roman"/>
          <w:sz w:val="24"/>
          <w:szCs w:val="24"/>
          <w:bdr w:val="none" w:sz="0" w:space="0" w:color="auto" w:frame="1"/>
        </w:rPr>
        <w:t> </w:t>
      </w:r>
      <w:r w:rsidRPr="00F349EC">
        <w:rPr>
          <w:rFonts w:ascii="Times New Roman" w:eastAsia="Times New Roman" w:hAnsi="Times New Roman"/>
          <w:sz w:val="24"/>
          <w:szCs w:val="24"/>
        </w:rPr>
        <w:t>The vast majority of attendees were, like Manosa, under 21</w:t>
      </w:r>
      <w:r w:rsidRPr="00B06D0A">
        <w:rPr>
          <w:rFonts w:ascii="Times New Roman" w:eastAsia="Times New Roman" w:hAnsi="Times New Roman"/>
          <w:sz w:val="24"/>
          <w:szCs w:val="24"/>
        </w:rPr>
        <w:t xml:space="preserve"> years of age.</w:t>
      </w:r>
    </w:p>
    <w:p w14:paraId="67D0BEF1" w14:textId="0F7E74AE"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For her party, Manosa personally provided $60 for the purchase of rum, tequila, and beer. She also provided cups and cranberry juice, but nothing else. Two of Manosa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friends, Mario Aparicio and Marcello Aquino, also provided money toward the initial purchase of alcohol, and Aquino purchased the alcoholic beverages for the party with this money. The beer was placed in a refrigerator in the kitchen, and the tequila and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jungle juice</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(a mixture of rum and fruit juice) were placed outside on a table at the side of the house. Manosa did not have a license to sell alcoholic beverages.</w:t>
      </w:r>
    </w:p>
    <w:p w14:paraId="4E3A1D02"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2677C06D" w14:textId="7BCB26D0"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xml:space="preserve">Guests began to arrive at the party around 9:00 p.m., entering through a side gate in the yard. Aquino heard Manosa ask Todd Brown to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stand by the side gate to kind of control the people that came in and if he</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didn</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t know them, then charge them some money to get into the party.</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Brown thereafter served as a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bouncer,</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247D841F" w14:textId="3DE7EDD0"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xml:space="preserve">Thomas Garcia, who had not been invited and was unknown to Manosa, testified that a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big, tall, husky, Caucasian dude</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was charging an entrance fee to get into the party. Garcia paid $20 so that he and three or four of his friends could enter. The person who took Garcia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The record is unclear</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whether any attendees brought their own alcoholic beverages or whether Manosa provided the only alcohol consumed on the premises.</w:t>
      </w:r>
    </w:p>
    <w:p w14:paraId="7E426F0D" w14:textId="14F26ECD"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Sometime before midnight, decedent Andrew Ennabe arrived at the party; he was Manosa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friend and an invited guest. Thomas Garcia and his friends arrived about 30 minutes later and were charged admission. Ennabe and Garcia, both under 21 years of age, were visibly intoxicated on arrival. Garcia in particular</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exhibited slurred speech and impaired faculties. By his own reckoning, he had consumed at least four shots of whiskey before arriving. Although Garcia later denied drinking anything at Manosa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party, other guests reported seeing him drinking there.</w:t>
      </w:r>
    </w:p>
    <w:p w14:paraId="55AB451A" w14:textId="77777777" w:rsidR="00FA3CF9" w:rsidRPr="00B06D0A" w:rsidRDefault="00FA3CF9" w:rsidP="00F94B7E">
      <w:pPr>
        <w:pStyle w:val="NormalWeb"/>
        <w:shd w:val="clear" w:color="auto" w:fill="FFFFFF"/>
        <w:tabs>
          <w:tab w:val="left" w:pos="1653"/>
        </w:tabs>
        <w:spacing w:before="0" w:beforeAutospacing="0" w:after="0" w:afterAutospacing="0"/>
        <w:ind w:firstLine="720"/>
        <w:textAlignment w:val="baseline"/>
        <w:rPr>
          <w:rFonts w:ascii="Times New Roman" w:hAnsi="Times New Roman"/>
          <w:color w:val="333333"/>
          <w:sz w:val="24"/>
          <w:szCs w:val="24"/>
        </w:rPr>
      </w:pPr>
      <w:r w:rsidRPr="00B06D0A">
        <w:rPr>
          <w:rFonts w:ascii="Times New Roman" w:hAnsi="Times New Roman"/>
          <w:color w:val="333333"/>
          <w:sz w:val="24"/>
          <w:szCs w:val="24"/>
        </w:rPr>
        <w:tab/>
      </w:r>
    </w:p>
    <w:p w14:paraId="2686C832" w14:textId="37C84749"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b/>
          <w:bCs/>
          <w:sz w:val="24"/>
          <w:szCs w:val="24"/>
        </w:rPr>
      </w:pPr>
      <w:r w:rsidRPr="00B06D0A">
        <w:rPr>
          <w:rFonts w:ascii="Times New Roman" w:eastAsia="Times New Roman" w:hAnsi="Times New Roman"/>
          <w:sz w:val="24"/>
          <w:szCs w:val="24"/>
        </w:rPr>
        <w:t>Once inside the gate, Garcia became rowdy, aggressive, and obnoxious. He made obscene and vaguely threatening comments to female guests, and either he or a friend dropped his pants. While Manosa claimed she was neither aware of Garcia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presence nor that he was causing problems with other guests, Garcia was eventually asked to leave for his inappropriate behavior. Ennabe and some other guests escorted Garcia and his friends off the premises and ultimately to their car.</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One of Garcia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friends spit on Ennabe, prompting Ennabe to chase him into the street. Garcia, who by this time was driving away, ran over Ennabe, severely injuring him. Ennabe later died from his injuries.</w:t>
      </w:r>
      <w:r w:rsidRPr="00B06D0A">
        <w:rPr>
          <w:rStyle w:val="apple-converted-space"/>
          <w:rFonts w:ascii="Times New Roman" w:eastAsia="Times New Roman" w:hAnsi="Times New Roman"/>
          <w:sz w:val="24"/>
          <w:szCs w:val="24"/>
        </w:rPr>
        <w:t> </w:t>
      </w:r>
    </w:p>
    <w:p w14:paraId="1BBAE029"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6B364EFF" w14:textId="1B716717"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Plaintiffs Faiez and Christina Ennabe, on behalf of themselves and the estate of their son, filed a wrongful death action against defendant Manosa and her parents.</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 . . Defendants moved for summary judgment or adjudication, claiming plaintiffs could not show defendants were liable under</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bdr w:val="none" w:sz="0" w:space="0" w:color="auto" w:frame="1"/>
        </w:rPr>
        <w:t>section 25602.1</w:t>
      </w:r>
      <w:r w:rsidRPr="00B06D0A">
        <w:rPr>
          <w:rFonts w:ascii="Times New Roman" w:eastAsia="Times New Roman" w:hAnsi="Times New Roman"/>
          <w:sz w:val="24"/>
          <w:szCs w:val="24"/>
        </w:rPr>
        <w:t>, which permits liability for certain persons who serve alcohol to obviously intoxicated minors, and that they were entitled to civil immunity. . . . The trial court granted defendants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motion for summary judgment on all causes of action . . . .  The Court of Appeal affirmed.</w:t>
      </w:r>
    </w:p>
    <w:p w14:paraId="1D817F21" w14:textId="744C6529"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We granted plaintiffs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petition for review.</w:t>
      </w:r>
    </w:p>
    <w:p w14:paraId="0BF6DD73" w14:textId="5708844E" w:rsidR="00FA3CF9" w:rsidRPr="00B06D0A" w:rsidRDefault="00FA3CF9" w:rsidP="00F94B7E">
      <w:pPr>
        <w:rPr>
          <w:rFonts w:ascii="Times New Roman" w:eastAsia="Times New Roman" w:hAnsi="Times New Roman" w:cs="Times New Roman"/>
        </w:rPr>
      </w:pPr>
      <w:r w:rsidRPr="00B06D0A">
        <w:rPr>
          <w:rStyle w:val="sssmcaps"/>
          <w:rFonts w:ascii="Times New Roman" w:eastAsia="Times New Roman" w:hAnsi="Times New Roman" w:cs="Times New Roman"/>
          <w:smallCaps/>
          <w:bdr w:val="none" w:sz="0" w:space="0" w:color="auto" w:frame="1"/>
          <w:shd w:val="clear" w:color="auto" w:fill="FFFFFF"/>
        </w:rPr>
        <w:t>. . .</w:t>
      </w:r>
    </w:p>
    <w:p w14:paraId="189A2AB2" w14:textId="77777777" w:rsidR="00FA3CF9" w:rsidRPr="00C14ACE" w:rsidRDefault="00FA3CF9" w:rsidP="00F94B7E">
      <w:pPr>
        <w:pStyle w:val="NormalWeb"/>
        <w:shd w:val="clear" w:color="auto" w:fill="FFFFFF"/>
        <w:spacing w:before="0" w:beforeAutospacing="0" w:after="0" w:afterAutospacing="0"/>
        <w:textAlignment w:val="baseline"/>
        <w:rPr>
          <w:rStyle w:val="ssrfcpassagedeactivated"/>
          <w:rFonts w:ascii="Times New Roman" w:eastAsiaTheme="minorHAnsi" w:hAnsi="Times New Roman" w:cstheme="minorBidi"/>
          <w:sz w:val="24"/>
          <w:szCs w:val="24"/>
          <w:bdr w:val="none" w:sz="0" w:space="0" w:color="auto" w:frame="1"/>
        </w:rPr>
      </w:pPr>
    </w:p>
    <w:p w14:paraId="6D649EB1" w14:textId="7CC87F5F" w:rsidR="00FA3CF9" w:rsidRPr="00F94B7E"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Cambria" w:hAnsi="Times New Roman"/>
          <w:sz w:val="24"/>
          <w:szCs w:val="24"/>
        </w:rPr>
      </w:pPr>
      <w:r w:rsidRPr="00F94B7E">
        <w:rPr>
          <w:rStyle w:val="ssrfcpassagedeactivated"/>
          <w:rFonts w:ascii="Times New Roman" w:eastAsia="Times New Roman,Cambria" w:hAnsi="Times New Roman"/>
          <w:sz w:val="24"/>
          <w:szCs w:val="24"/>
          <w:bdr w:val="none" w:sz="0" w:space="0" w:color="auto" w:frame="1"/>
        </w:rPr>
        <w:t>For the better part of the 20th century, California case law held that a person who furnished alcoholic beverages to another person was not liable for any damages resulting from the latter</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s intoxication. . . . The Legislature . . . declin[ed] to enact a contrary statutory scheme that would permit civil liability . . . although it enacted legislation making the selling or furnishing of an alcoholic beverage to an obviously</w:t>
      </w:r>
      <w:r w:rsidRPr="00F349EC">
        <w:rPr>
          <w:rStyle w:val="apple-converted-space"/>
          <w:rFonts w:ascii="Times New Roman" w:eastAsia="Times New Roman" w:hAnsi="Times New Roman"/>
          <w:sz w:val="24"/>
          <w:szCs w:val="24"/>
          <w:bdr w:val="none" w:sz="0" w:space="0" w:color="auto" w:frame="1"/>
        </w:rPr>
        <w:t> </w:t>
      </w:r>
      <w:r w:rsidRPr="00F94B7E">
        <w:rPr>
          <w:rStyle w:val="ssrfcpassagedeactivated"/>
          <w:rFonts w:ascii="Times New Roman" w:eastAsia="Times New Roman,Cambria" w:hAnsi="Times New Roman"/>
          <w:sz w:val="24"/>
          <w:szCs w:val="24"/>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61C1682B" w14:textId="77777777" w:rsidR="00FA3CF9" w:rsidRPr="00F349EC"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F94B7E">
        <w:rPr>
          <w:rStyle w:val="ssrfcpassagedeactivated"/>
          <w:rFonts w:ascii="Times New Roman" w:eastAsia="Times New Roman,Cambria" w:hAnsi="Times New Roman"/>
          <w:sz w:val="24"/>
          <w:szCs w:val="24"/>
          <w:bdr w:val="none" w:sz="0" w:space="0" w:color="auto" w:frame="1"/>
        </w:rPr>
        <w:t>Five years later . . . , this court broadened the scope of potential liability.</w:t>
      </w:r>
      <w:r w:rsidRPr="00F349EC">
        <w:rPr>
          <w:rStyle w:val="apple-converted-space"/>
          <w:rFonts w:ascii="Times New Roman" w:eastAsia="Times New Roman" w:hAnsi="Times New Roman"/>
          <w:sz w:val="24"/>
          <w:szCs w:val="24"/>
          <w:bdr w:val="none" w:sz="0" w:space="0" w:color="auto" w:frame="1"/>
        </w:rPr>
        <w:t> </w:t>
      </w:r>
    </w:p>
    <w:p w14:paraId="53C61CFA" w14:textId="77777777" w:rsidR="00FA3CF9" w:rsidRPr="00B06D0A" w:rsidRDefault="00FA3CF9" w:rsidP="00F94B7E">
      <w:pPr>
        <w:pStyle w:val="NormalWeb"/>
        <w:shd w:val="clear" w:color="auto" w:fill="FFFFFF"/>
        <w:spacing w:before="0" w:beforeAutospacing="0" w:after="0" w:afterAutospacing="0"/>
        <w:textAlignment w:val="baseline"/>
        <w:rPr>
          <w:rStyle w:val="ssrfcpassagedeactivated"/>
          <w:rFonts w:ascii="Times New Roman" w:eastAsiaTheme="minorHAnsi" w:hAnsi="Times New Roman"/>
          <w:sz w:val="24"/>
          <w:szCs w:val="24"/>
          <w:bdr w:val="none" w:sz="0" w:space="0" w:color="auto" w:frame="1"/>
        </w:rPr>
      </w:pPr>
    </w:p>
    <w:p w14:paraId="7252771D" w14:textId="77777777" w:rsidR="00FA3CF9" w:rsidRPr="00F94B7E"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Cambria" w:hAnsi="Times New Roman"/>
          <w:sz w:val="24"/>
          <w:szCs w:val="24"/>
        </w:rPr>
      </w:pPr>
      <w:r w:rsidRPr="00F94B7E">
        <w:rPr>
          <w:rStyle w:val="ssrfcpassagedeactivated"/>
          <w:rFonts w:ascii="Times New Roman" w:eastAsia="Times New Roman,Cambria" w:hAnsi="Times New Roman"/>
          <w:sz w:val="24"/>
          <w:szCs w:val="24"/>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6D5D96A7" w14:textId="32CB53F4"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F94B7E">
        <w:rPr>
          <w:rStyle w:val="ssrfcpassagedeactivated"/>
          <w:rFonts w:ascii="Times New Roman" w:eastAsia="Times New Roman,Cambria" w:hAnsi="Times New Roman"/>
          <w:sz w:val="24"/>
          <w:szCs w:val="24"/>
          <w:bdr w:val="none" w:sz="0" w:space="0" w:color="auto" w:frame="1"/>
        </w:rPr>
        <w:t>The Legislature responded . . . by expressly abrogating their holdings and largely reinstating the previous common law rule that the consumption of alcohol, not the service of</w:t>
      </w:r>
      <w:r w:rsidRPr="00F349EC">
        <w:rPr>
          <w:rStyle w:val="apple-converted-space"/>
          <w:rFonts w:ascii="Times New Roman" w:eastAsia="Times New Roman" w:hAnsi="Times New Roman"/>
          <w:sz w:val="24"/>
          <w:szCs w:val="24"/>
          <w:bdr w:val="none" w:sz="0" w:space="0" w:color="auto" w:frame="1"/>
        </w:rPr>
        <w:t> </w:t>
      </w:r>
      <w:r w:rsidRPr="00F94B7E">
        <w:rPr>
          <w:rStyle w:val="ssrfcpassagedeactivated"/>
          <w:rFonts w:ascii="Times New Roman" w:eastAsia="Times New Roman,Cambria" w:hAnsi="Times New Roman"/>
          <w:sz w:val="24"/>
          <w:szCs w:val="24"/>
          <w:bdr w:val="none" w:sz="0" w:space="0" w:color="auto" w:frame="1"/>
        </w:rPr>
        <w:t>alcohol, is the proximate cause of any resulting injury. . . . :</w:t>
      </w:r>
      <w:r w:rsidRPr="00F349EC">
        <w:rPr>
          <w:rStyle w:val="apple-converted-space"/>
          <w:rFonts w:ascii="Times New Roman" w:eastAsia="Times New Roman" w:hAnsi="Times New Roman"/>
          <w:b/>
          <w:bCs/>
          <w:i/>
          <w:iCs/>
          <w:sz w:val="24"/>
          <w:szCs w:val="24"/>
          <w:bdr w:val="none" w:sz="0" w:space="0" w:color="auto" w:frame="1"/>
        </w:rPr>
        <w:t> </w:t>
      </w:r>
      <w:r w:rsidR="00C80795">
        <w:rPr>
          <w:rFonts w:ascii="Times New Roman" w:eastAsia="Times New Roman" w:hAnsi="Times New Roman"/>
          <w:sz w:val="24"/>
          <w:szCs w:val="24"/>
        </w:rPr>
        <w:t>“</w:t>
      </w:r>
      <w:r w:rsidRPr="00F349EC">
        <w:rPr>
          <w:rFonts w:ascii="Times New Roman" w:eastAsia="Times New Roman" w:hAnsi="Times New Roman"/>
          <w:sz w:val="24"/>
          <w:szCs w:val="24"/>
        </w:rPr>
        <w:t>No social host who furnishes alcoholic beverages to any person shall be held legally accountable for damages suffered by such person, or for injury to the person or pro</w:t>
      </w:r>
      <w:r w:rsidRPr="00B06D0A">
        <w:rPr>
          <w:rFonts w:ascii="Times New Roman" w:eastAsia="Times New Roman" w:hAnsi="Times New Roman"/>
          <w:sz w:val="24"/>
          <w:szCs w:val="24"/>
        </w:rPr>
        <w:t>perty of, or death of, any third person, resulting from the consumption of such beverages.</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w:t>
      </w:r>
    </w:p>
    <w:p w14:paraId="3A6983E6"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7CF5D283" w14:textId="0581B620" w:rsidR="00FA3CF9" w:rsidRPr="00F94B7E"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Cambria" w:hAnsi="Times New Roman"/>
          <w:sz w:val="24"/>
          <w:szCs w:val="24"/>
        </w:rPr>
      </w:pPr>
      <w:r w:rsidRPr="00F94B7E">
        <w:rPr>
          <w:rStyle w:val="ssrfcpassagedeactivated"/>
          <w:rFonts w:ascii="Times New Roman" w:eastAsia="Times New Roman,Cambria" w:hAnsi="Times New Roman"/>
          <w:sz w:val="24"/>
          <w:szCs w:val="24"/>
          <w:bdr w:val="none" w:sz="0" w:space="0" w:color="auto" w:frame="1"/>
        </w:rPr>
        <w:t xml:space="preserve"> . . . [The Legislature also enacted civil immunity]: </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 xml:space="preserve">No person who sells, furnishes, gives, or causes to be sold, furnished, or given away, any alcoholic beverage [to any habitual or common drunkard or to any obviously intoxicated person] </w:t>
      </w:r>
      <w:r w:rsidR="0050551D">
        <w:rPr>
          <w:rStyle w:val="ssrfcpassagedeactivated"/>
          <w:rFonts w:ascii="Times New Roman" w:eastAsia="Times New Roman,Cambria" w:hAnsi="Times New Roman"/>
          <w:sz w:val="24"/>
          <w:szCs w:val="24"/>
          <w:bdr w:val="none" w:sz="0" w:space="0" w:color="auto" w:frame="1"/>
        </w:rPr>
        <w:t>. . .</w:t>
      </w:r>
      <w:r w:rsidRPr="00F94B7E">
        <w:rPr>
          <w:rStyle w:val="ssrfcpassagedeactivated"/>
          <w:rFonts w:ascii="Times New Roman" w:eastAsia="Times New Roman,Cambria" w:hAnsi="Times New Roman"/>
          <w:sz w:val="24"/>
          <w:szCs w:val="24"/>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F94B7E">
        <w:rPr>
          <w:rStyle w:val="ssrfcpassagedeactivated"/>
          <w:rFonts w:ascii="Times New Roman" w:eastAsia="Times New Roman,Cambria" w:hAnsi="Times New Roman"/>
          <w:sz w:val="24"/>
          <w:szCs w:val="24"/>
          <w:bdr w:val="none" w:sz="0" w:space="0" w:color="auto" w:frame="1"/>
        </w:rPr>
        <w:t>”</w:t>
      </w:r>
      <w:r w:rsidRPr="00F349EC">
        <w:rPr>
          <w:rStyle w:val="apple-converted-space"/>
          <w:rFonts w:ascii="Times New Roman" w:eastAsia="Times New Roman" w:hAnsi="Times New Roman"/>
          <w:sz w:val="24"/>
          <w:szCs w:val="24"/>
          <w:bdr w:val="none" w:sz="0" w:space="0" w:color="auto" w:frame="1"/>
        </w:rPr>
        <w:t> </w:t>
      </w:r>
      <w:r w:rsidRPr="00F94B7E">
        <w:rPr>
          <w:rStyle w:val="ssrfcpassagedeactivated"/>
          <w:rFonts w:ascii="Times New Roman" w:eastAsia="Times New Roman,Cambria" w:hAnsi="Times New Roman"/>
          <w:sz w:val="24"/>
          <w:szCs w:val="24"/>
          <w:bdr w:val="none" w:sz="0" w:space="0" w:color="auto" w:frame="1"/>
        </w:rPr>
        <w:t xml:space="preserve">. . . This </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sweeping civil immunity</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 xml:space="preserve"> . . . was intended </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to supersede evolving common law negligence principles which would otherwise permit a finding of liability under the[se] circumstances</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 xml:space="preserve"> </w:t>
      </w:r>
    </w:p>
    <w:p w14:paraId="7D99E21F"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1384CD41" w14:textId="5C349F92" w:rsidR="00FA3CF9" w:rsidRPr="00F94B7E" w:rsidRDefault="00FA3CF9" w:rsidP="00F94B7E">
      <w:pPr>
        <w:pStyle w:val="NormalWeb"/>
        <w:shd w:val="clear" w:color="auto" w:fill="FFFFFF" w:themeFill="background1"/>
        <w:spacing w:before="0" w:beforeAutospacing="0" w:after="0" w:afterAutospacing="0"/>
        <w:ind w:firstLine="720"/>
        <w:textAlignment w:val="baseline"/>
        <w:rPr>
          <w:rStyle w:val="ssrfcpassagedeactivated"/>
          <w:rFonts w:ascii="Times New Roman" w:eastAsia="Times New Roman,Cambria" w:hAnsi="Times New Roman"/>
          <w:sz w:val="24"/>
          <w:szCs w:val="24"/>
        </w:rPr>
      </w:pPr>
      <w:r w:rsidRPr="00F94B7E">
        <w:rPr>
          <w:rStyle w:val="ssrfcpassagedeactivated"/>
          <w:rFonts w:ascii="Times New Roman" w:eastAsia="Times New Roman,Cambria" w:hAnsi="Times New Roman"/>
          <w:sz w:val="24"/>
          <w:szCs w:val="24"/>
          <w:bdr w:val="none" w:sz="0" w:space="0" w:color="auto" w:frame="1"/>
        </w:rPr>
        <w:t>The third prong of the legislative response to this court</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 xml:space="preserve">s recognition of potential liability in alcohol cases authorized a </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single statutory exception to the broad immunity created by the 1978 amendments.</w:t>
      </w:r>
      <w:r w:rsidR="00B05F31" w:rsidRPr="00F94B7E">
        <w:rPr>
          <w:rStyle w:val="ssrfcpassagedeactivated"/>
          <w:rFonts w:ascii="Times New Roman" w:eastAsia="Times New Roman,Cambria" w:hAnsi="Times New Roman"/>
          <w:sz w:val="24"/>
          <w:szCs w:val="24"/>
          <w:bdr w:val="none" w:sz="0" w:space="0" w:color="auto" w:frame="1"/>
        </w:rPr>
        <w:t>”</w:t>
      </w:r>
      <w:r w:rsidRPr="00F94B7E">
        <w:rPr>
          <w:rStyle w:val="ssrfcpassagedeactivated"/>
          <w:rFonts w:ascii="Times New Roman" w:eastAsia="Times New Roman,Cambria" w:hAnsi="Times New Roman"/>
          <w:sz w:val="24"/>
          <w:szCs w:val="24"/>
          <w:bdr w:val="none" w:sz="0" w:space="0" w:color="auto" w:frame="1"/>
        </w:rPr>
        <w:t xml:space="preserve"> . . . Newly enacted </w:t>
      </w:r>
      <w:r w:rsidRPr="00F349EC">
        <w:rPr>
          <w:rStyle w:val="ssrfcpassagedeactivated"/>
          <w:rFonts w:ascii="Times New Roman" w:eastAsia="Times New Roman" w:hAnsi="Times New Roman"/>
          <w:sz w:val="24"/>
          <w:szCs w:val="24"/>
          <w:bdr w:val="none" w:sz="0" w:space="0" w:color="auto" w:frame="1"/>
        </w:rPr>
        <w:t>section 25602.1</w:t>
      </w:r>
      <w:r w:rsidRPr="00F349EC">
        <w:rPr>
          <w:rStyle w:val="apple-converted-space"/>
          <w:rFonts w:ascii="Times New Roman" w:eastAsia="Times New Roman" w:hAnsi="Times New Roman"/>
          <w:sz w:val="24"/>
          <w:szCs w:val="24"/>
          <w:bdr w:val="none" w:sz="0" w:space="0" w:color="auto" w:frame="1"/>
        </w:rPr>
        <w:t> </w:t>
      </w:r>
      <w:r w:rsidRPr="00F94B7E">
        <w:rPr>
          <w:rStyle w:val="ssrfcpassagedeactivated"/>
          <w:rFonts w:ascii="Times New Roman" w:eastAsia="Times New Roman,Cambria" w:hAnsi="Times New Roman"/>
          <w:sz w:val="24"/>
          <w:szCs w:val="24"/>
          <w:bdr w:val="none" w:sz="0" w:space="0" w:color="auto" w:frame="1"/>
        </w:rPr>
        <w:t>. . . concerned underage drinkers and authorized a cause of action against licensees . . . who sell, furnish, or give away alcoholic beverages to obviously intoxicated minors who later injure themselves or others.</w:t>
      </w:r>
      <w:r w:rsidRPr="00F349EC">
        <w:rPr>
          <w:rStyle w:val="apple-converted-space"/>
          <w:rFonts w:ascii="Times New Roman" w:eastAsia="Times New Roman" w:hAnsi="Times New Roman"/>
          <w:sz w:val="24"/>
          <w:szCs w:val="24"/>
          <w:bdr w:val="none" w:sz="0" w:space="0" w:color="auto" w:frame="1"/>
        </w:rPr>
        <w:t> </w:t>
      </w:r>
      <w:r w:rsidRPr="00F94B7E">
        <w:rPr>
          <w:rStyle w:val="ssrfcpassagedeactivated"/>
          <w:rFonts w:ascii="Times New Roman" w:eastAsia="Times New Roman,Cambria" w:hAnsi="Times New Roman"/>
          <w:sz w:val="24"/>
          <w:szCs w:val="24"/>
          <w:bdr w:val="none" w:sz="0" w:space="0" w:color="auto" w:frame="1"/>
        </w:rPr>
        <w:t xml:space="preserve">. . . </w:t>
      </w:r>
    </w:p>
    <w:p w14:paraId="68C2F22E" w14:textId="77777777" w:rsidR="00FA3CF9" w:rsidRPr="00F349EC"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19D1B810" w14:textId="5F34F3CC"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F349EC">
        <w:rPr>
          <w:rFonts w:ascii="Times New Roman" w:eastAsia="Times New Roman" w:hAnsi="Times New Roman"/>
          <w:sz w:val="24"/>
          <w:szCs w:val="24"/>
          <w:bdr w:val="none" w:sz="0" w:space="0" w:color="auto" w:frame="1"/>
        </w:rPr>
        <w:t>Section 25602.1</w:t>
      </w:r>
      <w:r w:rsidR="00B05F31" w:rsidRPr="00F349EC">
        <w:rPr>
          <w:rFonts w:ascii="Times New Roman" w:eastAsia="Times New Roman" w:hAnsi="Times New Roman"/>
          <w:sz w:val="24"/>
          <w:szCs w:val="24"/>
        </w:rPr>
        <w:t>’</w:t>
      </w:r>
      <w:r w:rsidRPr="00ED7BEB">
        <w:rPr>
          <w:rFonts w:ascii="Times New Roman" w:eastAsia="Times New Roman" w:hAnsi="Times New Roman"/>
          <w:sz w:val="24"/>
          <w:szCs w:val="24"/>
        </w:rPr>
        <w:t xml:space="preserve">s exception to immunity now embraces those required to be licensed </w:t>
      </w:r>
      <w:r w:rsidRPr="00B06D0A">
        <w:rPr>
          <w:rFonts w:ascii="Times New Roman" w:eastAsia="Times New Roman" w:hAnsi="Times New Roman"/>
          <w:sz w:val="24"/>
          <w:szCs w:val="24"/>
        </w:rPr>
        <w:t xml:space="preserve">and those who sell alcohol on military bases. In addition, the Legislature excepted from the rule of civil immunity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any other person</w:t>
      </w:r>
      <w:r w:rsidR="00B05F31" w:rsidRPr="00B06D0A">
        <w:rPr>
          <w:rFonts w:ascii="Times New Roman" w:eastAsia="Times New Roman" w:hAnsi="Times New Roman"/>
          <w:sz w:val="24"/>
          <w:szCs w:val="24"/>
        </w:rPr>
        <w:t>”</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who sells alcohol to an obviously intoxicated minor.</w:t>
      </w:r>
    </w:p>
    <w:p w14:paraId="1D8F0020"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12049BF4" w14:textId="2FFD1241"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In sum, if a plaintiff can establish the defendant provided alcohol to an obviously intoxicated minor, and that such action was the proximate cause of the plaintiff</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injuries or death,</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bdr w:val="none" w:sz="0" w:space="0" w:color="auto" w:frame="1"/>
        </w:rPr>
        <w:t>section 25602.1</w:t>
      </w:r>
      <w:r w:rsidRPr="00B06D0A">
        <w:rPr>
          <w:rFonts w:ascii="Times New Roman" w:eastAsia="Times New Roman" w:hAnsi="Times New Roman"/>
          <w:sz w:val="24"/>
          <w:szCs w:val="24"/>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any other person</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B06D0A">
        <w:rPr>
          <w:rStyle w:val="apple-converted-space"/>
          <w:rFonts w:ascii="Times New Roman" w:eastAsia="Times New Roman" w:hAnsi="Times New Roman"/>
          <w:sz w:val="24"/>
          <w:szCs w:val="24"/>
        </w:rPr>
        <w:t> </w:t>
      </w:r>
      <w:r w:rsidRPr="00B06D0A">
        <w:rPr>
          <w:rStyle w:val="ssit"/>
          <w:rFonts w:ascii="Times New Roman" w:eastAsia="Times New Roman" w:hAnsi="Times New Roman"/>
          <w:sz w:val="24"/>
          <w:szCs w:val="24"/>
          <w:bdr w:val="none" w:sz="0" w:space="0" w:color="auto" w:frame="1"/>
        </w:rPr>
        <w:t>sale</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occurs; that is, a nonlicensee, such as</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a social host, who merely furnishes or gives drinks away—even to an obviously intoxicated minor—retains his or her statutory immunity</w:t>
      </w:r>
      <w:r w:rsidRPr="00B06D0A">
        <w:rPr>
          <w:rFonts w:ascii="Times New Roman" w:eastAsia="Times New Roman" w:hAnsi="Times New Roman"/>
          <w:sz w:val="24"/>
          <w:szCs w:val="24"/>
          <w:shd w:val="clear" w:color="auto" w:fill="FFFFFF"/>
        </w:rPr>
        <w:t>. . . .</w:t>
      </w:r>
    </w:p>
    <w:p w14:paraId="55DF8853"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7B7DCA31" w14:textId="7AB8F4CA"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F94B7E">
        <w:rPr>
          <w:rStyle w:val="ssib"/>
          <w:rFonts w:ascii="Times New Roman" w:eastAsia="Times New Roman,ＭＳ ゴシック" w:hAnsi="Times New Roman"/>
          <w:sz w:val="24"/>
          <w:szCs w:val="24"/>
          <w:bdr w:val="none" w:sz="0" w:space="0" w:color="auto" w:frame="1"/>
        </w:rPr>
        <w:t>[D]</w:t>
      </w:r>
      <w:r w:rsidRPr="00F349EC">
        <w:rPr>
          <w:rFonts w:ascii="Times New Roman" w:eastAsia="Times New Roman" w:hAnsi="Times New Roman"/>
          <w:sz w:val="24"/>
          <w:szCs w:val="24"/>
        </w:rPr>
        <w:t>efendant urges us to embrace the Court of Appeal</w:t>
      </w:r>
      <w:r w:rsidR="00B05F31" w:rsidRPr="00F349EC">
        <w:rPr>
          <w:rFonts w:ascii="Times New Roman" w:eastAsia="Times New Roman" w:hAnsi="Times New Roman"/>
          <w:sz w:val="24"/>
          <w:szCs w:val="24"/>
        </w:rPr>
        <w:t>’</w:t>
      </w:r>
      <w:r w:rsidRPr="00ED7BEB">
        <w:rPr>
          <w:rFonts w:ascii="Times New Roman" w:eastAsia="Times New Roman" w:hAnsi="Times New Roman"/>
          <w:sz w:val="24"/>
          <w:szCs w:val="24"/>
        </w:rPr>
        <w:t xml:space="preserve">s reasoning, which found no sale because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there [was] no transfer of title to an alcoholic beverage at the time the entrance fee [was] paid,</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and that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it is difficult, if not impossible, to determine which individual or individuals held title to the alcoholic beverages consumed by Garcia.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B06D0A" w:rsidRDefault="00FA3CF9" w:rsidP="00F94B7E">
      <w:pPr>
        <w:pStyle w:val="NormalWeb"/>
        <w:shd w:val="clear" w:color="auto" w:fill="FFFFFF"/>
        <w:spacing w:before="0" w:beforeAutospacing="0" w:after="0" w:afterAutospacing="0"/>
        <w:textAlignment w:val="baseline"/>
        <w:rPr>
          <w:rFonts w:ascii="Times New Roman" w:hAnsi="Times New Roman"/>
          <w:sz w:val="24"/>
          <w:szCs w:val="24"/>
        </w:rPr>
      </w:pPr>
    </w:p>
    <w:p w14:paraId="7D476E0F" w14:textId="63ACF774" w:rsidR="00FA3CF9" w:rsidRPr="00B06D0A" w:rsidRDefault="750671CE"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sale,</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 . .  includes Garcia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 payment of the entrance fee for Manosa</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s party, irrespective of the fact possession of a particular drink did not occur immediately upon payment. . . . </w:t>
      </w:r>
    </w:p>
    <w:p w14:paraId="385636ED" w14:textId="77777777" w:rsidR="00FA3CF9" w:rsidRPr="00B06D0A" w:rsidRDefault="00FA3CF9" w:rsidP="00F94B7E">
      <w:pPr>
        <w:pStyle w:val="NormalWeb"/>
        <w:shd w:val="clear" w:color="auto" w:fill="FFFFFF"/>
        <w:spacing w:before="0" w:beforeAutospacing="0" w:after="0" w:afterAutospacing="0"/>
        <w:textAlignment w:val="baseline"/>
        <w:rPr>
          <w:rStyle w:val="ssrfcpassagedeactivated"/>
          <w:rFonts w:ascii="Times New Roman" w:eastAsiaTheme="minorHAnsi" w:hAnsi="Times New Roman"/>
          <w:sz w:val="24"/>
          <w:szCs w:val="24"/>
          <w:bdr w:val="none" w:sz="0" w:space="0" w:color="auto" w:frame="1"/>
        </w:rPr>
      </w:pPr>
    </w:p>
    <w:p w14:paraId="5E85F724" w14:textId="491AA132"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Because [Manosa] sold Garcia alcoholic beverages at her party,</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bdr w:val="none" w:sz="0" w:space="0" w:color="auto" w:frame="1"/>
        </w:rPr>
        <w:t>[the statute] permits</w:t>
      </w:r>
      <w:r w:rsidRPr="00B06D0A">
        <w:rPr>
          <w:rFonts w:ascii="Times New Roman" w:eastAsia="Times New Roman" w:hAnsi="Times New Roman"/>
          <w:sz w:val="24"/>
          <w:szCs w:val="24"/>
        </w:rPr>
        <w:t xml:space="preserve">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a cause of action [to] be brought [against her] by or on behalf of any person who has suffered injury or death.</w:t>
      </w:r>
      <w:r w:rsidR="00B05F31" w:rsidRPr="00B06D0A">
        <w:rPr>
          <w:rFonts w:ascii="Times New Roman" w:eastAsia="Times New Roman" w:hAnsi="Times New Roman"/>
          <w:sz w:val="24"/>
          <w:szCs w:val="24"/>
        </w:rPr>
        <w:t>”</w:t>
      </w:r>
    </w:p>
    <w:p w14:paraId="54670023"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0E7D1350" w14:textId="0D79CA1B" w:rsidR="00FA3CF9" w:rsidRPr="00B06D0A" w:rsidRDefault="750671CE"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 .</w:t>
      </w:r>
    </w:p>
    <w:p w14:paraId="6F5A9A4F"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01DEB606" w14:textId="144B34FE" w:rsidR="00FA3CF9" w:rsidRPr="00B06D0A" w:rsidRDefault="00FA3CF9" w:rsidP="00F94B7E">
      <w:pPr>
        <w:pStyle w:val="NormalWeb"/>
        <w:shd w:val="clear" w:color="auto" w:fill="FFFFFF" w:themeFill="background1"/>
        <w:spacing w:before="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 xml:space="preserve">Noting that alcohol is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furnished at an infinite variety of social settings hosted by nonlicensees—from gallery openings, bar mitzvahs, weddings, political fundraisers and charity events—where admission is not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free</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and financial contributions from attendees are expected or required,</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defendant argues by a</w:t>
      </w:r>
      <w:r w:rsidRPr="00B06D0A">
        <w:rPr>
          <w:rStyle w:val="apple-converted-space"/>
          <w:rFonts w:ascii="Times New Roman" w:eastAsia="Times New Roman" w:hAnsi="Times New Roman"/>
          <w:sz w:val="24"/>
          <w:szCs w:val="24"/>
        </w:rPr>
        <w:t> </w:t>
      </w:r>
      <w:r w:rsidRPr="00B06D0A">
        <w:rPr>
          <w:rStyle w:val="ssit"/>
          <w:rFonts w:ascii="Times New Roman" w:eastAsia="Times New Roman" w:hAnsi="Times New Roman"/>
          <w:sz w:val="24"/>
          <w:szCs w:val="24"/>
          <w:bdr w:val="none" w:sz="0" w:space="0" w:color="auto" w:frame="1"/>
        </w:rPr>
        <w:t>reductio ad absurdum</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 xml:space="preserve">that this court would wreak havoc on the </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social fabric of modern life.</w:t>
      </w:r>
      <w:r w:rsidR="00B05F31" w:rsidRPr="00B06D0A">
        <w:rPr>
          <w:rFonts w:ascii="Times New Roman" w:eastAsia="Times New Roman" w:hAnsi="Times New Roman"/>
          <w:sz w:val="24"/>
          <w:szCs w:val="24"/>
        </w:rPr>
        <w:t>”</w:t>
      </w:r>
      <w:r w:rsidRPr="00B06D0A">
        <w:rPr>
          <w:rFonts w:ascii="Times New Roman" w:eastAsia="Times New Roman" w:hAnsi="Times New Roman"/>
          <w:sz w:val="24"/>
          <w:szCs w:val="24"/>
        </w:rPr>
        <w:t xml:space="preserve"> . . . The assertion is exaggerated. One does</w:t>
      </w:r>
      <w:r w:rsidRPr="00B06D0A">
        <w:rPr>
          <w:rStyle w:val="apple-converted-space"/>
          <w:rFonts w:ascii="Times New Roman" w:eastAsia="Times New Roman" w:hAnsi="Times New Roman"/>
          <w:sz w:val="24"/>
          <w:szCs w:val="24"/>
        </w:rPr>
        <w:t> </w:t>
      </w:r>
      <w:r w:rsidRPr="00B06D0A">
        <w:rPr>
          <w:rFonts w:ascii="Times New Roman" w:eastAsia="Times New Roman" w:hAnsi="Times New Roman"/>
          <w:sz w:val="24"/>
          <w:szCs w:val="24"/>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B06D0A" w:rsidRDefault="00FA3CF9" w:rsidP="00F94B7E">
      <w:pPr>
        <w:pStyle w:val="NormalWeb"/>
        <w:shd w:val="clear" w:color="auto" w:fill="FFFFFF"/>
        <w:spacing w:before="0" w:beforeAutospacing="0" w:after="0" w:afterAutospacing="0"/>
        <w:ind w:firstLine="720"/>
        <w:textAlignment w:val="baseline"/>
        <w:rPr>
          <w:rFonts w:ascii="Times New Roman" w:hAnsi="Times New Roman"/>
          <w:sz w:val="24"/>
          <w:szCs w:val="24"/>
        </w:rPr>
      </w:pPr>
    </w:p>
    <w:p w14:paraId="221E78AC" w14:textId="243CBD2E" w:rsidR="00FA3CF9" w:rsidRPr="00F349EC" w:rsidRDefault="00FA3CF9" w:rsidP="00F94B7E">
      <w:pPr>
        <w:pStyle w:val="NormalWeb"/>
        <w:shd w:val="clear" w:color="auto" w:fill="FFFFFF" w:themeFill="background1"/>
        <w:spacing w:before="0" w:beforeAutospacing="0" w:after="0" w:afterAutospacing="0"/>
        <w:textAlignment w:val="baseline"/>
        <w:rPr>
          <w:rFonts w:ascii="Times New Roman" w:eastAsia="Times New Roman" w:hAnsi="Times New Roman"/>
          <w:sz w:val="24"/>
          <w:szCs w:val="24"/>
        </w:rPr>
      </w:pPr>
      <w:r w:rsidRPr="00F94B7E">
        <w:rPr>
          <w:rStyle w:val="ssrfcpassagedeactivated"/>
          <w:rFonts w:ascii="Times New Roman" w:eastAsia="Times New Roman,Cambria" w:hAnsi="Times New Roman"/>
          <w:sz w:val="24"/>
          <w:szCs w:val="24"/>
          <w:bdr w:val="none" w:sz="0" w:space="0" w:color="auto" w:frame="1"/>
        </w:rPr>
        <w:t>. . .</w:t>
      </w:r>
    </w:p>
    <w:p w14:paraId="06082DEA" w14:textId="77777777" w:rsidR="00FA3CF9" w:rsidRPr="00B06D0A" w:rsidRDefault="750671CE" w:rsidP="00F94B7E">
      <w:pPr>
        <w:pStyle w:val="NormalWeb"/>
        <w:shd w:val="clear" w:color="auto" w:fill="FFFFFF" w:themeFill="background1"/>
        <w:spacing w:before="240" w:beforeAutospacing="0" w:after="0" w:afterAutospacing="0"/>
        <w:ind w:firstLine="720"/>
        <w:textAlignment w:val="baseline"/>
        <w:rPr>
          <w:rFonts w:ascii="Times New Roman" w:eastAsia="Times New Roman" w:hAnsi="Times New Roman"/>
          <w:sz w:val="24"/>
          <w:szCs w:val="24"/>
        </w:rPr>
      </w:pPr>
      <w:r w:rsidRPr="00B06D0A">
        <w:rPr>
          <w:rFonts w:ascii="Times New Roman" w:eastAsia="Times New Roman" w:hAnsi="Times New Roman"/>
          <w:sz w:val="24"/>
          <w:szCs w:val="24"/>
        </w:rPr>
        <w:t>The decision of the Court of Appeal is reversed and the case remanded for further proceedings consistent with our opinion.</w:t>
      </w:r>
    </w:p>
    <w:p w14:paraId="688F8E3D" w14:textId="36707F75" w:rsidR="00FA3CF9" w:rsidRDefault="00FA3CF9" w:rsidP="00F349EC">
      <w:pPr>
        <w:widowControl w:val="0"/>
        <w:autoSpaceDE w:val="0"/>
        <w:autoSpaceDN w:val="0"/>
        <w:adjustRightInd w:val="0"/>
        <w:rPr>
          <w:rFonts w:ascii="Times New Roman" w:hAnsi="Times New Roman" w:cs="Times New Roman"/>
        </w:rPr>
      </w:pPr>
    </w:p>
    <w:p w14:paraId="3ED54C57" w14:textId="77777777" w:rsidR="005468ED" w:rsidRPr="00B06D0A" w:rsidRDefault="005468ED" w:rsidP="00F349EC">
      <w:pPr>
        <w:widowControl w:val="0"/>
        <w:autoSpaceDE w:val="0"/>
        <w:autoSpaceDN w:val="0"/>
        <w:adjustRightInd w:val="0"/>
        <w:rPr>
          <w:rFonts w:ascii="Times New Roman" w:hAnsi="Times New Roman" w:cs="Times New Roman"/>
        </w:rPr>
      </w:pPr>
    </w:p>
    <w:p w14:paraId="6650A109" w14:textId="77777777" w:rsidR="00FA3CF9" w:rsidRPr="00A559C4" w:rsidRDefault="00FA3CF9" w:rsidP="00910387">
      <w:pPr>
        <w:pStyle w:val="Heading5"/>
      </w:pPr>
      <w:bookmarkStart w:id="804" w:name="_Toc265592550"/>
      <w:bookmarkStart w:id="805" w:name="_Toc364636228"/>
      <w:bookmarkStart w:id="806" w:name="_Toc518323477"/>
      <w:r w:rsidRPr="00C14ACE">
        <w:t>Note</w:t>
      </w:r>
      <w:bookmarkEnd w:id="804"/>
      <w:bookmarkEnd w:id="805"/>
      <w:bookmarkEnd w:id="806"/>
    </w:p>
    <w:p w14:paraId="3E3ED62C" w14:textId="77777777" w:rsidR="00FA3CF9" w:rsidRDefault="00FA3CF9">
      <w:pPr>
        <w:widowControl w:val="0"/>
        <w:autoSpaceDE w:val="0"/>
        <w:autoSpaceDN w:val="0"/>
        <w:adjustRightInd w:val="0"/>
        <w:rPr>
          <w:rFonts w:ascii="Times New Roman" w:hAnsi="Times New Roman" w:cs="Times New Roman"/>
        </w:rPr>
      </w:pPr>
    </w:p>
    <w:p w14:paraId="17DE81C5" w14:textId="77777777" w:rsidR="005468ED" w:rsidRPr="00B06D0A" w:rsidRDefault="005468ED">
      <w:pPr>
        <w:widowControl w:val="0"/>
        <w:autoSpaceDE w:val="0"/>
        <w:autoSpaceDN w:val="0"/>
        <w:adjustRightInd w:val="0"/>
        <w:rPr>
          <w:rFonts w:ascii="Times New Roman" w:hAnsi="Times New Roman" w:cs="Times New Roman"/>
        </w:rPr>
      </w:pPr>
    </w:p>
    <w:p w14:paraId="0BAB3226" w14:textId="6477F7CC" w:rsidR="00FA3CF9" w:rsidRPr="00F94B7E" w:rsidRDefault="750671CE" w:rsidP="00F94B7E">
      <w:pPr>
        <w:pStyle w:val="ListParagraph"/>
        <w:widowControl w:val="0"/>
        <w:numPr>
          <w:ilvl w:val="0"/>
          <w:numId w:val="119"/>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Social hosts and liquor sales</w:t>
      </w:r>
      <w:r w:rsidRPr="00F94B7E">
        <w:rPr>
          <w:rFonts w:ascii="Times New Roman" w:eastAsia="Times New Roman" w:hAnsi="Times New Roman" w:cs="Times New Roman"/>
        </w:rPr>
        <w:t>.  Historically, an injured third party could not sue a social host or liquor vendor for providing alcohol to a tortfeasor. Courts refused to impose liability in these situations for three reasons. First, courts held that the consumption, not the sale or provision, of alcohol caused the injury. Second, courts regarded the intoxicated tortfeasor</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act as an intervening, superseding cause. Third, courts believed that intoxicated individuals were largely responsible for their own actions. LaDonna Hatton, Note, </w:t>
      </w:r>
      <w:r w:rsidRPr="00F94B7E">
        <w:rPr>
          <w:rFonts w:ascii="Times New Roman" w:eastAsia="Times New Roman" w:hAnsi="Times New Roman" w:cs="Times New Roman"/>
          <w:i/>
          <w:iCs/>
        </w:rPr>
        <w:t>Common Law Negligence Theory of Social Host Liability for Serving Alcohol to Obviously Intoxicated Guests</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26 B.C. L. Rev</w:t>
      </w:r>
      <w:r w:rsidRPr="00F94B7E">
        <w:rPr>
          <w:rFonts w:ascii="Times New Roman" w:eastAsia="Times New Roman" w:hAnsi="Times New Roman" w:cs="Times New Roman"/>
        </w:rPr>
        <w:t xml:space="preserve">. 1249, 1249-50 (1985). </w:t>
      </w:r>
    </w:p>
    <w:p w14:paraId="41AF9F51" w14:textId="77777777" w:rsidR="00FA3CF9" w:rsidRPr="00B06D0A" w:rsidRDefault="00FA3CF9">
      <w:pPr>
        <w:widowControl w:val="0"/>
        <w:autoSpaceDE w:val="0"/>
        <w:autoSpaceDN w:val="0"/>
        <w:adjustRightInd w:val="0"/>
        <w:rPr>
          <w:rFonts w:ascii="Times New Roman" w:hAnsi="Times New Roman" w:cs="Times New Roman"/>
        </w:rPr>
      </w:pPr>
    </w:p>
    <w:p w14:paraId="097FB32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Courts gradually began to impose liability on liquor vendors under a negligence theory.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Lopez v. Maez</w:t>
      </w:r>
      <w:r w:rsidRPr="00B06D0A">
        <w:rPr>
          <w:rFonts w:ascii="Times New Roman" w:eastAsia="Times New Roman" w:hAnsi="Times New Roman" w:cs="Times New Roman"/>
        </w:rPr>
        <w:t xml:space="preserve">, 651 P.2d 1269 (N.M. 1982). In the mid-1980s, courts also began to impose liability on social hosts under a negligence theory.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Kelly v. Gwinnell</w:t>
      </w:r>
      <w:r w:rsidRPr="00B06D0A">
        <w:rPr>
          <w:rFonts w:ascii="Times New Roman" w:eastAsia="Times New Roman" w:hAnsi="Times New Roman" w:cs="Times New Roman"/>
        </w:rPr>
        <w:t xml:space="preserve">, 476 A.2d 1219 (N.J. 1984).  </w:t>
      </w:r>
    </w:p>
    <w:p w14:paraId="0308B903" w14:textId="77777777" w:rsidR="00FA3CF9" w:rsidRPr="00B06D0A" w:rsidRDefault="00FA3CF9">
      <w:pPr>
        <w:widowControl w:val="0"/>
        <w:autoSpaceDE w:val="0"/>
        <w:autoSpaceDN w:val="0"/>
        <w:adjustRightInd w:val="0"/>
        <w:rPr>
          <w:rFonts w:ascii="Times New Roman" w:hAnsi="Times New Roman" w:cs="Times New Roman"/>
        </w:rPr>
      </w:pPr>
    </w:p>
    <w:p w14:paraId="00AE5367"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Currently, thirteen states and the District of Columbia decline to impose liability on social hosts under a negligence theory. </w:t>
      </w:r>
      <w:r w:rsidRPr="00B06D0A">
        <w:rPr>
          <w:rFonts w:ascii="Times New Roman" w:eastAsia="Times New Roman" w:hAnsi="Times New Roman" w:cs="Times New Roman"/>
          <w:i/>
          <w:iCs/>
        </w:rPr>
        <w:t>See Cartwright v. Hyatt Corp.</w:t>
      </w:r>
      <w:r w:rsidRPr="00B06D0A">
        <w:rPr>
          <w:rFonts w:ascii="Times New Roman" w:eastAsia="Times New Roman" w:hAnsi="Times New Roman" w:cs="Times New Roman"/>
        </w:rPr>
        <w:t>, 460 F. Supp. 80 (D.D.C. 1978);</w:t>
      </w:r>
      <w:r w:rsidRPr="00B06D0A">
        <w:rPr>
          <w:rFonts w:ascii="Times New Roman" w:eastAsia="Times New Roman" w:hAnsi="Times New Roman" w:cs="Times New Roman"/>
          <w:i/>
          <w:iCs/>
        </w:rPr>
        <w:t xml:space="preserve"> Mulvihill v. Union Oil Co. of Cal.</w:t>
      </w:r>
      <w:r w:rsidRPr="00B06D0A">
        <w:rPr>
          <w:rFonts w:ascii="Times New Roman" w:eastAsia="Times New Roman" w:hAnsi="Times New Roman" w:cs="Times New Roman"/>
        </w:rPr>
        <w:t>, 859 P.2d 1310 (Alaska 1993);</w:t>
      </w:r>
      <w:r w:rsidRPr="00B06D0A">
        <w:rPr>
          <w:rFonts w:ascii="Times New Roman" w:eastAsia="Times New Roman" w:hAnsi="Times New Roman" w:cs="Times New Roman"/>
          <w:i/>
          <w:iCs/>
        </w:rPr>
        <w:t xml:space="preserve"> Shea v. Matassa</w:t>
      </w:r>
      <w:r w:rsidRPr="00B06D0A">
        <w:rPr>
          <w:rFonts w:ascii="Times New Roman" w:eastAsia="Times New Roman" w:hAnsi="Times New Roman" w:cs="Times New Roman"/>
        </w:rPr>
        <w:t xml:space="preserve">, 918 A.2d 1090 (Del. 2007); </w:t>
      </w:r>
      <w:r w:rsidRPr="00B06D0A">
        <w:rPr>
          <w:rFonts w:ascii="Times New Roman" w:eastAsia="Times New Roman" w:hAnsi="Times New Roman" w:cs="Times New Roman"/>
          <w:i/>
          <w:iCs/>
        </w:rPr>
        <w:t>Bankston v. Brennan</w:t>
      </w:r>
      <w:r w:rsidRPr="00B06D0A">
        <w:rPr>
          <w:rFonts w:ascii="Times New Roman" w:eastAsia="Times New Roman" w:hAnsi="Times New Roman" w:cs="Times New Roman"/>
        </w:rPr>
        <w:t xml:space="preserve">, 507 So. 2d 1385 (Fla. 1987); </w:t>
      </w:r>
      <w:r w:rsidRPr="00B06D0A">
        <w:rPr>
          <w:rFonts w:ascii="Times New Roman" w:eastAsia="Times New Roman" w:hAnsi="Times New Roman" w:cs="Times New Roman"/>
          <w:i/>
          <w:iCs/>
        </w:rPr>
        <w:t>Johnston v. KFC Nat. Mgmt. Co.</w:t>
      </w:r>
      <w:r w:rsidRPr="00B06D0A">
        <w:rPr>
          <w:rFonts w:ascii="Times New Roman" w:eastAsia="Times New Roman" w:hAnsi="Times New Roman" w:cs="Times New Roman"/>
        </w:rPr>
        <w:t xml:space="preserve">, 788 P.2d 159 (Haw. 1990); </w:t>
      </w:r>
      <w:r w:rsidRPr="00B06D0A">
        <w:rPr>
          <w:rFonts w:ascii="Times New Roman" w:eastAsia="Times New Roman" w:hAnsi="Times New Roman" w:cs="Times New Roman"/>
          <w:i/>
          <w:iCs/>
        </w:rPr>
        <w:t>Charles v. Seigfried</w:t>
      </w:r>
      <w:r w:rsidRPr="00B06D0A">
        <w:rPr>
          <w:rFonts w:ascii="Times New Roman" w:eastAsia="Times New Roman" w:hAnsi="Times New Roman" w:cs="Times New Roman"/>
        </w:rPr>
        <w:t>, 651 N.E.2d 154 (Ill. 1995);</w:t>
      </w:r>
      <w:r w:rsidRPr="00B06D0A">
        <w:rPr>
          <w:rFonts w:ascii="Times New Roman" w:eastAsia="Times New Roman" w:hAnsi="Times New Roman" w:cs="Times New Roman"/>
          <w:i/>
          <w:iCs/>
        </w:rPr>
        <w:t xml:space="preserve"> Thies v. Cooper</w:t>
      </w:r>
      <w:r w:rsidRPr="00B06D0A">
        <w:rPr>
          <w:rFonts w:ascii="Times New Roman" w:eastAsia="Times New Roman" w:hAnsi="Times New Roman" w:cs="Times New Roman"/>
        </w:rPr>
        <w:t xml:space="preserve">, 753 P.2d 1280 (Kan. 1988); </w:t>
      </w:r>
      <w:r w:rsidRPr="00B06D0A">
        <w:rPr>
          <w:rFonts w:ascii="Times New Roman" w:eastAsia="Times New Roman" w:hAnsi="Times New Roman" w:cs="Times New Roman"/>
          <w:i/>
          <w:iCs/>
        </w:rPr>
        <w:t>Harriman v. Smith</w:t>
      </w:r>
      <w:r w:rsidRPr="00B06D0A">
        <w:rPr>
          <w:rFonts w:ascii="Times New Roman" w:eastAsia="Times New Roman" w:hAnsi="Times New Roman" w:cs="Times New Roman"/>
        </w:rPr>
        <w:t xml:space="preserve">, 697 S.W.2d 219 (Mo. Ct. App. 1985); </w:t>
      </w:r>
      <w:r w:rsidRPr="00B06D0A">
        <w:rPr>
          <w:rFonts w:ascii="Times New Roman" w:eastAsia="Times New Roman" w:hAnsi="Times New Roman" w:cs="Times New Roman"/>
          <w:i/>
          <w:iCs/>
        </w:rPr>
        <w:t>Pelzek v. Am. Legion</w:t>
      </w:r>
      <w:r w:rsidRPr="00B06D0A">
        <w:rPr>
          <w:rFonts w:ascii="Times New Roman" w:eastAsia="Times New Roman" w:hAnsi="Times New Roman" w:cs="Times New Roman"/>
        </w:rPr>
        <w:t xml:space="preserve">, 463 N.W.2d 321 (Neb. 1990); </w:t>
      </w:r>
      <w:r w:rsidRPr="00B06D0A">
        <w:rPr>
          <w:rFonts w:ascii="Times New Roman" w:eastAsia="Times New Roman" w:hAnsi="Times New Roman" w:cs="Times New Roman"/>
          <w:i/>
          <w:iCs/>
        </w:rPr>
        <w:t>McGee v. Alexander</w:t>
      </w:r>
      <w:r w:rsidRPr="00B06D0A">
        <w:rPr>
          <w:rFonts w:ascii="Times New Roman" w:eastAsia="Times New Roman" w:hAnsi="Times New Roman" w:cs="Times New Roman"/>
        </w:rPr>
        <w:t xml:space="preserve">, 37 P.3d 800 (Okla. 2001); </w:t>
      </w:r>
      <w:r w:rsidRPr="00B06D0A">
        <w:rPr>
          <w:rFonts w:ascii="Times New Roman" w:eastAsia="Times New Roman" w:hAnsi="Times New Roman" w:cs="Times New Roman"/>
          <w:i/>
          <w:iCs/>
        </w:rPr>
        <w:t>Ferreira v. Stack</w:t>
      </w:r>
      <w:r w:rsidRPr="00B06D0A">
        <w:rPr>
          <w:rFonts w:ascii="Times New Roman" w:eastAsia="Times New Roman" w:hAnsi="Times New Roman" w:cs="Times New Roman"/>
        </w:rPr>
        <w:t xml:space="preserve">, 652 A.2d 965 (R.I. 1995); </w:t>
      </w:r>
      <w:r w:rsidRPr="00B06D0A">
        <w:rPr>
          <w:rFonts w:ascii="Times New Roman" w:eastAsia="Times New Roman" w:hAnsi="Times New Roman" w:cs="Times New Roman"/>
          <w:i/>
          <w:iCs/>
        </w:rPr>
        <w:t>Garren v. Cummings &amp; McCrady, Inc.</w:t>
      </w:r>
      <w:r w:rsidRPr="00B06D0A">
        <w:rPr>
          <w:rFonts w:ascii="Times New Roman" w:eastAsia="Times New Roman" w:hAnsi="Times New Roman" w:cs="Times New Roman"/>
        </w:rPr>
        <w:t>, 345 S.E.2d 508 (S.C. Ct. App. 1986);</w:t>
      </w:r>
      <w:r w:rsidRPr="00B06D0A">
        <w:rPr>
          <w:rFonts w:ascii="Times New Roman" w:eastAsia="Times New Roman" w:hAnsi="Times New Roman" w:cs="Times New Roman"/>
          <w:i/>
          <w:iCs/>
        </w:rPr>
        <w:t xml:space="preserve"> Reeder v. Daniel</w:t>
      </w:r>
      <w:r w:rsidRPr="00B06D0A">
        <w:rPr>
          <w:rFonts w:ascii="Times New Roman" w:eastAsia="Times New Roman" w:hAnsi="Times New Roman" w:cs="Times New Roman"/>
        </w:rPr>
        <w:t xml:space="preserve">, 61 S.W.3d 359 (Tex. 2001); </w:t>
      </w:r>
      <w:r w:rsidRPr="00B06D0A">
        <w:rPr>
          <w:rFonts w:ascii="Times New Roman" w:eastAsia="Times New Roman" w:hAnsi="Times New Roman" w:cs="Times New Roman"/>
          <w:i/>
          <w:iCs/>
        </w:rPr>
        <w:t>Cox v. Malcolm</w:t>
      </w:r>
      <w:r w:rsidRPr="00B06D0A">
        <w:rPr>
          <w:rFonts w:ascii="Times New Roman" w:eastAsia="Times New Roman" w:hAnsi="Times New Roman" w:cs="Times New Roman"/>
        </w:rPr>
        <w:t>, 808 P.2d 758 (Wash. Ct. App. 1991).</w:t>
      </w:r>
    </w:p>
    <w:p w14:paraId="3AC24972" w14:textId="77777777" w:rsidR="00FA3CF9" w:rsidRPr="00B06D0A" w:rsidRDefault="00FA3CF9">
      <w:pPr>
        <w:widowControl w:val="0"/>
        <w:autoSpaceDE w:val="0"/>
        <w:autoSpaceDN w:val="0"/>
        <w:adjustRightInd w:val="0"/>
        <w:rPr>
          <w:rFonts w:ascii="Times New Roman" w:hAnsi="Times New Roman" w:cs="Times New Roman"/>
        </w:rPr>
      </w:pPr>
    </w:p>
    <w:p w14:paraId="4A887FA3" w14:textId="602F8346"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Four state statutes immunize social hosts from liability. </w:t>
      </w:r>
      <w:r w:rsidR="00B90122">
        <w:rPr>
          <w:rFonts w:ascii="Times New Roman" w:eastAsia="Times New Roman" w:hAnsi="Times New Roman" w:cs="Times New Roman"/>
        </w:rPr>
        <w:t xml:space="preserve">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Ark. Code Ann</w:t>
      </w:r>
      <w:r w:rsidRPr="00B06D0A">
        <w:rPr>
          <w:rFonts w:ascii="Times New Roman" w:eastAsia="Times New Roman" w:hAnsi="Times New Roman" w:cs="Times New Roman"/>
        </w:rPr>
        <w:t xml:space="preserve">. § 16-126-106 (2014); </w:t>
      </w:r>
      <w:r w:rsidRPr="00B06D0A">
        <w:rPr>
          <w:rFonts w:ascii="Times New Roman" w:eastAsia="Times New Roman" w:hAnsi="Times New Roman" w:cs="Times New Roman"/>
          <w:smallCaps/>
        </w:rPr>
        <w:t>Ky. Rev. Stat. Ann</w:t>
      </w:r>
      <w:r w:rsidRPr="00B06D0A">
        <w:rPr>
          <w:rFonts w:ascii="Times New Roman" w:eastAsia="Times New Roman" w:hAnsi="Times New Roman" w:cs="Times New Roman"/>
        </w:rPr>
        <w:t xml:space="preserve">. § 413.241 (West 2014); </w:t>
      </w:r>
      <w:r w:rsidRPr="00B06D0A">
        <w:rPr>
          <w:rFonts w:ascii="Times New Roman" w:eastAsia="Times New Roman" w:hAnsi="Times New Roman" w:cs="Times New Roman"/>
          <w:smallCaps/>
        </w:rPr>
        <w:t>S.D. Codified Laws</w:t>
      </w:r>
      <w:r w:rsidRPr="00B06D0A">
        <w:rPr>
          <w:rFonts w:ascii="Times New Roman" w:eastAsia="Times New Roman" w:hAnsi="Times New Roman" w:cs="Times New Roman"/>
        </w:rPr>
        <w:t xml:space="preserve"> § 35-11-2 (2013); </w:t>
      </w:r>
      <w:r w:rsidRPr="00B06D0A">
        <w:rPr>
          <w:rFonts w:ascii="Times New Roman" w:eastAsia="Times New Roman" w:hAnsi="Times New Roman" w:cs="Times New Roman"/>
          <w:smallCaps/>
        </w:rPr>
        <w:t>Tenn. Code Ann</w:t>
      </w:r>
      <w:r w:rsidRPr="00B06D0A">
        <w:rPr>
          <w:rFonts w:ascii="Times New Roman" w:eastAsia="Times New Roman" w:hAnsi="Times New Roman" w:cs="Times New Roman"/>
        </w:rPr>
        <w:t xml:space="preserve">. § 57-10-101 (2014).  Four states impose liability on social hosts only when they serve alcohol to minors. </w:t>
      </w:r>
      <w:r w:rsidR="00B90122">
        <w:rPr>
          <w:rFonts w:ascii="Times New Roman" w:eastAsia="Times New Roman" w:hAnsi="Times New Roman" w:cs="Times New Roman"/>
        </w:rPr>
        <w:t xml:space="preserve">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Iowa Code Ann.</w:t>
      </w:r>
      <w:r w:rsidRPr="00B06D0A">
        <w:rPr>
          <w:rFonts w:ascii="Times New Roman" w:eastAsia="Times New Roman" w:hAnsi="Times New Roman" w:cs="Times New Roman"/>
        </w:rPr>
        <w:t xml:space="preserve"> § 123.92 (2014); </w:t>
      </w:r>
      <w:r w:rsidRPr="00B06D0A">
        <w:rPr>
          <w:rFonts w:ascii="Times New Roman" w:eastAsia="Times New Roman" w:hAnsi="Times New Roman" w:cs="Times New Roman"/>
          <w:smallCaps/>
        </w:rPr>
        <w:t>Minn. Stat</w:t>
      </w:r>
      <w:r w:rsidRPr="00B06D0A">
        <w:rPr>
          <w:rFonts w:ascii="Times New Roman" w:eastAsia="Times New Roman" w:hAnsi="Times New Roman" w:cs="Times New Roman"/>
        </w:rPr>
        <w:t xml:space="preserve">. § 340A.90 (2014); </w:t>
      </w:r>
      <w:r w:rsidRPr="00B06D0A">
        <w:rPr>
          <w:rFonts w:ascii="Times New Roman" w:eastAsia="Times New Roman" w:hAnsi="Times New Roman" w:cs="Times New Roman"/>
          <w:smallCaps/>
        </w:rPr>
        <w:t>Mont. Code. Ann</w:t>
      </w:r>
      <w:r w:rsidRPr="00B06D0A">
        <w:rPr>
          <w:rFonts w:ascii="Times New Roman" w:eastAsia="Times New Roman" w:hAnsi="Times New Roman" w:cs="Times New Roman"/>
        </w:rPr>
        <w:t xml:space="preserve">. § 16-6-305(4) (2013); </w:t>
      </w:r>
      <w:r w:rsidRPr="00B06D0A">
        <w:rPr>
          <w:rFonts w:ascii="Times New Roman" w:eastAsia="Times New Roman" w:hAnsi="Times New Roman" w:cs="Times New Roman"/>
          <w:smallCaps/>
        </w:rPr>
        <w:t>Nev. Rev. Stat</w:t>
      </w:r>
      <w:r w:rsidRPr="00B06D0A">
        <w:rPr>
          <w:rFonts w:ascii="Times New Roman" w:eastAsia="Times New Roman" w:hAnsi="Times New Roman" w:cs="Times New Roman"/>
        </w:rPr>
        <w:t xml:space="preserve">. § 41.1305 (2013).  </w:t>
      </w:r>
    </w:p>
    <w:p w14:paraId="71956628" w14:textId="77777777" w:rsidR="00FA3CF9" w:rsidRPr="00B06D0A" w:rsidRDefault="00FA3CF9">
      <w:pPr>
        <w:rPr>
          <w:rFonts w:ascii="Times New Roman" w:hAnsi="Times New Roman" w:cs="Times New Roman"/>
        </w:rPr>
      </w:pPr>
    </w:p>
    <w:p w14:paraId="0B7CF37C"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Why should serving alcohol to social guests receive immunization from review for reasonableness when other ordinary social activities are governed uncontroversially by a reasonableness test?  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B06D0A" w:rsidRDefault="00FA3CF9">
      <w:pPr>
        <w:rPr>
          <w:rFonts w:ascii="Times New Roman" w:hAnsi="Times New Roman" w:cs="Times New Roman"/>
        </w:rPr>
      </w:pPr>
    </w:p>
    <w:p w14:paraId="159C9AB9" w14:textId="77777777" w:rsidR="00FA3CF9" w:rsidRPr="00F94B7E" w:rsidRDefault="00FA3CF9">
      <w:pPr>
        <w:rPr>
          <w:rFonts w:ascii="Times New Roman" w:hAnsi="Times New Roman" w:cs="Times New Roman"/>
        </w:rPr>
      </w:pPr>
    </w:p>
    <w:p w14:paraId="77E66A51" w14:textId="341DA95D" w:rsidR="00FA3CF9" w:rsidRPr="00ED7BEB" w:rsidRDefault="00FA3CF9">
      <w:pPr>
        <w:rPr>
          <w:rFonts w:ascii="Times New Roman" w:eastAsia="Times New Roman" w:hAnsi="Times New Roman" w:cs="Times New Roman"/>
          <w:b/>
          <w:bCs/>
        </w:rPr>
      </w:pPr>
      <w:bookmarkStart w:id="807" w:name="_Toc265592551"/>
      <w:bookmarkStart w:id="808" w:name="_Toc518323478"/>
      <w:r w:rsidRPr="00F349EC">
        <w:rPr>
          <w:rStyle w:val="Heading4Char"/>
          <w:szCs w:val="24"/>
        </w:rPr>
        <w:t>Tarasoff v. Regents of the University of California</w:t>
      </w:r>
      <w:bookmarkEnd w:id="807"/>
      <w:bookmarkEnd w:id="808"/>
      <w:r w:rsidR="00733C82" w:rsidRPr="00F349EC">
        <w:rPr>
          <w:rFonts w:ascii="Times New Roman" w:eastAsia="Times New Roman" w:hAnsi="Times New Roman" w:cs="Times New Roman"/>
          <w:b/>
          <w:bCs/>
        </w:rPr>
        <w:t xml:space="preserve">, </w:t>
      </w:r>
      <w:r w:rsidRPr="00F349EC">
        <w:rPr>
          <w:rFonts w:ascii="Times New Roman" w:eastAsia="Times New Roman" w:hAnsi="Times New Roman" w:cs="Times New Roman"/>
          <w:b/>
          <w:bCs/>
        </w:rPr>
        <w:t>551 P.2d 334 (Cal. 1976)</w:t>
      </w:r>
    </w:p>
    <w:p w14:paraId="5D89985D" w14:textId="77777777" w:rsidR="00FA3CF9" w:rsidRPr="00B06D0A" w:rsidRDefault="00FA3CF9">
      <w:pPr>
        <w:widowControl w:val="0"/>
        <w:autoSpaceDE w:val="0"/>
        <w:autoSpaceDN w:val="0"/>
        <w:adjustRightInd w:val="0"/>
        <w:rPr>
          <w:rFonts w:ascii="Times New Roman" w:hAnsi="Times New Roman" w:cs="Times New Roman"/>
        </w:rPr>
      </w:pPr>
    </w:p>
    <w:p w14:paraId="70F727CE" w14:textId="2A4EAEF6" w:rsidR="00733C82" w:rsidRPr="00B06D0A" w:rsidRDefault="00FA3CF9" w:rsidP="00F94B7E">
      <w:pPr>
        <w:rPr>
          <w:rFonts w:ascii="Times New Roman" w:eastAsia="Times New Roman" w:hAnsi="Times New Roman" w:cs="Times New Roman"/>
          <w:color w:val="000000" w:themeColor="text1"/>
        </w:rPr>
      </w:pPr>
      <w:r w:rsidRPr="00B06D0A">
        <w:rPr>
          <w:rFonts w:ascii="Times New Roman" w:eastAsia="Times New Roman" w:hAnsi="Times New Roman" w:cs="Times New Roman"/>
          <w:smallCaps/>
          <w:color w:val="000000"/>
        </w:rPr>
        <w:t>Tobriner</w:t>
      </w:r>
      <w:r w:rsidRPr="00B06D0A">
        <w:rPr>
          <w:rFonts w:ascii="Times New Roman" w:eastAsia="Times New Roman" w:hAnsi="Times New Roman" w:cs="Times New Roman"/>
          <w:color w:val="000000"/>
        </w:rPr>
        <w:t>, J.</w:t>
      </w:r>
    </w:p>
    <w:p w14:paraId="3BACA486" w14:textId="77777777" w:rsidR="00733C82" w:rsidRPr="00B06D0A" w:rsidRDefault="00733C82" w:rsidP="00F94B7E">
      <w:pPr>
        <w:rPr>
          <w:rFonts w:ascii="Times New Roman" w:hAnsi="Times New Roman" w:cs="Times New Roman"/>
          <w:color w:val="000000"/>
        </w:rPr>
      </w:pPr>
    </w:p>
    <w:p w14:paraId="02A71A34" w14:textId="40F141B4" w:rsidR="00FA3CF9" w:rsidRPr="00B06D0A" w:rsidRDefault="750671CE" w:rsidP="00F349EC">
      <w:pPr>
        <w:ind w:firstLine="720"/>
        <w:rPr>
          <w:rFonts w:ascii="Times New Roman" w:eastAsia="Times New Roman" w:hAnsi="Times New Roman" w:cs="Times New Roman"/>
        </w:rPr>
      </w:pPr>
      <w:r w:rsidRPr="00B06D0A">
        <w:rPr>
          <w:rFonts w:ascii="Times New Roman" w:eastAsia="Times New Roman" w:hAnsi="Times New Roman" w:cs="Times New Roman"/>
        </w:rPr>
        <w:t>On October 27, 1969, Prosenjit Poddar killed Tatiana</w:t>
      </w:r>
      <w:r w:rsidRPr="00B06D0A">
        <w:rPr>
          <w:rStyle w:val="apple-converted-space"/>
          <w:rFonts w:ascii="Times New Roman" w:eastAsia="Times New Roman" w:hAnsi="Times New Roman" w:cs="Times New Roman"/>
        </w:rPr>
        <w:t> </w:t>
      </w:r>
      <w:r w:rsidRPr="00B06D0A">
        <w:rPr>
          <w:rStyle w:val="cosearchterm"/>
          <w:rFonts w:ascii="Times New Roman" w:eastAsia="Times New Roman" w:hAnsi="Times New Roman" w:cs="Times New Roman"/>
        </w:rPr>
        <w:t>Tarasoff</w:t>
      </w:r>
      <w:r w:rsidRPr="00B06D0A">
        <w:rPr>
          <w:rFonts w:ascii="Times New Roman" w:eastAsia="Times New Roman" w:hAnsi="Times New Roman" w:cs="Times New Roman"/>
        </w:rPr>
        <w:t>.</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Plaintiffs, Tatiana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parents, allege that two months earlier Poddar confided his intention to kill Tatiana to Dr. Lawrence Moore, a psychologist employed by the Cowell Memorial Hospital at the </w:t>
      </w:r>
      <w:r w:rsidRPr="00B06D0A">
        <w:rPr>
          <w:rStyle w:val="cosearchterm"/>
          <w:rFonts w:ascii="Times New Roman" w:eastAsia="Times New Roman" w:hAnsi="Times New Roman" w:cs="Times New Roman"/>
        </w:rPr>
        <w:t>University</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of</w:t>
      </w:r>
      <w:r w:rsidRPr="00B06D0A">
        <w:rPr>
          <w:rStyle w:val="apple-converted-space"/>
          <w:rFonts w:ascii="Times New Roman" w:eastAsia="Times New Roman" w:hAnsi="Times New Roman" w:cs="Times New Roman"/>
        </w:rPr>
        <w:t> </w:t>
      </w:r>
      <w:r w:rsidRPr="00B06D0A">
        <w:rPr>
          <w:rStyle w:val="cosearchterm"/>
          <w:rFonts w:ascii="Times New Roman" w:eastAsia="Times New Roman" w:hAnsi="Times New Roman" w:cs="Times New Roman"/>
        </w:rPr>
        <w:t>California</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at Berkeley. They allege that on Moore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request, the campus police briefly detained Poddar, but released him when he appeared</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rational. They further claim that Dr. Harvey Powelson, Moore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superior, then directed that no further action be taken to detain Poddar. No one warned plaintiffs of Tatiana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peril.</w:t>
      </w:r>
    </w:p>
    <w:p w14:paraId="5FA4FE60" w14:textId="77777777" w:rsidR="00FA3CF9" w:rsidRPr="00B06D0A" w:rsidRDefault="00FA3CF9">
      <w:pPr>
        <w:rPr>
          <w:rFonts w:ascii="Times New Roman" w:hAnsi="Times New Roman" w:cs="Times New Roman"/>
        </w:rPr>
      </w:pPr>
    </w:p>
    <w:p w14:paraId="57BF9FA3" w14:textId="40FCBF5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Concluding that these facts set forth causes of action against neither therapists and policemen involved, nor against the</w:t>
      </w:r>
      <w:r w:rsidRPr="00B06D0A">
        <w:rPr>
          <w:rStyle w:val="apple-converted-space"/>
          <w:rFonts w:ascii="Times New Roman" w:eastAsia="Times New Roman" w:hAnsi="Times New Roman" w:cs="Times New Roman"/>
        </w:rPr>
        <w:t> </w:t>
      </w:r>
      <w:r w:rsidRPr="00B06D0A">
        <w:rPr>
          <w:rStyle w:val="cosearchterm"/>
          <w:rFonts w:ascii="Times New Roman" w:eastAsia="Times New Roman" w:hAnsi="Times New Roman" w:cs="Times New Roman"/>
        </w:rPr>
        <w:t>Regents</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of the</w:t>
      </w:r>
      <w:r w:rsidRPr="00B06D0A">
        <w:rPr>
          <w:rStyle w:val="apple-converted-space"/>
          <w:rFonts w:ascii="Times New Roman" w:eastAsia="Times New Roman" w:hAnsi="Times New Roman" w:cs="Times New Roman"/>
        </w:rPr>
        <w:t> </w:t>
      </w:r>
      <w:r w:rsidRPr="00B06D0A">
        <w:rPr>
          <w:rStyle w:val="cosearchterm"/>
          <w:rFonts w:ascii="Times New Roman" w:eastAsia="Times New Roman" w:hAnsi="Times New Roman" w:cs="Times New Roman"/>
        </w:rPr>
        <w:t>University</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of</w:t>
      </w:r>
      <w:r w:rsidRPr="00B06D0A">
        <w:rPr>
          <w:rStyle w:val="apple-converted-space"/>
          <w:rFonts w:ascii="Times New Roman" w:eastAsia="Times New Roman" w:hAnsi="Times New Roman" w:cs="Times New Roman"/>
        </w:rPr>
        <w:t> </w:t>
      </w:r>
      <w:r w:rsidRPr="00B06D0A">
        <w:rPr>
          <w:rStyle w:val="cosearchterm"/>
          <w:rFonts w:ascii="Times New Roman" w:eastAsia="Times New Roman" w:hAnsi="Times New Roman" w:cs="Times New Roman"/>
        </w:rPr>
        <w:t>California</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as their employer, the superior court sustained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demurrers to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second amended complaints without leave to amend.</w:t>
      </w:r>
      <w:r w:rsidRPr="00B06D0A">
        <w:rPr>
          <w:rFonts w:ascii="Times New Roman" w:eastAsia="Times New Roman" w:hAnsi="Times New Roman" w:cs="Times New Roman"/>
          <w:vertAlign w:val="superscript"/>
        </w:rPr>
        <w:t xml:space="preserve"> </w:t>
      </w:r>
      <w:r w:rsidRPr="00B06D0A">
        <w:rPr>
          <w:rFonts w:ascii="Times New Roman" w:eastAsia="Times New Roman" w:hAnsi="Times New Roman" w:cs="Times New Roman"/>
        </w:rPr>
        <w:t>This appeal ensued.</w:t>
      </w:r>
    </w:p>
    <w:p w14:paraId="6D5C1D3C" w14:textId="77777777" w:rsidR="00FA3CF9" w:rsidRPr="00B06D0A" w:rsidRDefault="00FA3CF9">
      <w:pPr>
        <w:rPr>
          <w:rFonts w:ascii="Times New Roman" w:hAnsi="Times New Roman" w:cs="Times New Roman"/>
        </w:rPr>
      </w:pPr>
    </w:p>
    <w:p w14:paraId="01DA6BA8" w14:textId="54C54C4B"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complaints predicate liability on . . .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failure to warn plaintiffs of the impending danger. . . . Defendants, in turn, assert that they owed no duty of reasonable care to Tatiana. . . . </w:t>
      </w:r>
    </w:p>
    <w:p w14:paraId="3360AC07" w14:textId="77777777" w:rsidR="00FA3CF9" w:rsidRPr="00B06D0A" w:rsidRDefault="00FA3CF9">
      <w:pPr>
        <w:rPr>
          <w:rFonts w:ascii="Times New Roman" w:hAnsi="Times New Roman" w:cs="Times New Roman"/>
        </w:rPr>
      </w:pPr>
    </w:p>
    <w:p w14:paraId="1EB45187" w14:textId="16DE7CD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most important . . .  consideration</w:t>
      </w:r>
      <w:r w:rsidR="0016442E">
        <w:rPr>
          <w:rFonts w:ascii="Times New Roman" w:eastAsia="Times New Roman" w:hAnsi="Times New Roman" w:cs="Times New Roman"/>
        </w:rPr>
        <w:t xml:space="preserve"> . . . </w:t>
      </w:r>
      <w:r w:rsidRPr="00B06D0A">
        <w:rPr>
          <w:rFonts w:ascii="Times New Roman" w:eastAsia="Times New Roman" w:hAnsi="Times New Roman" w:cs="Times New Roman"/>
        </w:rPr>
        <w:t xml:space="preserve">in establishing duty is foreseeability. As a general principle,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defendant owes a duty of</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care to all persons who are foreseeably endangered by his conduct, with respect to all risks which make the conduct unreasonably dangerous.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 </w:t>
      </w:r>
    </w:p>
    <w:p w14:paraId="06A86F61" w14:textId="77777777" w:rsidR="00FA3CF9" w:rsidRPr="00B06D0A" w:rsidRDefault="00FA3CF9">
      <w:pPr>
        <w:ind w:firstLine="720"/>
        <w:rPr>
          <w:rFonts w:ascii="Times New Roman" w:hAnsi="Times New Roman" w:cs="Times New Roman"/>
        </w:rPr>
      </w:pPr>
    </w:p>
    <w:p w14:paraId="06C58CB9" w14:textId="44EF7FC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Although . . . under the common law, as a general rule, one person owed no duty to control the conduct of another</w:t>
      </w:r>
      <w:r w:rsidRPr="00B06D0A">
        <w:rPr>
          <w:rFonts w:ascii="Times New Roman" w:eastAsia="Times New Roman" w:hAnsi="Times New Roman" w:cs="Times New Roman"/>
          <w:vertAlign w:val="superscript"/>
        </w:rPr>
        <w:t xml:space="preserve"> </w:t>
      </w:r>
      <w:r w:rsidRPr="00B06D0A">
        <w:rPr>
          <w:rFonts w:ascii="Times New Roman" w:eastAsia="Times New Roman" w:hAnsi="Times New Roman" w:cs="Times New Roman"/>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Applying this exception to the present case, we note that a relationship of defendant therapists to either Tatiana or Poddar will suffice to establish a duty of care; as explained in</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section 315</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 xml:space="preserve">of the Restatement Second of Torts, a duty of care may arise from either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a special relation . . . between the actor and the third person which imposes a duty upon the actor to control the third person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conduct, or (b) a special relation . . . between the actor and the other which gives to the other a right of protection.</w:t>
      </w:r>
      <w:r w:rsidR="00B05F31" w:rsidRPr="00B06D0A">
        <w:rPr>
          <w:rFonts w:ascii="Times New Roman" w:eastAsia="Times New Roman" w:hAnsi="Times New Roman" w:cs="Times New Roman"/>
        </w:rPr>
        <w:t>’</w:t>
      </w:r>
    </w:p>
    <w:p w14:paraId="63B43653" w14:textId="77777777" w:rsidR="00FA3CF9" w:rsidRPr="00B06D0A" w:rsidRDefault="00FA3CF9">
      <w:pPr>
        <w:rPr>
          <w:rFonts w:ascii="Times New Roman" w:hAnsi="Times New Roman" w:cs="Times New Roman"/>
        </w:rPr>
      </w:pPr>
    </w:p>
    <w:p w14:paraId="1394F2EF" w14:textId="7038739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Although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pleadings assert no special relation between Tatiana and defendant therapists, they establish as between Poddar and defendant therapists the special relation that arises between a patient and his doctor or psychotherapist.</w:t>
      </w:r>
      <w:r w:rsidRPr="00B06D0A">
        <w:rPr>
          <w:rFonts w:ascii="Times New Roman" w:eastAsia="Times New Roman" w:hAnsi="Times New Roman" w:cs="Times New Roman"/>
          <w:vertAlign w:val="superscript"/>
        </w:rPr>
        <w:t xml:space="preserve"> </w:t>
      </w:r>
      <w:r w:rsidRPr="00B06D0A">
        <w:rPr>
          <w:rFonts w:ascii="Times New Roman" w:eastAsia="Times New Roman" w:hAnsi="Times New Roman" w:cs="Times New Roman"/>
        </w:rPr>
        <w:t>Such a relationship may support affirmative duties for the benefit of third persons. Thus, for example, a hospital must exercise reasonable care to control the behavior of a patient which may endanger other persons.</w:t>
      </w:r>
      <w:r w:rsidRPr="00B06D0A">
        <w:rPr>
          <w:rFonts w:ascii="Times New Roman" w:eastAsia="Times New Roman" w:hAnsi="Times New Roman" w:cs="Times New Roman"/>
          <w:vertAlign w:val="superscript"/>
        </w:rPr>
        <w:t xml:space="preserve"> </w:t>
      </w:r>
      <w:r w:rsidRPr="00B06D0A">
        <w:rPr>
          <w:rFonts w:ascii="Times New Roman" w:eastAsia="Times New Roman" w:hAnsi="Times New Roman" w:cs="Times New Roman"/>
        </w:rPr>
        <w:t>A doctor must also warn a patient</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if the patient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condition or medication renders certain conduct, such as driving a car, dangerous to others. . . .</w:t>
      </w:r>
    </w:p>
    <w:p w14:paraId="54387A10" w14:textId="77777777" w:rsidR="00FA3CF9" w:rsidRPr="00B06D0A" w:rsidRDefault="00FA3CF9">
      <w:pPr>
        <w:ind w:firstLine="720"/>
        <w:rPr>
          <w:rFonts w:ascii="Times New Roman" w:hAnsi="Times New Roman" w:cs="Times New Roman"/>
        </w:rPr>
      </w:pPr>
    </w:p>
    <w:p w14:paraId="15AF9D58"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B06D0A" w:rsidRDefault="00FA3CF9">
      <w:pPr>
        <w:ind w:firstLine="720"/>
        <w:rPr>
          <w:rFonts w:ascii="Times New Roman" w:hAnsi="Times New Roman" w:cs="Times New Roman"/>
        </w:rPr>
      </w:pPr>
    </w:p>
    <w:p w14:paraId="1CB7BAF1" w14:textId="42F1F76F"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B06D0A">
        <w:rPr>
          <w:rStyle w:val="apple-converted-space"/>
          <w:rFonts w:ascii="Times New Roman" w:eastAsia="Times New Roman" w:hAnsi="Times New Roman" w:cs="Times New Roman"/>
        </w:rPr>
        <w: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that reasonable degree of skill, knowledge, and care ordinarily possessed and exercised by members of (that professional specialty) under similar circumstances.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w:t>
      </w:r>
    </w:p>
    <w:p w14:paraId="4F8B6B7E" w14:textId="77777777" w:rsidR="00FA3CF9" w:rsidRPr="00B06D0A" w:rsidRDefault="00FA3CF9">
      <w:pPr>
        <w:ind w:firstLine="720"/>
        <w:rPr>
          <w:rFonts w:ascii="Times New Roman" w:hAnsi="Times New Roman" w:cs="Times New Roman"/>
        </w:rPr>
      </w:pPr>
    </w:p>
    <w:p w14:paraId="32A7A69A" w14:textId="1A7B0EE9" w:rsidR="00FA3CF9" w:rsidRPr="00B06D0A" w:rsidRDefault="750671CE">
      <w:pPr>
        <w:ind w:firstLine="720"/>
        <w:rPr>
          <w:rStyle w:val="costarpage"/>
          <w:rFonts w:ascii="Times New Roman" w:eastAsia="Times New Roman" w:hAnsi="Times New Roman" w:cs="Times New Roman"/>
        </w:rPr>
      </w:pPr>
      <w:r w:rsidRPr="00B06D0A">
        <w:rPr>
          <w:rFonts w:ascii="Times New Roman" w:eastAsia="Times New Roman" w:hAnsi="Times New Roman" w:cs="Times New Roman"/>
        </w:rPr>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r w:rsidR="0050551D">
        <w:rPr>
          <w:rFonts w:ascii="Times New Roman" w:eastAsia="Times New Roman" w:hAnsi="Times New Roman" w:cs="Times New Roman"/>
        </w:rPr>
        <w:t xml:space="preserve"> . . .</w:t>
      </w:r>
    </w:p>
    <w:p w14:paraId="64AF3603" w14:textId="77777777" w:rsidR="00FA3CF9" w:rsidRPr="00B06D0A" w:rsidRDefault="00FA3CF9">
      <w:pPr>
        <w:ind w:firstLine="720"/>
        <w:rPr>
          <w:rStyle w:val="costarpage"/>
          <w:rFonts w:ascii="Times New Roman" w:hAnsi="Times New Roman" w:cs="Times New Roman"/>
          <w:bCs/>
          <w:iCs/>
        </w:rPr>
      </w:pPr>
    </w:p>
    <w:p w14:paraId="30B809A7" w14:textId="520F4BB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Weighing the uncertain and conjectural character of the alleged damage done the patient by such a warning against the peril to the victim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life, we conclude that professional inaccuracy in predicting violence cannot negate the therapist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duty to protect the threatened victim.</w:t>
      </w:r>
    </w:p>
    <w:p w14:paraId="1F57091D" w14:textId="77777777" w:rsidR="00FA3CF9" w:rsidRPr="00B06D0A" w:rsidRDefault="00FA3CF9">
      <w:pPr>
        <w:rPr>
          <w:rStyle w:val="costarpage"/>
          <w:rFonts w:ascii="Times New Roman" w:hAnsi="Times New Roman" w:cs="Times New Roman"/>
          <w:b/>
          <w:bCs/>
          <w:i/>
          <w:iCs/>
        </w:rPr>
      </w:pPr>
    </w:p>
    <w:p w14:paraId="69054EE9" w14:textId="7DF7B684"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Pr>
          <w:rFonts w:ascii="Times New Roman" w:eastAsia="Times New Roman" w:hAnsi="Times New Roman" w:cs="Times New Roman"/>
        </w:rPr>
        <w:t xml:space="preserve"> . . .</w:t>
      </w:r>
    </w:p>
    <w:p w14:paraId="0BB13563" w14:textId="77777777" w:rsidR="00FA3CF9" w:rsidRPr="00B06D0A" w:rsidRDefault="00FA3CF9">
      <w:pPr>
        <w:ind w:firstLine="720"/>
        <w:rPr>
          <w:rFonts w:ascii="Times New Roman" w:hAnsi="Times New Roman" w:cs="Times New Roman"/>
        </w:rPr>
      </w:pPr>
    </w:p>
    <w:p w14:paraId="2859CA4B" w14:textId="4FACFDE4"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A physician may not reveal the confidence entrusted to him in the course of medical attendance . . . </w:t>
      </w:r>
      <w:r w:rsidR="0050551D">
        <w:rPr>
          <w:rFonts w:ascii="Times New Roman" w:eastAsia="Times New Roman" w:hAnsi="Times New Roman" w:cs="Times New Roman"/>
        </w:rPr>
        <w:t>[u]</w:t>
      </w:r>
      <w:r w:rsidRPr="00B06D0A">
        <w:rPr>
          <w:rFonts w:ascii="Times New Roman" w:eastAsia="Times New Roman" w:hAnsi="Times New Roman" w:cs="Times New Roman"/>
        </w:rPr>
        <w:t>nless he is required to do so by law or unless it becomes necessary in order to protect the welfare of</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the individual or of the community.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We conclude that the public policy favoring protection of the confidential character of patient-psychotherapist communications must yield to the extent to which disclosure is essential to avert danger to others.</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The protective privilege ends where the public peril begins.</w:t>
      </w:r>
    </w:p>
    <w:p w14:paraId="32A8B657" w14:textId="77777777" w:rsidR="004F001E" w:rsidRDefault="004F001E" w:rsidP="00F94B7E">
      <w:pPr>
        <w:rPr>
          <w:rFonts w:ascii="Times New Roman" w:eastAsia="Times New Roman" w:hAnsi="Times New Roman" w:cs="Times New Roman"/>
        </w:rPr>
      </w:pPr>
    </w:p>
    <w:p w14:paraId="17B262FC" w14:textId="3A94E2CE" w:rsidR="00FA3CF9" w:rsidRPr="00B06D0A" w:rsidRDefault="750671CE" w:rsidP="00F94B7E">
      <w:pPr>
        <w:rPr>
          <w:rFonts w:ascii="Times New Roman" w:eastAsia="Times New Roman" w:hAnsi="Times New Roman" w:cs="Times New Roman"/>
        </w:rPr>
      </w:pPr>
      <w:r w:rsidRPr="00B06D0A">
        <w:rPr>
          <w:rFonts w:ascii="Times New Roman" w:eastAsia="Times New Roman" w:hAnsi="Times New Roman" w:cs="Times New Roman"/>
        </w:rPr>
        <w:t>. . .</w:t>
      </w:r>
    </w:p>
    <w:p w14:paraId="318C18D1" w14:textId="77777777" w:rsidR="00FA3CF9" w:rsidRPr="00B06D0A" w:rsidRDefault="00FA3CF9">
      <w:pPr>
        <w:ind w:firstLine="720"/>
        <w:rPr>
          <w:rFonts w:ascii="Times New Roman" w:hAnsi="Times New Roman" w:cs="Times New Roman"/>
        </w:rPr>
      </w:pPr>
    </w:p>
    <w:p w14:paraId="66A0D766"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judgment of the superior court in favor of defendants . . .</w:t>
      </w:r>
      <w:r w:rsidRPr="00B06D0A">
        <w:rPr>
          <w:rStyle w:val="apple-converted-space"/>
          <w:rFonts w:ascii="Times New Roman" w:eastAsia="Times New Roman" w:hAnsi="Times New Roman" w:cs="Times New Roman"/>
        </w:rPr>
        <w:t> </w:t>
      </w:r>
      <w:r w:rsidRPr="00B06D0A">
        <w:rPr>
          <w:rFonts w:ascii="Times New Roman" w:eastAsia="Times New Roman" w:hAnsi="Times New Roman" w:cs="Times New Roman"/>
        </w:rPr>
        <w:t>is reversed, and the cause remanded for further proceedings consistent with the views expressed herein.</w:t>
      </w:r>
    </w:p>
    <w:p w14:paraId="43745D37" w14:textId="77777777" w:rsidR="00FA3CF9" w:rsidRDefault="00FA3CF9">
      <w:pPr>
        <w:rPr>
          <w:rFonts w:ascii="Times New Roman" w:hAnsi="Times New Roman" w:cs="Times New Roman"/>
        </w:rPr>
      </w:pPr>
    </w:p>
    <w:p w14:paraId="48DBBCCF" w14:textId="77777777" w:rsidR="005468ED" w:rsidRPr="00B06D0A" w:rsidRDefault="005468ED">
      <w:pPr>
        <w:rPr>
          <w:rFonts w:ascii="Times New Roman" w:hAnsi="Times New Roman" w:cs="Times New Roman"/>
        </w:rPr>
      </w:pPr>
    </w:p>
    <w:p w14:paraId="6228D5CE" w14:textId="77777777" w:rsidR="00FA3CF9" w:rsidRPr="00A559C4" w:rsidRDefault="00FA3CF9" w:rsidP="00910387">
      <w:pPr>
        <w:pStyle w:val="Heading5"/>
      </w:pPr>
      <w:bookmarkStart w:id="809" w:name="_Toc265592552"/>
      <w:bookmarkStart w:id="810" w:name="_Toc364636229"/>
      <w:bookmarkStart w:id="811" w:name="_Toc518323479"/>
      <w:r w:rsidRPr="00C14ACE">
        <w:t>Notes</w:t>
      </w:r>
      <w:bookmarkEnd w:id="809"/>
      <w:bookmarkEnd w:id="810"/>
      <w:bookmarkEnd w:id="811"/>
    </w:p>
    <w:p w14:paraId="539F1CF9" w14:textId="77777777" w:rsidR="00FA3CF9" w:rsidRDefault="00FA3CF9">
      <w:pPr>
        <w:rPr>
          <w:rFonts w:ascii="Times New Roman" w:hAnsi="Times New Roman" w:cs="Times New Roman"/>
        </w:rPr>
      </w:pPr>
    </w:p>
    <w:p w14:paraId="30E71D1A" w14:textId="77777777" w:rsidR="005468ED" w:rsidRPr="00B06D0A" w:rsidRDefault="005468ED">
      <w:pPr>
        <w:rPr>
          <w:rFonts w:ascii="Times New Roman" w:hAnsi="Times New Roman" w:cs="Times New Roman"/>
        </w:rPr>
      </w:pPr>
    </w:p>
    <w:p w14:paraId="1A274DD5" w14:textId="315027E0" w:rsidR="00FA3CF9" w:rsidRPr="00F94B7E" w:rsidRDefault="750671CE" w:rsidP="00F94B7E">
      <w:pPr>
        <w:pStyle w:val="ListParagraph"/>
        <w:widowControl w:val="0"/>
        <w:numPr>
          <w:ilvl w:val="0"/>
          <w:numId w:val="120"/>
        </w:numPr>
        <w:overflowPunct w:val="0"/>
        <w:autoSpaceDE w:val="0"/>
        <w:autoSpaceDN w:val="0"/>
        <w:adjustRightInd w:val="0"/>
        <w:ind w:left="0" w:firstLine="360"/>
        <w:rPr>
          <w:rFonts w:ascii="Times New Roman" w:eastAsia="Times New Roman" w:hAnsi="Times New Roman" w:cs="Times New Roman"/>
          <w:color w:val="252525"/>
        </w:rPr>
      </w:pPr>
      <w:r w:rsidRPr="00F94B7E">
        <w:rPr>
          <w:rFonts w:ascii="Times New Roman" w:eastAsia="Times New Roman" w:hAnsi="Times New Roman" w:cs="Times New Roman"/>
          <w:i/>
          <w:iCs/>
        </w:rPr>
        <w:t>The Restatement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 xml:space="preserve">s </w:t>
      </w:r>
      <w:r w:rsidR="00B9567D" w:rsidRPr="00F94B7E">
        <w:rPr>
          <w:rFonts w:ascii="Times New Roman" w:eastAsia="Times New Roman" w:hAnsi="Times New Roman" w:cs="Times New Roman"/>
          <w:i/>
          <w:iCs/>
        </w:rPr>
        <w:t>c</w:t>
      </w:r>
      <w:r w:rsidRPr="00F94B7E">
        <w:rPr>
          <w:rFonts w:ascii="Times New Roman" w:eastAsia="Times New Roman" w:hAnsi="Times New Roman" w:cs="Times New Roman"/>
          <w:i/>
          <w:iCs/>
        </w:rPr>
        <w:t xml:space="preserve">atalog of </w:t>
      </w:r>
      <w:r w:rsidR="00B9567D" w:rsidRPr="00F94B7E">
        <w:rPr>
          <w:rFonts w:ascii="Times New Roman" w:eastAsia="Times New Roman" w:hAnsi="Times New Roman" w:cs="Times New Roman"/>
          <w:i/>
          <w:iCs/>
        </w:rPr>
        <w:t>s</w:t>
      </w:r>
      <w:r w:rsidRPr="00F94B7E">
        <w:rPr>
          <w:rFonts w:ascii="Times New Roman" w:eastAsia="Times New Roman" w:hAnsi="Times New Roman" w:cs="Times New Roman"/>
          <w:i/>
          <w:iCs/>
        </w:rPr>
        <w:t xml:space="preserve">pecial </w:t>
      </w:r>
      <w:r w:rsidR="00B9567D" w:rsidRPr="00F94B7E">
        <w:rPr>
          <w:rFonts w:ascii="Times New Roman" w:eastAsia="Times New Roman" w:hAnsi="Times New Roman" w:cs="Times New Roman"/>
          <w:i/>
          <w:iCs/>
        </w:rPr>
        <w:t>r</w:t>
      </w:r>
      <w:r w:rsidRPr="00F94B7E">
        <w:rPr>
          <w:rFonts w:ascii="Times New Roman" w:eastAsia="Times New Roman" w:hAnsi="Times New Roman" w:cs="Times New Roman"/>
          <w:i/>
          <w:iCs/>
        </w:rPr>
        <w:t>elationships</w:t>
      </w:r>
      <w:r w:rsidRPr="00F94B7E">
        <w:rPr>
          <w:rFonts w:ascii="Times New Roman" w:eastAsia="Times New Roman" w:hAnsi="Times New Roman" w:cs="Times New Roman"/>
        </w:rPr>
        <w:t xml:space="preserv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opinion rests heavily on section 315 of the Second Restatement and its view of the significance of a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special relationship</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between the defendant and the third party.  Since the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F94B7E">
        <w:rPr>
          <w:rFonts w:ascii="Times New Roman" w:eastAsia="Times New Roman" w:hAnsi="Times New Roman" w:cs="Times New Roman"/>
          <w:i/>
          <w:iCs/>
        </w:rPr>
        <w:t>Tarasoff</w:t>
      </w:r>
      <w:r w:rsidRPr="00F94B7E">
        <w:rPr>
          <w:rFonts w:ascii="Times New Roman" w:eastAsia="Times New Roman" w:hAnsi="Times New Roman" w:cs="Times New Roman"/>
        </w:rPr>
        <w:t xml:space="preserve">) mental health care professionals and their patients.  </w:t>
      </w:r>
      <w:r w:rsidRPr="00F94B7E">
        <w:rPr>
          <w:rFonts w:ascii="Times New Roman" w:eastAsia="Times New Roman" w:hAnsi="Times New Roman" w:cs="Times New Roman"/>
          <w:i/>
          <w:iCs/>
          <w:color w:val="252525"/>
        </w:rPr>
        <w:t xml:space="preserve">See </w:t>
      </w:r>
      <w:r w:rsidRPr="00F94B7E">
        <w:rPr>
          <w:rFonts w:ascii="Times New Roman" w:eastAsia="Times New Roman" w:hAnsi="Times New Roman" w:cs="Times New Roman"/>
          <w:smallCaps/>
        </w:rPr>
        <w:t>Restatement (Third) of Torts: Liab. for Physical &amp; Emotional Harm § 41 (2012).</w:t>
      </w:r>
    </w:p>
    <w:p w14:paraId="70E1A1E4" w14:textId="77777777" w:rsidR="00FA3CF9" w:rsidRDefault="00FA3CF9">
      <w:pPr>
        <w:rPr>
          <w:rFonts w:ascii="Times New Roman" w:hAnsi="Times New Roman" w:cs="Times New Roman"/>
        </w:rPr>
      </w:pPr>
    </w:p>
    <w:p w14:paraId="701C9D14" w14:textId="77777777" w:rsidR="005468ED" w:rsidRPr="00B06D0A" w:rsidRDefault="005468ED">
      <w:pPr>
        <w:rPr>
          <w:rFonts w:ascii="Times New Roman" w:hAnsi="Times New Roman" w:cs="Times New Roman"/>
        </w:rPr>
      </w:pPr>
    </w:p>
    <w:p w14:paraId="1B0CACE7" w14:textId="7DB51385" w:rsidR="00FA3CF9" w:rsidRPr="00F94B7E" w:rsidRDefault="750671CE" w:rsidP="00F94B7E">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Common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aw </w:t>
      </w:r>
      <w:r w:rsidR="00B9567D" w:rsidRPr="00F94B7E">
        <w:rPr>
          <w:rFonts w:ascii="Times New Roman" w:eastAsia="Times New Roman" w:hAnsi="Times New Roman" w:cs="Times New Roman"/>
          <w:i/>
          <w:iCs/>
        </w:rPr>
        <w:t>l</w:t>
      </w:r>
      <w:r w:rsidRPr="00F94B7E">
        <w:rPr>
          <w:rFonts w:ascii="Times New Roman" w:eastAsia="Times New Roman" w:hAnsi="Times New Roman" w:cs="Times New Roman"/>
          <w:i/>
          <w:iCs/>
        </w:rPr>
        <w:t xml:space="preserve">imits on the </w:t>
      </w:r>
      <w:r w:rsidRPr="00F94B7E">
        <w:rPr>
          <w:rFonts w:ascii="Times New Roman" w:eastAsia="Times New Roman" w:hAnsi="Times New Roman" w:cs="Times New Roman"/>
          <w:iCs/>
        </w:rPr>
        <w:t>Tarasoff</w:t>
      </w:r>
      <w:r w:rsidR="00B9567D" w:rsidRPr="00F94B7E">
        <w:rPr>
          <w:rFonts w:ascii="Times New Roman" w:eastAsia="Times New Roman" w:hAnsi="Times New Roman" w:cs="Times New Roman"/>
          <w:i/>
          <w:iCs/>
        </w:rPr>
        <w:t xml:space="preserve"> r</w:t>
      </w:r>
      <w:r w:rsidRPr="00F94B7E">
        <w:rPr>
          <w:rFonts w:ascii="Times New Roman" w:eastAsia="Times New Roman" w:hAnsi="Times New Roman" w:cs="Times New Roman"/>
          <w:i/>
          <w:iCs/>
        </w:rPr>
        <w:t>ule</w:t>
      </w:r>
      <w:r w:rsidRPr="00F94B7E">
        <w:rPr>
          <w:rFonts w:ascii="Times New Roman" w:eastAsia="Times New Roman" w:hAnsi="Times New Roman" w:cs="Times New Roman"/>
        </w:rPr>
        <w:t xml:space="preserve">.  Some courts, including the California Supreme Court, have limited </w:t>
      </w:r>
      <w:r w:rsidRPr="00F94B7E">
        <w:rPr>
          <w:rFonts w:ascii="Times New Roman" w:eastAsia="Times New Roman" w:hAnsi="Times New Roman" w:cs="Times New Roman"/>
          <w:i/>
          <w:iCs/>
        </w:rPr>
        <w:t>Tarasoff</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holding to apply only when the psychotherapist knows that an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identifiable victim</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is in danger.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w:t>
      </w:r>
      <w:r w:rsidRPr="00F94B7E">
        <w:rPr>
          <w:rFonts w:ascii="Times New Roman" w:eastAsia="Times New Roman" w:hAnsi="Times New Roman" w:cs="Times New Roman"/>
          <w:i/>
          <w:iCs/>
        </w:rPr>
        <w:t xml:space="preserve"> Thompson v. County of Alameda</w:t>
      </w:r>
      <w:r w:rsidRPr="00F94B7E">
        <w:rPr>
          <w:rFonts w:ascii="Times New Roman" w:eastAsia="Times New Roman" w:hAnsi="Times New Roman" w:cs="Times New Roman"/>
        </w:rPr>
        <w:t>, 614 P.2d 728 (Cal. 1980);</w:t>
      </w:r>
      <w:r w:rsidRPr="00F94B7E">
        <w:rPr>
          <w:rFonts w:ascii="Times New Roman" w:eastAsia="Times New Roman" w:hAnsi="Times New Roman" w:cs="Times New Roman"/>
          <w:i/>
          <w:iCs/>
        </w:rPr>
        <w:t xml:space="preserve"> Fraser v. United States</w:t>
      </w:r>
      <w:r w:rsidRPr="00F94B7E">
        <w:rPr>
          <w:rFonts w:ascii="Times New Roman" w:eastAsia="Times New Roman" w:hAnsi="Times New Roman" w:cs="Times New Roman"/>
        </w:rPr>
        <w:t xml:space="preserve">, 674 A.2d 811 (Conn. 1996). Other courts have held that psychotherapists owe no duty to victims at all.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State v. Cowles</w:t>
      </w:r>
      <w:r w:rsidRPr="00F94B7E">
        <w:rPr>
          <w:rFonts w:ascii="Times New Roman" w:eastAsia="Times New Roman" w:hAnsi="Times New Roman" w:cs="Times New Roman"/>
        </w:rPr>
        <w:t>, 151 P.3d 353 (Alaska 2006);</w:t>
      </w:r>
      <w:r w:rsidRPr="00F94B7E">
        <w:rPr>
          <w:rFonts w:ascii="Times New Roman" w:eastAsia="Times New Roman" w:hAnsi="Times New Roman" w:cs="Times New Roman"/>
          <w:i/>
          <w:iCs/>
        </w:rPr>
        <w:t xml:space="preserve"> Santa Cruz v. Nw. Dade Cmty. Health Ctr., Inc.</w:t>
      </w:r>
      <w:r w:rsidRPr="00F94B7E">
        <w:rPr>
          <w:rFonts w:ascii="Times New Roman" w:eastAsia="Times New Roman" w:hAnsi="Times New Roman" w:cs="Times New Roman"/>
        </w:rPr>
        <w:t xml:space="preserve">, 590 So. 2d 444 (Fla. Dist. Ct. App. 1991); </w:t>
      </w:r>
      <w:r w:rsidRPr="00F94B7E">
        <w:rPr>
          <w:rFonts w:ascii="Times New Roman" w:eastAsia="Times New Roman" w:hAnsi="Times New Roman" w:cs="Times New Roman"/>
          <w:i/>
          <w:iCs/>
        </w:rPr>
        <w:t>Boulanger v. Pol</w:t>
      </w:r>
      <w:r w:rsidRPr="00F94B7E">
        <w:rPr>
          <w:rFonts w:ascii="Times New Roman" w:eastAsia="Times New Roman" w:hAnsi="Times New Roman" w:cs="Times New Roman"/>
        </w:rPr>
        <w:t xml:space="preserve">, 900 P.2d 823 (Kan. 1995); </w:t>
      </w:r>
      <w:r w:rsidRPr="00F94B7E">
        <w:rPr>
          <w:rFonts w:ascii="Times New Roman" w:eastAsia="Times New Roman" w:hAnsi="Times New Roman" w:cs="Times New Roman"/>
          <w:i/>
          <w:iCs/>
        </w:rPr>
        <w:t>Furr v. Spring Grove State Hosp.</w:t>
      </w:r>
      <w:r w:rsidRPr="00F94B7E">
        <w:rPr>
          <w:rFonts w:ascii="Times New Roman" w:eastAsia="Times New Roman" w:hAnsi="Times New Roman" w:cs="Times New Roman"/>
        </w:rPr>
        <w:t xml:space="preserve">, 454 A.2d 414 (Md. Ct. Spec. App. 1983); </w:t>
      </w:r>
      <w:r w:rsidRPr="00F94B7E">
        <w:rPr>
          <w:rFonts w:ascii="Times New Roman" w:eastAsia="Times New Roman" w:hAnsi="Times New Roman" w:cs="Times New Roman"/>
          <w:i/>
          <w:iCs/>
        </w:rPr>
        <w:t>Kehler v. Eudaly</w:t>
      </w:r>
      <w:r w:rsidRPr="00F94B7E">
        <w:rPr>
          <w:rFonts w:ascii="Times New Roman" w:eastAsia="Times New Roman" w:hAnsi="Times New Roman" w:cs="Times New Roman"/>
        </w:rPr>
        <w:t xml:space="preserve">, 933 S.W.2d 321 (Tex. App. 1996); </w:t>
      </w:r>
      <w:r w:rsidRPr="00F94B7E">
        <w:rPr>
          <w:rFonts w:ascii="Times New Roman" w:eastAsia="Times New Roman" w:hAnsi="Times New Roman" w:cs="Times New Roman"/>
          <w:i/>
          <w:iCs/>
        </w:rPr>
        <w:t>Nasser v. Parker</w:t>
      </w:r>
      <w:r w:rsidRPr="00F94B7E">
        <w:rPr>
          <w:rFonts w:ascii="Times New Roman" w:eastAsia="Times New Roman" w:hAnsi="Times New Roman" w:cs="Times New Roman"/>
        </w:rPr>
        <w:t>, 455 S.E.2d 502 (Va. 1995).</w:t>
      </w:r>
    </w:p>
    <w:p w14:paraId="5051E42C" w14:textId="77777777" w:rsidR="00FA3CF9" w:rsidRPr="00B06D0A" w:rsidRDefault="00FA3CF9">
      <w:pPr>
        <w:rPr>
          <w:rFonts w:ascii="Times New Roman" w:hAnsi="Times New Roman" w:cs="Times New Roman"/>
        </w:rPr>
      </w:pPr>
    </w:p>
    <w:p w14:paraId="70AB460C" w14:textId="77777777" w:rsidR="00FA3CF9" w:rsidRPr="00B06D0A" w:rsidRDefault="00FA3CF9">
      <w:pPr>
        <w:rPr>
          <w:rFonts w:ascii="Times New Roman" w:hAnsi="Times New Roman" w:cs="Times New Roman"/>
        </w:rPr>
      </w:pPr>
    </w:p>
    <w:p w14:paraId="75AB20EF" w14:textId="26BAC509" w:rsidR="00FA3CF9" w:rsidRPr="00F94B7E" w:rsidRDefault="750671CE" w:rsidP="00F94B7E">
      <w:pPr>
        <w:pStyle w:val="ListParagraph"/>
        <w:numPr>
          <w:ilvl w:val="0"/>
          <w:numId w:val="120"/>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Legislative responses</w:t>
      </w:r>
      <w:r w:rsidRPr="00F94B7E">
        <w:rPr>
          <w:rFonts w:ascii="Times New Roman" w:eastAsia="Times New Roman" w:hAnsi="Times New Roman" w:cs="Times New Roman"/>
        </w:rPr>
        <w:t xml:space="preserve">.  State legislatures have responded to </w:t>
      </w:r>
      <w:r w:rsidRPr="00F94B7E">
        <w:rPr>
          <w:rFonts w:ascii="Times New Roman" w:eastAsia="Times New Roman" w:hAnsi="Times New Roman" w:cs="Times New Roman"/>
          <w:i/>
          <w:iCs/>
        </w:rPr>
        <w:t xml:space="preserve">Tarasoff </w:t>
      </w:r>
      <w:r w:rsidRPr="00F94B7E">
        <w:rPr>
          <w:rFonts w:ascii="Times New Roman" w:eastAsia="Times New Roman" w:hAnsi="Times New Roman" w:cs="Times New Roman"/>
        </w:rPr>
        <w:t xml:space="preserve">in different ways. Certain states provide that mental health professionals have an affirmative duty to take precautions against violent patients.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Idaho Code Ann</w:t>
      </w:r>
      <w:r w:rsidRPr="00F94B7E">
        <w:rPr>
          <w:rFonts w:ascii="Times New Roman" w:eastAsia="Times New Roman" w:hAnsi="Times New Roman" w:cs="Times New Roman"/>
        </w:rPr>
        <w:t xml:space="preserve">. § 6-1902 (2013); </w:t>
      </w:r>
      <w:r w:rsidRPr="00F94B7E">
        <w:rPr>
          <w:rFonts w:ascii="Times New Roman" w:eastAsia="Times New Roman" w:hAnsi="Times New Roman" w:cs="Times New Roman"/>
          <w:smallCaps/>
        </w:rPr>
        <w:t>Mich. Comp. Laws</w:t>
      </w:r>
      <w:r w:rsidRPr="00F94B7E">
        <w:rPr>
          <w:rFonts w:ascii="Times New Roman" w:eastAsia="Times New Roman" w:hAnsi="Times New Roman" w:cs="Times New Roman"/>
        </w:rPr>
        <w:t xml:space="preserve"> § 330.1946 (2014). Some states do not establish an affirmative duty, but have enacted legislation permitting mental health professionals to disclose patients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threats.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Fla. Stat</w:t>
      </w:r>
      <w:r w:rsidRPr="00F94B7E">
        <w:rPr>
          <w:rFonts w:ascii="Times New Roman" w:eastAsia="Times New Roman" w:hAnsi="Times New Roman" w:cs="Times New Roman"/>
        </w:rPr>
        <w:t xml:space="preserve">. § 456.059 (2013); </w:t>
      </w:r>
      <w:r w:rsidRPr="00F94B7E">
        <w:rPr>
          <w:rFonts w:ascii="Times New Roman" w:eastAsia="Times New Roman" w:hAnsi="Times New Roman" w:cs="Times New Roman"/>
          <w:smallCaps/>
        </w:rPr>
        <w:t>Miss. Code Ann</w:t>
      </w:r>
      <w:r w:rsidRPr="00F94B7E">
        <w:rPr>
          <w:rFonts w:ascii="Times New Roman" w:eastAsia="Times New Roman" w:hAnsi="Times New Roman" w:cs="Times New Roman"/>
        </w:rPr>
        <w:t xml:space="preserve">. § 41-21-97 (2013). Other states have immunized mental health professionals from liability.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Del. Code Ann</w:t>
      </w:r>
      <w:r w:rsidRPr="00F94B7E">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Cal. Civ. Code</w:t>
      </w:r>
      <w:r w:rsidRPr="00F94B7E">
        <w:rPr>
          <w:rFonts w:ascii="Times New Roman" w:eastAsia="Times New Roman" w:hAnsi="Times New Roman" w:cs="Times New Roman"/>
        </w:rPr>
        <w:t xml:space="preserve"> § 43.92 (West 2013); </w:t>
      </w:r>
      <w:r w:rsidRPr="00F94B7E">
        <w:rPr>
          <w:rFonts w:ascii="Times New Roman" w:eastAsia="Times New Roman" w:hAnsi="Times New Roman" w:cs="Times New Roman"/>
          <w:smallCaps/>
        </w:rPr>
        <w:t>N.J. Stat</w:t>
      </w:r>
      <w:r w:rsidRPr="00F94B7E">
        <w:rPr>
          <w:rFonts w:ascii="Times New Roman" w:eastAsia="Times New Roman" w:hAnsi="Times New Roman" w:cs="Times New Roman"/>
        </w:rPr>
        <w:t xml:space="preserve">. § 2A:62A-16 (2014); </w:t>
      </w:r>
      <w:r w:rsidRPr="00F94B7E">
        <w:rPr>
          <w:rFonts w:ascii="Times New Roman" w:eastAsia="Times New Roman" w:hAnsi="Times New Roman" w:cs="Times New Roman"/>
          <w:smallCaps/>
        </w:rPr>
        <w:t>Tenn. Code Ann</w:t>
      </w:r>
      <w:r w:rsidRPr="00F94B7E">
        <w:rPr>
          <w:rFonts w:ascii="Times New Roman" w:eastAsia="Times New Roman" w:hAnsi="Times New Roman" w:cs="Times New Roman"/>
        </w:rPr>
        <w:t>. § 24-1-207 (2013). Other states limit mental health professionals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duty to instances when the patient threatens a specified victim.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Colo. Rev. Stat.</w:t>
      </w:r>
      <w:r w:rsidRPr="00F94B7E">
        <w:rPr>
          <w:rFonts w:ascii="Times New Roman" w:eastAsia="Times New Roman" w:hAnsi="Times New Roman" w:cs="Times New Roman"/>
        </w:rPr>
        <w:t xml:space="preserve"> § 13-21-117 (2013).  </w:t>
      </w:r>
      <w:r w:rsidRPr="00F94B7E">
        <w:rPr>
          <w:rFonts w:ascii="Times New Roman" w:eastAsia="Times New Roman" w:hAnsi="Times New Roman" w:cs="Times New Roman"/>
          <w:i/>
          <w:iCs/>
        </w:rPr>
        <w:t xml:space="preserve">See generally </w:t>
      </w:r>
      <w:r w:rsidRPr="00F94B7E">
        <w:rPr>
          <w:rFonts w:ascii="Times New Roman" w:eastAsia="Times New Roman" w:hAnsi="Times New Roman" w:cs="Times New Roman"/>
        </w:rPr>
        <w:t xml:space="preserve">Mary I. Wood, Comment, </w:t>
      </w:r>
      <w:r w:rsidRPr="00F94B7E">
        <w:rPr>
          <w:rFonts w:ascii="Times New Roman" w:eastAsia="Times New Roman" w:hAnsi="Times New Roman" w:cs="Times New Roman"/>
          <w:i/>
          <w:iCs/>
        </w:rPr>
        <w:t>Protective Privilege Versus Public Peril: How Illinois Has Failed to Balance Patient Confidentiality with the Mental Health Professional</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Duty to Protect the Public</w:t>
      </w:r>
      <w:r w:rsidRPr="00F94B7E">
        <w:rPr>
          <w:rFonts w:ascii="Times New Roman" w:eastAsia="Times New Roman" w:hAnsi="Times New Roman" w:cs="Times New Roman"/>
        </w:rPr>
        <w:t xml:space="preserve">, 29 </w:t>
      </w:r>
      <w:r w:rsidRPr="00F94B7E">
        <w:rPr>
          <w:rFonts w:ascii="Times New Roman" w:eastAsia="Times New Roman" w:hAnsi="Times New Roman" w:cs="Times New Roman"/>
          <w:smallCaps/>
        </w:rPr>
        <w:t>N. Ill. U. L. Rev.</w:t>
      </w:r>
      <w:r w:rsidRPr="00F94B7E">
        <w:rPr>
          <w:rFonts w:ascii="Times New Roman" w:eastAsia="Times New Roman" w:hAnsi="Times New Roman" w:cs="Times New Roman"/>
        </w:rPr>
        <w:t xml:space="preserve"> 571, 584-85 (2009)</w:t>
      </w:r>
      <w:r w:rsidR="00C65DA8">
        <w:rPr>
          <w:rFonts w:ascii="Times New Roman" w:eastAsia="Times New Roman" w:hAnsi="Times New Roman" w:cs="Times New Roman"/>
        </w:rPr>
        <w:t>.</w:t>
      </w:r>
    </w:p>
    <w:p w14:paraId="4195D674" w14:textId="77777777" w:rsidR="00864ECF" w:rsidRPr="00F94B7E" w:rsidRDefault="00864ECF">
      <w:pPr>
        <w:rPr>
          <w:rFonts w:ascii="Times New Roman" w:hAnsi="Times New Roman" w:cs="Times New Roman"/>
        </w:rPr>
      </w:pPr>
    </w:p>
    <w:p w14:paraId="734C04D3" w14:textId="77777777" w:rsidR="00FA3CF9" w:rsidRPr="00F94B7E" w:rsidRDefault="00FA3CF9">
      <w:pPr>
        <w:rPr>
          <w:rFonts w:ascii="Times New Roman" w:hAnsi="Times New Roman" w:cs="Times New Roman"/>
        </w:rPr>
      </w:pPr>
    </w:p>
    <w:p w14:paraId="3B12B1F6" w14:textId="04FD9AA4" w:rsidR="00FA3CF9" w:rsidRPr="00F94B7E" w:rsidRDefault="00FA3CF9">
      <w:pPr>
        <w:rPr>
          <w:rFonts w:ascii="Times New Roman" w:hAnsi="Times New Roman" w:cs="Times New Roman"/>
        </w:rPr>
      </w:pPr>
      <w:bookmarkStart w:id="812" w:name="_Toc518323480"/>
      <w:r w:rsidRPr="00F349EC">
        <w:rPr>
          <w:rStyle w:val="Heading4Char"/>
          <w:szCs w:val="24"/>
        </w:rPr>
        <w:t>In re September 11 Litigation</w:t>
      </w:r>
      <w:bookmarkEnd w:id="812"/>
      <w:r w:rsidR="00733C82" w:rsidRPr="00F349EC">
        <w:rPr>
          <w:rFonts w:ascii="Times New Roman" w:eastAsia="Times New Roman" w:hAnsi="Times New Roman" w:cs="Times New Roman"/>
          <w:b/>
          <w:bCs/>
        </w:rPr>
        <w:t xml:space="preserve">, </w:t>
      </w:r>
      <w:r w:rsidRPr="00F349EC">
        <w:rPr>
          <w:rFonts w:ascii="Times New Roman" w:eastAsia="Times New Roman" w:hAnsi="Times New Roman" w:cs="Times New Roman"/>
          <w:b/>
          <w:bCs/>
        </w:rPr>
        <w:t>280 F. Supp. 2d 279 (S.D.N.Y. 2003)</w:t>
      </w:r>
    </w:p>
    <w:p w14:paraId="574205A1" w14:textId="279AEE08" w:rsidR="00FA3CF9" w:rsidRPr="00F94B7E" w:rsidRDefault="00FA3CF9">
      <w:pPr>
        <w:rPr>
          <w:rFonts w:ascii="Times New Roman" w:hAnsi="Times New Roman" w:cs="Times New Roman"/>
        </w:rPr>
      </w:pPr>
    </w:p>
    <w:p w14:paraId="102226D9" w14:textId="653BEEAE" w:rsidR="00733C82" w:rsidRPr="00F349EC" w:rsidRDefault="750671CE">
      <w:pPr>
        <w:widowControl w:val="0"/>
        <w:autoSpaceDE w:val="0"/>
        <w:autoSpaceDN w:val="0"/>
        <w:adjustRightInd w:val="0"/>
        <w:jc w:val="both"/>
        <w:rPr>
          <w:rFonts w:ascii="Times New Roman" w:eastAsia="Times New Roman" w:hAnsi="Times New Roman" w:cs="Times New Roman"/>
          <w:smallCaps/>
        </w:rPr>
      </w:pPr>
      <w:r w:rsidRPr="00F349EC">
        <w:rPr>
          <w:rFonts w:ascii="Times New Roman" w:eastAsia="Times New Roman" w:hAnsi="Times New Roman" w:cs="Times New Roman"/>
          <w:smallCaps/>
        </w:rPr>
        <w:t>Hellerstein, J.</w:t>
      </w:r>
    </w:p>
    <w:p w14:paraId="6F6E2B6F" w14:textId="77777777" w:rsidR="00733C82" w:rsidRPr="00B06D0A" w:rsidRDefault="00733C82">
      <w:pPr>
        <w:widowControl w:val="0"/>
        <w:autoSpaceDE w:val="0"/>
        <w:autoSpaceDN w:val="0"/>
        <w:adjustRightInd w:val="0"/>
        <w:ind w:firstLine="720"/>
        <w:jc w:val="both"/>
        <w:rPr>
          <w:rFonts w:ascii="Times New Roman" w:hAnsi="Times New Roman" w:cs="Times New Roman"/>
          <w:smallCaps/>
        </w:rPr>
      </w:pPr>
    </w:p>
    <w:p w14:paraId="1ADED479" w14:textId="6625BD83"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rPr>
          <w:rFonts w:ascii="Times New Roman" w:eastAsia="Times New Roman" w:hAnsi="Times New Roman" w:cs="Times New Roman"/>
        </w:rPr>
        <w:t xml:space="preserve">. . . </w:t>
      </w:r>
      <w:r w:rsidRPr="00B06D0A">
        <w:rPr>
          <w:rFonts w:ascii="Times New Roman" w:eastAsia="Times New Roman" w:hAnsi="Times New Roman" w:cs="Times New Roman"/>
        </w:rPr>
        <w:t>. Or they may seek compensation in the traditional manner, by alleging and proving their claims in lawsuits, with the aggregate of their damages capped at the limits of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liability insurance. If they choose the former alternative, their claims will be paid through a Victim Compensation Fund from money appropriated by Congress, within a relatively short period after filing. Claimants will not have to prove fault or show a duty</w:t>
      </w:r>
      <w:r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rPr>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B06D0A" w:rsidRDefault="00FA3CF9">
      <w:pPr>
        <w:widowControl w:val="0"/>
        <w:autoSpaceDE w:val="0"/>
        <w:autoSpaceDN w:val="0"/>
        <w:adjustRightInd w:val="0"/>
        <w:rPr>
          <w:rFonts w:ascii="Times New Roman" w:hAnsi="Times New Roman" w:cs="Times New Roman"/>
        </w:rPr>
      </w:pPr>
    </w:p>
    <w:p w14:paraId="5019AC7D" w14:textId="518ABB9B" w:rsidR="00FA3CF9" w:rsidRPr="00B06D0A" w:rsidRDefault="00575A7A">
      <w:pPr>
        <w:widowControl w:val="0"/>
        <w:autoSpaceDE w:val="0"/>
        <w:autoSpaceDN w:val="0"/>
        <w:adjustRightInd w:val="0"/>
        <w:ind w:firstLine="720"/>
        <w:rPr>
          <w:rFonts w:ascii="Times New Roman" w:eastAsia="Times New Roman" w:hAnsi="Times New Roman" w:cs="Times New Roman"/>
        </w:rPr>
      </w:pPr>
      <w:r>
        <w:rPr>
          <w:rFonts w:ascii="Times New Roman" w:eastAsia="Times New Roman" w:hAnsi="Times New Roman" w:cs="Times New Roman"/>
        </w:rPr>
        <w:t>[</w:t>
      </w:r>
      <w:r w:rsidR="750671CE" w:rsidRPr="00B06D0A">
        <w:rPr>
          <w:rFonts w:ascii="Times New Roman" w:eastAsia="Times New Roman" w:hAnsi="Times New Roman" w:cs="Times New Roman"/>
        </w:rPr>
        <w:t>A small number of the victims</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rPr>
          <w:rFonts w:ascii="Times New Roman" w:eastAsia="Times New Roman" w:hAnsi="Times New Roman" w:cs="Times New Roman"/>
        </w:rPr>
        <w:t xml:space="preserve">he grounds that they owed </w:t>
      </w:r>
      <w:r w:rsidR="750671CE" w:rsidRPr="00B06D0A">
        <w:rPr>
          <w:rFonts w:ascii="Times New Roman" w:eastAsia="Times New Roman" w:hAnsi="Times New Roman" w:cs="Times New Roman"/>
        </w:rPr>
        <w:t>a duty to the crew and pass</w:t>
      </w:r>
      <w:r>
        <w:rPr>
          <w:rFonts w:ascii="Times New Roman" w:eastAsia="Times New Roman" w:hAnsi="Times New Roman" w:cs="Times New Roman"/>
        </w:rPr>
        <w:t xml:space="preserve">engers on the planes, but </w:t>
      </w:r>
      <w:r w:rsidR="750671CE" w:rsidRPr="00B06D0A">
        <w:rPr>
          <w:rFonts w:ascii="Times New Roman" w:eastAsia="Times New Roman" w:hAnsi="Times New Roman" w:cs="Times New Roman"/>
        </w:rPr>
        <w:t xml:space="preserve">did not owe any duty to </w:t>
      </w:r>
      <w:r w:rsidR="0050551D">
        <w:rPr>
          <w:rFonts w:ascii="Times New Roman" w:eastAsia="Times New Roman" w:hAnsi="Times New Roman" w:cs="Times New Roman"/>
        </w:rPr>
        <w:t>“</w:t>
      </w:r>
      <w:r w:rsidR="750671CE" w:rsidRPr="00B06D0A">
        <w:rPr>
          <w:rFonts w:ascii="Times New Roman" w:eastAsia="Times New Roman" w:hAnsi="Times New Roman" w:cs="Times New Roman"/>
        </w:rPr>
        <w:t>ground victims.</w:t>
      </w:r>
      <w:r w:rsidR="0050551D">
        <w:rPr>
          <w:rFonts w:ascii="Times New Roman" w:eastAsia="Times New Roman" w:hAnsi="Times New Roman" w:cs="Times New Roman"/>
        </w:rPr>
        <w:t>”</w:t>
      </w:r>
      <w:r w:rsidR="750671CE" w:rsidRPr="00B06D0A">
        <w:rPr>
          <w:rFonts w:ascii="Times New Roman" w:eastAsia="Times New Roman" w:hAnsi="Times New Roman" w:cs="Times New Roman"/>
        </w:rPr>
        <w:t xml:space="preserve"> The Port Authorit</w:t>
      </w:r>
      <w:r>
        <w:rPr>
          <w:rFonts w:ascii="Times New Roman" w:eastAsia="Times New Roman" w:hAnsi="Times New Roman" w:cs="Times New Roman"/>
        </w:rPr>
        <w:t>y and World Trade Center</w:t>
      </w:r>
      <w:r w:rsidR="750671CE" w:rsidRPr="00B06D0A">
        <w:rPr>
          <w:rFonts w:ascii="Times New Roman" w:eastAsia="Times New Roman" w:hAnsi="Times New Roman" w:cs="Times New Roman"/>
        </w:rPr>
        <w:t xml:space="preserve"> Properties argue</w:t>
      </w:r>
      <w:r>
        <w:rPr>
          <w:rFonts w:ascii="Times New Roman" w:eastAsia="Times New Roman" w:hAnsi="Times New Roman" w:cs="Times New Roman"/>
        </w:rPr>
        <w:t>d</w:t>
      </w:r>
      <w:r w:rsidR="750671CE" w:rsidRPr="00B06D0A">
        <w:rPr>
          <w:rFonts w:ascii="Times New Roman" w:eastAsia="Times New Roman" w:hAnsi="Times New Roman" w:cs="Times New Roman"/>
        </w:rPr>
        <w:t xml:space="preserve"> that </w:t>
      </w:r>
      <w:r>
        <w:rPr>
          <w:rFonts w:ascii="Times New Roman" w:eastAsia="Times New Roman" w:hAnsi="Times New Roman" w:cs="Times New Roman"/>
        </w:rPr>
        <w:t>“</w:t>
      </w:r>
      <w:r w:rsidR="750671CE" w:rsidRPr="00B06D0A">
        <w:rPr>
          <w:rFonts w:ascii="Times New Roman" w:eastAsia="Times New Roman" w:hAnsi="Times New Roman" w:cs="Times New Roman"/>
        </w:rPr>
        <w:t>they did not owe a duty to protect occupants in the towers against injury from hijacked airplanes and, even if they did, the terrorists</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actions broke the chain of proximate causation, excusing any negligenc</w:t>
      </w:r>
      <w:r>
        <w:rPr>
          <w:rFonts w:ascii="Times New Roman" w:eastAsia="Times New Roman" w:hAnsi="Times New Roman" w:cs="Times New Roman"/>
        </w:rPr>
        <w:t>e” by the World Trade Center</w:t>
      </w:r>
      <w:r w:rsidR="750671CE" w:rsidRPr="00B06D0A">
        <w:rPr>
          <w:rFonts w:ascii="Times New Roman" w:eastAsia="Times New Roman" w:hAnsi="Times New Roman" w:cs="Times New Roman"/>
        </w:rPr>
        <w:t xml:space="preserve"> Defendants. </w:t>
      </w:r>
      <w:r>
        <w:rPr>
          <w:rFonts w:ascii="Times New Roman" w:eastAsia="Times New Roman" w:hAnsi="Times New Roman" w:cs="Times New Roman"/>
        </w:rPr>
        <w:t>Boeing argued</w:t>
      </w:r>
      <w:r w:rsidR="750671CE" w:rsidRPr="00B06D0A">
        <w:rPr>
          <w:rFonts w:ascii="Times New Roman" w:eastAsia="Times New Roman" w:hAnsi="Times New Roman" w:cs="Times New Roman"/>
        </w:rPr>
        <w:t xml:space="preserve"> </w:t>
      </w:r>
      <w:r>
        <w:rPr>
          <w:rFonts w:ascii="Times New Roman" w:eastAsia="Times New Roman" w:hAnsi="Times New Roman" w:cs="Times New Roman"/>
        </w:rPr>
        <w:t>“</w:t>
      </w:r>
      <w:r w:rsidR="750671CE" w:rsidRPr="00B06D0A">
        <w:rPr>
          <w:rFonts w:ascii="Times New Roman" w:eastAsia="Times New Roman" w:hAnsi="Times New Roman" w:cs="Times New Roman"/>
        </w:rPr>
        <w:t>that it did not owe a duty to ground victims or passengers, and that any negligence on its part was not the proximate cause for the harms suffered by the plaintiffs.</w:t>
      </w:r>
      <w:r>
        <w:rPr>
          <w:rFonts w:ascii="Times New Roman" w:eastAsia="Times New Roman" w:hAnsi="Times New Roman" w:cs="Times New Roman"/>
        </w:rPr>
        <w:t>”</w:t>
      </w:r>
      <w:r w:rsidR="750671CE" w:rsidRPr="00B06D0A">
        <w:rPr>
          <w:rFonts w:ascii="Times New Roman" w:eastAsia="Times New Roman" w:hAnsi="Times New Roman" w:cs="Times New Roman"/>
        </w:rPr>
        <w:t>]</w:t>
      </w:r>
    </w:p>
    <w:p w14:paraId="03FB0D0F" w14:textId="77777777" w:rsidR="00FA3CF9" w:rsidRPr="00B06D0A" w:rsidRDefault="00FA3CF9">
      <w:pPr>
        <w:widowControl w:val="0"/>
        <w:autoSpaceDE w:val="0"/>
        <w:autoSpaceDN w:val="0"/>
        <w:adjustRightInd w:val="0"/>
        <w:rPr>
          <w:rFonts w:ascii="Times New Roman" w:hAnsi="Times New Roman" w:cs="Times New Roman"/>
          <w:b/>
          <w:bCs/>
          <w:i/>
          <w:iCs/>
        </w:rPr>
      </w:pPr>
    </w:p>
    <w:p w14:paraId="51309D2A" w14:textId="2146A516" w:rsidR="00FA3CF9" w:rsidRPr="00B06D0A" w:rsidRDefault="750671CE" w:rsidP="00F94B7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 .</w:t>
      </w:r>
    </w:p>
    <w:p w14:paraId="510A2E3F" w14:textId="77777777" w:rsidR="00FA3CF9" w:rsidRPr="00B06D0A" w:rsidRDefault="00FA3CF9">
      <w:pPr>
        <w:widowControl w:val="0"/>
        <w:autoSpaceDE w:val="0"/>
        <w:autoSpaceDN w:val="0"/>
        <w:adjustRightInd w:val="0"/>
        <w:rPr>
          <w:rFonts w:ascii="Times New Roman" w:hAnsi="Times New Roman" w:cs="Times New Roman"/>
        </w:rPr>
      </w:pPr>
    </w:p>
    <w:p w14:paraId="0E9D0680" w14:textId="5345E2A8" w:rsidR="00FA3CF9" w:rsidRPr="00B06D0A" w:rsidRDefault="750671CE">
      <w:pPr>
        <w:widowControl w:val="0"/>
        <w:autoSpaceDE w:val="0"/>
        <w:autoSpaceDN w:val="0"/>
        <w:adjustRightInd w:val="0"/>
        <w:ind w:firstLine="720"/>
        <w:rPr>
          <w:rFonts w:ascii="Times New Roman" w:eastAsia="Times New Roman" w:hAnsi="Times New Roman" w:cs="Times New Roman"/>
          <w:b/>
          <w:bCs/>
        </w:rPr>
      </w:pPr>
      <w:r w:rsidRPr="00B06D0A">
        <w:rPr>
          <w:rFonts w:ascii="Times New Roman" w:eastAsia="Times New Roman" w:hAnsi="Times New Roman" w:cs="Times New Roman"/>
        </w:rPr>
        <w:t xml:space="preserve">[Judge Hellerstein first addressed the claims by New York ground victims against the aviation defendants.]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threshold question in any negligence action is: does the defendant owe a legally recognized duty of care to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The injured party must show that a defendant owed not merely a general duty to society but a specific duty to the particular claimant, for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without a duty running directly to the injured person there can be no liability in damages, however careless the conduct or foreseeable the harm.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w:t>
      </w:r>
    </w:p>
    <w:p w14:paraId="390F0749" w14:textId="77777777" w:rsidR="00FA3CF9" w:rsidRPr="00B06D0A" w:rsidRDefault="00FA3CF9" w:rsidP="00F94B7E">
      <w:pPr>
        <w:tabs>
          <w:tab w:val="left" w:pos="456"/>
        </w:tabs>
        <w:rPr>
          <w:rFonts w:ascii="Times New Roman" w:hAnsi="Times New Roman" w:cs="Times New Roman"/>
          <w:smallCaps/>
        </w:rPr>
      </w:pPr>
    </w:p>
    <w:p w14:paraId="10974A7F" w14:textId="1F2A7679" w:rsidR="00FA3CF9" w:rsidRPr="00B06D0A" w:rsidRDefault="750671CE" w:rsidP="00F349EC">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One additional consideration, the [New York] Court of Appeals added, is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specter of limitless liability is not present because the class of potential plaintiffs to whom the duty is owed is circumscribed by the relationship.</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26352C">
        <w:rPr>
          <w:rFonts w:ascii="Times New Roman" w:eastAsia="Times New Roman" w:hAnsi="Times New Roman" w:cs="Times New Roman"/>
        </w:rPr>
        <w:t>. . .</w:t>
      </w:r>
    </w:p>
    <w:p w14:paraId="1711AED9" w14:textId="77777777" w:rsidR="00FA3CF9" w:rsidRPr="00B06D0A" w:rsidRDefault="00FA3CF9">
      <w:pPr>
        <w:widowControl w:val="0"/>
        <w:autoSpaceDE w:val="0"/>
        <w:autoSpaceDN w:val="0"/>
        <w:adjustRightInd w:val="0"/>
        <w:rPr>
          <w:rFonts w:ascii="Times New Roman" w:hAnsi="Times New Roman" w:cs="Times New Roman"/>
        </w:rPr>
      </w:pPr>
    </w:p>
    <w:p w14:paraId="479F064D" w14:textId="1D15AEA6" w:rsidR="00FA3CF9" w:rsidRPr="00B06D0A" w:rsidRDefault="750671CE"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B06D0A" w:rsidRDefault="00FA3CF9">
      <w:pPr>
        <w:widowControl w:val="0"/>
        <w:autoSpaceDE w:val="0"/>
        <w:autoSpaceDN w:val="0"/>
        <w:adjustRightInd w:val="0"/>
        <w:rPr>
          <w:rFonts w:ascii="Times New Roman" w:hAnsi="Times New Roman" w:cs="Times New Roman"/>
        </w:rPr>
      </w:pPr>
    </w:p>
    <w:p w14:paraId="320047D6" w14:textId="63D9DC49" w:rsidR="00FA3CF9" w:rsidRPr="00B06D0A" w:rsidRDefault="750671CE"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Airlines typically recognize responsibility to victims on the ground. . . . However, counsel [for the airline defendants] did not concede duty in relation to those killed and injured on the ground in the September 11, 2001 aircraft crashes. . . .</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The distinction, in his opinion, 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no[t][a] difference in kind,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but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law of extraordinary consequences [which] can sometimes draw a distinction based on degree.</w:t>
      </w:r>
      <w:r w:rsidR="00B05F31"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w:t>
      </w:r>
      <w:r w:rsidR="0026352C">
        <w:rPr>
          <w:rFonts w:ascii="Times New Roman" w:eastAsia="Times New Roman" w:hAnsi="Times New Roman" w:cs="Times New Roman"/>
        </w:rPr>
        <w:t>. . .</w:t>
      </w:r>
      <w:r w:rsidRPr="00B06D0A">
        <w:rPr>
          <w:rFonts w:ascii="Times New Roman" w:eastAsia="Times New Roman" w:hAnsi="Times New Roman" w:cs="Times New Roman"/>
        </w:rPr>
        <w:t xml:space="preserve"> He explained:</w:t>
      </w:r>
    </w:p>
    <w:p w14:paraId="4FD0A01A" w14:textId="77777777" w:rsidR="00FA3CF9" w:rsidRPr="00B06D0A" w:rsidRDefault="00FA3CF9">
      <w:pPr>
        <w:widowControl w:val="0"/>
        <w:autoSpaceDE w:val="0"/>
        <w:autoSpaceDN w:val="0"/>
        <w:adjustRightInd w:val="0"/>
        <w:ind w:firstLine="180"/>
        <w:rPr>
          <w:rFonts w:ascii="Times New Roman" w:hAnsi="Times New Roman" w:cs="Times New Roman"/>
        </w:rPr>
      </w:pPr>
    </w:p>
    <w:p w14:paraId="119AEA9A" w14:textId="77777777" w:rsidR="00FA3CF9" w:rsidRPr="00B06D0A" w:rsidRDefault="00FA3CF9" w:rsidP="00F94B7E">
      <w:pPr>
        <w:pStyle w:val="blockquote"/>
      </w:pPr>
      <w:r w:rsidRPr="00B06D0A">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B06D0A">
        <w:rPr>
          <w:rStyle w:val="FootnoteReference"/>
        </w:rPr>
        <w:footnoteReference w:customMarkFollows="1" w:id="21"/>
        <w:t>7</w:t>
      </w:r>
    </w:p>
    <w:p w14:paraId="7F26D1A9" w14:textId="77777777" w:rsidR="00FA3CF9" w:rsidRPr="00B06D0A" w:rsidRDefault="00FA3CF9">
      <w:pPr>
        <w:widowControl w:val="0"/>
        <w:autoSpaceDE w:val="0"/>
        <w:autoSpaceDN w:val="0"/>
        <w:adjustRightInd w:val="0"/>
        <w:rPr>
          <w:rFonts w:ascii="Times New Roman" w:hAnsi="Times New Roman" w:cs="Times New Roman"/>
        </w:rPr>
      </w:pPr>
    </w:p>
    <w:p w14:paraId="0F4637AF" w14:textId="37E4CF63" w:rsidR="00FA3CF9" w:rsidRPr="00B06D0A" w:rsidRDefault="00ED335E">
      <w:pPr>
        <w:widowControl w:val="0"/>
        <w:autoSpaceDE w:val="0"/>
        <w:autoSpaceDN w:val="0"/>
        <w:adjustRightInd w:val="0"/>
        <w:ind w:firstLine="720"/>
        <w:rPr>
          <w:rFonts w:ascii="Times New Roman" w:eastAsia="Times New Roman" w:hAnsi="Times New Roman" w:cs="Times New Roman"/>
        </w:rPr>
      </w:pPr>
      <w:r>
        <w:rPr>
          <w:rFonts w:ascii="Times New Roman" w:eastAsia="Times New Roman" w:hAnsi="Times New Roman" w:cs="Times New Roman"/>
        </w:rPr>
        <w:t xml:space="preserve">. . . </w:t>
      </w:r>
      <w:r w:rsidR="750671CE" w:rsidRPr="00B06D0A">
        <w:rPr>
          <w:rFonts w:ascii="Times New Roman" w:eastAsia="Times New Roman" w:hAnsi="Times New Roman" w:cs="Times New Roman"/>
          <w:i/>
          <w:iCs/>
        </w:rPr>
        <w:t xml:space="preserve"> </w:t>
      </w:r>
      <w:r w:rsidR="750671CE" w:rsidRPr="00B06D0A">
        <w:rPr>
          <w:rFonts w:ascii="Times New Roman" w:eastAsia="Times New Roman" w:hAnsi="Times New Roman" w:cs="Times New Roman"/>
        </w:rPr>
        <w:t xml:space="preserve">As defense counsel commented, </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we are in an area of policy,</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where </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the existence and scope of a tortfeasor</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s duty is .</w:t>
      </w:r>
      <w:r>
        <w:rPr>
          <w:rFonts w:ascii="Times New Roman" w:eastAsia="Times New Roman" w:hAnsi="Times New Roman" w:cs="Times New Roman"/>
        </w:rPr>
        <w:t xml:space="preserve"> </w:t>
      </w:r>
      <w:r w:rsidR="750671CE" w:rsidRPr="00B06D0A">
        <w:rPr>
          <w:rFonts w:ascii="Times New Roman" w:eastAsia="Times New Roman" w:hAnsi="Times New Roman" w:cs="Times New Roman"/>
        </w:rPr>
        <w:t>.</w:t>
      </w:r>
      <w:r>
        <w:rPr>
          <w:rFonts w:ascii="Times New Roman" w:eastAsia="Times New Roman" w:hAnsi="Times New Roman" w:cs="Times New Roman"/>
        </w:rPr>
        <w:t xml:space="preserve"> </w:t>
      </w:r>
      <w:r w:rsidR="750671CE" w:rsidRPr="00B06D0A">
        <w:rPr>
          <w:rFonts w:ascii="Times New Roman" w:eastAsia="Times New Roman" w:hAnsi="Times New Roman" w:cs="Times New Roman"/>
        </w:rPr>
        <w:t>. a legal question for the courts</w:t>
      </w:r>
      <w:r w:rsidR="00B05F31" w:rsidRPr="00B06D0A">
        <w:rPr>
          <w:rFonts w:ascii="Times New Roman" w:eastAsia="Times New Roman" w:hAnsi="Times New Roman" w:cs="Times New Roman"/>
        </w:rPr>
        <w:t>”</w:t>
      </w:r>
      <w:r w:rsidR="750671CE" w:rsidRPr="00B06D0A">
        <w:rPr>
          <w:rFonts w:ascii="Times New Roman" w:eastAsia="Times New Roman" w:hAnsi="Times New Roman" w:cs="Times New Roman"/>
        </w:rPr>
        <w:t xml:space="preserve"> . . . .</w:t>
      </w:r>
    </w:p>
    <w:p w14:paraId="13D2EEA6" w14:textId="77777777" w:rsidR="00FA3CF9" w:rsidRPr="00B06D0A" w:rsidRDefault="00FA3CF9">
      <w:pPr>
        <w:widowControl w:val="0"/>
        <w:autoSpaceDE w:val="0"/>
        <w:autoSpaceDN w:val="0"/>
        <w:adjustRightInd w:val="0"/>
        <w:rPr>
          <w:rFonts w:ascii="Times New Roman" w:hAnsi="Times New Roman" w:cs="Times New Roman"/>
        </w:rPr>
      </w:pPr>
    </w:p>
    <w:p w14:paraId="1E1A0104" w14:textId="41D18852"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It is the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job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fix the duty point by balancing factors,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including the following:</w:t>
      </w:r>
    </w:p>
    <w:p w14:paraId="66A5BE75" w14:textId="77777777" w:rsidR="00FA3CF9" w:rsidRPr="00B06D0A" w:rsidRDefault="00FA3CF9">
      <w:pPr>
        <w:widowControl w:val="0"/>
        <w:autoSpaceDE w:val="0"/>
        <w:autoSpaceDN w:val="0"/>
        <w:adjustRightInd w:val="0"/>
        <w:rPr>
          <w:rFonts w:ascii="Times New Roman" w:hAnsi="Times New Roman" w:cs="Times New Roman"/>
        </w:rPr>
      </w:pPr>
    </w:p>
    <w:p w14:paraId="7F887DB2" w14:textId="77777777" w:rsidR="00FA3CF9" w:rsidRPr="00B06D0A" w:rsidRDefault="750671CE" w:rsidP="00F94B7E">
      <w:pPr>
        <w:pStyle w:val="blockquote"/>
      </w:pPr>
      <w:r w:rsidRPr="00B06D0A">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B06D0A" w:rsidRDefault="00FA3CF9" w:rsidP="00F94B7E">
      <w:pPr>
        <w:tabs>
          <w:tab w:val="left" w:pos="456"/>
        </w:tabs>
        <w:rPr>
          <w:rFonts w:ascii="Times New Roman" w:hAnsi="Times New Roman" w:cs="Times New Roman"/>
          <w:smallCaps/>
        </w:rPr>
      </w:pPr>
    </w:p>
    <w:p w14:paraId="030354E3" w14:textId="4D8BCE97" w:rsidR="00FA3CF9" w:rsidRDefault="750671CE" w:rsidP="00F349EC">
      <w:pPr>
        <w:widowControl w:val="0"/>
        <w:autoSpaceDE w:val="0"/>
        <w:autoSpaceDN w:val="0"/>
        <w:adjustRightInd w:val="0"/>
        <w:jc w:val="both"/>
        <w:rPr>
          <w:rFonts w:ascii="Times New Roman" w:eastAsia="Times New Roman" w:hAnsi="Times New Roman" w:cs="Times New Roman"/>
        </w:rPr>
      </w:pPr>
      <w:r w:rsidRPr="00B06D0A">
        <w:rPr>
          <w:rFonts w:ascii="Times New Roman" w:eastAsia="Times New Roman" w:hAnsi="Times New Roman" w:cs="Times New Roman"/>
        </w:rPr>
        <w:t>[</w:t>
      </w:r>
      <w:r w:rsidR="0050551D">
        <w:rPr>
          <w:rFonts w:ascii="Times New Roman" w:eastAsia="Times New Roman" w:hAnsi="Times New Roman" w:cs="Times New Roman"/>
        </w:rPr>
        <w:t>C</w:t>
      </w:r>
      <w:r w:rsidRPr="00B06D0A">
        <w:rPr>
          <w:rFonts w:ascii="Times New Roman" w:eastAsia="Times New Roman" w:hAnsi="Times New Roman" w:cs="Times New Roman"/>
        </w:rPr>
        <w:t xml:space="preserve">iting </w:t>
      </w:r>
      <w:r w:rsidRPr="00B06D0A">
        <w:rPr>
          <w:rFonts w:ascii="Times New Roman" w:eastAsia="Times New Roman" w:hAnsi="Times New Roman" w:cs="Times New Roman"/>
          <w:i/>
          <w:iCs/>
        </w:rPr>
        <w:t>532 Madison Avenue</w:t>
      </w:r>
      <w:r w:rsidR="0050551D">
        <w:rPr>
          <w:rFonts w:ascii="Times New Roman" w:eastAsia="Times New Roman" w:hAnsi="Times New Roman" w:cs="Times New Roman"/>
          <w:iCs/>
        </w:rPr>
        <w:t>.</w:t>
      </w:r>
      <w:r w:rsidRPr="00B06D0A">
        <w:rPr>
          <w:rFonts w:ascii="Times New Roman" w:eastAsia="Times New Roman" w:hAnsi="Times New Roman" w:cs="Times New Roman"/>
        </w:rPr>
        <w:t>]</w:t>
      </w:r>
    </w:p>
    <w:p w14:paraId="5D4FEDA2" w14:textId="77777777" w:rsidR="005266B4" w:rsidRPr="00B06D0A" w:rsidRDefault="005266B4" w:rsidP="00F349EC">
      <w:pPr>
        <w:widowControl w:val="0"/>
        <w:autoSpaceDE w:val="0"/>
        <w:autoSpaceDN w:val="0"/>
        <w:adjustRightInd w:val="0"/>
        <w:jc w:val="both"/>
        <w:rPr>
          <w:rFonts w:ascii="Times New Roman" w:eastAsia="Times New Roman" w:hAnsi="Times New Roman" w:cs="Times New Roman"/>
        </w:rPr>
      </w:pPr>
    </w:p>
    <w:p w14:paraId="67031499" w14:textId="18324AD2" w:rsidR="00FA3CF9" w:rsidRPr="00B06D0A" w:rsidRDefault="00FA3CF9">
      <w:pPr>
        <w:widowControl w:val="0"/>
        <w:autoSpaceDE w:val="0"/>
        <w:autoSpaceDN w:val="0"/>
        <w:adjustRightInd w:val="0"/>
        <w:jc w:val="both"/>
        <w:rPr>
          <w:rFonts w:ascii="Times New Roman" w:eastAsia="Times New Roman" w:hAnsi="Times New Roman" w:cs="Times New Roman"/>
        </w:rPr>
      </w:pPr>
      <w:r w:rsidRPr="00B06D0A">
        <w:rPr>
          <w:rFonts w:ascii="Times New Roman" w:eastAsia="Times New Roman" w:hAnsi="Times New Roman" w:cs="Times New Roman"/>
        </w:rPr>
        <w:t xml:space="preserve"> </w:t>
      </w:r>
      <w:r w:rsidR="00D068EE" w:rsidRPr="00B06D0A">
        <w:rPr>
          <w:rFonts w:ascii="Times New Roman" w:hAnsi="Times New Roman" w:cs="Times New Roman"/>
        </w:rPr>
        <w:tab/>
      </w: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532 Madison Avenue</w:t>
      </w:r>
      <w:r w:rsidRPr="00B06D0A">
        <w:rPr>
          <w:rFonts w:ascii="Times New Roman" w:eastAsia="Times New Roman" w:hAnsi="Times New Roman" w:cs="Times New Roman"/>
        </w:rPr>
        <w:t xml:space="preserve">, [the] Court of Appeals acknowledged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[p]olicy-driven line-drawing is to an extent arbitrary because, wherever the line is drawn, invariably it cuts off liability to persons who foreseeably might be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w:t>
      </w:r>
      <w:r w:rsidR="0016442E">
        <w:rPr>
          <w:rFonts w:ascii="Times New Roman" w:eastAsia="Times New Roman" w:hAnsi="Times New Roman" w:cs="Times New Roman"/>
        </w:rPr>
        <w:t>. . .</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If those who suffered financial losses were to be allowed to sue, the Court of Appeals held,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an indeterminate group in the affected areas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would be able to recover.</w:t>
      </w:r>
      <w:r w:rsidRPr="00B06D0A">
        <w:rPr>
          <w:rFonts w:ascii="Times New Roman" w:eastAsia="Times New Roman" w:hAnsi="Times New Roman" w:cs="Times New Roman"/>
          <w:i/>
          <w:iCs/>
        </w:rPr>
        <w:t xml:space="preserve"> </w:t>
      </w:r>
      <w:r w:rsidR="0016442E">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If, however, the field of plaintiffs was to be limited to those who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suffered personal injury or property damage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as a result of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negligence, the limitation would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afford</w:t>
      </w:r>
      <w:r w:rsidR="0016442E">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a principled basis for reasonably apportioning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be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historically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consistent with New York precedents.</w:t>
      </w:r>
      <w:r w:rsidRPr="00B06D0A">
        <w:rPr>
          <w:rFonts w:ascii="Times New Roman" w:eastAsia="Times New Roman" w:hAnsi="Times New Roman" w:cs="Times New Roman"/>
          <w:i/>
          <w:iCs/>
        </w:rPr>
        <w:t xml:space="preserve"> </w:t>
      </w:r>
      <w:r w:rsidR="0016442E">
        <w:rPr>
          <w:rFonts w:ascii="Times New Roman" w:eastAsia="Times New Roman" w:hAnsi="Times New Roman" w:cs="Times New Roman"/>
        </w:rPr>
        <w:t xml:space="preserve">. . . </w:t>
      </w:r>
    </w:p>
    <w:p w14:paraId="7C3A1203" w14:textId="77777777" w:rsidR="00FA3CF9" w:rsidRPr="00B06D0A" w:rsidRDefault="00FA3CF9">
      <w:pPr>
        <w:widowControl w:val="0"/>
        <w:autoSpaceDE w:val="0"/>
        <w:autoSpaceDN w:val="0"/>
        <w:adjustRightInd w:val="0"/>
        <w:rPr>
          <w:rFonts w:ascii="Times New Roman" w:hAnsi="Times New Roman" w:cs="Times New Roman"/>
        </w:rPr>
      </w:pPr>
    </w:p>
    <w:p w14:paraId="5AD1F486"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cases before me involve claims to recover for personal injuries, death, or property damage. They fall within the line drawn by the New York Court of Appeals in </w:t>
      </w:r>
      <w:r w:rsidRPr="00B06D0A">
        <w:rPr>
          <w:rFonts w:ascii="Times New Roman" w:eastAsia="Times New Roman" w:hAnsi="Times New Roman" w:cs="Times New Roman"/>
          <w:i/>
          <w:iCs/>
        </w:rPr>
        <w:t>532 Madison Avenue.</w:t>
      </w:r>
      <w:r w:rsidRPr="00B06D0A">
        <w:rPr>
          <w:rFonts w:ascii="Times New Roman" w:eastAsia="Times New Roman" w:hAnsi="Times New Roman" w:cs="Times New Roman"/>
        </w:rPr>
        <w:t xml:space="preserve"> . . . I therefore hold that the Aviation Defendants owed a duty of care, not only to their passengers to whom they concede they owed this duty, but also to victims on the ground.</w:t>
      </w:r>
    </w:p>
    <w:p w14:paraId="439EA733" w14:textId="77777777" w:rsidR="00FA3CF9" w:rsidRPr="00B06D0A" w:rsidRDefault="00FA3CF9">
      <w:pPr>
        <w:widowControl w:val="0"/>
        <w:autoSpaceDE w:val="0"/>
        <w:autoSpaceDN w:val="0"/>
        <w:adjustRightInd w:val="0"/>
        <w:rPr>
          <w:rFonts w:ascii="Times New Roman" w:hAnsi="Times New Roman" w:cs="Times New Roman"/>
        </w:rPr>
      </w:pPr>
    </w:p>
    <w:p w14:paraId="3881264C" w14:textId="77777777" w:rsidR="00FA3CF9" w:rsidRPr="00B06D0A" w:rsidRDefault="750671CE">
      <w:pPr>
        <w:widowControl w:val="0"/>
        <w:autoSpaceDE w:val="0"/>
        <w:autoSpaceDN w:val="0"/>
        <w:adjustRightInd w:val="0"/>
        <w:ind w:firstLine="720"/>
        <w:rPr>
          <w:rFonts w:ascii="Times New Roman" w:eastAsia="Times New Roman" w:hAnsi="Times New Roman" w:cs="Times New Roman"/>
          <w:b/>
          <w:bCs/>
        </w:rPr>
      </w:pPr>
      <w:r w:rsidRPr="00B06D0A">
        <w:rPr>
          <w:rFonts w:ascii="Times New Roman" w:eastAsia="Times New Roman" w:hAnsi="Times New Roman" w:cs="Times New Roman"/>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B06D0A" w:rsidRDefault="00FA3CF9">
      <w:pPr>
        <w:widowControl w:val="0"/>
        <w:autoSpaceDE w:val="0"/>
        <w:autoSpaceDN w:val="0"/>
        <w:adjustRightInd w:val="0"/>
        <w:rPr>
          <w:rFonts w:ascii="Times New Roman" w:hAnsi="Times New Roman" w:cs="Times New Roman"/>
        </w:rPr>
      </w:pPr>
    </w:p>
    <w:p w14:paraId="18A3782A" w14:textId="5C6D2345" w:rsidR="00FA3CF9" w:rsidRPr="00B06D0A" w:rsidRDefault="750671CE" w:rsidP="00F94B7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 . .</w:t>
      </w:r>
    </w:p>
    <w:p w14:paraId="5245A21F" w14:textId="77777777" w:rsidR="00FA3CF9" w:rsidRPr="00B06D0A" w:rsidRDefault="00FA3CF9">
      <w:pPr>
        <w:widowControl w:val="0"/>
        <w:autoSpaceDE w:val="0"/>
        <w:autoSpaceDN w:val="0"/>
        <w:adjustRightInd w:val="0"/>
        <w:rPr>
          <w:rFonts w:ascii="Times New Roman" w:hAnsi="Times New Roman" w:cs="Times New Roman"/>
        </w:rPr>
      </w:pPr>
    </w:p>
    <w:p w14:paraId="5469684F" w14:textId="61EEE4C2" w:rsidR="00FA3CF9" w:rsidRPr="00B06D0A" w:rsidRDefault="750671CE">
      <w:pPr>
        <w:widowControl w:val="0"/>
        <w:autoSpaceDE w:val="0"/>
        <w:autoSpaceDN w:val="0"/>
        <w:adjustRightInd w:val="0"/>
        <w:ind w:firstLine="720"/>
        <w:rPr>
          <w:rFonts w:ascii="Times New Roman" w:eastAsia="Times New Roman" w:hAnsi="Times New Roman" w:cs="Times New Roman"/>
          <w:b/>
          <w:bCs/>
        </w:rPr>
      </w:pPr>
      <w:r w:rsidRPr="00B06D0A">
        <w:rPr>
          <w:rFonts w:ascii="Times New Roman" w:eastAsia="Times New Roman" w:hAnsi="Times New Roman" w:cs="Times New Roman"/>
        </w:rPr>
        <w:t xml:space="preserve">The second factor to consider 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proliferation of claims.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16442E">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likelihood of unlimited or insurer-like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third factor of </w:t>
      </w:r>
      <w:r w:rsidRPr="00B06D0A">
        <w:rPr>
          <w:rFonts w:ascii="Times New Roman" w:eastAsia="Times New Roman" w:hAnsi="Times New Roman" w:cs="Times New Roman"/>
          <w:i/>
          <w:iCs/>
        </w:rPr>
        <w:t>532 Madison Avenue,</w:t>
      </w:r>
      <w:r w:rsidRPr="00B06D0A">
        <w:rPr>
          <w:rFonts w:ascii="Times New Roman" w:eastAsia="Times New Roman" w:hAnsi="Times New Roman" w:cs="Times New Roman"/>
        </w:rPr>
        <w:t xml:space="preserve"> does not weigh heavily against a finding of duty.</w:t>
      </w:r>
    </w:p>
    <w:p w14:paraId="6AD391DD" w14:textId="77777777" w:rsidR="00FA3CF9" w:rsidRPr="00B06D0A" w:rsidRDefault="00FA3CF9">
      <w:pPr>
        <w:widowControl w:val="0"/>
        <w:autoSpaceDE w:val="0"/>
        <w:autoSpaceDN w:val="0"/>
        <w:adjustRightInd w:val="0"/>
        <w:rPr>
          <w:rFonts w:ascii="Times New Roman" w:hAnsi="Times New Roman" w:cs="Times New Roman"/>
        </w:rPr>
      </w:pPr>
    </w:p>
    <w:p w14:paraId="518FAC17" w14:textId="53F6DED5" w:rsidR="00FA3CF9" w:rsidRPr="00B06D0A" w:rsidRDefault="00FA3CF9">
      <w:pPr>
        <w:widowControl w:val="0"/>
        <w:autoSpaceDE w:val="0"/>
        <w:autoSpaceDN w:val="0"/>
        <w:adjustRightInd w:val="0"/>
        <w:rPr>
          <w:rFonts w:ascii="Times New Roman" w:eastAsia="Times New Roman" w:hAnsi="Times New Roman" w:cs="Times New Roman"/>
          <w:b/>
          <w:bCs/>
        </w:rPr>
      </w:pPr>
      <w:r w:rsidRPr="00B06D0A">
        <w:rPr>
          <w:rFonts w:ascii="Times New Roman" w:hAnsi="Times New Roman" w:cs="Times New Roman"/>
        </w:rPr>
        <w:tab/>
      </w:r>
      <w:r w:rsidRPr="00B06D0A">
        <w:rPr>
          <w:rFonts w:ascii="Times New Roman" w:eastAsia="Times New Roman" w:hAnsi="Times New Roman" w:cs="Times New Roman"/>
        </w:rPr>
        <w:t xml:space="preserve">The fourth factor of </w:t>
      </w:r>
      <w:r w:rsidRPr="00B06D0A">
        <w:rPr>
          <w:rFonts w:ascii="Times New Roman" w:eastAsia="Times New Roman" w:hAnsi="Times New Roman" w:cs="Times New Roman"/>
          <w:i/>
          <w:iCs/>
        </w:rPr>
        <w:t>532 Madison Avenue</w:t>
      </w:r>
      <w:r w:rsidRPr="00B06D0A">
        <w:rPr>
          <w:rFonts w:ascii="Times New Roman" w:eastAsia="Times New Roman" w:hAnsi="Times New Roman" w:cs="Times New Roman"/>
        </w:rPr>
        <w:t xml:space="preserve"> 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disproportionate risk and reparation allocation.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This inquiry probes who was best able to protect against the risks at issue and weighs the costs and efficacy of imposing such a duty</w:t>
      </w:r>
      <w:r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rPr>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B06D0A">
        <w:rPr>
          <w:rFonts w:ascii="Times New Roman" w:eastAsia="Times New Roman" w:hAnsi="Times New Roman" w:cs="Times New Roman"/>
          <w:i/>
          <w:iCs/>
        </w:rPr>
        <w:t>Hamilton [v. Aku-Tech</w:t>
      </w:r>
      <w:r w:rsidRPr="00B06D0A">
        <w:rPr>
          <w:rFonts w:ascii="Times New Roman" w:eastAsia="Times New Roman" w:hAnsi="Times New Roman" w:cs="Times New Roman"/>
        </w:rPr>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B06D0A" w:rsidRDefault="00FA3CF9">
      <w:pPr>
        <w:widowControl w:val="0"/>
        <w:autoSpaceDE w:val="0"/>
        <w:autoSpaceDN w:val="0"/>
        <w:adjustRightInd w:val="0"/>
        <w:rPr>
          <w:rFonts w:ascii="Times New Roman" w:hAnsi="Times New Roman" w:cs="Times New Roman"/>
          <w:u w:color="0000FF"/>
        </w:rPr>
      </w:pPr>
    </w:p>
    <w:p w14:paraId="4EFA4AD4" w14:textId="3E332F7D"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Unlike </w:t>
      </w:r>
      <w:r w:rsidRPr="00B06D0A">
        <w:rPr>
          <w:rFonts w:ascii="Times New Roman" w:eastAsia="Times New Roman" w:hAnsi="Times New Roman" w:cs="Times New Roman"/>
          <w:i/>
          <w:iCs/>
        </w:rPr>
        <w:t>Hamilton</w:t>
      </w:r>
      <w:r w:rsidRPr="00B06D0A">
        <w:rPr>
          <w:rFonts w:ascii="Times New Roman" w:eastAsia="Times New Roman" w:hAnsi="Times New Roman" w:cs="Times New Roman"/>
        </w:rPr>
        <w:t xml:space="preserve"> and </w:t>
      </w:r>
      <w:r w:rsidRPr="00B06D0A">
        <w:rPr>
          <w:rFonts w:ascii="Times New Roman" w:eastAsia="Times New Roman" w:hAnsi="Times New Roman" w:cs="Times New Roman"/>
          <w:i/>
          <w:iCs/>
        </w:rPr>
        <w:t>Waters,</w:t>
      </w:r>
      <w:r w:rsidRPr="00B06D0A">
        <w:rPr>
          <w:rFonts w:ascii="Times New Roman" w:eastAsia="Times New Roman" w:hAnsi="Times New Roman" w:cs="Times New Roman"/>
        </w:rPr>
        <w:t xml:space="preserve"> the Aviation Defendants could best control the 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existing and admitted duty to screen passengers and items carried aboard.</w:t>
      </w:r>
    </w:p>
    <w:p w14:paraId="73159814" w14:textId="77777777" w:rsidR="00FA3CF9" w:rsidRPr="00B06D0A" w:rsidRDefault="00FA3CF9">
      <w:pPr>
        <w:widowControl w:val="0"/>
        <w:autoSpaceDE w:val="0"/>
        <w:autoSpaceDN w:val="0"/>
        <w:adjustRightInd w:val="0"/>
        <w:rPr>
          <w:rFonts w:ascii="Times New Roman" w:hAnsi="Times New Roman" w:cs="Times New Roman"/>
          <w:u w:color="0000FF"/>
        </w:rPr>
      </w:pPr>
    </w:p>
    <w:p w14:paraId="1E783B24" w14:textId="5EB7DA9D"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Lastly, recognition of a duty on the part of the Aviation Defendants would not substantially expand or create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new channels of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fifth and last factor of </w:t>
      </w:r>
      <w:r w:rsidRPr="00B06D0A">
        <w:rPr>
          <w:rFonts w:ascii="Times New Roman" w:eastAsia="Times New Roman" w:hAnsi="Times New Roman" w:cs="Times New Roman"/>
          <w:i/>
          <w:iCs/>
        </w:rPr>
        <w:t>532 Madison Avenue.</w:t>
      </w:r>
      <w:r w:rsidRPr="00B06D0A">
        <w:rPr>
          <w:rFonts w:ascii="Times New Roman" w:eastAsia="Times New Roman" w:hAnsi="Times New Roman" w:cs="Times New Roman"/>
        </w:rPr>
        <w:t xml:space="preserve"> New York courts have found on other occasions that aircraft owners and operators owe a duty to those on the ground who may be harmed or sustain property damage resulting from improper or negligent operation of an aircraft. </w:t>
      </w:r>
      <w:r w:rsidR="0016442E">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B06D0A" w:rsidRDefault="00FA3CF9">
      <w:pPr>
        <w:widowControl w:val="0"/>
        <w:autoSpaceDE w:val="0"/>
        <w:autoSpaceDN w:val="0"/>
        <w:adjustRightInd w:val="0"/>
        <w:rPr>
          <w:rFonts w:ascii="Times New Roman" w:hAnsi="Times New Roman" w:cs="Times New Roman"/>
          <w:u w:color="0000FF"/>
        </w:rPr>
      </w:pPr>
    </w:p>
    <w:p w14:paraId="535F6AE1" w14:textId="77777777" w:rsidR="00FA3CF9" w:rsidRPr="00B06D0A" w:rsidRDefault="750671CE">
      <w:pPr>
        <w:widowControl w:val="0"/>
        <w:autoSpaceDE w:val="0"/>
        <w:autoSpaceDN w:val="0"/>
        <w:adjustRightInd w:val="0"/>
        <w:jc w:val="both"/>
        <w:rPr>
          <w:rFonts w:ascii="Times New Roman" w:eastAsia="Times New Roman" w:hAnsi="Times New Roman" w:cs="Times New Roman"/>
        </w:rPr>
      </w:pPr>
      <w:r w:rsidRPr="00B06D0A">
        <w:rPr>
          <w:rFonts w:ascii="Times New Roman" w:eastAsia="Times New Roman" w:hAnsi="Times New Roman" w:cs="Times New Roman"/>
          <w:i/>
          <w:iCs/>
        </w:rPr>
        <w:t>Scope of Duty to Ground Victims: the Issue of Foreseeability</w:t>
      </w:r>
    </w:p>
    <w:p w14:paraId="0E9418C0" w14:textId="77777777" w:rsidR="00FA3CF9" w:rsidRPr="00B06D0A" w:rsidRDefault="00FA3CF9">
      <w:pPr>
        <w:widowControl w:val="0"/>
        <w:autoSpaceDE w:val="0"/>
        <w:autoSpaceDN w:val="0"/>
        <w:adjustRightInd w:val="0"/>
        <w:rPr>
          <w:rFonts w:ascii="Times New Roman" w:hAnsi="Times New Roman" w:cs="Times New Roman"/>
          <w:u w:color="0000FF"/>
        </w:rPr>
      </w:pPr>
    </w:p>
    <w:p w14:paraId="62863D83"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B06D0A" w:rsidRDefault="00FA3CF9">
      <w:pPr>
        <w:widowControl w:val="0"/>
        <w:autoSpaceDE w:val="0"/>
        <w:autoSpaceDN w:val="0"/>
        <w:adjustRightInd w:val="0"/>
        <w:rPr>
          <w:rFonts w:ascii="Times New Roman" w:hAnsi="Times New Roman" w:cs="Times New Roman"/>
          <w:u w:color="0000FF"/>
        </w:rPr>
      </w:pPr>
    </w:p>
    <w:p w14:paraId="44EADB7B"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ACD92" w14:textId="77777777" w:rsidR="00FA3CF9" w:rsidRPr="00B06D0A" w:rsidRDefault="00FA3CF9">
      <w:pPr>
        <w:widowControl w:val="0"/>
        <w:autoSpaceDE w:val="0"/>
        <w:autoSpaceDN w:val="0"/>
        <w:adjustRightInd w:val="0"/>
        <w:rPr>
          <w:rFonts w:ascii="Times New Roman" w:hAnsi="Times New Roman" w:cs="Times New Roman"/>
        </w:rPr>
      </w:pPr>
    </w:p>
    <w:p w14:paraId="30ACFC5C" w14:textId="5462CA03" w:rsidR="00FA3CF9" w:rsidRPr="00B06D0A" w:rsidRDefault="750671CE">
      <w:pPr>
        <w:widowControl w:val="0"/>
        <w:autoSpaceDE w:val="0"/>
        <w:autoSpaceDN w:val="0"/>
        <w:adjustRightInd w:val="0"/>
        <w:jc w:val="both"/>
        <w:rPr>
          <w:rFonts w:ascii="Times New Roman" w:eastAsia="Times New Roman" w:hAnsi="Times New Roman" w:cs="Times New Roman"/>
        </w:rPr>
      </w:pPr>
      <w:r w:rsidRPr="00B06D0A">
        <w:rPr>
          <w:rFonts w:ascii="Times New Roman" w:eastAsia="Times New Roman" w:hAnsi="Times New Roman" w:cs="Times New Roman"/>
        </w:rPr>
        <w:t xml:space="preserve">B. </w:t>
      </w:r>
      <w:r w:rsidRPr="00B06D0A">
        <w:rPr>
          <w:rFonts w:ascii="Times New Roman" w:eastAsia="Times New Roman" w:hAnsi="Times New Roman" w:cs="Times New Roman"/>
          <w:i/>
          <w:iCs/>
        </w:rPr>
        <w:t>World Trade Center Defendants</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 Motions to Dismiss</w:t>
      </w:r>
    </w:p>
    <w:p w14:paraId="775A1BBD" w14:textId="77777777" w:rsidR="00FA3CF9" w:rsidRPr="00B06D0A" w:rsidRDefault="00FA3CF9">
      <w:pPr>
        <w:widowControl w:val="0"/>
        <w:autoSpaceDE w:val="0"/>
        <w:autoSpaceDN w:val="0"/>
        <w:adjustRightInd w:val="0"/>
        <w:rPr>
          <w:rFonts w:ascii="Times New Roman" w:hAnsi="Times New Roman" w:cs="Times New Roman"/>
          <w:u w:color="0000FF"/>
        </w:rPr>
      </w:pPr>
    </w:p>
    <w:p w14:paraId="56E709B2" w14:textId="77777777" w:rsidR="00FA3CF9" w:rsidRPr="00B06D0A" w:rsidRDefault="750671CE">
      <w:pPr>
        <w:widowControl w:val="0"/>
        <w:autoSpaceDE w:val="0"/>
        <w:autoSpaceDN w:val="0"/>
        <w:adjustRightInd w:val="0"/>
        <w:jc w:val="both"/>
        <w:rPr>
          <w:rFonts w:ascii="Times New Roman" w:eastAsia="Times New Roman" w:hAnsi="Times New Roman" w:cs="Times New Roman"/>
        </w:rPr>
      </w:pPr>
      <w:r w:rsidRPr="00B06D0A">
        <w:rPr>
          <w:rFonts w:ascii="Times New Roman" w:eastAsia="Times New Roman" w:hAnsi="Times New Roman" w:cs="Times New Roman"/>
        </w:rPr>
        <w:t xml:space="preserve">i. </w:t>
      </w:r>
      <w:r w:rsidRPr="00B06D0A">
        <w:rPr>
          <w:rFonts w:ascii="Times New Roman" w:eastAsia="Times New Roman" w:hAnsi="Times New Roman" w:cs="Times New Roman"/>
          <w:i/>
          <w:iCs/>
        </w:rPr>
        <w:t>Background</w:t>
      </w:r>
    </w:p>
    <w:p w14:paraId="786BE6C6" w14:textId="77777777" w:rsidR="00FA3CF9" w:rsidRPr="00B06D0A" w:rsidRDefault="00FA3CF9">
      <w:pPr>
        <w:widowControl w:val="0"/>
        <w:autoSpaceDE w:val="0"/>
        <w:autoSpaceDN w:val="0"/>
        <w:adjustRightInd w:val="0"/>
        <w:rPr>
          <w:rFonts w:ascii="Times New Roman" w:hAnsi="Times New Roman" w:cs="Times New Roman"/>
        </w:rPr>
      </w:pPr>
    </w:p>
    <w:p w14:paraId="5E813675" w14:textId="77777777" w:rsidR="00FA3CF9" w:rsidRPr="00B06D0A" w:rsidRDefault="750671CE">
      <w:pPr>
        <w:widowControl w:val="0"/>
        <w:autoSpaceDE w:val="0"/>
        <w:autoSpaceDN w:val="0"/>
        <w:adjustRightInd w:val="0"/>
        <w:ind w:firstLine="720"/>
        <w:rPr>
          <w:rFonts w:ascii="Times New Roman" w:eastAsia="Times New Roman" w:hAnsi="Times New Roman" w:cs="Times New Roman"/>
          <w:b/>
          <w:bCs/>
        </w:rPr>
      </w:pPr>
      <w:r w:rsidRPr="00B06D0A">
        <w:rPr>
          <w:rFonts w:ascii="Times New Roman" w:eastAsia="Times New Roman" w:hAnsi="Times New Roman" w:cs="Times New Roman"/>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7777777" w:rsidR="00FA3CF9" w:rsidRPr="00B06D0A" w:rsidRDefault="00FA3CF9">
      <w:pPr>
        <w:widowControl w:val="0"/>
        <w:autoSpaceDE w:val="0"/>
        <w:autoSpaceDN w:val="0"/>
        <w:adjustRightInd w:val="0"/>
        <w:ind w:firstLine="720"/>
        <w:rPr>
          <w:rFonts w:ascii="Times New Roman" w:hAnsi="Times New Roman" w:cs="Times New Roman"/>
          <w:b/>
        </w:rPr>
      </w:pPr>
    </w:p>
    <w:p w14:paraId="5F1FC6AB" w14:textId="679D1DEE"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WTC Defendants contend that they owed no duty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anticipate and guard against crimes unprecedented in human history.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B06D0A" w:rsidRDefault="00FA3CF9">
      <w:pPr>
        <w:widowControl w:val="0"/>
        <w:autoSpaceDE w:val="0"/>
        <w:autoSpaceDN w:val="0"/>
        <w:adjustRightInd w:val="0"/>
        <w:rPr>
          <w:rFonts w:ascii="Times New Roman" w:hAnsi="Times New Roman" w:cs="Times New Roman"/>
        </w:rPr>
      </w:pPr>
    </w:p>
    <w:p w14:paraId="0D47D9C9" w14:textId="20C00CB8"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existence of a duty owed by the WTC Defendants to its lessees and business occupants has been clearly set out in New York law.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landowner has a duty to exercise reasonable care under the circumstances in maintaining its property in a safe condition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684DA9">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including the duty to adopt reasonable fire-safety precautions </w:t>
      </w:r>
      <w:r w:rsidR="00684DA9">
        <w:rPr>
          <w:rFonts w:ascii="Times New Roman" w:eastAsia="Times New Roman" w:hAnsi="Times New Roman" w:cs="Times New Roman"/>
        </w:rPr>
        <w:t xml:space="preserve">. . . </w:t>
      </w:r>
      <w:r w:rsidRPr="00B06D0A">
        <w:rPr>
          <w:rFonts w:ascii="Times New Roman" w:eastAsia="Times New Roman" w:hAnsi="Times New Roman" w:cs="Times New Roman"/>
        </w:rPr>
        <w:t>, regardless of the origin of the fire . . . .</w:t>
      </w:r>
    </w:p>
    <w:p w14:paraId="187A9ECE" w14:textId="77777777" w:rsidR="00FA3CF9" w:rsidRPr="00B06D0A" w:rsidRDefault="00FA3CF9">
      <w:pPr>
        <w:widowControl w:val="0"/>
        <w:autoSpaceDE w:val="0"/>
        <w:autoSpaceDN w:val="0"/>
        <w:adjustRightInd w:val="0"/>
        <w:rPr>
          <w:rFonts w:ascii="Times New Roman" w:hAnsi="Times New Roman" w:cs="Times New Roman"/>
        </w:rPr>
      </w:pPr>
    </w:p>
    <w:p w14:paraId="332B13D0" w14:textId="3A95AB3E"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Pr>
          <w:rFonts w:ascii="Times New Roman" w:eastAsia="Times New Roman" w:hAnsi="Times New Roman" w:cs="Times New Roman"/>
        </w:rPr>
        <w:t xml:space="preserve"> . . .</w:t>
      </w:r>
    </w:p>
    <w:p w14:paraId="16A3D746" w14:textId="77777777" w:rsidR="00FA3CF9" w:rsidRPr="00B06D0A" w:rsidRDefault="00FA3CF9">
      <w:pPr>
        <w:widowControl w:val="0"/>
        <w:autoSpaceDE w:val="0"/>
        <w:autoSpaceDN w:val="0"/>
        <w:adjustRightInd w:val="0"/>
        <w:rPr>
          <w:rFonts w:ascii="Times New Roman" w:hAnsi="Times New Roman" w:cs="Times New Roman"/>
        </w:rPr>
      </w:pPr>
    </w:p>
    <w:p w14:paraId="26866190" w14:textId="045FDBFF" w:rsidR="00FA3CF9" w:rsidRPr="00B06D0A" w:rsidRDefault="00FA3CF9">
      <w:pPr>
        <w:widowControl w:val="0"/>
        <w:autoSpaceDE w:val="0"/>
        <w:autoSpaceDN w:val="0"/>
        <w:adjustRightInd w:val="0"/>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B06D0A" w:rsidRDefault="00FA3CF9">
      <w:pPr>
        <w:widowControl w:val="0"/>
        <w:autoSpaceDE w:val="0"/>
        <w:autoSpaceDN w:val="0"/>
        <w:adjustRightInd w:val="0"/>
        <w:rPr>
          <w:rFonts w:ascii="Times New Roman" w:hAnsi="Times New Roman" w:cs="Times New Roman"/>
        </w:rPr>
      </w:pPr>
    </w:p>
    <w:p w14:paraId="62E5F86E" w14:textId="538D9B21" w:rsidR="00FA3CF9" w:rsidRPr="00B06D0A" w:rsidRDefault="750671CE"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court then reasoned that the rule of supervening causation from the doctrine of proximate cause did not preclude a judgment for the plaintiff against the WTC defendants because while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generally, an intervening intentional or criminal act severs the liability of the original tort-feasor,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doctrine has no application when the intentional or criminal intervention of a third party or parties is reasonably foreseeable.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Turning to the Boeing defendant, the court further concluded that as manufacturer of the airplanes in question, Boeing also owed a duty of reasonable care to the air and ground victims in the case: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danger that a plane could crash if unauthorized individuals invaded and took over the cockpit,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court concluded,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was the very risk that Boeing should reasonably have foreseen.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w:t>
      </w:r>
    </w:p>
    <w:p w14:paraId="2B7881BC" w14:textId="77777777" w:rsidR="00FA3CF9" w:rsidRPr="00B06D0A" w:rsidRDefault="00FA3CF9">
      <w:pPr>
        <w:widowControl w:val="0"/>
        <w:autoSpaceDE w:val="0"/>
        <w:autoSpaceDN w:val="0"/>
        <w:adjustRightInd w:val="0"/>
        <w:ind w:firstLine="720"/>
        <w:rPr>
          <w:rFonts w:ascii="Times New Roman" w:hAnsi="Times New Roman" w:cs="Times New Roman"/>
        </w:rPr>
      </w:pPr>
    </w:p>
    <w:p w14:paraId="4915C0BE" w14:textId="77777777" w:rsidR="00FA3CF9" w:rsidRPr="00B06D0A" w:rsidRDefault="00FA3CF9">
      <w:pPr>
        <w:widowControl w:val="0"/>
        <w:autoSpaceDE w:val="0"/>
        <w:autoSpaceDN w:val="0"/>
        <w:adjustRightInd w:val="0"/>
        <w:ind w:firstLine="720"/>
        <w:rPr>
          <w:rFonts w:ascii="Times New Roman" w:hAnsi="Times New Roman" w:cs="Times New Roman"/>
        </w:rPr>
      </w:pPr>
    </w:p>
    <w:p w14:paraId="629022BF" w14:textId="77777777" w:rsidR="00FA3CF9" w:rsidRPr="00A559C4" w:rsidRDefault="00FA3CF9" w:rsidP="00AB034A">
      <w:pPr>
        <w:pStyle w:val="Heading5"/>
      </w:pPr>
      <w:bookmarkStart w:id="813" w:name="_Toc265592554"/>
      <w:bookmarkStart w:id="814" w:name="_Toc364636230"/>
      <w:bookmarkStart w:id="815" w:name="_Toc518323481"/>
      <w:r w:rsidRPr="00C14ACE">
        <w:t>Notes</w:t>
      </w:r>
      <w:bookmarkEnd w:id="813"/>
      <w:bookmarkEnd w:id="814"/>
      <w:bookmarkEnd w:id="815"/>
    </w:p>
    <w:p w14:paraId="4E91DE8A" w14:textId="77777777" w:rsidR="00FA3CF9" w:rsidRDefault="00FA3CF9">
      <w:pPr>
        <w:widowControl w:val="0"/>
        <w:autoSpaceDE w:val="0"/>
        <w:autoSpaceDN w:val="0"/>
        <w:adjustRightInd w:val="0"/>
        <w:rPr>
          <w:rFonts w:ascii="Times New Roman" w:hAnsi="Times New Roman" w:cs="Times New Roman"/>
        </w:rPr>
      </w:pPr>
    </w:p>
    <w:p w14:paraId="14C2FD3B" w14:textId="77777777" w:rsidR="005468ED" w:rsidRPr="00B06D0A" w:rsidRDefault="005468ED">
      <w:pPr>
        <w:widowControl w:val="0"/>
        <w:autoSpaceDE w:val="0"/>
        <w:autoSpaceDN w:val="0"/>
        <w:adjustRightInd w:val="0"/>
        <w:rPr>
          <w:rFonts w:ascii="Times New Roman" w:hAnsi="Times New Roman" w:cs="Times New Roman"/>
        </w:rPr>
      </w:pPr>
    </w:p>
    <w:p w14:paraId="4D133637" w14:textId="6C877F08" w:rsidR="00FA3CF9" w:rsidRPr="00F94B7E" w:rsidRDefault="750671CE" w:rsidP="00F94B7E">
      <w:pPr>
        <w:pStyle w:val="ListParagraph"/>
        <w:widowControl w:val="0"/>
        <w:numPr>
          <w:ilvl w:val="0"/>
          <w:numId w:val="121"/>
        </w:numPr>
        <w:autoSpaceDE w:val="0"/>
        <w:autoSpaceDN w:val="0"/>
        <w:adjustRightInd w:val="0"/>
        <w:ind w:left="0" w:firstLine="360"/>
        <w:rPr>
          <w:rFonts w:ascii="Times New Roman" w:eastAsia="Times New Roman" w:hAnsi="Times New Roman" w:cs="Times New Roman"/>
        </w:rPr>
      </w:pPr>
      <w:r w:rsidRPr="00F94B7E">
        <w:rPr>
          <w:rFonts w:ascii="Times New Roman" w:eastAsia="Times New Roman" w:hAnsi="Times New Roman" w:cs="Times New Roman"/>
          <w:i/>
          <w:iCs/>
        </w:rPr>
        <w:t>The September 11 Fund</w:t>
      </w:r>
      <w:r w:rsidRPr="00F94B7E">
        <w:rPr>
          <w:rFonts w:ascii="Times New Roman" w:eastAsia="Times New Roman" w:hAnsi="Times New Roman" w:cs="Times New Roman"/>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F94B7E">
        <w:rPr>
          <w:rFonts w:ascii="Times New Roman" w:eastAsia="Times New Roman" w:hAnsi="Times New Roman" w:cs="Times New Roman"/>
          <w:i/>
          <w:iCs/>
        </w:rPr>
        <w:t>The September 11th Victim Compensation Fund: An Effective Administrative Response to a National Tragedy</w:t>
      </w:r>
      <w:r w:rsidRPr="00F94B7E">
        <w:rPr>
          <w:rFonts w:ascii="Times New Roman" w:eastAsia="Times New Roman" w:hAnsi="Times New Roman" w:cs="Times New Roman"/>
        </w:rPr>
        <w:t xml:space="preserve">, 10 </w:t>
      </w:r>
      <w:r w:rsidRPr="00F94B7E">
        <w:rPr>
          <w:rFonts w:ascii="Times New Roman" w:eastAsia="Times New Roman" w:hAnsi="Times New Roman" w:cs="Times New Roman"/>
          <w:smallCaps/>
        </w:rPr>
        <w:t>Harv. Negotiation L. Rev</w:t>
      </w:r>
      <w:r w:rsidRPr="00F94B7E">
        <w:rPr>
          <w:rFonts w:ascii="Times New Roman" w:eastAsia="Times New Roman" w:hAnsi="Times New Roman" w:cs="Times New Roman"/>
        </w:rPr>
        <w:t xml:space="preserve">. 135, 137 (2005). </w:t>
      </w:r>
    </w:p>
    <w:p w14:paraId="7513ACE6" w14:textId="77777777" w:rsidR="00FA3CF9" w:rsidRPr="00B06D0A" w:rsidRDefault="00FA3CF9">
      <w:pPr>
        <w:widowControl w:val="0"/>
        <w:autoSpaceDE w:val="0"/>
        <w:autoSpaceDN w:val="0"/>
        <w:adjustRightInd w:val="0"/>
        <w:rPr>
          <w:rFonts w:ascii="Times New Roman" w:hAnsi="Times New Roman" w:cs="Times New Roman"/>
        </w:rPr>
      </w:pPr>
    </w:p>
    <w:p w14:paraId="0EDCFA5B" w14:textId="10F3CE51"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Ninety-seven percent of victims applied for compensation through the Fund. As the Fund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there was a mad rush to file.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Elizabeth Berkowitz, </w:t>
      </w:r>
      <w:r w:rsidRPr="00B06D0A">
        <w:rPr>
          <w:rFonts w:ascii="Times New Roman" w:eastAsia="Times New Roman" w:hAnsi="Times New Roman" w:cs="Times New Roman"/>
          <w:i/>
          <w:iCs/>
        </w:rPr>
        <w:t>The Problematic Role of the Special Master: Undermining the Legitimacy of the September 11 Victim Compensation Fund</w:t>
      </w:r>
      <w:r w:rsidRPr="00B06D0A">
        <w:rPr>
          <w:rFonts w:ascii="Times New Roman" w:eastAsia="Times New Roman" w:hAnsi="Times New Roman" w:cs="Times New Roman"/>
        </w:rPr>
        <w:t xml:space="preserve">, 24 </w:t>
      </w:r>
      <w:r w:rsidRPr="00B06D0A">
        <w:rPr>
          <w:rFonts w:ascii="Times New Roman" w:eastAsia="Times New Roman" w:hAnsi="Times New Roman" w:cs="Times New Roman"/>
          <w:smallCaps/>
        </w:rPr>
        <w:t>Yale L. &amp; Pol</w:t>
      </w:r>
      <w:r w:rsidR="00B05F31" w:rsidRPr="00B06D0A">
        <w:rPr>
          <w:rFonts w:ascii="Times New Roman" w:eastAsia="Times New Roman" w:hAnsi="Times New Roman" w:cs="Times New Roman"/>
          <w:smallCaps/>
        </w:rPr>
        <w:t>’</w:t>
      </w:r>
      <w:r w:rsidRPr="00B06D0A">
        <w:rPr>
          <w:rFonts w:ascii="Times New Roman" w:eastAsia="Times New Roman" w:hAnsi="Times New Roman" w:cs="Times New Roman"/>
          <w:smallCaps/>
        </w:rPr>
        <w:t>y Rev</w:t>
      </w:r>
      <w:r w:rsidRPr="00B06D0A">
        <w:rPr>
          <w:rFonts w:ascii="Times New Roman" w:eastAsia="Times New Roman" w:hAnsi="Times New Roman" w:cs="Times New Roman"/>
        </w:rPr>
        <w:t xml:space="preserve">. 1, 29 (2006). </w:t>
      </w:r>
    </w:p>
    <w:p w14:paraId="4E7D1FD8" w14:textId="77777777" w:rsidR="00FA3CF9" w:rsidRDefault="00FA3CF9" w:rsidP="00F94B7E">
      <w:pPr>
        <w:tabs>
          <w:tab w:val="left" w:pos="456"/>
        </w:tabs>
        <w:rPr>
          <w:rFonts w:ascii="Times New Roman" w:hAnsi="Times New Roman" w:cs="Times New Roman"/>
          <w:smallCaps/>
        </w:rPr>
      </w:pPr>
    </w:p>
    <w:p w14:paraId="177988BE" w14:textId="77777777" w:rsidR="005468ED" w:rsidRPr="00B06D0A" w:rsidRDefault="005468ED" w:rsidP="00F94B7E">
      <w:pPr>
        <w:tabs>
          <w:tab w:val="left" w:pos="456"/>
        </w:tabs>
        <w:rPr>
          <w:rFonts w:ascii="Times New Roman" w:hAnsi="Times New Roman" w:cs="Times New Roman"/>
          <w:smallCaps/>
        </w:rPr>
      </w:pPr>
    </w:p>
    <w:p w14:paraId="313B7072" w14:textId="20B1BA6B" w:rsidR="00FA3CF9" w:rsidRPr="00F94B7E" w:rsidRDefault="750671CE" w:rsidP="00F94B7E">
      <w:pPr>
        <w:pStyle w:val="ListParagraph"/>
        <w:numPr>
          <w:ilvl w:val="0"/>
          <w:numId w:val="121"/>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The </w:t>
      </w:r>
      <w:r w:rsidR="00ED335E" w:rsidRPr="00F94B7E">
        <w:rPr>
          <w:rFonts w:ascii="Times New Roman" w:eastAsia="Times New Roman" w:hAnsi="Times New Roman" w:cs="Times New Roman"/>
          <w:i/>
          <w:iCs/>
        </w:rPr>
        <w:t>l</w:t>
      </w:r>
      <w:r w:rsidRPr="00F94B7E">
        <w:rPr>
          <w:rFonts w:ascii="Times New Roman" w:eastAsia="Times New Roman" w:hAnsi="Times New Roman" w:cs="Times New Roman"/>
          <w:i/>
          <w:iCs/>
        </w:rPr>
        <w:t>awsuits</w:t>
      </w:r>
      <w:r w:rsidRPr="00F94B7E">
        <w:rPr>
          <w:rFonts w:ascii="Times New Roman" w:eastAsia="Times New Roman" w:hAnsi="Times New Roman" w:cs="Times New Roman"/>
        </w:rPr>
        <w:t>.  While the Victim Compensation Fund provided compensation to 97% of the ground victims in the terrorist attacks of September 11</w:t>
      </w:r>
      <w:r w:rsidR="00CC093B" w:rsidRPr="00F94B7E">
        <w:rPr>
          <w:rFonts w:ascii="Times New Roman" w:eastAsia="Times New Roman" w:hAnsi="Times New Roman" w:cs="Times New Roman"/>
        </w:rPr>
        <w:t>th</w:t>
      </w:r>
      <w:r w:rsidRPr="00F94B7E">
        <w:rPr>
          <w:rFonts w:ascii="Times New Roman" w:eastAsia="Times New Roman" w:hAnsi="Times New Roman" w:cs="Times New Roman"/>
        </w:rPr>
        <w:t xml:space="preserve">, the relatives of 95 victims chose to sue in court. Judge Alvin Hellerstein presided over all 95 cases.  In the past, terrorism victims have not successfully recovered against third parties. </w:t>
      </w:r>
      <w:r w:rsidRPr="00F94B7E">
        <w:rPr>
          <w:rFonts w:ascii="Times New Roman" w:eastAsia="Times New Roman" w:hAnsi="Times New Roman" w:cs="Times New Roman"/>
          <w:i/>
          <w:iCs/>
        </w:rPr>
        <w:t xml:space="preserve">See </w:t>
      </w:r>
      <w:r w:rsidRPr="00F94B7E">
        <w:rPr>
          <w:rFonts w:ascii="Times New Roman" w:eastAsia="Times New Roman" w:hAnsi="Times New Roman" w:cs="Times New Roman"/>
        </w:rPr>
        <w:t xml:space="preserve">Matthew Diller, </w:t>
      </w:r>
      <w:r w:rsidRPr="00F94B7E">
        <w:rPr>
          <w:rFonts w:ascii="Times New Roman" w:eastAsia="Times New Roman" w:hAnsi="Times New Roman" w:cs="Times New Roman"/>
          <w:i/>
          <w:iCs/>
        </w:rPr>
        <w:t>Tort and Social Welfare Principles in the Victim Compensation Fund</w:t>
      </w:r>
      <w:r w:rsidRPr="00F94B7E">
        <w:rPr>
          <w:rFonts w:ascii="Times New Roman" w:eastAsia="Times New Roman" w:hAnsi="Times New Roman" w:cs="Times New Roman"/>
        </w:rPr>
        <w:t xml:space="preserve">, 53 </w:t>
      </w:r>
      <w:r w:rsidRPr="00F94B7E">
        <w:rPr>
          <w:rFonts w:ascii="Times New Roman" w:eastAsia="Times New Roman" w:hAnsi="Times New Roman" w:cs="Times New Roman"/>
          <w:smallCaps/>
        </w:rPr>
        <w:t>DePaul U. L. Rev.</w:t>
      </w:r>
      <w:r w:rsidRPr="00F94B7E">
        <w:rPr>
          <w:rFonts w:ascii="Times New Roman" w:eastAsia="Times New Roman" w:hAnsi="Times New Roman" w:cs="Times New Roman"/>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B06D0A" w:rsidRDefault="00FA3CF9" w:rsidP="00F349EC">
      <w:pPr>
        <w:rPr>
          <w:rFonts w:ascii="Times New Roman" w:hAnsi="Times New Roman" w:cs="Times New Roman"/>
        </w:rPr>
      </w:pPr>
    </w:p>
    <w:p w14:paraId="7CA0B6C0"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Between the beginning of the lawsuit in 2002 and 2005, 13 out of the original 95 cases settled.  Judge Hellerstein reviewed each settlement for fairness and reasonableness, but otherwise the settlements were confidential. </w:t>
      </w:r>
      <w:r w:rsidRPr="00B06D0A">
        <w:rPr>
          <w:rFonts w:ascii="Times New Roman" w:eastAsia="Times New Roman" w:hAnsi="Times New Roman" w:cs="Times New Roman"/>
          <w:i/>
          <w:iCs/>
        </w:rPr>
        <w:t>In re Sept. 11 Litig.</w:t>
      </w:r>
      <w:r w:rsidRPr="00B06D0A">
        <w:rPr>
          <w:rFonts w:ascii="Times New Roman" w:eastAsia="Times New Roman" w:hAnsi="Times New Roman" w:cs="Times New Roman"/>
        </w:rPr>
        <w:t>, 567 F. Supp. 2d 611, 615 (S.D.N.Y. 2008).</w:t>
      </w:r>
    </w:p>
    <w:p w14:paraId="3C8FEEBE" w14:textId="77777777" w:rsidR="00FA3CF9" w:rsidRPr="00B06D0A" w:rsidRDefault="00FA3CF9">
      <w:pPr>
        <w:ind w:firstLine="720"/>
        <w:rPr>
          <w:rFonts w:ascii="Times New Roman" w:hAnsi="Times New Roman" w:cs="Times New Roman"/>
        </w:rPr>
      </w:pPr>
    </w:p>
    <w:p w14:paraId="78C6C6C3" w14:textId="05EEAE0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opportunity to tell the story of their loss and express their feelings to a representative of the Court [or] to a representative of the airlines and to personally receive expressions of condolences for their loss from the airlines.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In re Sept. 11 Litig.</w:t>
      </w:r>
      <w:r w:rsidRPr="00B06D0A">
        <w:rPr>
          <w:rFonts w:ascii="Times New Roman" w:eastAsia="Times New Roman" w:hAnsi="Times New Roman" w:cs="Times New Roman"/>
        </w:rPr>
        <w:t>, 600 F. Supp. 2d 549, 557 (S.D.N.Y. 2009). Birnbaum invited the victims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families to mediation sessions where they were able to express their side of the story to representatives of the defendant. </w:t>
      </w:r>
    </w:p>
    <w:p w14:paraId="7CC41B93" w14:textId="77777777" w:rsidR="00FA3CF9" w:rsidRPr="00B06D0A" w:rsidRDefault="00FA3CF9">
      <w:pPr>
        <w:ind w:firstLine="720"/>
        <w:rPr>
          <w:rFonts w:ascii="Times New Roman" w:eastAsia="Times New Roman" w:hAnsi="Times New Roman" w:cs="Times New Roman"/>
        </w:rPr>
      </w:pPr>
    </w:p>
    <w:p w14:paraId="0A62D69C" w14:textId="67B2021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In re Sept. 11 Litig.</w:t>
      </w:r>
      <w:r w:rsidRPr="00B06D0A">
        <w:rPr>
          <w:rFonts w:ascii="Times New Roman" w:eastAsia="Times New Roman" w:hAnsi="Times New Roman" w:cs="Times New Roman"/>
        </w:rPr>
        <w:t xml:space="preserve">, 600 F. Supp. 2d 549, 554 (S.D.N.Y. 2009).  </w:t>
      </w:r>
    </w:p>
    <w:p w14:paraId="0CCFCA0F" w14:textId="77777777" w:rsidR="00FA3CF9" w:rsidRPr="00B06D0A" w:rsidRDefault="00FA3CF9">
      <w:pPr>
        <w:ind w:firstLine="720"/>
        <w:rPr>
          <w:rFonts w:ascii="Times New Roman" w:eastAsia="Times New Roman" w:hAnsi="Times New Roman" w:cs="Times New Roman"/>
        </w:rPr>
      </w:pPr>
    </w:p>
    <w:p w14:paraId="1A875B72" w14:textId="2BBF2483"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By involving victims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B06D0A">
        <w:rPr>
          <w:rFonts w:ascii="Times New Roman" w:eastAsia="Times New Roman" w:hAnsi="Times New Roman" w:cs="Times New Roman"/>
          <w:i/>
          <w:iCs/>
        </w:rPr>
        <w:t>Family and United Airlines Settle Last 9/11 Wrongful-Death Suit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N.Y Times</w:t>
      </w:r>
      <w:r w:rsidRPr="00B06D0A">
        <w:rPr>
          <w:rFonts w:ascii="Times New Roman" w:eastAsia="Times New Roman" w:hAnsi="Times New Roman" w:cs="Times New Roman"/>
        </w:rPr>
        <w:t>, Sep. 20, 2011</w:t>
      </w:r>
      <w:r w:rsidRPr="00B06D0A">
        <w:rPr>
          <w:rFonts w:ascii="Times New Roman" w:eastAsia="Times New Roman" w:hAnsi="Times New Roman" w:cs="Times New Roman"/>
          <w:color w:val="000000" w:themeColor="text1"/>
        </w:rPr>
        <w:t>.</w:t>
      </w:r>
    </w:p>
    <w:p w14:paraId="55CBEE84" w14:textId="77777777" w:rsidR="00FA3CF9" w:rsidRDefault="00FA3CF9" w:rsidP="00F94B7E">
      <w:pPr>
        <w:tabs>
          <w:tab w:val="left" w:pos="456"/>
        </w:tabs>
        <w:rPr>
          <w:rFonts w:ascii="Times New Roman" w:hAnsi="Times New Roman" w:cs="Times New Roman"/>
          <w:smallCaps/>
        </w:rPr>
      </w:pPr>
    </w:p>
    <w:p w14:paraId="2C7F9F5E" w14:textId="77777777" w:rsidR="005468ED" w:rsidRPr="00B06D0A" w:rsidRDefault="005468ED" w:rsidP="00F94B7E">
      <w:pPr>
        <w:tabs>
          <w:tab w:val="left" w:pos="456"/>
        </w:tabs>
        <w:rPr>
          <w:rFonts w:ascii="Times New Roman" w:hAnsi="Times New Roman" w:cs="Times New Roman"/>
          <w:smallCaps/>
        </w:rPr>
      </w:pPr>
    </w:p>
    <w:p w14:paraId="4FDA5D46" w14:textId="77777777" w:rsidR="00FA3CF9" w:rsidRPr="00A559C4" w:rsidRDefault="00FA3CF9" w:rsidP="00322687">
      <w:pPr>
        <w:pStyle w:val="Heading3"/>
      </w:pPr>
      <w:bookmarkStart w:id="816" w:name="_Toc265592555"/>
      <w:bookmarkStart w:id="817" w:name="_Toc364636231"/>
      <w:bookmarkStart w:id="818" w:name="_Toc518323482"/>
      <w:r w:rsidRPr="00C14ACE">
        <w:t>3.  The Duty Debate (Part 2</w:t>
      </w:r>
      <w:bookmarkEnd w:id="816"/>
      <w:r w:rsidRPr="00C14ACE">
        <w:t>)</w:t>
      </w:r>
      <w:bookmarkEnd w:id="817"/>
      <w:bookmarkEnd w:id="818"/>
    </w:p>
    <w:p w14:paraId="073930D5" w14:textId="77777777" w:rsidR="00FA3CF9" w:rsidRPr="00B06D0A" w:rsidRDefault="00FA3CF9">
      <w:pPr>
        <w:rPr>
          <w:rFonts w:ascii="Times New Roman" w:hAnsi="Times New Roman" w:cs="Times New Roman"/>
        </w:rPr>
      </w:pPr>
    </w:p>
    <w:p w14:paraId="38130C28" w14:textId="77777777" w:rsidR="00FA3CF9" w:rsidRPr="00B06D0A" w:rsidRDefault="00FA3CF9">
      <w:pPr>
        <w:rPr>
          <w:rFonts w:ascii="Times New Roman" w:hAnsi="Times New Roman" w:cs="Times New Roman"/>
        </w:rPr>
      </w:pPr>
    </w:p>
    <w:p w14:paraId="4DC63DE3" w14:textId="62AA606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Contemporary debates include whether no-duty decisions should be categorical or case-specific. Dilan Esper and Gregory Keating argue that duty articulates the moral obligations that guide conduct, and these obligations must therefore be decided in broad categorical fashion or they cannot provide this guidance. Dilan A. Esper &amp; Gregory C. Keating, </w:t>
      </w:r>
      <w:r w:rsidRPr="00B06D0A">
        <w:rPr>
          <w:rFonts w:ascii="Times New Roman" w:eastAsia="Times New Roman" w:hAnsi="Times New Roman" w:cs="Times New Roman"/>
          <w:i/>
          <w:iCs/>
        </w:rPr>
        <w:t xml:space="preserve">Abusing </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Duty</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79 S. Cal. L. Rev.</w:t>
      </w:r>
      <w:r w:rsidRPr="00B06D0A">
        <w:rPr>
          <w:rFonts w:ascii="Times New Roman" w:eastAsia="Times New Roman" w:hAnsi="Times New Roman" w:cs="Times New Roman"/>
        </w:rPr>
        <w:t xml:space="preserve"> 265, 282 (2006). John Goldberg and Benjamin Zipursky, by contrast, argue that duties are case-specific because the moral obligation to exercise care depends on the particular facts of any given relationship between a plaintiff and a defendant. John C.P. Goldberg &amp; Benjamin Zipursky, </w:t>
      </w:r>
      <w:r w:rsidRPr="00B06D0A">
        <w:rPr>
          <w:rFonts w:ascii="Times New Roman" w:eastAsia="Times New Roman" w:hAnsi="Times New Roman" w:cs="Times New Roman"/>
          <w:i/>
          <w:iCs/>
        </w:rPr>
        <w:t xml:space="preserve">Shielding Duty: How Attending to Assumption of Risk, Attractive Nuisance, and Other </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Quaint</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 Doctrines Can Improve Decisionmaking in Negligence Cases</w:t>
      </w:r>
      <w:r w:rsidRPr="00B06D0A">
        <w:rPr>
          <w:rFonts w:ascii="Times New Roman" w:eastAsia="Times New Roman" w:hAnsi="Times New Roman" w:cs="Times New Roman"/>
        </w:rPr>
        <w:t>, 79 S. C</w:t>
      </w:r>
      <w:r w:rsidR="00BC52B7" w:rsidRPr="00F94B7E">
        <w:rPr>
          <w:rFonts w:ascii="Times New Roman" w:eastAsia="Times New Roman" w:hAnsi="Times New Roman" w:cs="Times New Roman"/>
          <w:smallCaps/>
        </w:rPr>
        <w:t>al</w:t>
      </w:r>
      <w:r w:rsidRPr="00F94B7E">
        <w:rPr>
          <w:rFonts w:ascii="Times New Roman" w:eastAsia="Times New Roman" w:hAnsi="Times New Roman" w:cs="Times New Roman"/>
          <w:smallCaps/>
        </w:rPr>
        <w:t>. L. R</w:t>
      </w:r>
      <w:r w:rsidR="00BC52B7" w:rsidRPr="00F94B7E">
        <w:rPr>
          <w:rFonts w:ascii="Times New Roman" w:eastAsia="Times New Roman" w:hAnsi="Times New Roman" w:cs="Times New Roman"/>
          <w:smallCaps/>
        </w:rPr>
        <w:t>ev</w:t>
      </w:r>
      <w:r w:rsidRPr="00B06D0A">
        <w:rPr>
          <w:rFonts w:ascii="Times New Roman" w:eastAsia="Times New Roman" w:hAnsi="Times New Roman" w:cs="Times New Roman"/>
        </w:rPr>
        <w:t xml:space="preserve">. 329, 340 (2006).  The Third Restatement sides with the categorical view in those exceptional instances in which (as the Restatement authors see it) a separate duty analysis is appropriate. </w:t>
      </w:r>
      <w:r w:rsidRPr="00B06D0A">
        <w:rPr>
          <w:rFonts w:ascii="Times New Roman" w:eastAsia="Times New Roman" w:hAnsi="Times New Roman" w:cs="Times New Roman"/>
          <w:smallCaps/>
        </w:rPr>
        <w:t>Restatement (Third) of Torts: Liability for Physical and Emotional Harm</w:t>
      </w:r>
      <w:r w:rsidRPr="00B06D0A">
        <w:rPr>
          <w:rFonts w:ascii="Times New Roman" w:eastAsia="Times New Roman" w:hAnsi="Times New Roman" w:cs="Times New Roman"/>
        </w:rPr>
        <w:t xml:space="preserve"> §7, cmt. i.</w:t>
      </w:r>
    </w:p>
    <w:p w14:paraId="494101C2" w14:textId="77777777" w:rsidR="00FA3CF9" w:rsidRPr="00B06D0A" w:rsidRDefault="00FA3CF9">
      <w:pPr>
        <w:ind w:firstLine="720"/>
        <w:rPr>
          <w:rFonts w:ascii="Times New Roman" w:hAnsi="Times New Roman" w:cs="Times New Roman"/>
        </w:rPr>
      </w:pPr>
    </w:p>
    <w:p w14:paraId="5DED5694" w14:textId="1B491B55"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Another debate concerns whether foreseeability should be a component of duty. Scholars who emphasize the significance of the duty inquiry, even if as an inquiry to be made in unusual boundary-policing cases, argue that duty determination must include consideration of the foreseeability of a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injury. Esper &amp; Keating, </w:t>
      </w:r>
      <w:r w:rsidRPr="00B06D0A">
        <w:rPr>
          <w:rFonts w:ascii="Times New Roman" w:eastAsia="Times New Roman" w:hAnsi="Times New Roman" w:cs="Times New Roman"/>
          <w:i/>
          <w:iCs/>
        </w:rPr>
        <w:t>supra,</w:t>
      </w:r>
      <w:r w:rsidRPr="00B06D0A">
        <w:rPr>
          <w:rFonts w:ascii="Times New Roman" w:eastAsia="Times New Roman" w:hAnsi="Times New Roman" w:cs="Times New Roman"/>
        </w:rPr>
        <w:t xml:space="preserve"> at 327. By contrast, those who believe that duty is redundant adopt the view that breach and proximate cause already accommodate considerations of foreseeability such that they need not reappear in the duty analysis.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 Jonathan Cardi &amp; Michael D. Green, </w:t>
      </w:r>
      <w:r w:rsidRPr="00B06D0A">
        <w:rPr>
          <w:rFonts w:ascii="Times New Roman" w:eastAsia="Times New Roman" w:hAnsi="Times New Roman" w:cs="Times New Roman"/>
          <w:i/>
          <w:iCs/>
        </w:rPr>
        <w:t>Duty Wars</w:t>
      </w:r>
      <w:r w:rsidRPr="00B06D0A">
        <w:rPr>
          <w:rFonts w:ascii="Times New Roman" w:eastAsia="Times New Roman" w:hAnsi="Times New Roman" w:cs="Times New Roman"/>
        </w:rPr>
        <w:t xml:space="preserve">, 81 </w:t>
      </w:r>
      <w:r w:rsidRPr="00B06D0A">
        <w:rPr>
          <w:rFonts w:ascii="Times New Roman" w:eastAsia="Times New Roman" w:hAnsi="Times New Roman" w:cs="Times New Roman"/>
          <w:smallCaps/>
        </w:rPr>
        <w:t>S. Cal. L. Rev.</w:t>
      </w:r>
      <w:r w:rsidRPr="00B06D0A">
        <w:rPr>
          <w:rFonts w:ascii="Times New Roman" w:eastAsia="Times New Roman" w:hAnsi="Times New Roman" w:cs="Times New Roman"/>
        </w:rPr>
        <w:t xml:space="preserve"> 671, 722-26; </w:t>
      </w:r>
      <w:r w:rsidRPr="00B06D0A">
        <w:rPr>
          <w:rFonts w:ascii="Times New Roman" w:eastAsia="Times New Roman" w:hAnsi="Times New Roman" w:cs="Times New Roman"/>
          <w:i/>
          <w:iCs/>
        </w:rPr>
        <w:t>see also</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Restatement (Third) of Torts: Liability for Physical and Emotional Harm</w:t>
      </w:r>
      <w:r w:rsidRPr="00B06D0A">
        <w:rPr>
          <w:rFonts w:ascii="Times New Roman" w:eastAsia="Times New Roman" w:hAnsi="Times New Roman" w:cs="Times New Roman"/>
        </w:rPr>
        <w:t xml:space="preserve"> §7, cmt. j (recommending that courts not use foreseeability in duty determinations and limit no-duty rulings to articulated policy or principle).  </w:t>
      </w:r>
    </w:p>
    <w:p w14:paraId="476768E1" w14:textId="77777777" w:rsidR="00FA3CF9" w:rsidRPr="00B06D0A" w:rsidRDefault="00FA3CF9">
      <w:pPr>
        <w:rPr>
          <w:rFonts w:ascii="Times New Roman" w:hAnsi="Times New Roman" w:cs="Times New Roman"/>
        </w:rPr>
      </w:pPr>
    </w:p>
    <w:p w14:paraId="652F6736" w14:textId="77777777" w:rsidR="00FA3CF9" w:rsidRPr="00B06D0A" w:rsidRDefault="00FA3CF9">
      <w:pPr>
        <w:rPr>
          <w:rFonts w:ascii="Times New Roman" w:hAnsi="Times New Roman" w:cs="Times New Roman"/>
        </w:rPr>
      </w:pPr>
    </w:p>
    <w:p w14:paraId="66977CE6" w14:textId="7D098A87" w:rsidR="00FA3CF9" w:rsidRPr="00A559C4" w:rsidRDefault="00AB034A">
      <w:pPr>
        <w:pStyle w:val="Heading2"/>
        <w:rPr>
          <w:rFonts w:cs="Times New Roman"/>
        </w:rPr>
      </w:pPr>
      <w:bookmarkStart w:id="819" w:name="_Toc364636232"/>
      <w:bookmarkStart w:id="820" w:name="_Toc518323483"/>
      <w:r>
        <w:rPr>
          <w:rFonts w:cs="Times New Roman"/>
        </w:rPr>
        <w:t xml:space="preserve">E.  </w:t>
      </w:r>
      <w:r w:rsidR="00FA3CF9" w:rsidRPr="00C14ACE">
        <w:rPr>
          <w:rFonts w:cs="Times New Roman"/>
        </w:rPr>
        <w:t>Pure Economic Loss</w:t>
      </w:r>
      <w:bookmarkEnd w:id="819"/>
      <w:bookmarkEnd w:id="820"/>
    </w:p>
    <w:p w14:paraId="5C9F6E2D" w14:textId="77777777" w:rsidR="00FA3CF9" w:rsidRPr="00B06D0A" w:rsidRDefault="00FA3CF9">
      <w:pPr>
        <w:rPr>
          <w:rFonts w:ascii="Times New Roman" w:hAnsi="Times New Roman" w:cs="Times New Roman"/>
        </w:rPr>
      </w:pPr>
    </w:p>
    <w:p w14:paraId="6B52A064" w14:textId="77777777" w:rsidR="00FA3CF9" w:rsidRPr="00B06D0A" w:rsidRDefault="00FA3CF9">
      <w:pPr>
        <w:rPr>
          <w:rFonts w:ascii="Times New Roman" w:hAnsi="Times New Roman" w:cs="Times New Roman"/>
        </w:rPr>
      </w:pPr>
    </w:p>
    <w:p w14:paraId="5BE019AF"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Default="005468ED">
      <w:pPr>
        <w:rPr>
          <w:rFonts w:ascii="Times New Roman" w:hAnsi="Times New Roman" w:cs="Times New Roman"/>
        </w:rPr>
      </w:pPr>
    </w:p>
    <w:p w14:paraId="3F462411" w14:textId="3D405B81" w:rsidR="00D068EE" w:rsidRPr="00B06D0A" w:rsidRDefault="00D068EE">
      <w:pPr>
        <w:rPr>
          <w:rFonts w:ascii="Times New Roman" w:hAnsi="Times New Roman" w:cs="Times New Roman"/>
        </w:rPr>
      </w:pPr>
    </w:p>
    <w:p w14:paraId="6A32A9E9" w14:textId="1555BD4D" w:rsidR="00FA3CF9" w:rsidRPr="00B06D0A" w:rsidRDefault="00FA3CF9">
      <w:pPr>
        <w:widowControl w:val="0"/>
        <w:autoSpaceDE w:val="0"/>
        <w:autoSpaceDN w:val="0"/>
        <w:adjustRightInd w:val="0"/>
        <w:rPr>
          <w:rFonts w:ascii="Times New Roman" w:eastAsia="Times New Roman" w:hAnsi="Times New Roman" w:cs="Times New Roman"/>
          <w:b/>
          <w:bCs/>
          <w:color w:val="000000" w:themeColor="text1"/>
        </w:rPr>
      </w:pPr>
      <w:bookmarkStart w:id="821" w:name="_Toc518323484"/>
      <w:r w:rsidRPr="00C14ACE">
        <w:rPr>
          <w:rStyle w:val="Heading3Char"/>
        </w:rPr>
        <w:t>People Express Airlines, Inc. v. Consolidated Rail Corporation</w:t>
      </w:r>
      <w:bookmarkEnd w:id="821"/>
      <w:r w:rsidR="008C1EF2" w:rsidRPr="00B06D0A">
        <w:rPr>
          <w:rFonts w:ascii="Times New Roman" w:eastAsia="Times New Roman" w:hAnsi="Times New Roman" w:cs="Times New Roman"/>
          <w:b/>
          <w:bCs/>
          <w:color w:val="252525"/>
        </w:rPr>
        <w:t xml:space="preserve">, </w:t>
      </w:r>
      <w:r w:rsidRPr="00B06D0A">
        <w:rPr>
          <w:rFonts w:ascii="Times New Roman" w:eastAsia="Times New Roman" w:hAnsi="Times New Roman" w:cs="Times New Roman"/>
          <w:b/>
          <w:bCs/>
          <w:color w:val="000000"/>
        </w:rPr>
        <w:t>100 N.J. 246 (1985)</w:t>
      </w:r>
    </w:p>
    <w:p w14:paraId="34AD3356" w14:textId="77777777" w:rsidR="00FA3CF9" w:rsidRPr="00B06D0A" w:rsidRDefault="00FA3CF9">
      <w:pPr>
        <w:widowControl w:val="0"/>
        <w:autoSpaceDE w:val="0"/>
        <w:autoSpaceDN w:val="0"/>
        <w:adjustRightInd w:val="0"/>
        <w:jc w:val="both"/>
        <w:rPr>
          <w:rFonts w:ascii="Times New Roman" w:hAnsi="Times New Roman" w:cs="Times New Roman"/>
          <w:b/>
          <w:color w:val="000000"/>
        </w:rPr>
      </w:pPr>
      <w:bookmarkStart w:id="822" w:name="co_anchor_I352a5c2ac48011de9b8c850332338"/>
      <w:bookmarkEnd w:id="822"/>
    </w:p>
    <w:p w14:paraId="73974ABF" w14:textId="55856978" w:rsidR="00FA3CF9" w:rsidRPr="00B06D0A" w:rsidRDefault="750671CE">
      <w:pPr>
        <w:widowControl w:val="0"/>
        <w:autoSpaceDE w:val="0"/>
        <w:autoSpaceDN w:val="0"/>
        <w:adjustRightInd w:val="0"/>
        <w:spacing w:before="200" w:after="20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smallCaps/>
          <w:color w:val="000000" w:themeColor="text1"/>
        </w:rPr>
        <w:t>Handler</w:t>
      </w:r>
      <w:r w:rsidRPr="00B06D0A">
        <w:rPr>
          <w:rFonts w:ascii="Times New Roman" w:eastAsia="Times New Roman" w:hAnsi="Times New Roman" w:cs="Times New Roman"/>
          <w:color w:val="000000" w:themeColor="text1"/>
        </w:rPr>
        <w:t xml:space="preserve"> J.</w:t>
      </w:r>
    </w:p>
    <w:p w14:paraId="500252B5" w14:textId="69033DC6" w:rsidR="00FA3CF9" w:rsidRPr="00B06D0A" w:rsidRDefault="750671CE" w:rsidP="00F94B7E">
      <w:pPr>
        <w:widowControl w:val="0"/>
        <w:autoSpaceDE w:val="0"/>
        <w:autoSpaceDN w:val="0"/>
        <w:adjustRightInd w:val="0"/>
        <w:ind w:firstLine="720"/>
        <w:rPr>
          <w:rFonts w:ascii="Times New Roman" w:hAnsi="Times New Roman" w:cs="Times New Roman"/>
          <w:color w:val="000000"/>
        </w:rPr>
      </w:pPr>
      <w:r w:rsidRPr="00B06D0A">
        <w:rPr>
          <w:rFonts w:ascii="Times New Roman" w:eastAsia="Times New Roman" w:hAnsi="Times New Roman" w:cs="Times New Roman"/>
          <w:color w:val="000000" w:themeColor="text1"/>
        </w:rPr>
        <w:t>This appeal presents a question that has not previously been directly considered: whether a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negligent conduct that interferes with a plaintiff</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business resulting in purely economic losses, unaccompanied by property damage or personal injury, is compensable in tort. . . .</w:t>
      </w:r>
      <w:bookmarkStart w:id="823" w:name="co_anchor_I352a5c2bc48011de9b8c850332338"/>
      <w:bookmarkEnd w:id="823"/>
    </w:p>
    <w:p w14:paraId="042BB9EE" w14:textId="77777777" w:rsidR="00FA3CF9" w:rsidRPr="00B06D0A" w:rsidRDefault="750671CE" w:rsidP="00F94B7E">
      <w:pPr>
        <w:widowControl w:val="0"/>
        <w:autoSpaceDE w:val="0"/>
        <w:autoSpaceDN w:val="0"/>
        <w:adjustRightInd w:val="0"/>
        <w:spacing w:before="400" w:after="20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I.</w:t>
      </w:r>
    </w:p>
    <w:p w14:paraId="1C88A093" w14:textId="29804D18"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Because of the posture of the case</w:t>
      </w:r>
      <w:r w:rsidR="005B41F4" w:rsidRPr="005B41F4">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an appeal taken from the grant of summary judgment for the defendant railroad, subsequently reversed by the Appellate Division</w:t>
      </w:r>
      <w:r w:rsidR="005B41F4" w:rsidRPr="005B41F4">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we must accept plaintiff</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version of the facts as alleged. The facts are straight-forward.</w:t>
      </w:r>
    </w:p>
    <w:p w14:paraId="4084FB53"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48AA6369" w14:textId="1E07673E"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coupling</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operation with another rail car, and ignited. The tank car was owned by defendant Union Tank Car Company (Union Car) and was leased to defendant BASF.</w:t>
      </w:r>
    </w:p>
    <w:p w14:paraId="4BB49F31"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6B4BF1CA" w14:textId="5EC0FE20"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(People Express) business operations are based. Although the feared explosion never occurred, People Express employees were prohibited from using the North Terminal for twelve hours.</w:t>
      </w:r>
    </w:p>
    <w:p w14:paraId="5B87CE2A"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03FCFDCC" w14:textId="762F1691" w:rsidR="00FA3CF9" w:rsidRPr="00B06D0A" w:rsidRDefault="00FA3CF9">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824" w:name="co_pp_sp_583_250_1"/>
      <w:bookmarkEnd w:id="824"/>
      <w:r w:rsidRPr="00B06D0A">
        <w:rPr>
          <w:rFonts w:ascii="Times New Roman" w:eastAsia="Times New Roman" w:hAnsi="Times New Roman" w:cs="Times New Roman"/>
          <w:color w:val="000000"/>
        </w:rPr>
        <w:t xml:space="preserve">also, certain fixed operating expenses allocable to the evacuation time period were </w:t>
      </w:r>
      <w:bookmarkStart w:id="825" w:name="co_pp_sp_162_109_1"/>
      <w:bookmarkEnd w:id="825"/>
      <w:r w:rsidRPr="00B06D0A">
        <w:rPr>
          <w:rFonts w:ascii="Times New Roman" w:eastAsia="Times New Roman" w:hAnsi="Times New Roman" w:cs="Times New Roman"/>
          <w:color w:val="000000"/>
        </w:rPr>
        <w:t>incurred and paid despite the fact that plaintiff</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s offices were closed. No physical damage to airline property and no personal injury occurred as a result of the fire.</w:t>
      </w:r>
    </w:p>
    <w:p w14:paraId="1BA13B1A"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13650C92" w14:textId="61AF2843"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According to People Express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original complaint, each defendant acted negligently and these acts of negligence proximately caused the plaintiff</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harm. An amended complaint alleged additional counts of nuisance and strict liability based on the defendants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undertaking an 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09562FC9" w14:textId="20EDF206" w:rsidR="00FA3CF9" w:rsidRPr="00B06D0A"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1404B7B8" w14:textId="77777777" w:rsidR="00AB034A" w:rsidRDefault="00AB034A">
      <w:pPr>
        <w:rPr>
          <w:rFonts w:ascii="Times New Roman" w:eastAsia="Times New Roman" w:hAnsi="Times New Roman" w:cs="Times New Roman"/>
          <w:color w:val="000000" w:themeColor="text1"/>
        </w:rPr>
      </w:pPr>
      <w:bookmarkStart w:id="826" w:name="co_anchor_I352a5c2cc48011de9b8c850332338"/>
      <w:bookmarkEnd w:id="826"/>
      <w:r>
        <w:rPr>
          <w:rFonts w:ascii="Times New Roman" w:eastAsia="Times New Roman" w:hAnsi="Times New Roman" w:cs="Times New Roman"/>
          <w:color w:val="000000" w:themeColor="text1"/>
        </w:rPr>
        <w:br w:type="page"/>
      </w:r>
    </w:p>
    <w:p w14:paraId="23C317DF" w14:textId="721468C8" w:rsidR="00FA3CF9" w:rsidRPr="00B06D0A" w:rsidRDefault="750671CE" w:rsidP="00F94B7E">
      <w:pPr>
        <w:widowControl w:val="0"/>
        <w:autoSpaceDE w:val="0"/>
        <w:autoSpaceDN w:val="0"/>
        <w:adjustRightInd w:val="0"/>
        <w:spacing w:before="400" w:after="20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II.</w:t>
      </w:r>
    </w:p>
    <w:p w14:paraId="0E778900"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single characteristic that distinguishes parties in negligence suits whose claims for economic losses have been regularly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B06D0A">
        <w:rPr>
          <w:rFonts w:ascii="Times New Roman" w:eastAsia="Times New Roman" w:hAnsi="Times New Roman" w:cs="Times New Roman"/>
          <w:i/>
          <w:iCs/>
          <w:color w:val="000000" w:themeColor="text1"/>
        </w:rPr>
        <w:t>per se</w:t>
      </w:r>
      <w:r w:rsidRPr="00B06D0A">
        <w:rPr>
          <w:rFonts w:ascii="Times New Roman" w:eastAsia="Times New Roman" w:hAnsi="Times New Roman" w:cs="Times New Roman"/>
          <w:color w:val="000000" w:themeColor="text1"/>
        </w:rPr>
        <w:t xml:space="preserve"> rule barring recovery for economic loss unless the negligent conduct also caused physical harm has evolved throughout this century . . . .</w:t>
      </w:r>
    </w:p>
    <w:p w14:paraId="1ACF8750"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2686D863" w14:textId="54F6624F" w:rsidR="00FA3CF9" w:rsidRPr="00B06D0A" w:rsidRDefault="750671CE">
      <w:pPr>
        <w:widowControl w:val="0"/>
        <w:autoSpaceDE w:val="0"/>
        <w:autoSpaceDN w:val="0"/>
        <w:adjustRightInd w:val="0"/>
        <w:ind w:firstLine="720"/>
        <w:rPr>
          <w:rFonts w:ascii="Times New Roman" w:eastAsia="Times New Roman" w:hAnsi="Times New Roman" w:cs="Times New Roman"/>
          <w:i/>
          <w:iCs/>
          <w:color w:val="000000" w:themeColor="text1"/>
        </w:rPr>
      </w:pPr>
      <w:r w:rsidRPr="00B06D0A">
        <w:rPr>
          <w:rFonts w:ascii="Times New Roman" w:eastAsia="Times New Roman" w:hAnsi="Times New Roman" w:cs="Times New Roman"/>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negligent act and the plaintiff</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economic damages; it acts as a convenient clamp on otherwise boundless liability. </w:t>
      </w:r>
      <w:r w:rsidRPr="00B06D0A">
        <w:rPr>
          <w:rFonts w:ascii="Times New Roman" w:eastAsia="Times New Roman" w:hAnsi="Times New Roman" w:cs="Times New Roman"/>
          <w:i/>
          <w:iCs/>
          <w:color w:val="000000" w:themeColor="text1"/>
        </w:rPr>
        <w:t xml:space="preserve">. . . </w:t>
      </w:r>
      <w:r w:rsidRPr="00B06D0A">
        <w:rPr>
          <w:rFonts w:ascii="Times New Roman" w:eastAsia="Times New Roman" w:hAnsi="Times New Roman" w:cs="Times New Roman"/>
          <w:color w:val="000000" w:themeColor="text1"/>
        </w:rPr>
        <w:t>The physical harm rule also reflects certain deep-seated concerns that underlie courts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denial of recovery for purely economic losses occasioned by a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negligence. These concerns include the fear of fraudulent claims, mass litigation, and limitless liability, or liability out of proportion to the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fault.</w:t>
      </w:r>
    </w:p>
    <w:p w14:paraId="1E281D04"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03EDEE22" w14:textId="77777777" w:rsidR="00FA3CF9" w:rsidRPr="00B06D0A" w:rsidRDefault="00FA3CF9">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for </w:t>
      </w:r>
      <w:r w:rsidRPr="00B06D0A">
        <w:rPr>
          <w:rFonts w:ascii="Times New Roman" w:eastAsia="Times New Roman" w:hAnsi="Times New Roman" w:cs="Times New Roman"/>
          <w:i/>
          <w:iCs/>
          <w:color w:val="000000"/>
        </w:rPr>
        <w:t>all</w:t>
      </w:r>
      <w:r w:rsidRPr="00B06D0A">
        <w:rPr>
          <w:rFonts w:ascii="Times New Roman" w:eastAsia="Times New Roman" w:hAnsi="Times New Roman" w:cs="Times New Roman"/>
          <w:color w:val="000000"/>
        </w:rPr>
        <w:t xml:space="preserve"> consequences of his conduct. While a lone act can cause a finite amount of physical harm, that harm may be great and very remote in its final </w:t>
      </w:r>
      <w:bookmarkStart w:id="827" w:name="co_pp_sp_583_253_1"/>
      <w:bookmarkEnd w:id="827"/>
      <w:r w:rsidRPr="00B06D0A">
        <w:rPr>
          <w:rFonts w:ascii="Times New Roman" w:eastAsia="Times New Roman" w:hAnsi="Times New Roman" w:cs="Times New Roman"/>
          <w:color w:val="000000"/>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B06D0A">
        <w:rPr>
          <w:rFonts w:ascii="Times New Roman" w:eastAsia="Times New Roman" w:hAnsi="Times New Roman" w:cs="Times New Roman"/>
          <w:i/>
          <w:iCs/>
          <w:color w:val="000000"/>
        </w:rPr>
        <w:t>Palsgraf</w:t>
      </w:r>
      <w:r w:rsidRPr="00B06D0A">
        <w:rPr>
          <w:rFonts w:ascii="Times New Roman" w:eastAsia="Times New Roman" w:hAnsi="Times New Roman" w:cs="Times New Roman"/>
          <w:color w:val="000000"/>
        </w:rPr>
        <w:t>. . . .</w:t>
      </w:r>
    </w:p>
    <w:p w14:paraId="59D5535C"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67EBD56C"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B06D0A">
        <w:rPr>
          <w:rFonts w:ascii="Times New Roman" w:eastAsia="Times New Roman" w:hAnsi="Times New Roman" w:cs="Times New Roman"/>
          <w:i/>
          <w:iCs/>
          <w:color w:val="000000" w:themeColor="text1"/>
        </w:rPr>
        <w:t xml:space="preserve">. . . </w:t>
      </w:r>
      <w:r w:rsidRPr="00B06D0A">
        <w:rPr>
          <w:rFonts w:ascii="Times New Roman" w:eastAsia="Times New Roman" w:hAnsi="Times New Roman" w:cs="Times New Roman"/>
          <w:color w:val="000000" w:themeColor="text1"/>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68427430" w14:textId="154BFA28" w:rsidR="00FA3CF9" w:rsidRPr="00B06D0A" w:rsidRDefault="00FA3CF9">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828" w:name="co_pp_sp_583_255_1"/>
      <w:bookmarkEnd w:id="828"/>
      <w:r w:rsidRPr="00B06D0A">
        <w:rPr>
          <w:rFonts w:ascii="Times New Roman" w:eastAsia="Times New Roman" w:hAnsi="Times New Roman" w:cs="Times New Roman"/>
          <w:color w:val="000000"/>
        </w:rPr>
        <w:t xml:space="preserve">absent a contrary, overriding public policy. </w:t>
      </w:r>
      <w:r w:rsidRPr="00B06D0A">
        <w:rPr>
          <w:rFonts w:ascii="Times New Roman" w:eastAsia="Times New Roman" w:hAnsi="Times New Roman" w:cs="Times New Roman"/>
          <w:i/>
          <w:iCs/>
          <w:color w:val="000000"/>
        </w:rPr>
        <w:t xml:space="preserve">. . . </w:t>
      </w:r>
      <w:r w:rsidRPr="00B06D0A">
        <w:rPr>
          <w:rFonts w:ascii="Times New Roman" w:eastAsia="Times New Roman" w:hAnsi="Times New Roman" w:cs="Times New Roman"/>
          <w:color w:val="000000"/>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02130FCF" w14:textId="704E7618" w:rsidR="00FA3CF9" w:rsidRPr="00B06D0A" w:rsidRDefault="750671CE" w:rsidP="00F94B7E">
      <w:pPr>
        <w:widowControl w:val="0"/>
        <w:autoSpaceDE w:val="0"/>
        <w:autoSpaceDN w:val="0"/>
        <w:adjustRightInd w:val="0"/>
        <w:ind w:firstLine="720"/>
        <w:rPr>
          <w:rFonts w:ascii="Times New Roman" w:hAnsi="Times New Roman" w:cs="Times New Roman"/>
          <w:color w:val="000000"/>
        </w:rPr>
      </w:pPr>
      <w:r w:rsidRPr="00B06D0A">
        <w:rPr>
          <w:rFonts w:ascii="Times New Roman" w:eastAsia="Times New Roman" w:hAnsi="Times New Roman" w:cs="Times New Roman"/>
          <w:color w:val="000000" w:themeColor="text1"/>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829" w:name="co_anchor_I352a5c2dc48011de9b8c850332338"/>
      <w:bookmarkEnd w:id="829"/>
    </w:p>
    <w:p w14:paraId="30521772" w14:textId="77777777" w:rsidR="00FA3CF9" w:rsidRPr="00B06D0A" w:rsidRDefault="750671CE" w:rsidP="00F94B7E">
      <w:pPr>
        <w:widowControl w:val="0"/>
        <w:autoSpaceDE w:val="0"/>
        <w:autoSpaceDN w:val="0"/>
        <w:adjustRightInd w:val="0"/>
        <w:spacing w:before="400" w:after="20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III.</w:t>
      </w:r>
    </w:p>
    <w:p w14:paraId="585A4070" w14:textId="0D15586E" w:rsidR="00FA3CF9" w:rsidRPr="00B06D0A" w:rsidRDefault="750671CE">
      <w:pPr>
        <w:widowControl w:val="0"/>
        <w:autoSpaceDE w:val="0"/>
        <w:autoSpaceDN w:val="0"/>
        <w:adjustRightInd w:val="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 .</w:t>
      </w:r>
    </w:p>
    <w:p w14:paraId="1966F93C" w14:textId="77777777" w:rsidR="00FA3CF9" w:rsidRPr="00B06D0A" w:rsidRDefault="00FA3CF9">
      <w:pPr>
        <w:widowControl w:val="0"/>
        <w:autoSpaceDE w:val="0"/>
        <w:autoSpaceDN w:val="0"/>
        <w:adjustRightInd w:val="0"/>
        <w:rPr>
          <w:rFonts w:ascii="Times New Roman" w:hAnsi="Times New Roman" w:cs="Times New Roman"/>
          <w:color w:val="000000"/>
        </w:rPr>
      </w:pPr>
    </w:p>
    <w:p w14:paraId="1E741F8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B06D0A">
        <w:rPr>
          <w:rFonts w:ascii="Times New Roman" w:eastAsia="Times New Roman" w:hAnsi="Times New Roman" w:cs="Times New Roman"/>
          <w:i/>
          <w:iCs/>
          <w:color w:val="000000" w:themeColor="text1"/>
        </w:rPr>
        <w:t>per se</w:t>
      </w:r>
      <w:r w:rsidRPr="00B06D0A">
        <w:rPr>
          <w:rFonts w:ascii="Times New Roman" w:eastAsia="Times New Roman" w:hAnsi="Times New Roman" w:cs="Times New Roman"/>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B06D0A" w:rsidRDefault="750671CE">
      <w:pPr>
        <w:widowControl w:val="0"/>
        <w:autoSpaceDE w:val="0"/>
        <w:autoSpaceDN w:val="0"/>
        <w:adjustRightInd w:val="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26C10DAD" w14:textId="2335B53F"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One group of exceptions is based on the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special relationship</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between the tortfeasor and the individual or business deprived of economic expectations. Many of these cases are recognized as involving the tort of negligent misrepresentation, resulting in liability for 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5FC200A3" w14:textId="06EE220C"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special relationship exception has been extended to auditors, </w:t>
      </w:r>
      <w:r w:rsidRPr="00B06D0A">
        <w:rPr>
          <w:rFonts w:ascii="Times New Roman" w:eastAsia="Times New Roman" w:hAnsi="Times New Roman" w:cs="Times New Roman"/>
          <w:i/>
          <w:iCs/>
          <w:color w:val="000000" w:themeColor="text1"/>
        </w:rPr>
        <w:t xml:space="preserve">see </w:t>
      </w:r>
      <w:r w:rsidRPr="00B06D0A">
        <w:rPr>
          <w:rFonts w:ascii="Times New Roman" w:eastAsia="Times New Roman" w:hAnsi="Times New Roman" w:cs="Times New Roman"/>
          <w:i/>
          <w:iCs/>
        </w:rPr>
        <w:t>H.</w:t>
      </w:r>
      <w:r w:rsidRPr="00B06D0A">
        <w:rPr>
          <w:rFonts w:ascii="Times New Roman" w:eastAsia="Times New Roman" w:hAnsi="Times New Roman" w:cs="Times New Roman"/>
          <w:i/>
          <w:iCs/>
          <w:color w:val="0000FF"/>
        </w:rPr>
        <w:t xml:space="preserve"> </w:t>
      </w:r>
      <w:r w:rsidRPr="00B06D0A">
        <w:rPr>
          <w:rFonts w:ascii="Times New Roman" w:eastAsia="Times New Roman" w:hAnsi="Times New Roman" w:cs="Times New Roman"/>
          <w:i/>
          <w:iCs/>
        </w:rPr>
        <w:t xml:space="preserve">Rosenblum, Inc. v. Adler </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color w:val="000000" w:themeColor="text1"/>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B06D0A">
        <w:rPr>
          <w:rFonts w:ascii="Times New Roman" w:eastAsia="Times New Roman" w:hAnsi="Times New Roman" w:cs="Times New Roman"/>
          <w:i/>
          <w:iCs/>
          <w:color w:val="000000" w:themeColor="text1"/>
        </w:rPr>
        <w:t xml:space="preserve">see </w:t>
      </w:r>
      <w:r w:rsidRPr="00B06D0A">
        <w:rPr>
          <w:rFonts w:ascii="Times New Roman" w:eastAsia="Times New Roman" w:hAnsi="Times New Roman" w:cs="Times New Roman"/>
          <w:i/>
          <w:iCs/>
        </w:rPr>
        <w:t>Rozny v. Marnul,</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color w:val="000000" w:themeColor="text1"/>
        </w:rPr>
        <w:t xml:space="preserve">(surveyor whose negligence resulted in error in depicting boundary of lot held liable to remote purchaser); [and] termite inspectors, </w:t>
      </w:r>
      <w:r w:rsidRPr="00B06D0A">
        <w:rPr>
          <w:rFonts w:ascii="Times New Roman" w:eastAsia="Times New Roman" w:hAnsi="Times New Roman" w:cs="Times New Roman"/>
          <w:i/>
          <w:iCs/>
          <w:color w:val="000000" w:themeColor="text1"/>
        </w:rPr>
        <w:t xml:space="preserve">see </w:t>
      </w:r>
      <w:hyperlink r:id="rId65">
        <w:r w:rsidRPr="00B06D0A">
          <w:rPr>
            <w:rFonts w:ascii="Times New Roman" w:eastAsia="Times New Roman" w:hAnsi="Times New Roman" w:cs="Times New Roman"/>
            <w:i/>
            <w:iCs/>
          </w:rPr>
          <w:t>Hardy v. Carmichael</w:t>
        </w:r>
      </w:hyperlink>
      <w:r w:rsidRPr="00F349EC">
        <w:rPr>
          <w:rFonts w:ascii="Times New Roman" w:eastAsia="Times New Roman" w:hAnsi="Times New Roman" w:cs="Times New Roman"/>
        </w:rPr>
        <w:t xml:space="preserve"> </w:t>
      </w:r>
      <w:r w:rsidRPr="00F349EC">
        <w:rPr>
          <w:rFonts w:ascii="Times New Roman" w:eastAsia="Times New Roman" w:hAnsi="Times New Roman" w:cs="Times New Roman"/>
          <w:color w:val="000000" w:themeColor="text1"/>
        </w:rPr>
        <w:t>(termite inspectors whose negligence resulted in purchase of infested home liable to out-of-privity buyers)[, among others]</w:t>
      </w:r>
      <w:r w:rsidR="00DF47FB">
        <w:rPr>
          <w:rFonts w:ascii="Times New Roman" w:eastAsia="Times New Roman" w:hAnsi="Times New Roman" w:cs="Times New Roman"/>
          <w:color w:val="000000" w:themeColor="text1"/>
        </w:rPr>
        <w:t>. . . .</w:t>
      </w:r>
    </w:p>
    <w:p w14:paraId="309F463B" w14:textId="77777777" w:rsidR="00FA3CF9" w:rsidRPr="00B06D0A" w:rsidRDefault="750671CE">
      <w:pPr>
        <w:widowControl w:val="0"/>
        <w:autoSpaceDE w:val="0"/>
        <w:autoSpaceDN w:val="0"/>
        <w:adjustRightInd w:val="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6956172E" w14:textId="5A02FF6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B06D0A">
        <w:rPr>
          <w:rFonts w:ascii="Times New Roman" w:eastAsia="Times New Roman" w:hAnsi="Times New Roman" w:cs="Times New Roman"/>
          <w:i/>
          <w:iCs/>
          <w:color w:val="000000" w:themeColor="text1"/>
        </w:rPr>
        <w:t xml:space="preserve">See </w:t>
      </w:r>
      <w:hyperlink r:id="rId66">
        <w:r w:rsidRPr="00B06D0A">
          <w:rPr>
            <w:rFonts w:ascii="Times New Roman" w:eastAsia="Times New Roman" w:hAnsi="Times New Roman" w:cs="Times New Roman"/>
            <w:i/>
            <w:iCs/>
          </w:rPr>
          <w:t>Carbone v. Ursich,</w:t>
        </w:r>
        <w:r w:rsidRPr="00B06D0A">
          <w:rPr>
            <w:rFonts w:ascii="Times New Roman" w:eastAsia="Times New Roman" w:hAnsi="Times New Roman" w:cs="Times New Roman"/>
          </w:rPr>
          <w:t xml:space="preserve"> 209 </w:t>
        </w:r>
        <w:r w:rsidRPr="00B06D0A">
          <w:rPr>
            <w:rFonts w:ascii="Times New Roman" w:eastAsia="Times New Roman" w:hAnsi="Times New Roman" w:cs="Times New Roman"/>
            <w:i/>
            <w:iCs/>
          </w:rPr>
          <w:t>F.</w:t>
        </w:r>
        <w:r w:rsidRPr="00B06D0A">
          <w:rPr>
            <w:rFonts w:ascii="Times New Roman" w:eastAsia="Times New Roman" w:hAnsi="Times New Roman" w:cs="Times New Roman"/>
          </w:rPr>
          <w:t>2d 178 (9th Cir.1953)</w:t>
        </w:r>
      </w:hyperlink>
      <w:r w:rsidRPr="00F349EC">
        <w:rPr>
          <w:rFonts w:ascii="Times New Roman" w:eastAsia="Times New Roman" w:hAnsi="Times New Roman" w:cs="Times New Roman"/>
          <w:color w:val="000000" w:themeColor="text1"/>
        </w:rPr>
        <w:t xml:space="preserve"> (plaintiff seaman recovered lost wages resulting from lack of work while the ship on which they were employed, damaged through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negligence, was being repaired) . . . .</w:t>
      </w:r>
    </w:p>
    <w:p w14:paraId="26C42012"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4D0F1CA5"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Particular knowledge of the economic consequences has sufficed to establish duty and proximate cause in contexts other than those already considered. . . .</w:t>
      </w:r>
    </w:p>
    <w:p w14:paraId="57CAB211"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161E24FF" w14:textId="4D31D63B"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These exceptions expose the hopeless artificiality of the </w:t>
      </w:r>
      <w:r w:rsidRPr="00B06D0A">
        <w:rPr>
          <w:rFonts w:ascii="Times New Roman" w:eastAsia="Times New Roman" w:hAnsi="Times New Roman" w:cs="Times New Roman"/>
          <w:i/>
          <w:iCs/>
          <w:color w:val="000000" w:themeColor="text1"/>
        </w:rPr>
        <w:t>per se</w:t>
      </w:r>
      <w:r w:rsidRPr="00B06D0A">
        <w:rPr>
          <w:rFonts w:ascii="Times New Roman" w:eastAsia="Times New Roman" w:hAnsi="Times New Roman" w:cs="Times New Roman"/>
          <w:color w:val="000000" w:themeColor="text1"/>
        </w:rPr>
        <w:t xml:space="preserve"> rule against recovery for purely economic losses. When the plaintiffs are reasonably foreseeable, the injury is directly and proximately caused by defendant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negligence, and liability can be limited fairly, courts have endeavored to create exceptions to allow recovery. . . .</w:t>
      </w:r>
    </w:p>
    <w:p w14:paraId="1D7E16EB"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0941E567" w14:textId="77777777" w:rsidR="00FA3CF9" w:rsidRPr="00B06D0A" w:rsidRDefault="00FA3CF9">
      <w:pPr>
        <w:widowControl w:val="0"/>
        <w:autoSpaceDE w:val="0"/>
        <w:autoSpaceDN w:val="0"/>
        <w:adjustRightInd w:val="0"/>
        <w:ind w:firstLine="720"/>
        <w:rPr>
          <w:rFonts w:ascii="Times New Roman" w:eastAsia="Times New Roman" w:hAnsi="Times New Roman" w:cs="Times New Roman"/>
          <w:i/>
          <w:iCs/>
          <w:color w:val="000000" w:themeColor="text1"/>
        </w:rPr>
      </w:pPr>
      <w:r w:rsidRPr="00B06D0A">
        <w:rPr>
          <w:rFonts w:ascii="Times New Roman" w:eastAsia="Times New Roman" w:hAnsi="Times New Roman" w:cs="Times New Roman"/>
          <w:color w:val="000000"/>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830" w:name="co_anchor_B31985137961_1"/>
      <w:bookmarkEnd w:id="830"/>
      <w:r w:rsidRPr="00B06D0A">
        <w:rPr>
          <w:rFonts w:ascii="Times New Roman" w:eastAsia="Times New Roman" w:hAnsi="Times New Roman" w:cs="Times New Roman"/>
          <w:color w:val="000000"/>
        </w:rPr>
        <w:t xml:space="preserve"> . . .</w:t>
      </w:r>
    </w:p>
    <w:p w14:paraId="400A6474" w14:textId="77777777" w:rsidR="00FA3CF9" w:rsidRPr="00B06D0A" w:rsidRDefault="00FA3CF9">
      <w:pPr>
        <w:widowControl w:val="0"/>
        <w:autoSpaceDE w:val="0"/>
        <w:autoSpaceDN w:val="0"/>
        <w:adjustRightInd w:val="0"/>
        <w:rPr>
          <w:rFonts w:ascii="Times New Roman" w:hAnsi="Times New Roman" w:cs="Times New Roman"/>
          <w:color w:val="000000"/>
        </w:rPr>
      </w:pPr>
    </w:p>
    <w:p w14:paraId="69BC8D4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628C03E2" w14:textId="789CCEAB" w:rsidR="00FA3CF9" w:rsidRPr="00B06D0A" w:rsidRDefault="00FA3CF9">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We stress that an identifiable class of plaintiffs is not simply a foreseeable class of plaintiffs. For example, members of the general public, or invitees such as sales and service persons at a particular plaintiff</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831" w:name="co_pp_sp_583_264_1"/>
      <w:bookmarkEnd w:id="831"/>
      <w:r w:rsidRPr="00B06D0A">
        <w:rPr>
          <w:rFonts w:ascii="Times New Roman" w:eastAsia="Times New Roman" w:hAnsi="Times New Roman" w:cs="Times New Roman"/>
          <w:color w:val="000000"/>
        </w:rPr>
        <w:t xml:space="preserve"> injury that could be suffered by such persons would be hopelessly unpredictable and 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Pr>
          <w:rFonts w:ascii="Times New Roman" w:eastAsia="Times New Roman" w:hAnsi="Times New Roman" w:cs="Times New Roman"/>
          <w:color w:val="000000"/>
        </w:rPr>
        <w:t>C</w:t>
      </w:r>
      <w:r w:rsidRPr="00B06D0A">
        <w:rPr>
          <w:rFonts w:ascii="Times New Roman" w:eastAsia="Times New Roman" w:hAnsi="Times New Roman" w:cs="Times New Roman"/>
          <w:color w:val="000000"/>
        </w:rPr>
        <w:t xml:space="preserve">iting </w:t>
      </w:r>
      <w:r w:rsidRPr="00B06D0A">
        <w:rPr>
          <w:rFonts w:ascii="Times New Roman" w:eastAsia="Times New Roman" w:hAnsi="Times New Roman" w:cs="Times New Roman"/>
          <w:i/>
          <w:iCs/>
          <w:color w:val="000000"/>
        </w:rPr>
        <w:t>Strauss v. Belle Realty Co</w:t>
      </w:r>
      <w:r w:rsidRPr="00B06D0A">
        <w:rPr>
          <w:rFonts w:ascii="Times New Roman" w:eastAsia="Times New Roman" w:hAnsi="Times New Roman" w:cs="Times New Roman"/>
          <w:color w:val="000000"/>
        </w:rPr>
        <w:t>.] . . .</w:t>
      </w:r>
    </w:p>
    <w:p w14:paraId="2599F7F5" w14:textId="77777777" w:rsidR="00FA3CF9" w:rsidRPr="00B06D0A" w:rsidRDefault="750671CE">
      <w:pPr>
        <w:widowControl w:val="0"/>
        <w:autoSpaceDE w:val="0"/>
        <w:autoSpaceDN w:val="0"/>
        <w:adjustRightInd w:val="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w:t>
      </w:r>
    </w:p>
    <w:p w14:paraId="1ECA4B78" w14:textId="77777777" w:rsidR="00FA3CF9" w:rsidRDefault="750671CE">
      <w:pPr>
        <w:widowControl w:val="0"/>
        <w:autoSpaceDE w:val="0"/>
        <w:autoSpaceDN w:val="0"/>
        <w:adjustRightInd w:val="0"/>
        <w:ind w:firstLine="720"/>
        <w:jc w:val="both"/>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[T]he judgment of the Appellate Division is modified, and, as modified, affirmed. The case is remanded for proceedings consistent with this opinion.</w:t>
      </w:r>
    </w:p>
    <w:p w14:paraId="1408D973" w14:textId="77777777" w:rsidR="00AB034A" w:rsidRDefault="00AB034A">
      <w:pPr>
        <w:widowControl w:val="0"/>
        <w:autoSpaceDE w:val="0"/>
        <w:autoSpaceDN w:val="0"/>
        <w:adjustRightInd w:val="0"/>
        <w:ind w:firstLine="720"/>
        <w:jc w:val="both"/>
        <w:rPr>
          <w:rFonts w:ascii="Times New Roman" w:eastAsia="Times New Roman" w:hAnsi="Times New Roman" w:cs="Times New Roman"/>
          <w:color w:val="000000" w:themeColor="text1"/>
        </w:rPr>
      </w:pPr>
    </w:p>
    <w:p w14:paraId="328ACED2" w14:textId="122D110E" w:rsidR="00AB034A" w:rsidRDefault="00AB034A">
      <w:pP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br w:type="page"/>
      </w:r>
    </w:p>
    <w:p w14:paraId="2DDBED33" w14:textId="77777777" w:rsidR="00FA3CF9" w:rsidRPr="00A559C4" w:rsidRDefault="00FA3CF9" w:rsidP="002502CC">
      <w:pPr>
        <w:pStyle w:val="Heading4"/>
      </w:pPr>
      <w:bookmarkStart w:id="832" w:name="_Toc364636233"/>
      <w:bookmarkStart w:id="833" w:name="_Toc518323485"/>
      <w:r w:rsidRPr="00C14ACE">
        <w:t>Note</w:t>
      </w:r>
      <w:bookmarkEnd w:id="832"/>
      <w:bookmarkEnd w:id="833"/>
    </w:p>
    <w:p w14:paraId="69277D70" w14:textId="77777777" w:rsidR="00FA3CF9" w:rsidRDefault="00FA3CF9">
      <w:pPr>
        <w:widowControl w:val="0"/>
        <w:autoSpaceDE w:val="0"/>
        <w:autoSpaceDN w:val="0"/>
        <w:adjustRightInd w:val="0"/>
        <w:jc w:val="both"/>
        <w:rPr>
          <w:rFonts w:ascii="Times New Roman" w:hAnsi="Times New Roman" w:cs="Times New Roman"/>
          <w:color w:val="000000"/>
        </w:rPr>
      </w:pPr>
    </w:p>
    <w:p w14:paraId="38049F85" w14:textId="77777777" w:rsidR="005468ED" w:rsidRPr="00B06D0A" w:rsidRDefault="005468ED">
      <w:pPr>
        <w:widowControl w:val="0"/>
        <w:autoSpaceDE w:val="0"/>
        <w:autoSpaceDN w:val="0"/>
        <w:adjustRightInd w:val="0"/>
        <w:jc w:val="both"/>
        <w:rPr>
          <w:rFonts w:ascii="Times New Roman" w:hAnsi="Times New Roman" w:cs="Times New Roman"/>
          <w:color w:val="000000"/>
        </w:rPr>
      </w:pPr>
    </w:p>
    <w:p w14:paraId="2B042F92" w14:textId="66288926" w:rsidR="00FA3CF9" w:rsidRPr="00F94B7E" w:rsidRDefault="750671CE" w:rsidP="00F94B7E">
      <w:pPr>
        <w:pStyle w:val="ListParagraph"/>
        <w:widowControl w:val="0"/>
        <w:numPr>
          <w:ilvl w:val="0"/>
          <w:numId w:val="122"/>
        </w:numPr>
        <w:autoSpaceDE w:val="0"/>
        <w:autoSpaceDN w:val="0"/>
        <w:adjustRightInd w:val="0"/>
        <w:ind w:left="0" w:firstLine="360"/>
        <w:rPr>
          <w:rFonts w:ascii="Times New Roman" w:eastAsia="Times New Roman" w:hAnsi="Times New Roman" w:cs="Times New Roman"/>
          <w:color w:val="000000" w:themeColor="text1"/>
        </w:rPr>
      </w:pPr>
      <w:r w:rsidRPr="00F94B7E">
        <w:rPr>
          <w:rFonts w:ascii="Times New Roman" w:eastAsia="Times New Roman" w:hAnsi="Times New Roman" w:cs="Times New Roman"/>
          <w:color w:val="000000" w:themeColor="text1"/>
        </w:rPr>
        <w:t xml:space="preserve">Across the river, in New York, the high court of the state (the Court of Appeals) has adopted a stricter version of the pure economic loss rule.  Consider the following case.  Which approach is the better one? </w:t>
      </w:r>
    </w:p>
    <w:p w14:paraId="5AA1AD82" w14:textId="77777777" w:rsidR="00FA3CF9" w:rsidRPr="00B06D0A" w:rsidRDefault="00FA3CF9">
      <w:pPr>
        <w:widowControl w:val="0"/>
        <w:autoSpaceDE w:val="0"/>
        <w:autoSpaceDN w:val="0"/>
        <w:adjustRightInd w:val="0"/>
        <w:jc w:val="both"/>
        <w:rPr>
          <w:rFonts w:ascii="Times New Roman" w:hAnsi="Times New Roman" w:cs="Times New Roman"/>
          <w:color w:val="000000"/>
        </w:rPr>
      </w:pPr>
    </w:p>
    <w:p w14:paraId="5CEA9EC4" w14:textId="77777777" w:rsidR="00FA3CF9" w:rsidRPr="00B06D0A" w:rsidRDefault="00FA3CF9">
      <w:pPr>
        <w:widowControl w:val="0"/>
        <w:autoSpaceDE w:val="0"/>
        <w:autoSpaceDN w:val="0"/>
        <w:adjustRightInd w:val="0"/>
        <w:jc w:val="both"/>
        <w:rPr>
          <w:rFonts w:ascii="Times New Roman" w:hAnsi="Times New Roman" w:cs="Times New Roman"/>
          <w:color w:val="000000"/>
        </w:rPr>
      </w:pPr>
    </w:p>
    <w:p w14:paraId="4D777AFC" w14:textId="2C20F9A2" w:rsidR="00FA3CF9" w:rsidRPr="00B06D0A" w:rsidRDefault="00FA3CF9">
      <w:pPr>
        <w:widowControl w:val="0"/>
        <w:autoSpaceDE w:val="0"/>
        <w:autoSpaceDN w:val="0"/>
        <w:adjustRightInd w:val="0"/>
        <w:rPr>
          <w:rFonts w:ascii="Times New Roman" w:eastAsia="Times New Roman" w:hAnsi="Times New Roman" w:cs="Times New Roman"/>
          <w:b/>
          <w:bCs/>
        </w:rPr>
      </w:pPr>
      <w:bookmarkStart w:id="834" w:name="_Toc518323486"/>
      <w:r w:rsidRPr="00973246">
        <w:rPr>
          <w:rStyle w:val="Heading3Char"/>
          <w:i/>
        </w:rPr>
        <w:t>532 Madison Avenue Gourmet Foods, Inc. v. Finlandia Center, Inc.</w:t>
      </w:r>
      <w:bookmarkEnd w:id="834"/>
      <w:r w:rsidR="008C1EF2" w:rsidRPr="00B06D0A">
        <w:rPr>
          <w:rFonts w:ascii="Times New Roman" w:eastAsia="Times New Roman" w:hAnsi="Times New Roman" w:cs="Times New Roman"/>
          <w:b/>
          <w:bCs/>
        </w:rPr>
        <w:t xml:space="preserve">, </w:t>
      </w:r>
      <w:r w:rsidRPr="00B06D0A">
        <w:rPr>
          <w:rFonts w:ascii="Times New Roman" w:eastAsia="Times New Roman" w:hAnsi="Times New Roman" w:cs="Times New Roman"/>
          <w:b/>
          <w:bCs/>
        </w:rPr>
        <w:t>750 N.E.2d 1097 (N.Y. 2001)</w:t>
      </w:r>
    </w:p>
    <w:p w14:paraId="7BB5E2B8" w14:textId="77777777" w:rsidR="00FA3CF9" w:rsidRPr="00B06D0A" w:rsidRDefault="00FA3CF9">
      <w:pPr>
        <w:widowControl w:val="0"/>
        <w:autoSpaceDE w:val="0"/>
        <w:autoSpaceDN w:val="0"/>
        <w:adjustRightInd w:val="0"/>
        <w:rPr>
          <w:rFonts w:ascii="Times New Roman" w:hAnsi="Times New Roman" w:cs="Times New Roman"/>
        </w:rPr>
      </w:pPr>
    </w:p>
    <w:p w14:paraId="0BC7B07F" w14:textId="24925352"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smallCaps/>
        </w:rPr>
        <w:t>Kaye</w:t>
      </w:r>
      <w:r w:rsidRPr="00B06D0A">
        <w:rPr>
          <w:rFonts w:ascii="Times New Roman" w:eastAsia="Times New Roman" w:hAnsi="Times New Roman" w:cs="Times New Roman"/>
        </w:rPr>
        <w:t>, C.J.</w:t>
      </w:r>
    </w:p>
    <w:p w14:paraId="06CAB129" w14:textId="77777777" w:rsidR="00FA3CF9" w:rsidRPr="00B06D0A" w:rsidRDefault="00FA3CF9">
      <w:pPr>
        <w:widowControl w:val="0"/>
        <w:autoSpaceDE w:val="0"/>
        <w:autoSpaceDN w:val="0"/>
        <w:adjustRightInd w:val="0"/>
        <w:rPr>
          <w:rFonts w:ascii="Times New Roman" w:hAnsi="Times New Roman" w:cs="Times New Roman"/>
        </w:rPr>
      </w:pPr>
    </w:p>
    <w:p w14:paraId="28FB2E23" w14:textId="7FBAF95D"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novel issues raised by these appeals</w:t>
      </w:r>
      <w:r w:rsidR="000D138F" w:rsidRPr="000D138F">
        <w:rPr>
          <w:rFonts w:ascii="Times New Roman" w:eastAsia="Times New Roman" w:hAnsi="Times New Roman" w:cs="Times New Roman"/>
        </w:rPr>
        <w:t>—</w:t>
      </w:r>
      <w:r w:rsidRPr="00B06D0A">
        <w:rPr>
          <w:rFonts w:ascii="Times New Roman" w:eastAsia="Times New Roman" w:hAnsi="Times New Roman" w:cs="Times New Roman"/>
        </w:rPr>
        <w:t>arising from construction-related disasters in midtown Manhattan</w:t>
      </w:r>
      <w:r w:rsidR="000D138F" w:rsidRPr="000D138F">
        <w:rPr>
          <w:rFonts w:ascii="Times New Roman" w:eastAsia="Times New Roman" w:hAnsi="Times New Roman" w:cs="Times New Roman"/>
        </w:rPr>
        <w:t>—</w:t>
      </w:r>
      <w:r w:rsidRPr="00B06D0A">
        <w:rPr>
          <w:rFonts w:ascii="Times New Roman" w:eastAsia="Times New Roman" w:hAnsi="Times New Roman" w:cs="Times New Roman"/>
        </w:rPr>
        <w:t xml:space="preserve">concern </w:t>
      </w:r>
      <w:r w:rsidR="007A6BAA">
        <w:rPr>
          <w:rFonts w:ascii="Times New Roman" w:eastAsia="Times New Roman" w:hAnsi="Times New Roman" w:cs="Times New Roman"/>
        </w:rPr>
        <w:t>. . .</w:t>
      </w:r>
      <w:r w:rsidRPr="00B06D0A">
        <w:rPr>
          <w:rFonts w:ascii="Times New Roman" w:eastAsia="Times New Roman" w:hAnsi="Times New Roman" w:cs="Times New Roman"/>
        </w:rPr>
        <w:t xml:space="preserve"> a landholder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duty in negligence where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sole injury is lost income</w:t>
      </w:r>
      <w:r w:rsidR="007A6BAA">
        <w:rPr>
          <w:rFonts w:ascii="Times New Roman" w:eastAsia="Times New Roman" w:hAnsi="Times New Roman" w:cs="Times New Roman"/>
        </w:rPr>
        <w:t xml:space="preserve"> . . . .</w:t>
      </w:r>
    </w:p>
    <w:p w14:paraId="4725D00D" w14:textId="77777777" w:rsidR="00FA3CF9" w:rsidRPr="00B06D0A" w:rsidRDefault="00FA3CF9">
      <w:pPr>
        <w:widowControl w:val="0"/>
        <w:autoSpaceDE w:val="0"/>
        <w:autoSpaceDN w:val="0"/>
        <w:adjustRightInd w:val="0"/>
        <w:rPr>
          <w:rFonts w:ascii="Times New Roman" w:hAnsi="Times New Roman" w:cs="Times New Roman"/>
        </w:rPr>
      </w:pPr>
    </w:p>
    <w:p w14:paraId="3EDC2BE7" w14:textId="7BC62743" w:rsidR="005468ED" w:rsidRDefault="750671CE" w:rsidP="00F94B7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rPr>
          <w:rFonts w:ascii="Times New Roman" w:eastAsia="Times New Roman" w:hAnsi="Times New Roman" w:cs="Times New Roman"/>
        </w:rPr>
        <w:t xml:space="preserve"> </w:t>
      </w:r>
      <w:r w:rsidRPr="00B06D0A">
        <w:rPr>
          <w:rFonts w:ascii="Times New Roman" w:eastAsia="Times New Roman" w:hAnsi="Times New Roman" w:cs="Times New Roman"/>
        </w:rPr>
        <w:t>project, which included putting 94 holes for windows into the building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south wall, aggravated existing structural defects. New York City officials directed the</w:t>
      </w:r>
    </w:p>
    <w:p w14:paraId="10AB6CAD" w14:textId="1A4CD8DA" w:rsidR="00FA3CF9" w:rsidRPr="00B06D0A" w:rsidRDefault="750671CE" w:rsidP="005468ED">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closure of 15 heavily trafficked blocks on Madison Avenue</w:t>
      </w:r>
      <w:r w:rsidR="000D138F" w:rsidRPr="000D138F">
        <w:rPr>
          <w:rFonts w:ascii="Times New Roman" w:eastAsia="Times New Roman" w:hAnsi="Times New Roman" w:cs="Times New Roman"/>
        </w:rPr>
        <w:t>—</w:t>
      </w:r>
      <w:r w:rsidRPr="00B06D0A">
        <w:rPr>
          <w:rFonts w:ascii="Times New Roman" w:eastAsia="Times New Roman" w:hAnsi="Times New Roman" w:cs="Times New Roman"/>
        </w:rPr>
        <w:t>from 42nd to 57th Street</w:t>
      </w:r>
      <w:r w:rsidR="000D138F" w:rsidRPr="000D138F">
        <w:rPr>
          <w:rFonts w:ascii="Times New Roman" w:eastAsia="Times New Roman" w:hAnsi="Times New Roman" w:cs="Times New Roman"/>
        </w:rPr>
        <w:t>—</w:t>
      </w:r>
      <w:r w:rsidRPr="00B06D0A">
        <w:rPr>
          <w:rFonts w:ascii="Times New Roman" w:eastAsia="Times New Roman" w:hAnsi="Times New Roman" w:cs="Times New Roman"/>
        </w:rPr>
        <w:t>as well as adjacent side streets between Fifth and Park Avenues. The closure lasted for</w:t>
      </w:r>
      <w:r w:rsidR="005468ED">
        <w:rPr>
          <w:rFonts w:ascii="Times New Roman" w:eastAsia="Times New Roman" w:hAnsi="Times New Roman" w:cs="Times New Roman"/>
        </w:rPr>
        <w:t xml:space="preserve"> </w:t>
      </w:r>
      <w:r w:rsidRPr="00B06D0A">
        <w:rPr>
          <w:rFonts w:ascii="Times New Roman" w:eastAsia="Times New Roman" w:hAnsi="Times New Roman" w:cs="Times New Roman"/>
        </w:rPr>
        <w:t>approximately two weeks, but some businesses nearest to 540 Madison remained closed for a longer period.</w:t>
      </w:r>
    </w:p>
    <w:p w14:paraId="1B74D62F" w14:textId="77777777" w:rsidR="00FA3CF9" w:rsidRPr="00B06D0A" w:rsidRDefault="00FA3CF9">
      <w:pPr>
        <w:widowControl w:val="0"/>
        <w:autoSpaceDE w:val="0"/>
        <w:autoSpaceDN w:val="0"/>
        <w:adjustRightInd w:val="0"/>
        <w:ind w:firstLine="720"/>
        <w:rPr>
          <w:rFonts w:ascii="Times New Roman" w:hAnsi="Times New Roman" w:cs="Times New Roman"/>
        </w:rPr>
      </w:pPr>
    </w:p>
    <w:p w14:paraId="6C49786D" w14:textId="286DBFBF"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532 Madison Ave. Gourmet Foods v Finlandia Ctr.,</w:t>
      </w:r>
      <w:r w:rsidRPr="00B06D0A">
        <w:rPr>
          <w:rFonts w:ascii="Times New Roman" w:eastAsia="Times New Roman" w:hAnsi="Times New Roman" w:cs="Times New Roman"/>
        </w:rPr>
        <w:t xml:space="preserve"> plaintiff operates a 24- hour delicatessen one-half block south of 540 Madison, and was closed for five weeks. The two named plaintiffs in the companion case, </w:t>
      </w:r>
      <w:r w:rsidRPr="00B06D0A">
        <w:rPr>
          <w:rFonts w:ascii="Times New Roman" w:eastAsia="Times New Roman" w:hAnsi="Times New Roman" w:cs="Times New Roman"/>
          <w:i/>
          <w:iCs/>
        </w:rPr>
        <w:t>5th Ave. Chocolatiere v. 540 Acquisition Co.</w:t>
      </w:r>
      <w:r w:rsidRPr="00B06D0A">
        <w:rPr>
          <w:rFonts w:ascii="Times New Roman" w:eastAsia="Times New Roman" w:hAnsi="Times New Roman" w:cs="Times New Roman"/>
        </w:rPr>
        <w:t xml:space="preserve">, are retailers at 510 Madison Avenue, two blocks from the building, suing on behalf of themselves and a putative class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B06D0A" w:rsidRDefault="00FA3CF9">
      <w:pPr>
        <w:widowControl w:val="0"/>
        <w:autoSpaceDE w:val="0"/>
        <w:autoSpaceDN w:val="0"/>
        <w:adjustRightInd w:val="0"/>
        <w:rPr>
          <w:rFonts w:ascii="Times New Roman" w:hAnsi="Times New Roman" w:cs="Times New Roman"/>
        </w:rPr>
      </w:pPr>
    </w:p>
    <w:p w14:paraId="198DB0AC" w14:textId="7F5D264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On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motions in both cases, [the trial court] dismissed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negligence claims on the ground that they could not establish that defendants owed a duty of care for purely economic loss in the absence of personal injury or property damage</w:t>
      </w:r>
      <w:r w:rsidR="007A6BAA">
        <w:rPr>
          <w:rFonts w:ascii="Times New Roman" w:eastAsia="Times New Roman" w:hAnsi="Times New Roman" w:cs="Times New Roman"/>
        </w:rPr>
        <w:t xml:space="preserve"> . . . .</w:t>
      </w:r>
      <w:r w:rsidRPr="00B06D0A">
        <w:rPr>
          <w:rFonts w:ascii="Times New Roman" w:eastAsia="Times New Roman" w:hAnsi="Times New Roman" w:cs="Times New Roman"/>
        </w:rPr>
        <w:t xml:space="preserve"> </w:t>
      </w:r>
      <w:r w:rsidR="007A6BAA">
        <w:rPr>
          <w:rFonts w:ascii="Times New Roman" w:eastAsia="Times New Roman" w:hAnsi="Times New Roman" w:cs="Times New Roman"/>
        </w:rPr>
        <w:t xml:space="preserve"> </w:t>
      </w: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5th Ave. Chocolatiere</w:t>
      </w:r>
      <w:r w:rsidRPr="00B06D0A">
        <w:rPr>
          <w:rFonts w:ascii="Times New Roman" w:eastAsia="Times New Roman" w:hAnsi="Times New Roman" w:cs="Times New Roman"/>
        </w:rPr>
        <w:t>,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additional claims for gross negligence and negligence per se were dismissed on the ground that plaintiffs could not esta</w:t>
      </w:r>
      <w:r w:rsidR="007A6BAA">
        <w:rPr>
          <w:rFonts w:ascii="Times New Roman" w:eastAsia="Times New Roman" w:hAnsi="Times New Roman" w:cs="Times New Roman"/>
        </w:rPr>
        <w:t xml:space="preserve">blish a duty owed by defendants . . . </w:t>
      </w:r>
      <w:r w:rsidRPr="00B06D0A">
        <w:rPr>
          <w:rFonts w:ascii="Times New Roman" w:eastAsia="Times New Roman" w:hAnsi="Times New Roman" w:cs="Times New Roman"/>
        </w:rPr>
        <w:t>.</w:t>
      </w:r>
    </w:p>
    <w:p w14:paraId="6BBF7712" w14:textId="77777777" w:rsidR="00FA3CF9" w:rsidRPr="00B06D0A" w:rsidRDefault="00FA3CF9">
      <w:pPr>
        <w:widowControl w:val="0"/>
        <w:autoSpaceDE w:val="0"/>
        <w:autoSpaceDN w:val="0"/>
        <w:adjustRightInd w:val="0"/>
        <w:rPr>
          <w:rFonts w:ascii="Times New Roman" w:hAnsi="Times New Roman" w:cs="Times New Roman"/>
        </w:rPr>
      </w:pPr>
      <w:r w:rsidRPr="00B06D0A">
        <w:rPr>
          <w:rFonts w:ascii="Times New Roman" w:hAnsi="Times New Roman" w:cs="Times New Roman"/>
        </w:rPr>
        <w:t xml:space="preserve"> </w:t>
      </w:r>
    </w:p>
    <w:p w14:paraId="2B47DD69" w14:textId="6F6DDD65"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i/>
          <w:iCs/>
        </w:rPr>
        <w:t>Goldberg Weprin &amp; Ustin v. Tishman Constr.</w:t>
      </w:r>
      <w:r w:rsidRPr="00B06D0A">
        <w:rPr>
          <w:rFonts w:ascii="Times New Roman" w:eastAsia="Times New Roman" w:hAnsi="Times New Roman" w:cs="Times New Roman"/>
        </w:rPr>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7F6721">
        <w:rPr>
          <w:rFonts w:ascii="Times New Roman" w:eastAsia="Times New Roman" w:hAnsi="Times New Roman" w:cs="Times New Roman"/>
        </w:rPr>
        <w:t>—</w:t>
      </w:r>
      <w:r w:rsidRPr="00B06D0A">
        <w:rPr>
          <w:rFonts w:ascii="Times New Roman" w:eastAsia="Times New Roman" w:hAnsi="Times New Roman" w:cs="Times New Roman"/>
        </w:rPr>
        <w:t xml:space="preserve">one by a law firm, a second by a public relations firm and a third by a clothing manufacturer, all situated within the affected area. Plaintiff law firm sought damages for economic loss on behalf of itself and a proposed class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of all persons in the vicinity of Broadway and 42nd Street, New York, New York, whose businesses were affected and/or caused to be closed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as well as a subclass of area residents who were evacuated from their homes. </w:t>
      </w:r>
      <w:r w:rsidR="00E70C14">
        <w:rPr>
          <w:rFonts w:ascii="Times New Roman" w:eastAsia="Times New Roman" w:hAnsi="Times New Roman" w:cs="Times New Roman"/>
        </w:rPr>
        <w:t>. . .</w:t>
      </w:r>
    </w:p>
    <w:p w14:paraId="7F05BFF6" w14:textId="77777777" w:rsidR="00FA3CF9" w:rsidRPr="00B06D0A" w:rsidRDefault="00FA3CF9">
      <w:pPr>
        <w:widowControl w:val="0"/>
        <w:autoSpaceDE w:val="0"/>
        <w:autoSpaceDN w:val="0"/>
        <w:adjustRightInd w:val="0"/>
        <w:ind w:firstLine="720"/>
        <w:rPr>
          <w:rFonts w:ascii="Times New Roman" w:hAnsi="Times New Roman" w:cs="Times New Roman"/>
        </w:rPr>
      </w:pPr>
    </w:p>
    <w:p w14:paraId="1AA230C3"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B06D0A" w:rsidRDefault="00FA3CF9">
      <w:pPr>
        <w:widowControl w:val="0"/>
        <w:autoSpaceDE w:val="0"/>
        <w:autoSpaceDN w:val="0"/>
        <w:adjustRightInd w:val="0"/>
        <w:ind w:firstLine="720"/>
        <w:rPr>
          <w:rFonts w:ascii="Times New Roman" w:hAnsi="Times New Roman" w:cs="Times New Roman"/>
        </w:rPr>
      </w:pPr>
    </w:p>
    <w:p w14:paraId="2BC9C294"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Appellate Division affirmed dismissal of the </w:t>
      </w:r>
      <w:r w:rsidRPr="00B06D0A">
        <w:rPr>
          <w:rFonts w:ascii="Times New Roman" w:eastAsia="Times New Roman" w:hAnsi="Times New Roman" w:cs="Times New Roman"/>
          <w:i/>
          <w:iCs/>
        </w:rPr>
        <w:t>Goldberg Weprin</w:t>
      </w:r>
      <w:r w:rsidRPr="00B06D0A">
        <w:rPr>
          <w:rFonts w:ascii="Times New Roman" w:eastAsia="Times New Roman" w:hAnsi="Times New Roman" w:cs="Times New Roman"/>
        </w:rPr>
        <w:t xml:space="preserve"> complaint,</w:t>
      </w:r>
    </w:p>
    <w:p w14:paraId="763A73AA" w14:textId="1E9419DE"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concluding that, absent property damage, the connection between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activities and the economic losses of the purported class of plaintiffs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too tenuous and remote to permit recovery on any tort theory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26352C">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The court, however, reinstated the negligence </w:t>
      </w:r>
      <w:r w:rsidR="00E70C14">
        <w:rPr>
          <w:rFonts w:ascii="Times New Roman" w:eastAsia="Times New Roman" w:hAnsi="Times New Roman" w:cs="Times New Roman"/>
        </w:rPr>
        <w:t>. . .</w:t>
      </w:r>
      <w:r w:rsidRPr="00B06D0A">
        <w:rPr>
          <w:rFonts w:ascii="Times New Roman" w:eastAsia="Times New Roman" w:hAnsi="Times New Roman" w:cs="Times New Roman"/>
        </w:rPr>
        <w:t xml:space="preserve"> claims of plaintiffs 532 Madison and 5th Ave. Chocolatiere, holding that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duty to keep their premises in reasonably safe condition extended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those businesses in such close proximity that their negligent acts could be reasonably foreseen to cause injury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(which included the named merchant plaintiffs) </w:t>
      </w:r>
      <w:r w:rsidR="0026352C">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and that, as such, they established a special injury distinct from the general inconvenience to the community at large. Two [of the five] Justices dissented, urging application of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economic loss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B06D0A" w:rsidRDefault="00FA3CF9">
      <w:pPr>
        <w:widowControl w:val="0"/>
        <w:autoSpaceDE w:val="0"/>
        <w:autoSpaceDN w:val="0"/>
        <w:adjustRightInd w:val="0"/>
        <w:rPr>
          <w:rFonts w:ascii="Times New Roman" w:hAnsi="Times New Roman" w:cs="Times New Roman"/>
        </w:rPr>
      </w:pPr>
    </w:p>
    <w:p w14:paraId="75EFCEE8"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We now reverse in </w:t>
      </w:r>
      <w:r w:rsidRPr="00B06D0A">
        <w:rPr>
          <w:rFonts w:ascii="Times New Roman" w:eastAsia="Times New Roman" w:hAnsi="Times New Roman" w:cs="Times New Roman"/>
          <w:i/>
          <w:iCs/>
        </w:rPr>
        <w:t>532 Madison and 5th Ave. Chocolatiere</w:t>
      </w:r>
      <w:r w:rsidRPr="00B06D0A">
        <w:rPr>
          <w:rFonts w:ascii="Times New Roman" w:eastAsia="Times New Roman" w:hAnsi="Times New Roman" w:cs="Times New Roman"/>
        </w:rPr>
        <w:t xml:space="preserve"> and affirm in </w:t>
      </w:r>
      <w:r w:rsidRPr="00B06D0A">
        <w:rPr>
          <w:rFonts w:ascii="Times New Roman" w:eastAsia="Times New Roman" w:hAnsi="Times New Roman" w:cs="Times New Roman"/>
          <w:i/>
          <w:iCs/>
        </w:rPr>
        <w:t>Goldberg Weprin &amp; Ustin</w:t>
      </w:r>
      <w:r w:rsidRPr="00B06D0A">
        <w:rPr>
          <w:rFonts w:ascii="Times New Roman" w:eastAsia="Times New Roman" w:hAnsi="Times New Roman" w:cs="Times New Roman"/>
        </w:rPr>
        <w:t xml:space="preserve">.  </w:t>
      </w:r>
    </w:p>
    <w:p w14:paraId="0BE195EB" w14:textId="77777777" w:rsidR="00FA3CF9" w:rsidRPr="00B06D0A" w:rsidRDefault="00FA3CF9">
      <w:pPr>
        <w:widowControl w:val="0"/>
        <w:autoSpaceDE w:val="0"/>
        <w:autoSpaceDN w:val="0"/>
        <w:adjustRightInd w:val="0"/>
        <w:rPr>
          <w:rFonts w:ascii="Times New Roman" w:hAnsi="Times New Roman" w:cs="Times New Roman"/>
        </w:rPr>
      </w:pPr>
    </w:p>
    <w:p w14:paraId="684100C1" w14:textId="22D6CAAD"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Negligence Claims</w:t>
      </w:r>
    </w:p>
    <w:p w14:paraId="20C6E8A5" w14:textId="77777777" w:rsidR="00FA3CF9" w:rsidRPr="00B06D0A" w:rsidRDefault="00FA3CF9">
      <w:pPr>
        <w:widowControl w:val="0"/>
        <w:autoSpaceDE w:val="0"/>
        <w:autoSpaceDN w:val="0"/>
        <w:adjustRightInd w:val="0"/>
        <w:rPr>
          <w:rFonts w:ascii="Times New Roman" w:hAnsi="Times New Roman" w:cs="Times New Roman"/>
        </w:rPr>
      </w:pPr>
    </w:p>
    <w:p w14:paraId="09D7D770" w14:textId="5AE99652"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claims for economic injury.</w:t>
      </w:r>
    </w:p>
    <w:p w14:paraId="3870A0D4" w14:textId="77777777" w:rsidR="00FA3CF9" w:rsidRPr="00B06D0A" w:rsidRDefault="00FA3CF9">
      <w:pPr>
        <w:widowControl w:val="0"/>
        <w:autoSpaceDE w:val="0"/>
        <w:autoSpaceDN w:val="0"/>
        <w:adjustRightInd w:val="0"/>
        <w:rPr>
          <w:rFonts w:ascii="Times New Roman" w:hAnsi="Times New Roman" w:cs="Times New Roman"/>
        </w:rPr>
      </w:pPr>
      <w:r w:rsidRPr="00B06D0A">
        <w:rPr>
          <w:rFonts w:ascii="Times New Roman" w:hAnsi="Times New Roman" w:cs="Times New Roman"/>
        </w:rPr>
        <w:t xml:space="preserve"> </w:t>
      </w:r>
    </w:p>
    <w:p w14:paraId="53D6C73F" w14:textId="0008978B"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The existence and scope of a tortfeasor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duty is, of course, a legal question for the courts, which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6D464D">
        <w:rPr>
          <w:rFonts w:ascii="Times New Roman" w:eastAsia="Times New Roman" w:hAnsi="Times New Roman" w:cs="Times New Roman"/>
        </w:rPr>
        <w:t xml:space="preserve">. . . </w:t>
      </w:r>
      <w:r w:rsidRPr="00B06D0A">
        <w:rPr>
          <w:rFonts w:ascii="Times New Roman" w:eastAsia="Times New Roman" w:hAnsi="Times New Roman" w:cs="Times New Roman"/>
        </w:rPr>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B06D0A" w:rsidRDefault="00FA3CF9">
      <w:pPr>
        <w:widowControl w:val="0"/>
        <w:autoSpaceDE w:val="0"/>
        <w:autoSpaceDN w:val="0"/>
        <w:adjustRightInd w:val="0"/>
        <w:ind w:firstLine="720"/>
        <w:rPr>
          <w:rFonts w:ascii="Times New Roman" w:hAnsi="Times New Roman" w:cs="Times New Roman"/>
        </w:rPr>
      </w:pPr>
    </w:p>
    <w:p w14:paraId="1F8B6994" w14:textId="64AA709B"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As we have many times noted, foreseeability of harm does not define duty</w:t>
      </w:r>
      <w:r w:rsidR="006D464D">
        <w:rPr>
          <w:rFonts w:ascii="Times New Roman" w:eastAsia="Times New Roman" w:hAnsi="Times New Roman" w:cs="Times New Roman"/>
        </w:rPr>
        <w:t xml:space="preserve"> . . . </w:t>
      </w:r>
      <w:r w:rsidRPr="00B06D0A">
        <w:rPr>
          <w:rFonts w:ascii="Times New Roman" w:eastAsia="Times New Roman" w:hAnsi="Times New Roman" w:cs="Times New Roman"/>
        </w:rPr>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act.</w:t>
      </w:r>
    </w:p>
    <w:p w14:paraId="425E24AA" w14:textId="77777777" w:rsidR="00FA3CF9" w:rsidRPr="00B06D0A" w:rsidRDefault="00FA3CF9">
      <w:pPr>
        <w:widowControl w:val="0"/>
        <w:autoSpaceDE w:val="0"/>
        <w:autoSpaceDN w:val="0"/>
        <w:adjustRightInd w:val="0"/>
        <w:rPr>
          <w:rFonts w:ascii="Times New Roman" w:hAnsi="Times New Roman" w:cs="Times New Roman"/>
        </w:rPr>
      </w:pPr>
    </w:p>
    <w:p w14:paraId="30B155B1" w14:textId="045ADFE9"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A duty may arise from a special relationship that requires the defendant to protect against the risk of harm to plaintiff </w:t>
      </w:r>
      <w:r w:rsidR="006F27A4">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That duty, however, does not extend to members of the general public </w:t>
      </w:r>
      <w:r w:rsidR="006443BC">
        <w:rPr>
          <w:rFonts w:ascii="Times New Roman" w:eastAsia="Times New Roman" w:hAnsi="Times New Roman" w:cs="Times New Roman"/>
        </w:rPr>
        <w:t xml:space="preserve">. . . </w:t>
      </w:r>
      <w:r w:rsidRPr="00B06D0A">
        <w:rPr>
          <w:rFonts w:ascii="Times New Roman" w:eastAsia="Times New Roman" w:hAnsi="Times New Roman" w:cs="Times New Roman"/>
        </w:rPr>
        <w:t>. Liability is in this way circumscribed, because the special relationship defines the class of potential plaintiffs to whom the duty is owed.</w:t>
      </w:r>
    </w:p>
    <w:p w14:paraId="1E31292A" w14:textId="77777777" w:rsidR="00FA3CF9" w:rsidRPr="00B06D0A" w:rsidRDefault="00FA3CF9">
      <w:pPr>
        <w:widowControl w:val="0"/>
        <w:autoSpaceDE w:val="0"/>
        <w:autoSpaceDN w:val="0"/>
        <w:adjustRightInd w:val="0"/>
        <w:rPr>
          <w:rFonts w:ascii="Times New Roman" w:hAnsi="Times New Roman" w:cs="Times New Roman"/>
        </w:rPr>
      </w:pPr>
    </w:p>
    <w:p w14:paraId="5F04FD22" w14:textId="47A248CE"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Strauss v. Belle Realty Co.</w:t>
      </w:r>
      <w:r w:rsidRPr="00B06D0A">
        <w:rPr>
          <w:rFonts w:ascii="Times New Roman" w:eastAsia="Times New Roman" w:hAnsi="Times New Roman" w:cs="Times New Roman"/>
        </w:rPr>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B06D0A" w:rsidRDefault="00FA3CF9">
      <w:pPr>
        <w:widowControl w:val="0"/>
        <w:autoSpaceDE w:val="0"/>
        <w:autoSpaceDN w:val="0"/>
        <w:adjustRightInd w:val="0"/>
        <w:rPr>
          <w:rFonts w:ascii="Times New Roman" w:hAnsi="Times New Roman" w:cs="Times New Roman"/>
        </w:rPr>
      </w:pPr>
    </w:p>
    <w:p w14:paraId="294F606B"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Even closer to the mark is </w:t>
      </w:r>
      <w:r w:rsidRPr="00B06D0A">
        <w:rPr>
          <w:rFonts w:ascii="Times New Roman" w:eastAsia="Times New Roman" w:hAnsi="Times New Roman" w:cs="Times New Roman"/>
          <w:i/>
          <w:iCs/>
        </w:rPr>
        <w:t>Milliken &amp; Co. v. Consolidated Edison Co.</w:t>
      </w:r>
      <w:r w:rsidRPr="00B06D0A">
        <w:rPr>
          <w:rFonts w:ascii="Times New Roman" w:eastAsia="Times New Roman" w:hAnsi="Times New Roman" w:cs="Times New Roman"/>
        </w:rPr>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B06D0A">
        <w:rPr>
          <w:rFonts w:ascii="Times New Roman" w:eastAsia="Times New Roman" w:hAnsi="Times New Roman" w:cs="Times New Roman"/>
          <w:i/>
          <w:iCs/>
        </w:rPr>
        <w:t>Strauss</w:t>
      </w:r>
      <w:r w:rsidRPr="00B06D0A">
        <w:rPr>
          <w:rFonts w:ascii="Times New Roman" w:eastAsia="Times New Roman" w:hAnsi="Times New Roman" w:cs="Times New Roman"/>
        </w:rPr>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B06D0A" w:rsidRDefault="00FA3CF9">
      <w:pPr>
        <w:widowControl w:val="0"/>
        <w:autoSpaceDE w:val="0"/>
        <w:autoSpaceDN w:val="0"/>
        <w:adjustRightInd w:val="0"/>
        <w:rPr>
          <w:rFonts w:ascii="Times New Roman" w:hAnsi="Times New Roman" w:cs="Times New Roman"/>
        </w:rPr>
      </w:pPr>
    </w:p>
    <w:p w14:paraId="67701145" w14:textId="2D4C901D"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 landowner who engages in activities that may cause injury to persons on adjoining premises surely owes those persons a duty to take reasonable precautions to avoid injuring them</w:t>
      </w:r>
      <w:r w:rsidR="008C7178">
        <w:rPr>
          <w:rFonts w:ascii="Times New Roman" w:eastAsia="Times New Roman" w:hAnsi="Times New Roman" w:cs="Times New Roman"/>
        </w:rPr>
        <w:t xml:space="preserve"> . . . </w:t>
      </w:r>
      <w:r w:rsidRPr="00B06D0A">
        <w:rPr>
          <w:rFonts w:ascii="Times New Roman" w:eastAsia="Times New Roman" w:hAnsi="Times New Roman" w:cs="Times New Roman"/>
        </w:rPr>
        <w:t>. We have never held, however, that a landowner owes a duty to protect an entire urban neighborhood against purely economic losses. . . .</w:t>
      </w:r>
    </w:p>
    <w:p w14:paraId="08157DDE" w14:textId="77777777" w:rsidR="008C1EF2" w:rsidRPr="00B06D0A" w:rsidRDefault="008C1EF2">
      <w:pPr>
        <w:widowControl w:val="0"/>
        <w:autoSpaceDE w:val="0"/>
        <w:autoSpaceDN w:val="0"/>
        <w:adjustRightInd w:val="0"/>
        <w:ind w:firstLine="720"/>
        <w:rPr>
          <w:rFonts w:ascii="Times New Roman" w:hAnsi="Times New Roman" w:cs="Times New Roman"/>
        </w:rPr>
      </w:pPr>
    </w:p>
    <w:p w14:paraId="097C79F8" w14:textId="6D41714A"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reliance on </w:t>
      </w:r>
      <w:r w:rsidRPr="00B06D0A">
        <w:rPr>
          <w:rFonts w:ascii="Times New Roman" w:eastAsia="Times New Roman" w:hAnsi="Times New Roman" w:cs="Times New Roman"/>
          <w:i/>
          <w:iCs/>
        </w:rPr>
        <w:t>People Express Airlines v. Consolidated Rail Corp</w:t>
      </w:r>
      <w:r w:rsidRPr="00B06D0A">
        <w:rPr>
          <w:rFonts w:ascii="Times New Roman" w:eastAsia="Times New Roman" w:hAnsi="Times New Roman" w:cs="Times New Roman"/>
        </w:rPr>
        <w:t xml:space="preserve">. </w:t>
      </w:r>
      <w:r w:rsidR="006443BC">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is misplaced.  There, a fire started at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commercial freight yard located across the street from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airport offices. A tank containing volatile chemicals located in the yard was punctured, emitting the chemicals and requiring closure of the terminal because of fear of an 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negligence, the more just that liability be imposed and recovery permitted. The New Jersey court acknowledged, however, that the presence of members of the public, or invitees at a particular plaintiff</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B06D0A">
        <w:rPr>
          <w:rFonts w:ascii="Times New Roman" w:eastAsia="Times New Roman" w:hAnsi="Times New Roman" w:cs="Times New Roman"/>
          <w:i/>
          <w:iCs/>
        </w:rPr>
        <w:t>People Express</w:t>
      </w:r>
      <w:r w:rsidRPr="00B06D0A">
        <w:rPr>
          <w:rFonts w:ascii="Times New Roman" w:eastAsia="Times New Roman" w:hAnsi="Times New Roman" w:cs="Times New Roman"/>
        </w:rPr>
        <w:t>.</w:t>
      </w:r>
    </w:p>
    <w:p w14:paraId="075FDCC3" w14:textId="77777777" w:rsidR="00FA3CF9" w:rsidRPr="00B06D0A" w:rsidRDefault="00FA3CF9">
      <w:pPr>
        <w:widowControl w:val="0"/>
        <w:autoSpaceDE w:val="0"/>
        <w:autoSpaceDN w:val="0"/>
        <w:adjustRightInd w:val="0"/>
        <w:rPr>
          <w:rFonts w:ascii="Times New Roman" w:hAnsi="Times New Roman" w:cs="Times New Roman"/>
        </w:rPr>
      </w:pPr>
    </w:p>
    <w:p w14:paraId="03A4EB20" w14:textId="6A6E7B53"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B06D0A">
        <w:rPr>
          <w:rFonts w:ascii="Times New Roman" w:eastAsia="Times New Roman" w:hAnsi="Times New Roman" w:cs="Times New Roman"/>
          <w:i/>
          <w:iCs/>
        </w:rPr>
        <w:t>5</w:t>
      </w:r>
      <w:r w:rsidR="007F6721">
        <w:rPr>
          <w:rFonts w:ascii="Times New Roman" w:eastAsia="Times New Roman" w:hAnsi="Times New Roman" w:cs="Times New Roman"/>
          <w:i/>
          <w:iCs/>
        </w:rPr>
        <w:t>th</w:t>
      </w:r>
      <w:r w:rsidRPr="00B06D0A">
        <w:rPr>
          <w:rFonts w:ascii="Times New Roman" w:eastAsia="Times New Roman" w:hAnsi="Times New Roman" w:cs="Times New Roman"/>
          <w:i/>
          <w:iCs/>
        </w:rPr>
        <w:t xml:space="preserve"> Ave. Chocolatiere</w:t>
      </w:r>
      <w:r w:rsidRPr="00B06D0A">
        <w:rPr>
          <w:rFonts w:ascii="Times New Roman" w:eastAsia="Times New Roman" w:hAnsi="Times New Roman" w:cs="Times New Roman"/>
        </w:rPr>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rPr>
          <w:rFonts w:ascii="Times New Roman" w:eastAsia="Times New Roman" w:hAnsi="Times New Roman" w:cs="Times New Roman"/>
          <w:lang w:eastAsia="en-US"/>
        </w:rPr>
        <w:t>—</w:t>
      </w:r>
      <w:r w:rsidRPr="00B06D0A">
        <w:rPr>
          <w:rFonts w:ascii="Times New Roman" w:eastAsia="Times New Roman" w:hAnsi="Times New Roman" w:cs="Times New Roman"/>
        </w:rPr>
        <w:t xml:space="preserve">such as the law firm, public relations firm, clothing manufacturer and other displaced plaintiffs in </w:t>
      </w:r>
      <w:r w:rsidRPr="00B06D0A">
        <w:rPr>
          <w:rFonts w:ascii="Times New Roman" w:eastAsia="Times New Roman" w:hAnsi="Times New Roman" w:cs="Times New Roman"/>
          <w:i/>
          <w:iCs/>
        </w:rPr>
        <w:t>Goldberg Weprin</w:t>
      </w:r>
      <w:r w:rsidRPr="00B06D0A">
        <w:rPr>
          <w:rFonts w:ascii="Times New Roman" w:eastAsia="Times New Roman" w:hAnsi="Times New Roman" w:cs="Times New Roman"/>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B06D0A" w:rsidRDefault="00FA3CF9">
      <w:pPr>
        <w:widowControl w:val="0"/>
        <w:autoSpaceDE w:val="0"/>
        <w:autoSpaceDN w:val="0"/>
        <w:adjustRightInd w:val="0"/>
        <w:rPr>
          <w:rFonts w:ascii="Times New Roman" w:hAnsi="Times New Roman" w:cs="Times New Roman"/>
        </w:rPr>
      </w:pPr>
    </w:p>
    <w:p w14:paraId="7E6F0406" w14:textId="77777777"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As is readily apparent, an indeterminate group in the affected areas thus may have</w:t>
      </w:r>
    </w:p>
    <w:p w14:paraId="03FA6015" w14:textId="42E630E0" w:rsidR="00FA3CF9" w:rsidRPr="00B06D0A" w:rsidRDefault="750671CE">
      <w:pPr>
        <w:widowControl w:val="0"/>
        <w:autoSpaceDE w:val="0"/>
        <w:autoSpaceDN w:val="0"/>
        <w:adjustRightInd w:val="0"/>
        <w:rPr>
          <w:rFonts w:ascii="Times New Roman" w:eastAsia="Times New Roman" w:hAnsi="Times New Roman" w:cs="Times New Roman"/>
        </w:rPr>
      </w:pPr>
      <w:r w:rsidRPr="00B06D0A">
        <w:rPr>
          <w:rFonts w:ascii="Times New Roman" w:eastAsia="Times New Roman" w:hAnsi="Times New Roman" w:cs="Times New Roman"/>
        </w:rPr>
        <w:t>provable financial losses directly traceable to the two construction-related collapses, with no satisfactory way geographically to distinguish among those who have suffered purely economic losses (</w:t>
      </w:r>
      <w:r w:rsidRPr="00F94B7E">
        <w:rPr>
          <w:rFonts w:ascii="Times New Roman" w:eastAsia="Times New Roman" w:hAnsi="Times New Roman" w:cs="Times New Roman"/>
          <w:i/>
        </w:rPr>
        <w:t>see also</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Matter of Kinsman Tr. Co.</w:t>
      </w:r>
      <w:r w:rsidRPr="00B06D0A">
        <w:rPr>
          <w:rFonts w:ascii="Times New Roman" w:eastAsia="Times New Roman" w:hAnsi="Times New Roman" w:cs="Times New Roman"/>
        </w:rPr>
        <w:t xml:space="preserve">, </w:t>
      </w:r>
      <w:r w:rsidR="00071101">
        <w:rPr>
          <w:rFonts w:ascii="Times New Roman" w:eastAsia="Times New Roman" w:hAnsi="Times New Roman" w:cs="Times New Roman"/>
        </w:rPr>
        <w:t>[</w:t>
      </w:r>
      <w:r w:rsidRPr="00B06D0A">
        <w:rPr>
          <w:rFonts w:ascii="Times New Roman" w:eastAsia="Times New Roman" w:hAnsi="Times New Roman" w:cs="Times New Roman"/>
        </w:rPr>
        <w:t>II</w:t>
      </w:r>
      <w:r w:rsidR="00071101">
        <w:rPr>
          <w:rFonts w:ascii="Times New Roman" w:eastAsia="Times New Roman" w:hAnsi="Times New Roman" w:cs="Times New Roman"/>
        </w:rPr>
        <w:t>])</w:t>
      </w:r>
      <w:r w:rsidR="008C7178">
        <w:rPr>
          <w:rFonts w:ascii="Times New Roman" w:eastAsia="Times New Roman" w:hAnsi="Times New Roman" w:cs="Times New Roman"/>
        </w:rPr>
        <w:t xml:space="preserve"> . . . </w:t>
      </w:r>
      <w:r w:rsidRPr="00B06D0A">
        <w:rPr>
          <w:rFonts w:ascii="Times New Roman" w:eastAsia="Times New Roman" w:hAnsi="Times New Roman" w:cs="Times New Roman"/>
        </w:rPr>
        <w:t>. In such circumstances, limiting the scope of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duty to those who have, as a result of these events, suffered personal injury or property damage</w:t>
      </w:r>
      <w:r w:rsidR="00832826">
        <w:rPr>
          <w:rFonts w:ascii="Times New Roman" w:eastAsia="Times New Roman" w:hAnsi="Times New Roman" w:cs="Times New Roman"/>
          <w:lang w:eastAsia="en-US"/>
        </w:rPr>
        <w:t>—</w:t>
      </w:r>
      <w:r w:rsidRPr="00B06D0A">
        <w:rPr>
          <w:rFonts w:ascii="Times New Roman" w:eastAsia="Times New Roman" w:hAnsi="Times New Roman" w:cs="Times New Roman"/>
        </w:rPr>
        <w:t>as historically courts have done</w:t>
      </w:r>
      <w:r w:rsidR="00832826">
        <w:rPr>
          <w:rFonts w:ascii="Times New Roman" w:eastAsia="Times New Roman" w:hAnsi="Times New Roman" w:cs="Times New Roman"/>
          <w:lang w:eastAsia="en-US"/>
        </w:rPr>
        <w:t>—</w:t>
      </w:r>
      <w:r w:rsidRPr="00B06D0A">
        <w:rPr>
          <w:rFonts w:ascii="Times New Roman" w:eastAsia="Times New Roman" w:hAnsi="Times New Roman" w:cs="Times New Roman"/>
        </w:rPr>
        <w:t>affords a principled basis for reasonably apportioning liability.</w:t>
      </w:r>
    </w:p>
    <w:p w14:paraId="3744A985" w14:textId="77777777" w:rsidR="00FA3CF9" w:rsidRPr="00B06D0A" w:rsidRDefault="00FA3CF9">
      <w:pPr>
        <w:widowControl w:val="0"/>
        <w:autoSpaceDE w:val="0"/>
        <w:autoSpaceDN w:val="0"/>
        <w:adjustRightInd w:val="0"/>
        <w:rPr>
          <w:rFonts w:ascii="Times New Roman" w:hAnsi="Times New Roman" w:cs="Times New Roman"/>
        </w:rPr>
      </w:pPr>
    </w:p>
    <w:p w14:paraId="60282D61" w14:textId="65FDF7AB" w:rsidR="00FA3CF9" w:rsidRPr="00B06D0A" w:rsidRDefault="750671CE">
      <w:pPr>
        <w:widowControl w:val="0"/>
        <w:autoSpaceDE w:val="0"/>
        <w:autoSpaceDN w:val="0"/>
        <w:adjustRightInd w:val="0"/>
        <w:ind w:firstLine="720"/>
        <w:rPr>
          <w:rFonts w:ascii="Times New Roman" w:eastAsia="Times New Roman" w:hAnsi="Times New Roman" w:cs="Times New Roman"/>
        </w:rPr>
      </w:pPr>
      <w:r w:rsidRPr="00B06D0A">
        <w:rPr>
          <w:rFonts w:ascii="Times New Roman" w:eastAsia="Times New Roman" w:hAnsi="Times New Roman" w:cs="Times New Roman"/>
        </w:rPr>
        <w:t>We therefore conclude that plaintiffs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negligence claims based on economic loss alone fall beyond the scope of the duty owed them by defendants and should be dismissed.</w:t>
      </w:r>
    </w:p>
    <w:p w14:paraId="0061C8D2" w14:textId="77777777" w:rsidR="00FA3CF9" w:rsidRPr="00B06D0A" w:rsidRDefault="00FA3CF9">
      <w:pPr>
        <w:widowControl w:val="0"/>
        <w:autoSpaceDE w:val="0"/>
        <w:autoSpaceDN w:val="0"/>
        <w:adjustRightInd w:val="0"/>
        <w:jc w:val="both"/>
        <w:rPr>
          <w:rFonts w:ascii="Times New Roman" w:hAnsi="Times New Roman" w:cs="Times New Roman"/>
          <w:color w:val="000000"/>
        </w:rPr>
      </w:pPr>
    </w:p>
    <w:p w14:paraId="3C1A4DFE" w14:textId="13EDDF90" w:rsidR="00FA3CF9" w:rsidRPr="00B06D0A" w:rsidRDefault="00FA3CF9">
      <w:pPr>
        <w:widowControl w:val="0"/>
        <w:autoSpaceDE w:val="0"/>
        <w:autoSpaceDN w:val="0"/>
        <w:adjustRightInd w:val="0"/>
        <w:jc w:val="both"/>
        <w:rPr>
          <w:rFonts w:ascii="Times New Roman" w:hAnsi="Times New Roman" w:cs="Times New Roman"/>
        </w:rPr>
      </w:pPr>
    </w:p>
    <w:p w14:paraId="582ED8D9" w14:textId="77777777" w:rsidR="00FA3CF9" w:rsidRPr="00A559C4" w:rsidRDefault="00FA3CF9" w:rsidP="002502CC">
      <w:pPr>
        <w:pStyle w:val="Heading4"/>
      </w:pPr>
      <w:bookmarkStart w:id="835" w:name="_Toc364636234"/>
      <w:bookmarkStart w:id="836" w:name="_Toc518323487"/>
      <w:r w:rsidRPr="00C14ACE">
        <w:t>N</w:t>
      </w:r>
      <w:r w:rsidRPr="00A559C4">
        <w:t>otes</w:t>
      </w:r>
      <w:bookmarkEnd w:id="835"/>
      <w:bookmarkEnd w:id="836"/>
    </w:p>
    <w:p w14:paraId="1841D2ED" w14:textId="77777777" w:rsidR="00FA3CF9" w:rsidRDefault="00FA3CF9">
      <w:pPr>
        <w:rPr>
          <w:rFonts w:ascii="Times New Roman" w:hAnsi="Times New Roman" w:cs="Times New Roman"/>
        </w:rPr>
      </w:pPr>
    </w:p>
    <w:p w14:paraId="3960811E" w14:textId="77777777" w:rsidR="005468ED" w:rsidRPr="00B06D0A" w:rsidRDefault="005468ED">
      <w:pPr>
        <w:rPr>
          <w:rFonts w:ascii="Times New Roman" w:hAnsi="Times New Roman" w:cs="Times New Roman"/>
        </w:rPr>
      </w:pPr>
    </w:p>
    <w:p w14:paraId="30459CA0" w14:textId="27A65727" w:rsidR="00FA3CF9" w:rsidRPr="00F94B7E" w:rsidRDefault="750671CE" w:rsidP="00F94B7E">
      <w:pPr>
        <w:pStyle w:val="ListParagraph"/>
        <w:numPr>
          <w:ilvl w:val="0"/>
          <w:numId w:val="123"/>
        </w:numPr>
        <w:ind w:left="0" w:firstLine="360"/>
        <w:rPr>
          <w:rFonts w:ascii="Times New Roman" w:eastAsia="Times New Roman" w:hAnsi="Times New Roman" w:cs="Times New Roman"/>
          <w:i/>
          <w:iCs/>
        </w:rPr>
      </w:pPr>
      <w:r w:rsidRPr="00F94B7E">
        <w:rPr>
          <w:rFonts w:ascii="Times New Roman" w:eastAsia="Times New Roman" w:hAnsi="Times New Roman" w:cs="Times New Roman"/>
          <w:i/>
          <w:iCs/>
        </w:rPr>
        <w:t>The pure economic loss rule</w:t>
      </w:r>
      <w:r w:rsidRPr="00F94B7E">
        <w:rPr>
          <w:rFonts w:ascii="Times New Roman" w:eastAsia="Times New Roman" w:hAnsi="Times New Roman" w:cs="Times New Roman"/>
        </w:rPr>
        <w:t xml:space="preserve">.  Virtually all states adopt some version of the economic loss rule in actions for negligence. </w:t>
      </w:r>
      <w:r w:rsidRPr="00F94B7E">
        <w:rPr>
          <w:rFonts w:ascii="Times New Roman" w:eastAsia="Times New Roman" w:hAnsi="Times New Roman" w:cs="Times New Roman"/>
          <w:smallCaps/>
        </w:rPr>
        <w:t>Dan B. Dobbs, Paul T. Hayden &amp; Ellen M. Bublick, The Law of Torts</w:t>
      </w:r>
      <w:r w:rsidRPr="00F94B7E">
        <w:rPr>
          <w:rFonts w:ascii="Times New Roman" w:eastAsia="Times New Roman" w:hAnsi="Times New Roman" w:cs="Times New Roman"/>
        </w:rPr>
        <w:t xml:space="preserve"> § 646 (2d ed.</w:t>
      </w:r>
      <w:r w:rsidR="00C55B81" w:rsidRPr="00F94B7E">
        <w:rPr>
          <w:rFonts w:ascii="Times New Roman" w:eastAsia="Times New Roman" w:hAnsi="Times New Roman" w:cs="Times New Roman"/>
        </w:rPr>
        <w:t xml:space="preserve"> 2011</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 xml:space="preserve"> </w:t>
      </w:r>
      <w:r w:rsidRPr="00F94B7E">
        <w:rPr>
          <w:rFonts w:ascii="Times New Roman" w:eastAsia="Times New Roman" w:hAnsi="Times New Roman" w:cs="Times New Roman"/>
        </w:rPr>
        <w:t xml:space="preserve">Alaska and New Jersey purport to reject the rule altogether.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Mattingly v. Sheldon Jackson College</w:t>
      </w:r>
      <w:r w:rsidRPr="00F94B7E">
        <w:rPr>
          <w:rFonts w:ascii="Times New Roman" w:eastAsia="Times New Roman" w:hAnsi="Times New Roman" w:cs="Times New Roman"/>
        </w:rPr>
        <w:t xml:space="preserve">, 743 P.2d 356 (Ala. 1987). The Supreme Court of California allows recovery for economic losses under certain conditions, including the relationship between the parties, the foreseeability of the losses, and the culpability of the defendant.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J</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Aire Corp v. Gregory</w:t>
      </w:r>
      <w:r w:rsidRPr="00F94B7E">
        <w:rPr>
          <w:rFonts w:ascii="Times New Roman" w:eastAsia="Times New Roman" w:hAnsi="Times New Roman" w:cs="Times New Roman"/>
        </w:rPr>
        <w:t>, 598 P.2d 60 (Cal. 1979).</w:t>
      </w:r>
    </w:p>
    <w:p w14:paraId="79966762" w14:textId="77777777" w:rsidR="00FA3CF9" w:rsidRPr="00B06D0A" w:rsidRDefault="00FA3CF9">
      <w:pPr>
        <w:rPr>
          <w:rFonts w:ascii="Times New Roman" w:hAnsi="Times New Roman" w:cs="Times New Roman"/>
        </w:rPr>
      </w:pPr>
    </w:p>
    <w:p w14:paraId="1A0922D3" w14:textId="77777777" w:rsidR="00FA3CF9" w:rsidRPr="00B06D0A" w:rsidRDefault="750671CE">
      <w:pPr>
        <w:ind w:firstLine="720"/>
        <w:rPr>
          <w:rFonts w:ascii="Times New Roman" w:eastAsia="Times New Roman" w:hAnsi="Times New Roman" w:cs="Times New Roman"/>
          <w:i/>
          <w:iCs/>
        </w:rPr>
      </w:pPr>
      <w:r w:rsidRPr="00B06D0A">
        <w:rPr>
          <w:rFonts w:ascii="Times New Roman" w:eastAsia="Times New Roman" w:hAnsi="Times New Roman" w:cs="Times New Roman"/>
        </w:rPr>
        <w:t xml:space="preserve">Purely economic losses are typically not available in nuisance cases.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Conley v. Amalgamated Sugar Co.</w:t>
      </w:r>
      <w:r w:rsidRPr="00B06D0A">
        <w:rPr>
          <w:rFonts w:ascii="Times New Roman" w:eastAsia="Times New Roman" w:hAnsi="Times New Roman" w:cs="Times New Roman"/>
        </w:rPr>
        <w:t xml:space="preserve">, 263 P.2d 705 (Idaho 1953); </w:t>
      </w:r>
      <w:r w:rsidRPr="00B06D0A">
        <w:rPr>
          <w:rFonts w:ascii="Times New Roman" w:eastAsia="Times New Roman" w:hAnsi="Times New Roman" w:cs="Times New Roman"/>
          <w:i/>
          <w:iCs/>
        </w:rPr>
        <w:t>Innkeepers, Inc. v. Pittsburgh-Des Moines Corp.</w:t>
      </w:r>
      <w:r w:rsidRPr="00B06D0A">
        <w:rPr>
          <w:rFonts w:ascii="Times New Roman" w:eastAsia="Times New Roman" w:hAnsi="Times New Roman" w:cs="Times New Roman"/>
        </w:rPr>
        <w:t xml:space="preserve">, 345 N.W.2d 124 (Iowa 1984). Similarly, a number of courts reject pure economic loss claims in trespass and product liability claims.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Dale v. Grant</w:t>
      </w:r>
      <w:r w:rsidRPr="00B06D0A">
        <w:rPr>
          <w:rFonts w:ascii="Times New Roman" w:eastAsia="Times New Roman" w:hAnsi="Times New Roman" w:cs="Times New Roman"/>
        </w:rPr>
        <w:t xml:space="preserve">, 34 N.J.L. 142 (1870) (holding that purely economic damage in an action for trespass is not recoverable); </w:t>
      </w:r>
      <w:r w:rsidRPr="00B06D0A">
        <w:rPr>
          <w:rFonts w:ascii="Times New Roman" w:eastAsia="Times New Roman" w:hAnsi="Times New Roman" w:cs="Times New Roman"/>
          <w:i/>
          <w:iCs/>
        </w:rPr>
        <w:t>Moore v. Pavex, Inc.</w:t>
      </w:r>
      <w:r w:rsidRPr="00B06D0A">
        <w:rPr>
          <w:rFonts w:ascii="Times New Roman" w:eastAsia="Times New Roman" w:hAnsi="Times New Roman" w:cs="Times New Roman"/>
        </w:rPr>
        <w:t xml:space="preserve">, 514 A.2d 137 (Pa. 1986) (refusing to allow business owners to recover for purely economic damage in a products liability action). </w:t>
      </w:r>
    </w:p>
    <w:p w14:paraId="6B89B4D1" w14:textId="77777777" w:rsidR="00FA3CF9" w:rsidRPr="00B06D0A" w:rsidRDefault="00FA3CF9">
      <w:pPr>
        <w:rPr>
          <w:rFonts w:ascii="Times New Roman" w:hAnsi="Times New Roman" w:cs="Times New Roman"/>
        </w:rPr>
      </w:pPr>
    </w:p>
    <w:p w14:paraId="1CEAB0A9" w14:textId="77777777" w:rsidR="00FA3CF9" w:rsidRPr="00B06D0A" w:rsidRDefault="00FA3CF9">
      <w:pPr>
        <w:rPr>
          <w:rFonts w:ascii="Times New Roman" w:hAnsi="Times New Roman" w:cs="Times New Roman"/>
        </w:rPr>
      </w:pPr>
    </w:p>
    <w:p w14:paraId="72880B3F" w14:textId="0EB4A770" w:rsidR="00FA3CF9" w:rsidRPr="00F94B7E" w:rsidRDefault="750671CE" w:rsidP="00F94B7E">
      <w:pPr>
        <w:pStyle w:val="ListParagraph"/>
        <w:numPr>
          <w:ilvl w:val="0"/>
          <w:numId w:val="123"/>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Business interruption insurance</w:t>
      </w:r>
      <w:r w:rsidRPr="00F94B7E">
        <w:rPr>
          <w:rFonts w:ascii="Times New Roman" w:eastAsia="Times New Roman" w:hAnsi="Times New Roman" w:cs="Times New Roman"/>
        </w:rPr>
        <w:t xml:space="preserve">.  One of the justifications for the economic loss rule is that the rule allocates the risk of economic loss to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the party best situated to assess the risk of his or her economic loss, to assume, allocate, or insure against that risk.</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Below v. Norton</w:t>
      </w:r>
      <w:r w:rsidRPr="00F94B7E">
        <w:rPr>
          <w:rFonts w:ascii="Times New Roman" w:eastAsia="Times New Roman" w:hAnsi="Times New Roman" w:cs="Times New Roman"/>
        </w:rPr>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Pr="00F94B7E">
        <w:rPr>
          <w:rFonts w:ascii="Times New Roman" w:eastAsia="Times New Roman" w:hAnsi="Times New Roman" w:cs="Times New Roman"/>
          <w:i/>
          <w:iCs/>
        </w:rPr>
        <w:t>See, e.g.</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i/>
          <w:iCs/>
        </w:rPr>
        <w:t>Peerless Dyeing Co., Inc. v. Industrial Risk Insurers</w:t>
      </w:r>
      <w:r w:rsidRPr="00F94B7E">
        <w:rPr>
          <w:rFonts w:ascii="Times New Roman" w:eastAsia="Times New Roman" w:hAnsi="Times New Roman" w:cs="Times New Roman"/>
        </w:rPr>
        <w:t xml:space="preserve">, 573 A.2d 541 (Pa. 1990). </w:t>
      </w:r>
    </w:p>
    <w:p w14:paraId="68247781" w14:textId="77777777" w:rsidR="00FA3CF9" w:rsidRPr="00B06D0A" w:rsidRDefault="00FA3CF9">
      <w:pPr>
        <w:rPr>
          <w:rFonts w:ascii="Times New Roman" w:hAnsi="Times New Roman" w:cs="Times New Roman"/>
        </w:rPr>
      </w:pPr>
    </w:p>
    <w:p w14:paraId="3A9B3CDA" w14:textId="77777777" w:rsidR="00FA3CF9" w:rsidRPr="00B06D0A" w:rsidRDefault="00FA3CF9">
      <w:pPr>
        <w:rPr>
          <w:rFonts w:ascii="Times New Roman" w:hAnsi="Times New Roman" w:cs="Times New Roman"/>
        </w:rPr>
      </w:pPr>
    </w:p>
    <w:p w14:paraId="707A3BE7" w14:textId="6707D85F" w:rsidR="00FA3CF9" w:rsidRPr="00A559C4" w:rsidRDefault="00BC3F3F">
      <w:pPr>
        <w:pStyle w:val="Heading2"/>
        <w:rPr>
          <w:rFonts w:cs="Times New Roman"/>
        </w:rPr>
      </w:pPr>
      <w:bookmarkStart w:id="837" w:name="_Toc364636235"/>
      <w:bookmarkStart w:id="838" w:name="_Toc518323488"/>
      <w:r w:rsidRPr="00C14ACE">
        <w:rPr>
          <w:rFonts w:cs="Times New Roman"/>
        </w:rPr>
        <w:t>F.</w:t>
      </w:r>
      <w:r w:rsidR="00AB034A">
        <w:rPr>
          <w:rFonts w:cs="Times New Roman"/>
        </w:rPr>
        <w:t xml:space="preserve">  </w:t>
      </w:r>
      <w:r w:rsidR="00FA3CF9" w:rsidRPr="00A559C4">
        <w:rPr>
          <w:rFonts w:cs="Times New Roman"/>
        </w:rPr>
        <w:t>Relational Interests</w:t>
      </w:r>
      <w:bookmarkEnd w:id="837"/>
      <w:bookmarkEnd w:id="838"/>
    </w:p>
    <w:p w14:paraId="1C58FC6A" w14:textId="77777777" w:rsidR="00FA3CF9" w:rsidRPr="00B06D0A" w:rsidRDefault="00FA3CF9">
      <w:pPr>
        <w:rPr>
          <w:rFonts w:ascii="Times New Roman" w:hAnsi="Times New Roman" w:cs="Times New Roman"/>
        </w:rPr>
      </w:pPr>
    </w:p>
    <w:p w14:paraId="1CD82CC7" w14:textId="77777777" w:rsidR="00FA3CF9" w:rsidRPr="00B06D0A" w:rsidRDefault="00FA3CF9">
      <w:pPr>
        <w:rPr>
          <w:rFonts w:ascii="Times New Roman" w:hAnsi="Times New Roman" w:cs="Times New Roman"/>
        </w:rPr>
      </w:pPr>
    </w:p>
    <w:p w14:paraId="2C3A7F99"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parties can sue third parties for tortious interference with a contractual relationship.  </w:t>
      </w:r>
    </w:p>
    <w:p w14:paraId="5B3DD7FD" w14:textId="77777777" w:rsidR="00FA3CF9" w:rsidRPr="00B06D0A" w:rsidRDefault="00FA3CF9">
      <w:pPr>
        <w:rPr>
          <w:rFonts w:ascii="Times New Roman" w:hAnsi="Times New Roman" w:cs="Times New Roman"/>
        </w:rPr>
      </w:pPr>
    </w:p>
    <w:p w14:paraId="6E93E2B8"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One of the most striking relational interests, however, is the loss of consortium claim.  Consider the following materials:</w:t>
      </w:r>
    </w:p>
    <w:p w14:paraId="19361DE8" w14:textId="77777777" w:rsidR="00FA3CF9" w:rsidRPr="00B06D0A" w:rsidRDefault="00FA3CF9">
      <w:pPr>
        <w:rPr>
          <w:rFonts w:ascii="Times New Roman" w:hAnsi="Times New Roman" w:cs="Times New Roman"/>
        </w:rPr>
      </w:pPr>
    </w:p>
    <w:p w14:paraId="6B3F69E5" w14:textId="77777777" w:rsidR="00FA3CF9" w:rsidRPr="00A559C4" w:rsidRDefault="00FA3CF9" w:rsidP="00322687">
      <w:pPr>
        <w:pStyle w:val="Heading3"/>
      </w:pPr>
      <w:bookmarkStart w:id="839" w:name="_Toc364636236"/>
      <w:bookmarkStart w:id="840" w:name="_Toc518323489"/>
      <w:r w:rsidRPr="00C14ACE">
        <w:t>1.  Spouses</w:t>
      </w:r>
      <w:bookmarkEnd w:id="839"/>
      <w:bookmarkEnd w:id="840"/>
    </w:p>
    <w:p w14:paraId="7ACE56FF" w14:textId="77777777" w:rsidR="00FA3CF9" w:rsidRPr="00B06D0A" w:rsidRDefault="00FA3CF9">
      <w:pPr>
        <w:rPr>
          <w:rFonts w:ascii="Times New Roman" w:hAnsi="Times New Roman" w:cs="Times New Roman"/>
          <w:b/>
          <w:i/>
        </w:rPr>
      </w:pPr>
    </w:p>
    <w:p w14:paraId="58EC688D" w14:textId="57E26F32"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In </w:t>
      </w:r>
      <w:r w:rsidRPr="00B06D0A">
        <w:rPr>
          <w:rFonts w:ascii="Times New Roman" w:eastAsia="Times New Roman" w:hAnsi="Times New Roman" w:cs="Times New Roman"/>
          <w:i/>
          <w:iCs/>
        </w:rPr>
        <w:t>Diaz v. Eli Lilly</w:t>
      </w:r>
      <w:r w:rsidRPr="00B06D0A">
        <w:rPr>
          <w:rFonts w:ascii="Times New Roman" w:eastAsia="Times New Roman" w:hAnsi="Times New Roman" w:cs="Times New Roman"/>
        </w:rPr>
        <w:t xml:space="preserve"> (Mass. 1973), Milagros Diaz alleged that the defendant Eli Lilly negligently manufactured a fungicide that caused severe bodily injuries to her husband, that that as a consequence, she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suffered a loss of the consortium of [her husband], including his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services, society, affection, companionship, (and) relations.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After the trial court dismissed the claim on the ground that Massachusetts law recognized no loss of consortium claim by wives for injuries to their husbands, the Massachusetts Supreme Judicial Court reversed.  Justice Benjamin Kaplan, now an emeritus member of the Harvard Law School faculty, reviewed the history of the action for negligent interference with consortium:</w:t>
      </w:r>
    </w:p>
    <w:p w14:paraId="0073C311" w14:textId="77777777" w:rsidR="00FA3CF9" w:rsidRPr="00B06D0A" w:rsidRDefault="00FA3CF9">
      <w:pPr>
        <w:rPr>
          <w:rFonts w:ascii="Times New Roman" w:hAnsi="Times New Roman" w:cs="Times New Roman"/>
        </w:rPr>
      </w:pPr>
    </w:p>
    <w:p w14:paraId="740F0E7B" w14:textId="43883301" w:rsidR="00FA3CF9" w:rsidRPr="00B06D0A" w:rsidRDefault="750671CE" w:rsidP="00F94B7E">
      <w:pPr>
        <w:pStyle w:val="blockquote"/>
      </w:pPr>
      <w:r w:rsidRPr="00B06D0A">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B06D0A">
        <w:t>’</w:t>
      </w:r>
      <w:r w:rsidRPr="00B06D0A">
        <w:t>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w:t>
      </w:r>
      <w:r w:rsidR="00B05F31" w:rsidRPr="00B06D0A">
        <w:t>’</w:t>
      </w:r>
      <w:r w:rsidRPr="00B06D0A">
        <w:t>s rights?  She had non analogous to the husband</w:t>
      </w:r>
      <w:r w:rsidR="00B05F31" w:rsidRPr="00B06D0A">
        <w:t>’</w:t>
      </w:r>
      <w:r w:rsidRPr="00B06D0A">
        <w:t>s.  The husband was of course perfectly competent to sue without joinder of the wife for injuries to himself, and there was no thought that the wife had any legal claim to the husband</w:t>
      </w:r>
      <w:r w:rsidR="00B05F31" w:rsidRPr="00B06D0A">
        <w:t>’</w:t>
      </w:r>
      <w:r w:rsidRPr="00B06D0A">
        <w:t>s services or his sexual or other companionship</w:t>
      </w:r>
      <w:r w:rsidR="00EB6693" w:rsidRPr="00EB6693">
        <w:t>—</w:t>
      </w:r>
      <w:r w:rsidRPr="00B06D0A">
        <w:t>any claim, at any rate, in the form of a cause of action for third-party damage to the relationship.</w:t>
      </w:r>
    </w:p>
    <w:p w14:paraId="00AB8471" w14:textId="77777777" w:rsidR="00FA3CF9" w:rsidRPr="00B06D0A" w:rsidRDefault="00FA3CF9">
      <w:pPr>
        <w:rPr>
          <w:rFonts w:ascii="Times New Roman" w:hAnsi="Times New Roman" w:cs="Times New Roman"/>
        </w:rPr>
      </w:pPr>
    </w:p>
    <w:p w14:paraId="4F049687" w14:textId="7A70A992"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xml:space="preserve">302 N.E.2d at 556-57.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coming in of the married women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acts in the mid-nineteenth century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[i]t was held very widely that husbands still retained their consortium rights, the element of loss of wives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services and earnings, however, being excluded from the husbands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recoveries as belonging to the wives themselves . . .</w:t>
      </w:r>
      <w:r w:rsidR="00EB6693">
        <w:rPr>
          <w:rFonts w:ascii="Times New Roman" w:eastAsia="Times New Roman" w:hAnsi="Times New Roman" w:cs="Times New Roman"/>
        </w:rPr>
        <w:t xml:space="preserve"> .”</w:t>
      </w:r>
      <w:r w:rsidRPr="00B06D0A">
        <w:rPr>
          <w:rFonts w:ascii="Times New Roman" w:eastAsia="Times New Roman" w:hAnsi="Times New Roman" w:cs="Times New Roman"/>
        </w:rPr>
        <w:t xml:space="preserve"> 302 N.E.2d at 557. (Kaplan chalked this up to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reluctance of judges to accept the women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emancipation acts as introducing a general premise for fresh decision.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Id.</w:t>
      </w:r>
      <w:r w:rsidRPr="00B06D0A">
        <w:rPr>
          <w:rFonts w:ascii="Times New Roman" w:eastAsia="Times New Roman" w:hAnsi="Times New Roman" w:cs="Times New Roman"/>
        </w:rPr>
        <w:t>).</w:t>
      </w:r>
    </w:p>
    <w:p w14:paraId="35497356" w14:textId="3CD25DE2"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Since the 1950s, Justice Kaplan continued, there had grown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movement of opinion in this country . . . toward recognizing a right of action in either spouse for loss of consortium due to negligent injury of the other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w:t>
      </w:r>
    </w:p>
    <w:p w14:paraId="5DDA7099" w14:textId="77777777" w:rsidR="00FA3CF9" w:rsidRPr="00B06D0A" w:rsidRDefault="00FA3CF9">
      <w:pPr>
        <w:rPr>
          <w:rFonts w:ascii="Times New Roman" w:hAnsi="Times New Roman" w:cs="Times New Roman"/>
        </w:rPr>
      </w:pPr>
    </w:p>
    <w:p w14:paraId="201E8CEE" w14:textId="56DA19D8" w:rsidR="00FA3CF9" w:rsidRPr="00B06D0A" w:rsidRDefault="750671CE" w:rsidP="00F94B7E">
      <w:pPr>
        <w:pStyle w:val="blockquote"/>
      </w:pPr>
      <w:r w:rsidRPr="00B06D0A">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B06D0A">
        <w:rPr>
          <w:i/>
          <w:iCs/>
        </w:rPr>
        <w:t>Hitaffer v. Argonne Co. Inc.</w:t>
      </w:r>
      <w:r w:rsidRPr="00B06D0A">
        <w:t xml:space="preserve"> (D.C. Cir. 1950), . . . has now been established in perhaps half the American jurisdictions: the result has been achieved in some States by overruling relatively recent precedent in point. In certain jurisdictions the wife</w:t>
      </w:r>
      <w:r w:rsidR="00B05F31" w:rsidRPr="00B06D0A">
        <w:t>’</w:t>
      </w:r>
      <w:r w:rsidRPr="00B06D0A">
        <w:t>s right has been denied although the husband</w:t>
      </w:r>
      <w:r w:rsidR="00B05F31" w:rsidRPr="00B06D0A">
        <w:t>’</w:t>
      </w:r>
      <w:r w:rsidRPr="00B06D0A">
        <w:t>s right is still affirmed</w:t>
      </w:r>
      <w:r w:rsidR="0088022B" w:rsidRPr="0088022B">
        <w:t>—</w:t>
      </w:r>
      <w:r w:rsidRPr="00B06D0A">
        <w:t>a regrettable solecism. . . . Having in the first Restatement of Torts published in 1938 affirmed the husband</w:t>
      </w:r>
      <w:r w:rsidR="00B05F31" w:rsidRPr="00B06D0A">
        <w:t>’</w:t>
      </w:r>
      <w:r w:rsidRPr="00B06D0A">
        <w:t>s right and denied the wife</w:t>
      </w:r>
      <w:r w:rsidR="00B05F31" w:rsidRPr="00B06D0A">
        <w:t>’</w:t>
      </w:r>
      <w:r w:rsidRPr="00B06D0A">
        <w:t>s in accordance with the then weight of authority, the American law Institute in Restatement Second will state that the husband and wife have the right on equal terms, adding the requirement</w:t>
      </w:r>
      <w:r w:rsidR="0088022B" w:rsidRPr="0088022B">
        <w:t>—</w:t>
      </w:r>
      <w:r w:rsidRPr="00B06D0A">
        <w:t>in recognition of the significant procedural point</w:t>
      </w:r>
      <w:r w:rsidR="0088022B" w:rsidRPr="0088022B">
        <w:t>—</w:t>
      </w:r>
      <w:r w:rsidRPr="00B06D0A">
        <w:t>that where possible the consortium claim must be joined with the claim for bodily injury</w:t>
      </w:r>
      <w:r w:rsidR="00071101">
        <w:t>.</w:t>
      </w:r>
      <w:r w:rsidRPr="00B06D0A">
        <w:t xml:space="preserve"> . . .</w:t>
      </w:r>
    </w:p>
    <w:p w14:paraId="4F1136CA" w14:textId="77777777" w:rsidR="00FA3CF9" w:rsidRPr="00B06D0A" w:rsidRDefault="00FA3CF9" w:rsidP="00F94B7E">
      <w:pPr>
        <w:pStyle w:val="blockquote"/>
      </w:pPr>
    </w:p>
    <w:p w14:paraId="626FC34A" w14:textId="1176B41C" w:rsidR="00FA3CF9" w:rsidRPr="00B06D0A" w:rsidRDefault="750671CE" w:rsidP="00F94B7E">
      <w:pPr>
        <w:pStyle w:val="blockquote"/>
      </w:pPr>
      <w:r w:rsidRPr="00B06D0A">
        <w:t>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a possible reason for leaving it without 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 will rather proceed from case to case with discerning caution.</w:t>
      </w:r>
    </w:p>
    <w:p w14:paraId="74A3DAE7" w14:textId="77777777" w:rsidR="00FA3CF9" w:rsidRPr="00B06D0A" w:rsidRDefault="00FA3CF9">
      <w:pPr>
        <w:rPr>
          <w:rFonts w:ascii="Times New Roman" w:hAnsi="Times New Roman" w:cs="Times New Roman"/>
        </w:rPr>
      </w:pPr>
    </w:p>
    <w:p w14:paraId="4D11B4C5" w14:textId="7B3735D8"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xml:space="preserve">302 N.E.2d at 561-63.  The </w:t>
      </w:r>
      <w:r w:rsidRPr="00B06D0A">
        <w:rPr>
          <w:rFonts w:ascii="Times New Roman" w:eastAsia="Times New Roman" w:hAnsi="Times New Roman" w:cs="Times New Roman"/>
          <w:i/>
          <w:iCs/>
        </w:rPr>
        <w:t>Diaz</w:t>
      </w:r>
      <w:r w:rsidRPr="00B06D0A">
        <w:rPr>
          <w:rFonts w:ascii="Times New Roman" w:eastAsia="Times New Roman" w:hAnsi="Times New Roman" w:cs="Times New Roman"/>
        </w:rPr>
        <w:t xml:space="preserve"> court thus recognized symmetrical causes of action for negligent interference with the consortium of a spouse.  A few states still resist the cause of action.  </w:t>
      </w:r>
      <w:r w:rsidRPr="00B06D0A">
        <w:rPr>
          <w:rFonts w:ascii="Times New Roman" w:eastAsia="Times New Roman" w:hAnsi="Times New Roman" w:cs="Times New Roman"/>
          <w:i/>
          <w:iCs/>
        </w:rPr>
        <w:t>See, e.g.</w:t>
      </w:r>
      <w:r w:rsidR="0088022B" w:rsidRPr="00F94B7E">
        <w:rPr>
          <w:rFonts w:ascii="Times New Roman" w:eastAsia="Times New Roman" w:hAnsi="Times New Roman" w:cs="Times New Roman"/>
          <w:iCs/>
        </w:rPr>
        <w:t>,</w:t>
      </w:r>
      <w:r w:rsidRPr="00B06D0A">
        <w:rPr>
          <w:rFonts w:ascii="Times New Roman" w:eastAsia="Times New Roman" w:hAnsi="Times New Roman" w:cs="Times New Roman"/>
          <w:i/>
          <w:iCs/>
        </w:rPr>
        <w:t xml:space="preserve"> Boucher v. Dixie Medical Center</w:t>
      </w:r>
      <w:r w:rsidRPr="00B06D0A">
        <w:rPr>
          <w:rFonts w:ascii="Times New Roman" w:eastAsia="Times New Roman" w:hAnsi="Times New Roman" w:cs="Times New Roman"/>
        </w:rPr>
        <w:t xml:space="preserve">, 850 P.2d 1179 (Utah 1992), followed with reservations by </w:t>
      </w:r>
      <w:r w:rsidRPr="00B06D0A">
        <w:rPr>
          <w:rFonts w:ascii="Times New Roman" w:eastAsia="Times New Roman" w:hAnsi="Times New Roman" w:cs="Times New Roman"/>
          <w:i/>
          <w:iCs/>
        </w:rPr>
        <w:t>Figueroa v. United States</w:t>
      </w:r>
      <w:r w:rsidRPr="00B06D0A">
        <w:rPr>
          <w:rFonts w:ascii="Times New Roman" w:eastAsia="Times New Roman" w:hAnsi="Times New Roman" w:cs="Times New Roman"/>
        </w:rPr>
        <w:t>, 64 F. Supp.2d 1125 (D. Utah 1999).</w:t>
      </w:r>
    </w:p>
    <w:p w14:paraId="3B50D64A" w14:textId="77777777" w:rsidR="00FA3CF9" w:rsidRPr="00B06D0A" w:rsidRDefault="00FA3CF9">
      <w:pPr>
        <w:rPr>
          <w:rFonts w:ascii="Times New Roman" w:hAnsi="Times New Roman" w:cs="Times New Roman"/>
        </w:rPr>
      </w:pPr>
    </w:p>
    <w:p w14:paraId="27399DDD" w14:textId="77777777" w:rsidR="00FA3CF9" w:rsidRPr="00B06D0A" w:rsidRDefault="00FA3CF9">
      <w:pPr>
        <w:rPr>
          <w:rFonts w:ascii="Times New Roman" w:hAnsi="Times New Roman" w:cs="Times New Roman"/>
        </w:rPr>
      </w:pPr>
    </w:p>
    <w:p w14:paraId="6869FDFA" w14:textId="77777777" w:rsidR="00FA3CF9" w:rsidRPr="00A559C4" w:rsidRDefault="00FA3CF9" w:rsidP="00322687">
      <w:pPr>
        <w:pStyle w:val="Heading3"/>
      </w:pPr>
      <w:bookmarkStart w:id="841" w:name="_Toc364636237"/>
      <w:bookmarkStart w:id="842" w:name="_Toc518323490"/>
      <w:r w:rsidRPr="00C14ACE">
        <w:t>2.  Children</w:t>
      </w:r>
      <w:bookmarkEnd w:id="841"/>
      <w:bookmarkEnd w:id="842"/>
    </w:p>
    <w:p w14:paraId="45413FBB" w14:textId="77777777" w:rsidR="00FA3CF9" w:rsidRPr="00B06D0A" w:rsidRDefault="00FA3CF9">
      <w:pPr>
        <w:rPr>
          <w:rFonts w:ascii="Times New Roman" w:hAnsi="Times New Roman" w:cs="Times New Roman"/>
        </w:rPr>
      </w:pPr>
    </w:p>
    <w:p w14:paraId="7336AF97" w14:textId="11E858A3"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Most courts allow fathers and mothers to bring action for loss of the companionship of a child.  </w:t>
      </w:r>
      <w:r w:rsidRPr="00B06D0A">
        <w:rPr>
          <w:rFonts w:ascii="Times New Roman" w:eastAsia="Times New Roman" w:hAnsi="Times New Roman" w:cs="Times New Roman"/>
          <w:i/>
          <w:iCs/>
        </w:rPr>
        <w:t xml:space="preserve">See, e.g., Lester </w:t>
      </w:r>
      <w:r w:rsidR="002B22E0">
        <w:rPr>
          <w:rFonts w:ascii="Times New Roman" w:eastAsia="Times New Roman" w:hAnsi="Times New Roman" w:cs="Times New Roman"/>
          <w:i/>
          <w:iCs/>
        </w:rPr>
        <w:t>v</w:t>
      </w:r>
      <w:r w:rsidRPr="00B06D0A">
        <w:rPr>
          <w:rFonts w:ascii="Times New Roman" w:eastAsia="Times New Roman" w:hAnsi="Times New Roman" w:cs="Times New Roman"/>
          <w:i/>
          <w:iCs/>
        </w:rPr>
        <w:t>. Sayles</w:t>
      </w:r>
      <w:r w:rsidRPr="00B06D0A">
        <w:rPr>
          <w:rFonts w:ascii="Times New Roman" w:eastAsia="Times New Roman" w:hAnsi="Times New Roman" w:cs="Times New Roman"/>
        </w:rPr>
        <w:t>, 850 S.W.2d 858 (Mo. 1993).  The decision to allow such actions seems to have been eased by the long existence at common law of actions by fathers for the loss of their children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services.</w:t>
      </w:r>
      <w:r w:rsidRPr="00F349EC">
        <w:rPr>
          <w:rStyle w:val="FootnoteReference"/>
          <w:rFonts w:ascii="Times New Roman" w:eastAsia="Times New Roman" w:hAnsi="Times New Roman" w:cs="Times New Roman"/>
        </w:rPr>
        <w:footnoteReference w:id="22"/>
      </w:r>
      <w:r w:rsidRPr="00F349EC">
        <w:rPr>
          <w:rFonts w:ascii="Times New Roman" w:eastAsia="Times New Roman" w:hAnsi="Times New Roman" w:cs="Times New Roman"/>
        </w:rPr>
        <w:t xml:space="preserve">  The early modern common law had also allowed fathers to recover for the lost earning capacity of children injured by the tortious act of a third party.  In the twentieth century, and especially in the second half of th</w:t>
      </w:r>
      <w:r w:rsidRPr="00B06D0A">
        <w:rPr>
          <w:rFonts w:ascii="Times New Roman" w:eastAsia="Times New Roman" w:hAnsi="Times New Roman" w:cs="Times New Roman"/>
        </w:rPr>
        <w:t xml:space="preserve">e twentieth century, courts have reasoned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remedy of loss of a minor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earning capacity during minority is of diminishing significance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today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relationship between parents and children is, or should be, more than that between master and servant.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Davis v. Elizabeth General Medical Center</w:t>
      </w:r>
      <w:r w:rsidRPr="00B06D0A">
        <w:rPr>
          <w:rFonts w:ascii="Times New Roman" w:eastAsia="Times New Roman" w:hAnsi="Times New Roman" w:cs="Times New Roman"/>
        </w:rPr>
        <w:t xml:space="preserve">, 548 A.2d 528 (N.J. 1988) (quoting </w:t>
      </w:r>
      <w:r w:rsidRPr="00B06D0A">
        <w:rPr>
          <w:rFonts w:ascii="Times New Roman" w:eastAsia="Times New Roman" w:hAnsi="Times New Roman" w:cs="Times New Roman"/>
          <w:i/>
          <w:iCs/>
        </w:rPr>
        <w:t>Shockley v. Prier</w:t>
      </w:r>
      <w:r w:rsidRPr="00B06D0A">
        <w:rPr>
          <w:rFonts w:ascii="Times New Roman" w:eastAsia="Times New Roman" w:hAnsi="Times New Roman" w:cs="Times New Roman"/>
        </w:rPr>
        <w:t>, 225 N.W. 2d 495 (Wis. 1975)).</w:t>
      </w:r>
    </w:p>
    <w:p w14:paraId="13FB18B6" w14:textId="77777777" w:rsidR="00FA3CF9" w:rsidRPr="00B06D0A" w:rsidRDefault="00FA3CF9">
      <w:pPr>
        <w:rPr>
          <w:rFonts w:ascii="Times New Roman" w:hAnsi="Times New Roman" w:cs="Times New Roman"/>
        </w:rPr>
      </w:pPr>
    </w:p>
    <w:p w14:paraId="22EFC47A" w14:textId="7CD61A44"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The question whether to allow actions by children for loss of the companionship and society of a parent has been more controversial.  In </w:t>
      </w:r>
      <w:r w:rsidRPr="00B06D0A">
        <w:rPr>
          <w:rFonts w:ascii="Times New Roman" w:eastAsia="Times New Roman" w:hAnsi="Times New Roman" w:cs="Times New Roman"/>
          <w:i/>
          <w:iCs/>
        </w:rPr>
        <w:t>Borer v. American Airlines</w:t>
      </w:r>
      <w:r w:rsidRPr="00B06D0A">
        <w:rPr>
          <w:rFonts w:ascii="Times New Roman" w:eastAsia="Times New Roman" w:hAnsi="Times New Roman" w:cs="Times New Roman"/>
        </w:rPr>
        <w:t xml:space="preserve"> (Cal. 1977), for example the California Supreme Court upheld the dismissal of loss of consortium actions by nine children of a woman injured by falling lighting equipment.  According to Justice Tobriner, writing for the Court in </w:t>
      </w:r>
      <w:r w:rsidRPr="00F94B7E">
        <w:rPr>
          <w:rFonts w:ascii="Times New Roman" w:eastAsia="Times New Roman" w:hAnsi="Times New Roman" w:cs="Times New Roman"/>
          <w:i/>
        </w:rPr>
        <w:t>Borer</w:t>
      </w:r>
      <w:r w:rsidRPr="00B06D0A">
        <w:rPr>
          <w:rFonts w:ascii="Times New Roman" w:eastAsia="Times New Roman" w:hAnsi="Times New Roman" w:cs="Times New Roman"/>
        </w:rPr>
        <w:t xml:space="preserve">, loss of consortium claims must be narrowly limited because they involve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intangible injury for which money damages do not afford an accurate measure or suitable recompense.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Moreover,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563 P.2d 858, 860 (Cal. 1977).</w:t>
      </w:r>
    </w:p>
    <w:p w14:paraId="6351454C" w14:textId="77777777" w:rsidR="00FA3CF9" w:rsidRPr="00B06D0A" w:rsidRDefault="00FA3CF9">
      <w:pPr>
        <w:rPr>
          <w:rFonts w:ascii="Times New Roman" w:hAnsi="Times New Roman" w:cs="Times New Roman"/>
        </w:rPr>
      </w:pPr>
    </w:p>
    <w:p w14:paraId="3FDC71AA" w14:textId="3EE62FB0"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The current trend appears to be toward extending loss of consortium actions to children for injuries to their parents.  The Massachusetts Supreme Judicial Court, for example, allowed such actions in </w:t>
      </w:r>
      <w:r w:rsidRPr="00B06D0A">
        <w:rPr>
          <w:rFonts w:ascii="Times New Roman" w:eastAsia="Times New Roman" w:hAnsi="Times New Roman" w:cs="Times New Roman"/>
          <w:i/>
          <w:iCs/>
        </w:rPr>
        <w:t>Ferriter v. Daniel O</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Connell</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Sons, Inc.,</w:t>
      </w:r>
      <w:r w:rsidRPr="00B06D0A">
        <w:rPr>
          <w:rFonts w:ascii="Times New Roman" w:eastAsia="Times New Roman" w:hAnsi="Times New Roman" w:cs="Times New Roman"/>
        </w:rPr>
        <w:t xml:space="preserve"> 413 N.E.2d 690 (Mass. 1980).  Squarely rejecting </w:t>
      </w:r>
      <w:r w:rsidRPr="00B06D0A">
        <w:rPr>
          <w:rFonts w:ascii="Times New Roman" w:eastAsia="Times New Roman" w:hAnsi="Times New Roman" w:cs="Times New Roman"/>
          <w:i/>
          <w:iCs/>
        </w:rPr>
        <w:t>Borer</w:t>
      </w:r>
      <w:r w:rsidRPr="00B06D0A">
        <w:rPr>
          <w:rFonts w:ascii="Times New Roman" w:eastAsia="Times New Roman" w:hAnsi="Times New Roman" w:cs="Times New Roman"/>
        </w:rPr>
        <w:t xml:space="preserve">, the </w:t>
      </w:r>
      <w:r w:rsidRPr="00B06D0A">
        <w:rPr>
          <w:rFonts w:ascii="Times New Roman" w:eastAsia="Times New Roman" w:hAnsi="Times New Roman" w:cs="Times New Roman"/>
          <w:i/>
          <w:iCs/>
        </w:rPr>
        <w:t>Ferriter</w:t>
      </w:r>
      <w:r w:rsidRPr="00B06D0A">
        <w:rPr>
          <w:rFonts w:ascii="Times New Roman" w:eastAsia="Times New Roman" w:hAnsi="Times New Roman" w:cs="Times New Roman"/>
        </w:rPr>
        <w:t xml:space="preserve"> court allowed dependent children to recover loss of consortium in cases in which they could establish a dependence that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rooted in . . . filial needs for closeness, guidance and nurture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in which they could show injury to these needs.  413 N.E.2d at 696.  One recent decision allowing children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loss of consortium actions identified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15 courts and two state legislatures [that] have recognized the claim of children for loss of parental consortium.</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Giuliani v. Guiler</w:t>
      </w:r>
      <w:r w:rsidRPr="00B06D0A">
        <w:rPr>
          <w:rFonts w:ascii="Times New Roman" w:eastAsia="Times New Roman" w:hAnsi="Times New Roman" w:cs="Times New Roman"/>
        </w:rPr>
        <w:t xml:space="preserve">, 951 S.W.2d 318, 319 (Ky. 1977).  Citing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ancient fallacy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that children do not have identity as individuals and as members of the family separate from the parents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legislatively expressed public policy . . . to strengthen and encourage the family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Kentucky Supreme Court has held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Id</w:t>
      </w:r>
      <w:r w:rsidRPr="00B06D0A">
        <w:rPr>
          <w:rFonts w:ascii="Times New Roman" w:eastAsia="Times New Roman" w:hAnsi="Times New Roman" w:cs="Times New Roman"/>
        </w:rPr>
        <w:t>. at 320.</w:t>
      </w:r>
    </w:p>
    <w:p w14:paraId="070166AB" w14:textId="77777777" w:rsidR="00FA3CF9" w:rsidRPr="00B06D0A" w:rsidRDefault="00FA3CF9">
      <w:pPr>
        <w:rPr>
          <w:rFonts w:ascii="Times New Roman" w:hAnsi="Times New Roman" w:cs="Times New Roman"/>
        </w:rPr>
      </w:pPr>
    </w:p>
    <w:p w14:paraId="5BCC74C7" w14:textId="77777777" w:rsidR="00FA3CF9" w:rsidRPr="00B06D0A" w:rsidRDefault="00FA3CF9">
      <w:pPr>
        <w:rPr>
          <w:rFonts w:ascii="Times New Roman" w:hAnsi="Times New Roman" w:cs="Times New Roman"/>
        </w:rPr>
      </w:pPr>
    </w:p>
    <w:p w14:paraId="4DA8DB25" w14:textId="3B72A858"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Courts have been considerable more reluctant</w:t>
      </w:r>
      <w:r w:rsidR="007D4A09" w:rsidRPr="007D4A09">
        <w:rPr>
          <w:rFonts w:ascii="Times New Roman" w:eastAsia="Times New Roman" w:hAnsi="Times New Roman" w:cs="Times New Roman"/>
        </w:rPr>
        <w:t>—</w:t>
      </w:r>
      <w:r w:rsidRPr="00B06D0A">
        <w:rPr>
          <w:rFonts w:ascii="Times New Roman" w:eastAsia="Times New Roman" w:hAnsi="Times New Roman" w:cs="Times New Roman"/>
        </w:rPr>
        <w:t>even in the face of the modern trend</w:t>
      </w:r>
      <w:r w:rsidR="007D4A09" w:rsidRPr="007D4A09">
        <w:rPr>
          <w:rFonts w:ascii="Times New Roman" w:eastAsia="Times New Roman" w:hAnsi="Times New Roman" w:cs="Times New Roman"/>
        </w:rPr>
        <w:t>—</w:t>
      </w:r>
      <w:r w:rsidRPr="00B06D0A">
        <w:rPr>
          <w:rFonts w:ascii="Times New Roman" w:eastAsia="Times New Roman" w:hAnsi="Times New Roman" w:cs="Times New Roman"/>
        </w:rPr>
        <w:t xml:space="preserve">to allow such claims where the victim parent objects to or refuses to cooperate in the suit.  Such cases typically involve suits sponsored by one parent against a third party for injuries to a second, now-estranged parent.  </w:t>
      </w:r>
      <w:r w:rsidRPr="00F94B7E">
        <w:rPr>
          <w:rFonts w:ascii="Times New Roman" w:eastAsia="Times New Roman" w:hAnsi="Times New Roman" w:cs="Times New Roman"/>
          <w:i/>
        </w:rPr>
        <w:t>See, e</w:t>
      </w:r>
      <w:r w:rsidR="007D4A09" w:rsidRPr="00F94B7E">
        <w:rPr>
          <w:rFonts w:ascii="Times New Roman" w:eastAsia="Times New Roman" w:hAnsi="Times New Roman" w:cs="Times New Roman"/>
          <w:i/>
        </w:rPr>
        <w:t>.</w:t>
      </w:r>
      <w:r w:rsidRPr="00F94B7E">
        <w:rPr>
          <w:rFonts w:ascii="Times New Roman" w:eastAsia="Times New Roman" w:hAnsi="Times New Roman" w:cs="Times New Roman"/>
          <w:i/>
        </w:rPr>
        <w:t>g.</w:t>
      </w:r>
      <w:r w:rsidR="007D4A09" w:rsidRPr="00C25CF1">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Jacoby. Brinckerhoff</w:t>
      </w:r>
      <w:r w:rsidRPr="00B06D0A">
        <w:rPr>
          <w:rFonts w:ascii="Times New Roman" w:eastAsia="Times New Roman" w:hAnsi="Times New Roman" w:cs="Times New Roman"/>
        </w:rPr>
        <w:t xml:space="preserve">, 735 A.2d 347 (Conn. 1999); </w:t>
      </w:r>
      <w:r w:rsidRPr="00B06D0A">
        <w:rPr>
          <w:rFonts w:ascii="Times New Roman" w:eastAsia="Times New Roman" w:hAnsi="Times New Roman" w:cs="Times New Roman"/>
          <w:i/>
          <w:iCs/>
        </w:rPr>
        <w:t>J.A.H., ex rel R.M.H. v. Wadle &amp; Associates</w:t>
      </w:r>
      <w:r w:rsidRPr="00B06D0A">
        <w:rPr>
          <w:rFonts w:ascii="Times New Roman" w:eastAsia="Times New Roman" w:hAnsi="Times New Roman" w:cs="Times New Roman"/>
        </w:rPr>
        <w:t>, 589 N.W.2d 256 (Iowa 1999).</w:t>
      </w:r>
    </w:p>
    <w:p w14:paraId="61EC0703" w14:textId="77777777" w:rsidR="00FA3CF9" w:rsidRPr="00B06D0A" w:rsidRDefault="00FA3CF9">
      <w:pPr>
        <w:rPr>
          <w:rFonts w:ascii="Times New Roman" w:hAnsi="Times New Roman" w:cs="Times New Roman"/>
        </w:rPr>
      </w:pPr>
    </w:p>
    <w:p w14:paraId="36D5DF7F" w14:textId="77777777" w:rsidR="00FA3CF9" w:rsidRPr="00B06D0A" w:rsidRDefault="00FA3CF9">
      <w:pPr>
        <w:rPr>
          <w:rFonts w:ascii="Times New Roman" w:hAnsi="Times New Roman" w:cs="Times New Roman"/>
        </w:rPr>
      </w:pPr>
    </w:p>
    <w:p w14:paraId="45EBEA12" w14:textId="77777777" w:rsidR="00FA3CF9" w:rsidRPr="00A559C4" w:rsidRDefault="00FA3CF9" w:rsidP="00322687">
      <w:pPr>
        <w:pStyle w:val="Heading3"/>
      </w:pPr>
      <w:bookmarkStart w:id="843" w:name="_Toc364636238"/>
      <w:bookmarkStart w:id="844" w:name="_Toc518323491"/>
      <w:r w:rsidRPr="00C14ACE">
        <w:t>3.  Unmarried partners</w:t>
      </w:r>
      <w:bookmarkEnd w:id="843"/>
      <w:bookmarkEnd w:id="844"/>
    </w:p>
    <w:p w14:paraId="067F93B4" w14:textId="77777777" w:rsidR="00FA3CF9" w:rsidRPr="00B06D0A" w:rsidRDefault="00FA3CF9">
      <w:pPr>
        <w:rPr>
          <w:rFonts w:ascii="Times New Roman" w:hAnsi="Times New Roman" w:cs="Times New Roman"/>
        </w:rPr>
      </w:pPr>
    </w:p>
    <w:p w14:paraId="675207BA" w14:textId="094957B8"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Unmarried partners have typically had no action for loss of consortium.  This is generally true for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unmarried cohabiting couples with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stable and significant relationship . . . parallel to a marital relationship.</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Elden v. Sheldon</w:t>
      </w:r>
      <w:r w:rsidRPr="00B06D0A">
        <w:rPr>
          <w:rFonts w:ascii="Times New Roman" w:eastAsia="Times New Roman" w:hAnsi="Times New Roman" w:cs="Times New Roman"/>
        </w:rPr>
        <w:t>, 758</w:t>
      </w:r>
      <w:r w:rsidR="006D60C0" w:rsidRPr="00B06D0A">
        <w:rPr>
          <w:rFonts w:ascii="Times New Roman" w:eastAsia="Times New Roman" w:hAnsi="Times New Roman" w:cs="Times New Roman"/>
        </w:rPr>
        <w:t xml:space="preserve"> P.2d</w:t>
      </w:r>
      <w:r w:rsidRPr="00B06D0A">
        <w:rPr>
          <w:rFonts w:ascii="Times New Roman" w:eastAsia="Times New Roman" w:hAnsi="Times New Roman" w:cs="Times New Roman"/>
        </w:rPr>
        <w:t xml:space="preserve"> 582, 588 (Cal. 1988).</w:t>
      </w:r>
    </w:p>
    <w:p w14:paraId="50FF5245" w14:textId="77777777" w:rsidR="00FA3CF9" w:rsidRPr="00B06D0A" w:rsidRDefault="00FA3CF9">
      <w:pPr>
        <w:rPr>
          <w:rFonts w:ascii="Times New Roman" w:hAnsi="Times New Roman" w:cs="Times New Roman"/>
        </w:rPr>
      </w:pPr>
    </w:p>
    <w:p w14:paraId="6E0409E3" w14:textId="77777777" w:rsidR="00FA3CF9" w:rsidRPr="00F349EC"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In 2003, however, the New Mexico Supreme Court made that state the first jurisdiction in the United States to allow loss of consortium actions by unmarried domestic partners.</w:t>
      </w:r>
      <w:r w:rsidRPr="00F349EC">
        <w:rPr>
          <w:rStyle w:val="FootnoteReference"/>
          <w:rFonts w:ascii="Times New Roman" w:eastAsia="Times New Roman" w:hAnsi="Times New Roman" w:cs="Times New Roman"/>
        </w:rPr>
        <w:footnoteReference w:id="23"/>
      </w:r>
    </w:p>
    <w:p w14:paraId="2BFC4E17" w14:textId="77777777" w:rsidR="00FA3CF9" w:rsidRPr="00B06D0A" w:rsidRDefault="00FA3CF9">
      <w:pPr>
        <w:rPr>
          <w:rFonts w:ascii="Times New Roman" w:hAnsi="Times New Roman" w:cs="Times New Roman"/>
        </w:rPr>
      </w:pPr>
    </w:p>
    <w:p w14:paraId="094C8F51" w14:textId="24E5554A" w:rsidR="00FA3CF9" w:rsidRPr="00B06D0A" w:rsidRDefault="00FA3CF9" w:rsidP="00F94B7E">
      <w:pPr>
        <w:pStyle w:val="blockquote"/>
      </w:pPr>
      <w:r w:rsidRPr="00B06D0A">
        <w:t xml:space="preserve">Claimants must prove an </w:t>
      </w:r>
      <w:r w:rsidR="00B05F31" w:rsidRPr="00B06D0A">
        <w:t>“</w:t>
      </w:r>
      <w:r w:rsidRPr="00B06D0A">
        <w:t>intimate familial relationship</w:t>
      </w:r>
      <w:r w:rsidR="00B05F31" w:rsidRPr="00B06D0A">
        <w:t>”</w:t>
      </w:r>
      <w:r w:rsidRPr="00B06D0A">
        <w:t xml:space="preserve"> with the victim in order to recover for loss of consortium.  </w:t>
      </w:r>
      <w:r w:rsidRPr="00B06D0A">
        <w:rPr>
          <w:i/>
          <w:iCs/>
        </w:rPr>
        <w:t>Dunphy.</w:t>
      </w:r>
      <w:r w:rsidRPr="00F349EC">
        <w:rPr>
          <w:rStyle w:val="FootnoteReference"/>
        </w:rPr>
        <w:footnoteReference w:id="24"/>
      </w:r>
      <w:r w:rsidRPr="00F349EC">
        <w:t xml:space="preserve">  </w:t>
      </w:r>
      <w:r w:rsidR="00B05F31" w:rsidRPr="00F349EC">
        <w:t>“</w:t>
      </w:r>
      <w:r w:rsidRPr="00F349EC">
        <w:t xml:space="preserve">Persons engaged to be married and living together may foreseeably fall into that category of relationship.  </w:t>
      </w:r>
      <w:r w:rsidR="00B05F31" w:rsidRPr="00B06D0A">
        <w:t>“</w:t>
      </w:r>
      <w:r w:rsidRPr="00B06D0A">
        <w:t xml:space="preserve">[G]iven the widespread reality and acceptance of unmarried cohabitation, a reasonable person would not find the </w:t>
      </w:r>
      <w:r w:rsidR="00B05F31" w:rsidRPr="00B06D0A">
        <w:t>“</w:t>
      </w:r>
      <w:r w:rsidRPr="00B06D0A">
        <w:t>such a cohabitant</w:t>
      </w:r>
      <w:r w:rsidR="00B05F31" w:rsidRPr="00B06D0A">
        <w:t>’</w:t>
      </w:r>
      <w:r w:rsidRPr="00B06D0A">
        <w:t xml:space="preserve">s] emotional trauma to be </w:t>
      </w:r>
      <w:r w:rsidR="00B05F31" w:rsidRPr="00B06D0A">
        <w:t>‘</w:t>
      </w:r>
      <w:r w:rsidRPr="00B06D0A">
        <w:t>remote and unexpected.</w:t>
      </w:r>
      <w:r w:rsidR="00B05F31" w:rsidRPr="00B06D0A">
        <w:t>’”</w:t>
      </w:r>
      <w:r w:rsidRPr="00B06D0A">
        <w:t xml:space="preserve"> Id.</w:t>
      </w:r>
    </w:p>
    <w:p w14:paraId="5922CA6D" w14:textId="77777777" w:rsidR="00FA3CF9" w:rsidRPr="00B06D0A" w:rsidRDefault="00FA3CF9" w:rsidP="00F94B7E">
      <w:pPr>
        <w:pStyle w:val="blockquote"/>
      </w:pPr>
    </w:p>
    <w:p w14:paraId="26BC93B0" w14:textId="38B10465" w:rsidR="00FA3CF9" w:rsidRPr="00B06D0A" w:rsidRDefault="750671CE" w:rsidP="00F94B7E">
      <w:pPr>
        <w:pStyle w:val="blockquote"/>
      </w:pPr>
      <w:r w:rsidRPr="00B06D0A">
        <w:t xml:space="preserve">Of course, not everyone who is engaged to be married, living together, or assuming the roles of husband and wife (common law or not) will be entitled to recover.  The claimant must prove a close familial relationship with the victim. </w:t>
      </w:r>
      <w:r w:rsidR="008C7178">
        <w:t>. . .</w:t>
      </w:r>
      <w:r w:rsidRPr="00B06D0A">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B06D0A" w:rsidRDefault="00FA3CF9" w:rsidP="00F94B7E">
      <w:pPr>
        <w:pStyle w:val="blockquote"/>
      </w:pPr>
    </w:p>
    <w:p w14:paraId="1612D689" w14:textId="4C3650F9" w:rsidR="00FA3CF9" w:rsidRPr="00B06D0A" w:rsidRDefault="750671CE" w:rsidP="00F94B7E">
      <w:pPr>
        <w:pStyle w:val="blockquote"/>
      </w:pPr>
      <w:r w:rsidRPr="00B06D0A">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B06D0A">
        <w:t>’</w:t>
      </w:r>
      <w:r w:rsidRPr="00B06D0A">
        <w:t>s mundane requirements. [</w:t>
      </w:r>
      <w:r w:rsidR="00071101">
        <w:t>Q</w:t>
      </w:r>
      <w:r w:rsidRPr="00B06D0A">
        <w:t xml:space="preserve">uoting </w:t>
      </w:r>
      <w:r w:rsidRPr="00B06D0A">
        <w:rPr>
          <w:i/>
          <w:iCs/>
        </w:rPr>
        <w:t>Dunphy</w:t>
      </w:r>
      <w:r w:rsidRPr="00B06D0A">
        <w:t xml:space="preserve"> (internal quotation marks and citation omitted)</w:t>
      </w:r>
      <w:r w:rsidR="00071101">
        <w:t>.</w:t>
      </w:r>
      <w:r w:rsidRPr="00B06D0A">
        <w:t>]</w:t>
      </w:r>
    </w:p>
    <w:p w14:paraId="6BBCF8DE" w14:textId="77777777" w:rsidR="00FA3CF9" w:rsidRPr="00B06D0A" w:rsidRDefault="00FA3CF9">
      <w:pPr>
        <w:rPr>
          <w:rFonts w:ascii="Times New Roman" w:hAnsi="Times New Roman" w:cs="Times New Roman"/>
        </w:rPr>
      </w:pPr>
    </w:p>
    <w:p w14:paraId="4BA45834" w14:textId="0D2FF239"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66 P.3d at 957.  The</w:t>
      </w:r>
      <w:r w:rsidRPr="00B06D0A">
        <w:rPr>
          <w:rFonts w:ascii="Times New Roman" w:eastAsia="Times New Roman" w:hAnsi="Times New Roman" w:cs="Times New Roman"/>
          <w:i/>
          <w:iCs/>
        </w:rPr>
        <w:t xml:space="preserve"> Lozoya</w:t>
      </w:r>
      <w:r w:rsidRPr="00B06D0A">
        <w:rPr>
          <w:rFonts w:ascii="Times New Roman" w:eastAsia="Times New Roman" w:hAnsi="Times New Roman" w:cs="Times New Roman"/>
        </w:rPr>
        <w:t xml:space="preserve"> court responded to the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argument that the rule it was announcing would be unadministrable by observing certain limits:</w:t>
      </w:r>
    </w:p>
    <w:p w14:paraId="7AD8B0F5" w14:textId="77777777" w:rsidR="00FA3CF9" w:rsidRPr="00B06D0A" w:rsidRDefault="00FA3CF9">
      <w:pPr>
        <w:rPr>
          <w:rFonts w:ascii="Times New Roman" w:hAnsi="Times New Roman" w:cs="Times New Roman"/>
        </w:rPr>
      </w:pPr>
    </w:p>
    <w:p w14:paraId="6609A0AF" w14:textId="491B812B" w:rsidR="00FA3CF9" w:rsidRPr="00B06D0A" w:rsidRDefault="750671CE" w:rsidP="00F94B7E">
      <w:pPr>
        <w:pStyle w:val="blockquote"/>
      </w:pPr>
      <w:r w:rsidRPr="00B06D0A">
        <w:t>First, a person can only have an intimate familial relationship with one other person at any one time.  That is to say, if a person is married to a different person tha</w:t>
      </w:r>
      <w:r w:rsidR="00071101">
        <w:t>n</w:t>
      </w:r>
      <w:r w:rsidRPr="00B06D0A">
        <w:t xml:space="preserve"> the victim of the tort, the claim will be barred.  In the case of claims by unmarried cohabitants, the relationship between the claimant and the victim must be demonstrated to be committed and exclusive. </w:t>
      </w:r>
      <w:r w:rsidR="008C7178">
        <w:t>. . .</w:t>
      </w:r>
      <w:r w:rsidRPr="00B06D0A">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B06D0A">
        <w:t>“</w:t>
      </w:r>
      <w:r w:rsidRPr="00B06D0A">
        <w:t>fighting off</w:t>
      </w:r>
      <w:r w:rsidR="00B05F31" w:rsidRPr="00B06D0A">
        <w:t>”</w:t>
      </w:r>
      <w:r w:rsidRPr="00B06D0A">
        <w:t xml:space="preserve"> multiple claims for loss of consortium.</w:t>
      </w:r>
    </w:p>
    <w:p w14:paraId="1A66592E" w14:textId="77777777" w:rsidR="00FA3CF9" w:rsidRPr="00B06D0A" w:rsidRDefault="00FA3CF9">
      <w:pPr>
        <w:rPr>
          <w:rFonts w:ascii="Times New Roman" w:hAnsi="Times New Roman" w:cs="Times New Roman"/>
        </w:rPr>
      </w:pPr>
    </w:p>
    <w:p w14:paraId="6377F9FF" w14:textId="657CB9B2"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xml:space="preserve">66 P.3d at 958.  In the </w:t>
      </w:r>
      <w:r w:rsidRPr="00B06D0A">
        <w:rPr>
          <w:rFonts w:ascii="Times New Roman" w:eastAsia="Times New Roman" w:hAnsi="Times New Roman" w:cs="Times New Roman"/>
          <w:i/>
          <w:iCs/>
        </w:rPr>
        <w:t>Lozoya</w:t>
      </w:r>
      <w:r w:rsidRPr="00B06D0A">
        <w:rPr>
          <w:rFonts w:ascii="Times New Roman" w:eastAsia="Times New Roman" w:hAnsi="Times New Roman" w:cs="Times New Roman"/>
        </w:rPr>
        <w:t xml:space="preserve"> case, the Court concluded by reversing the trial judge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B06D0A" w:rsidRDefault="00FA3CF9">
      <w:pPr>
        <w:rPr>
          <w:rFonts w:ascii="Times New Roman" w:hAnsi="Times New Roman" w:cs="Times New Roman"/>
        </w:rPr>
      </w:pPr>
    </w:p>
    <w:p w14:paraId="08F2F2DE" w14:textId="57620675" w:rsidR="00FA3CF9" w:rsidRPr="00B06D0A" w:rsidRDefault="750671CE" w:rsidP="00F94B7E">
      <w:pPr>
        <w:pStyle w:val="blockquote"/>
      </w:pPr>
      <w:r w:rsidRPr="00B06D0A">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t>y</w:t>
      </w:r>
      <w:r w:rsidRPr="00B06D0A">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B06D0A">
        <w:t>’</w:t>
      </w:r>
      <w:r w:rsidRPr="00B06D0A">
        <w:t>s debilitating injuries.</w:t>
      </w:r>
    </w:p>
    <w:p w14:paraId="6B5BF035" w14:textId="77777777" w:rsidR="00FA3CF9" w:rsidRPr="00B06D0A" w:rsidRDefault="00FA3CF9">
      <w:pPr>
        <w:rPr>
          <w:rFonts w:ascii="Times New Roman" w:hAnsi="Times New Roman" w:cs="Times New Roman"/>
        </w:rPr>
      </w:pPr>
    </w:p>
    <w:p w14:paraId="411B1EFC" w14:textId="463C779C"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i/>
          <w:iCs/>
        </w:rPr>
        <w:t>Id.</w:t>
      </w:r>
      <w:r w:rsidRPr="00B06D0A">
        <w:rPr>
          <w:rFonts w:ascii="Times New Roman" w:eastAsia="Times New Roman" w:hAnsi="Times New Roman" w:cs="Times New Roman"/>
        </w:rPr>
        <w:t xml:space="preserve">  Several courts have specifically declined to adopt </w:t>
      </w:r>
      <w:r w:rsidRPr="00B06D0A">
        <w:rPr>
          <w:rFonts w:ascii="Times New Roman" w:eastAsia="Times New Roman" w:hAnsi="Times New Roman" w:cs="Times New Roman"/>
          <w:i/>
          <w:iCs/>
        </w:rPr>
        <w:t>Lozoya</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See Robinson v. Hartzell Propeller</w:t>
      </w:r>
      <w:r w:rsidRPr="00B06D0A">
        <w:rPr>
          <w:rFonts w:ascii="Times New Roman" w:eastAsia="Times New Roman" w:hAnsi="Times New Roman" w:cs="Times New Roman"/>
        </w:rPr>
        <w:t xml:space="preserve">, 276 F. Supp. 2d 412 (E.D. Pa. 2003); </w:t>
      </w:r>
      <w:r w:rsidRPr="00B06D0A">
        <w:rPr>
          <w:rFonts w:ascii="Times New Roman" w:eastAsia="Times New Roman" w:hAnsi="Times New Roman" w:cs="Times New Roman"/>
          <w:i/>
          <w:iCs/>
        </w:rPr>
        <w:t>Milberger v. KBHL, LLC</w:t>
      </w:r>
      <w:r w:rsidRPr="00B06D0A">
        <w:rPr>
          <w:rFonts w:ascii="Times New Roman" w:eastAsia="Times New Roman" w:hAnsi="Times New Roman" w:cs="Times New Roman"/>
        </w:rPr>
        <w:t xml:space="preserve">, 486 F. Supp. 1156, 1165 (D. Hawaii 2007); </w:t>
      </w:r>
      <w:r w:rsidRPr="00B06D0A">
        <w:rPr>
          <w:rFonts w:ascii="Times New Roman" w:eastAsia="Times New Roman" w:hAnsi="Times New Roman" w:cs="Times New Roman"/>
          <w:i/>
          <w:iCs/>
        </w:rPr>
        <w:t>Conner v. Hodges</w:t>
      </w:r>
      <w:r w:rsidRPr="00B06D0A">
        <w:rPr>
          <w:rFonts w:ascii="Times New Roman" w:eastAsia="Times New Roman" w:hAnsi="Times New Roman" w:cs="Times New Roman"/>
        </w:rPr>
        <w:t xml:space="preserve">, 333 P.3d 130 (Idaho 2014); </w:t>
      </w:r>
      <w:r w:rsidRPr="00B06D0A">
        <w:rPr>
          <w:rFonts w:ascii="Times New Roman" w:eastAsia="Times New Roman" w:hAnsi="Times New Roman" w:cs="Times New Roman"/>
          <w:i/>
          <w:iCs/>
        </w:rPr>
        <w:t>Bailey v. Allderdice</w:t>
      </w:r>
      <w:r w:rsidRPr="00B06D0A">
        <w:rPr>
          <w:rFonts w:ascii="Times New Roman" w:eastAsia="Times New Roman" w:hAnsi="Times New Roman" w:cs="Times New Roman"/>
        </w:rPr>
        <w:t xml:space="preserve">, No. 54618-0-I, 2005 Wash. App. LEXIS 2542 (Wash. Sept. 26, 2005).  </w:t>
      </w:r>
    </w:p>
    <w:p w14:paraId="48807B98" w14:textId="77777777" w:rsidR="00FA3CF9" w:rsidRPr="00B06D0A" w:rsidRDefault="00FA3CF9">
      <w:pPr>
        <w:rPr>
          <w:rFonts w:ascii="Times New Roman" w:hAnsi="Times New Roman" w:cs="Times New Roman"/>
        </w:rPr>
      </w:pPr>
    </w:p>
    <w:p w14:paraId="04124C17" w14:textId="7E525908"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What about same</w:t>
      </w:r>
      <w:r w:rsidR="00071101">
        <w:rPr>
          <w:rFonts w:ascii="Times New Roman" w:eastAsia="Times New Roman" w:hAnsi="Times New Roman" w:cs="Times New Roman"/>
        </w:rPr>
        <w:t>-</w:t>
      </w:r>
      <w:r w:rsidRPr="00B06D0A">
        <w:rPr>
          <w:rFonts w:ascii="Times New Roman" w:eastAsia="Times New Roman" w:hAnsi="Times New Roman" w:cs="Times New Roman"/>
        </w:rPr>
        <w:t xml:space="preserve">sex couples?  In August 2014, the Connecticut Supreme Court allowed loss of consortium claims from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members of couples who were not married when the tortious conduct occurred, but who would have been married if the marriage had not been barred by state law.</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Mueller v. Tepler</w:t>
      </w:r>
      <w:r w:rsidRPr="00B06D0A">
        <w:rPr>
          <w:rFonts w:ascii="Times New Roman" w:eastAsia="Times New Roman" w:hAnsi="Times New Roman" w:cs="Times New Roman"/>
        </w:rPr>
        <w:t>, 95 A.3d 1011, 1023 (Conn. 2014).  A federal district court in New Jersey rejected a same sex partner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loss of consortium claim where the claim arose out of injuries suffered before enactment of the state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civil union statute, which authorizes loss of consortium claims between partners. </w:t>
      </w:r>
      <w:r w:rsidR="00973246">
        <w:rPr>
          <w:rFonts w:ascii="Times New Roman" w:eastAsia="Times New Roman" w:hAnsi="Times New Roman" w:cs="Times New Roman"/>
        </w:rPr>
        <w:t xml:space="preserve"> </w:t>
      </w:r>
      <w:r w:rsidRPr="00B06D0A">
        <w:rPr>
          <w:rFonts w:ascii="Times New Roman" w:eastAsia="Times New Roman" w:hAnsi="Times New Roman" w:cs="Times New Roman"/>
        </w:rPr>
        <w:t>Is it significant that the plaintiff and her same</w:t>
      </w:r>
      <w:r w:rsidR="00071101">
        <w:rPr>
          <w:rFonts w:ascii="Times New Roman" w:eastAsia="Times New Roman" w:hAnsi="Times New Roman" w:cs="Times New Roman"/>
        </w:rPr>
        <w:t>-</w:t>
      </w:r>
      <w:r w:rsidRPr="00B06D0A">
        <w:rPr>
          <w:rFonts w:ascii="Times New Roman" w:eastAsia="Times New Roman" w:hAnsi="Times New Roman" w:cs="Times New Roman"/>
        </w:rPr>
        <w:t>sex partner did not enter into a civil union once the New Jersey civil union statute was enacted, and still had not entered into such a union at the time of the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decision?  </w:t>
      </w:r>
      <w:r w:rsidRPr="00B06D0A">
        <w:rPr>
          <w:rFonts w:ascii="Times New Roman" w:eastAsia="Times New Roman" w:hAnsi="Times New Roman" w:cs="Times New Roman"/>
          <w:i/>
          <w:iCs/>
        </w:rPr>
        <w:t>See Brigando v. Walt Disney World Co.</w:t>
      </w:r>
      <w:r w:rsidRPr="00B06D0A">
        <w:rPr>
          <w:rFonts w:ascii="Times New Roman" w:eastAsia="Times New Roman" w:hAnsi="Times New Roman" w:cs="Times New Roman"/>
        </w:rPr>
        <w:t xml:space="preserve">, No. 06-1191 (SRC), 2007 WL 3124702 (D.N.J. Oct. 23, 2007).  </w:t>
      </w:r>
    </w:p>
    <w:p w14:paraId="4CFDC7FA" w14:textId="77777777" w:rsidR="00FA3CF9" w:rsidRPr="00B06D0A" w:rsidRDefault="00FA3CF9">
      <w:pPr>
        <w:rPr>
          <w:rFonts w:ascii="Times New Roman" w:hAnsi="Times New Roman" w:cs="Times New Roman"/>
        </w:rPr>
      </w:pPr>
    </w:p>
    <w:p w14:paraId="3EED8F72" w14:textId="62030312"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Do unmarried couples, including same sex couples, have a better argument for loss of consortium, or a worse argument, after the legalization of same</w:t>
      </w:r>
      <w:r w:rsidR="00071101">
        <w:rPr>
          <w:rFonts w:ascii="Times New Roman" w:eastAsia="Times New Roman" w:hAnsi="Times New Roman" w:cs="Times New Roman"/>
        </w:rPr>
        <w:t>-</w:t>
      </w:r>
      <w:r w:rsidRPr="00B06D0A">
        <w:rPr>
          <w:rFonts w:ascii="Times New Roman" w:eastAsia="Times New Roman" w:hAnsi="Times New Roman" w:cs="Times New Roman"/>
        </w:rPr>
        <w:t xml:space="preserve">sex marriage? </w:t>
      </w:r>
    </w:p>
    <w:p w14:paraId="51213CD9" w14:textId="2D75FFDD" w:rsidR="00FA3CF9" w:rsidRPr="00B06D0A" w:rsidRDefault="00FA3CF9">
      <w:pPr>
        <w:rPr>
          <w:rFonts w:ascii="Times New Roman" w:hAnsi="Times New Roman" w:cs="Times New Roman"/>
        </w:rPr>
      </w:pPr>
      <w:r w:rsidRPr="00B06D0A">
        <w:rPr>
          <w:rFonts w:ascii="Times New Roman" w:hAnsi="Times New Roman" w:cs="Times New Roman"/>
        </w:rPr>
        <w:t xml:space="preserve"> </w:t>
      </w:r>
    </w:p>
    <w:p w14:paraId="03284187" w14:textId="77777777" w:rsidR="00FA3CF9" w:rsidRPr="00B06D0A" w:rsidRDefault="00FA3CF9">
      <w:pPr>
        <w:rPr>
          <w:rFonts w:ascii="Times New Roman" w:hAnsi="Times New Roman" w:cs="Times New Roman"/>
        </w:rPr>
      </w:pPr>
    </w:p>
    <w:p w14:paraId="3A6692B6" w14:textId="51AA9ACC" w:rsidR="00FA3CF9" w:rsidRPr="00A559C4" w:rsidRDefault="00AB034A">
      <w:pPr>
        <w:pStyle w:val="Heading2"/>
        <w:rPr>
          <w:rFonts w:cs="Times New Roman"/>
        </w:rPr>
      </w:pPr>
      <w:bookmarkStart w:id="845" w:name="_Toc364636239"/>
      <w:bookmarkStart w:id="846" w:name="_Toc518323492"/>
      <w:r>
        <w:rPr>
          <w:rFonts w:cs="Times New Roman"/>
        </w:rPr>
        <w:t xml:space="preserve">G.  </w:t>
      </w:r>
      <w:r w:rsidR="00FA3CF9" w:rsidRPr="00C14ACE">
        <w:rPr>
          <w:rFonts w:cs="Times New Roman"/>
        </w:rPr>
        <w:t>Tort Immunities</w:t>
      </w:r>
      <w:bookmarkEnd w:id="845"/>
      <w:bookmarkEnd w:id="846"/>
    </w:p>
    <w:p w14:paraId="0C173294" w14:textId="77777777" w:rsidR="00FA3CF9" w:rsidRPr="00B06D0A" w:rsidRDefault="00FA3CF9">
      <w:pPr>
        <w:rPr>
          <w:rFonts w:ascii="Times New Roman" w:hAnsi="Times New Roman" w:cs="Times New Roman"/>
        </w:rPr>
      </w:pPr>
    </w:p>
    <w:p w14:paraId="70FC15CE" w14:textId="37F0B779"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So far we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ve seen a number of domains carved out from the standard of reasonableness.  We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ve read that there is no general duty to rescue; that there are limited duties imposed on landowners and occupiers; that the remedies for emotional distress injuries, pure economic loss injuries, and relational harms are highly constrained; and that any number of unusual or unexpected harms are held to be outside an actor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obligations.  </w:t>
      </w:r>
    </w:p>
    <w:p w14:paraId="11DD68F7" w14:textId="77777777" w:rsidR="00FA3CF9" w:rsidRPr="00B06D0A" w:rsidRDefault="00FA3CF9">
      <w:pPr>
        <w:rPr>
          <w:rFonts w:ascii="Times New Roman" w:hAnsi="Times New Roman" w:cs="Times New Roman"/>
        </w:rPr>
      </w:pPr>
    </w:p>
    <w:p w14:paraId="76107935"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In addition to these doctrines, there are a number of long-standing immunity doctrines in the common law that bar suits altogether on the basis of the status of the defendant.  Some of them have been substantially cut back.  But many of them are still robust. </w:t>
      </w:r>
    </w:p>
    <w:p w14:paraId="7106F045" w14:textId="77777777" w:rsidR="00FA3CF9" w:rsidRPr="00B06D0A" w:rsidRDefault="00FA3CF9">
      <w:pPr>
        <w:rPr>
          <w:rFonts w:ascii="Times New Roman" w:hAnsi="Times New Roman" w:cs="Times New Roman"/>
        </w:rPr>
      </w:pPr>
    </w:p>
    <w:p w14:paraId="323C7763"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The result is that in a very large number of social settings, tort defendants are protected by a limited- or no-duty rule or an immunity doctrine.  As these protections multiply, it becomes unclear what the general rule of American tort law is.  Is it a general rule of liability for harms caused by unreasonable acts, with specific exceptions?  Or is it instead a general rule of no liability, with special exceptions for certain harms caused by unreasonable acts?    </w:t>
      </w:r>
    </w:p>
    <w:p w14:paraId="54BCCF3B" w14:textId="77777777" w:rsidR="00FA3CF9" w:rsidRPr="00B06D0A" w:rsidRDefault="00FA3CF9">
      <w:pPr>
        <w:rPr>
          <w:rFonts w:ascii="Times New Roman" w:hAnsi="Times New Roman" w:cs="Times New Roman"/>
        </w:rPr>
      </w:pPr>
    </w:p>
    <w:p w14:paraId="6A66E219" w14:textId="77777777" w:rsidR="00FA3CF9" w:rsidRDefault="00FA3CF9">
      <w:pPr>
        <w:rPr>
          <w:rFonts w:ascii="Times New Roman" w:hAnsi="Times New Roman" w:cs="Times New Roman"/>
        </w:rPr>
      </w:pPr>
    </w:p>
    <w:p w14:paraId="4646313E" w14:textId="77777777" w:rsidR="005468ED" w:rsidRDefault="005468ED">
      <w:pPr>
        <w:rPr>
          <w:rFonts w:ascii="Times New Roman" w:hAnsi="Times New Roman" w:cs="Times New Roman"/>
        </w:rPr>
      </w:pPr>
    </w:p>
    <w:p w14:paraId="0DDC0419" w14:textId="77777777" w:rsidR="005468ED" w:rsidRPr="00B06D0A" w:rsidRDefault="005468ED">
      <w:pPr>
        <w:rPr>
          <w:rFonts w:ascii="Times New Roman" w:hAnsi="Times New Roman" w:cs="Times New Roman"/>
        </w:rPr>
      </w:pPr>
    </w:p>
    <w:p w14:paraId="07FCC6DB" w14:textId="77777777" w:rsidR="00FA3CF9" w:rsidRPr="00A559C4" w:rsidRDefault="00FA3CF9" w:rsidP="00322687">
      <w:pPr>
        <w:pStyle w:val="Heading3"/>
      </w:pPr>
      <w:bookmarkStart w:id="847" w:name="_Toc364636240"/>
      <w:bookmarkStart w:id="848" w:name="_Toc518323493"/>
      <w:r w:rsidRPr="00C14ACE">
        <w:t>1.  Intrafamilial Immunities</w:t>
      </w:r>
      <w:bookmarkEnd w:id="847"/>
      <w:bookmarkEnd w:id="848"/>
    </w:p>
    <w:p w14:paraId="07657702" w14:textId="77777777" w:rsidR="00FA3CF9" w:rsidRPr="00B06D0A" w:rsidRDefault="00FA3CF9">
      <w:pPr>
        <w:rPr>
          <w:rFonts w:ascii="Times New Roman" w:hAnsi="Times New Roman" w:cs="Times New Roman"/>
          <w:b/>
        </w:rPr>
      </w:pPr>
    </w:p>
    <w:p w14:paraId="5A934B16" w14:textId="22E2299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Traditionally, under the common law of coverture, courts prevented suits between spouses because of their supposed metaphysical unity or the husband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authority.  As </w:t>
      </w:r>
      <w:r w:rsidR="002D252F">
        <w:rPr>
          <w:rFonts w:ascii="Times New Roman" w:eastAsia="Times New Roman" w:hAnsi="Times New Roman" w:cs="Times New Roman"/>
        </w:rPr>
        <w:t>t</w:t>
      </w:r>
      <w:r w:rsidRPr="00B06D0A">
        <w:rPr>
          <w:rFonts w:ascii="Times New Roman" w:eastAsia="Times New Roman" w:hAnsi="Times New Roman" w:cs="Times New Roman"/>
        </w:rPr>
        <w:t xml:space="preserve">he English jurist William Blackstone put it,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husband and wife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were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one person in law,</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very being or legal existence of the woman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suspended during the marriage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or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incorporated and consolidated into that of the husband.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Blackstone, </w:t>
      </w:r>
      <w:r w:rsidRPr="00B06D0A">
        <w:rPr>
          <w:rFonts w:ascii="Times New Roman" w:eastAsia="Times New Roman" w:hAnsi="Times New Roman" w:cs="Times New Roman"/>
          <w:i/>
          <w:iCs/>
        </w:rPr>
        <w:t>Commentaries on the Laws of England</w:t>
      </w:r>
      <w:r w:rsidRPr="00B06D0A">
        <w:rPr>
          <w:rFonts w:ascii="Times New Roman" w:eastAsia="Times New Roman" w:hAnsi="Times New Roman" w:cs="Times New Roman"/>
        </w:rPr>
        <w:t>, bk. 1, ch. 15 (1765).  In the nineteenth century, the Married Woman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Property Acts enacted in most states allowed wives to bring actions against their husbands for property torts, such as trespass and conversion. But courts continued to enforce spousal immunity for personal torts because of concerns for marital harmony or fraud and collusion.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Carl Tobias, </w:t>
      </w:r>
      <w:r w:rsidRPr="00B06D0A">
        <w:rPr>
          <w:rFonts w:ascii="Times New Roman" w:eastAsia="Times New Roman" w:hAnsi="Times New Roman" w:cs="Times New Roman"/>
          <w:i/>
          <w:iCs/>
        </w:rPr>
        <w:t>Interspousal Tort Immunity in America</w:t>
      </w:r>
      <w:r w:rsidRPr="00B06D0A">
        <w:rPr>
          <w:rFonts w:ascii="Times New Roman" w:eastAsia="Times New Roman" w:hAnsi="Times New Roman" w:cs="Times New Roman"/>
        </w:rPr>
        <w:t xml:space="preserve">, 23 </w:t>
      </w:r>
      <w:r w:rsidRPr="00B06D0A">
        <w:rPr>
          <w:rFonts w:ascii="Times New Roman" w:eastAsia="Times New Roman" w:hAnsi="Times New Roman" w:cs="Times New Roman"/>
          <w:smallCaps/>
        </w:rPr>
        <w:t>Ga. L. Rev.</w:t>
      </w:r>
      <w:r w:rsidRPr="00B06D0A">
        <w:rPr>
          <w:rFonts w:ascii="Times New Roman" w:eastAsia="Times New Roman" w:hAnsi="Times New Roman" w:cs="Times New Roman"/>
        </w:rPr>
        <w:t xml:space="preserve"> 359, 441 (1989).  Indeed, on one account, courts adopted wider and wider ideas about marital privacy that effectively immunized domestic abusers (mostly male) from damages.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Reva B. Siegel, </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The Rule of Love</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 Wife Beating as Prerogative </w:t>
      </w:r>
      <w:r w:rsidR="00AF1F7E" w:rsidRPr="00B06D0A">
        <w:rPr>
          <w:rFonts w:ascii="Times New Roman" w:eastAsia="Times New Roman" w:hAnsi="Times New Roman" w:cs="Times New Roman"/>
          <w:i/>
          <w:iCs/>
        </w:rPr>
        <w:t>and</w:t>
      </w:r>
      <w:r w:rsidRPr="00B06D0A">
        <w:rPr>
          <w:rFonts w:ascii="Times New Roman" w:eastAsia="Times New Roman" w:hAnsi="Times New Roman" w:cs="Times New Roman"/>
          <w:i/>
          <w:iCs/>
        </w:rPr>
        <w:t xml:space="preserve"> Privacy</w:t>
      </w:r>
      <w:r w:rsidRPr="00B06D0A">
        <w:rPr>
          <w:rFonts w:ascii="Times New Roman" w:eastAsia="Times New Roman" w:hAnsi="Times New Roman" w:cs="Times New Roman"/>
        </w:rPr>
        <w:t xml:space="preserve">, 105 </w:t>
      </w:r>
      <w:r w:rsidRPr="00B06D0A">
        <w:rPr>
          <w:rFonts w:ascii="Times New Roman" w:eastAsia="Times New Roman" w:hAnsi="Times New Roman" w:cs="Times New Roman"/>
          <w:smallCaps/>
        </w:rPr>
        <w:t>Yale L.J.</w:t>
      </w:r>
      <w:r w:rsidRPr="00B06D0A">
        <w:rPr>
          <w:rFonts w:ascii="Times New Roman" w:eastAsia="Times New Roman" w:hAnsi="Times New Roman" w:cs="Times New Roman"/>
        </w:rPr>
        <w:t xml:space="preserve"> 2117 (1996). Today, most states have rejected these rationales and abrogated spousal immunity, at least as a doctrinal matter.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w:t>
      </w:r>
      <w:r w:rsidRPr="00B06D0A">
        <w:rPr>
          <w:rFonts w:ascii="Times New Roman" w:eastAsia="Times New Roman" w:hAnsi="Times New Roman" w:cs="Times New Roman"/>
          <w:i/>
          <w:iCs/>
        </w:rPr>
        <w:t xml:space="preserve"> Leach v. Leach</w:t>
      </w:r>
      <w:r w:rsidRPr="00B06D0A">
        <w:rPr>
          <w:rFonts w:ascii="Times New Roman" w:eastAsia="Times New Roman" w:hAnsi="Times New Roman" w:cs="Times New Roman"/>
        </w:rPr>
        <w:t xml:space="preserve">, 227 Ark. 599 (1957). The Second Restatement adopts this approach. </w:t>
      </w:r>
      <w:r w:rsidRPr="00B06D0A">
        <w:rPr>
          <w:rFonts w:ascii="Times New Roman" w:eastAsia="Times New Roman" w:hAnsi="Times New Roman" w:cs="Times New Roman"/>
          <w:smallCaps/>
        </w:rPr>
        <w:t>Restatement (Second) of Torts</w:t>
      </w:r>
      <w:r w:rsidRPr="00B06D0A">
        <w:rPr>
          <w:rFonts w:ascii="Times New Roman" w:eastAsia="Times New Roman" w:hAnsi="Times New Roman" w:cs="Times New Roman"/>
        </w:rPr>
        <w:t xml:space="preserve"> § 895F (1979). </w:t>
      </w:r>
    </w:p>
    <w:p w14:paraId="5FB47025" w14:textId="77777777" w:rsidR="00FA3CF9" w:rsidRPr="00B06D0A" w:rsidRDefault="00FA3CF9">
      <w:pPr>
        <w:rPr>
          <w:rFonts w:ascii="Times New Roman" w:hAnsi="Times New Roman" w:cs="Times New Roman"/>
        </w:rPr>
      </w:pPr>
    </w:p>
    <w:p w14:paraId="283F1D86" w14:textId="3CB0B8B0"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Similarly, most states have abrogated traditional parental immunity, either doing so entirely (</w:t>
      </w:r>
      <w:r w:rsidRPr="00B06D0A">
        <w:rPr>
          <w:rFonts w:ascii="Times New Roman" w:eastAsia="Times New Roman" w:hAnsi="Times New Roman" w:cs="Times New Roman"/>
          <w:i/>
          <w:iCs/>
        </w:rPr>
        <w:t>Gibson v. Gibson</w:t>
      </w:r>
      <w:r w:rsidRPr="00B06D0A">
        <w:rPr>
          <w:rFonts w:ascii="Times New Roman" w:eastAsia="Times New Roman" w:hAnsi="Times New Roman" w:cs="Times New Roman"/>
        </w:rPr>
        <w:t xml:space="preserve">, 3 Cal.3d 914 (1971)), or at least cutting back significantly on the immunity of parents for torts to their children.  States adopting something less than complete abolition </w:t>
      </w:r>
      <w:r w:rsidR="00063272">
        <w:rPr>
          <w:rFonts w:ascii="Times New Roman" w:eastAsia="Times New Roman" w:hAnsi="Times New Roman" w:cs="Times New Roman"/>
        </w:rPr>
        <w:t xml:space="preserve">of the immunity </w:t>
      </w:r>
      <w:r w:rsidRPr="00B06D0A">
        <w:rPr>
          <w:rFonts w:ascii="Times New Roman" w:eastAsia="Times New Roman" w:hAnsi="Times New Roman" w:cs="Times New Roman"/>
        </w:rPr>
        <w:t>typically allow a child</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tort lawsuit except those arising out of acts of parental authority or discretionary parental responsibility. </w:t>
      </w:r>
      <w:r w:rsidRPr="00B06D0A">
        <w:rPr>
          <w:rFonts w:ascii="Times New Roman" w:eastAsia="Times New Roman" w:hAnsi="Times New Roman" w:cs="Times New Roman"/>
          <w:i/>
          <w:iCs/>
        </w:rPr>
        <w:t>See Goller v. White</w:t>
      </w:r>
      <w:r w:rsidRPr="00B06D0A">
        <w:rPr>
          <w:rFonts w:ascii="Times New Roman" w:eastAsia="Times New Roman" w:hAnsi="Times New Roman" w:cs="Times New Roman"/>
        </w:rPr>
        <w:t xml:space="preserve">, 20 Wis. 2d 402 (Wis. 1963).  </w:t>
      </w:r>
      <w:r w:rsidR="00914296">
        <w:rPr>
          <w:rFonts w:ascii="Times New Roman" w:eastAsia="Times New Roman" w:hAnsi="Times New Roman" w:cs="Times New Roman"/>
        </w:rPr>
        <w:t xml:space="preserve">Some states persist with robust versions of parental immunity, applying it even as against non-custodial parents.  </w:t>
      </w:r>
      <w:r w:rsidR="00914296" w:rsidRPr="00914296">
        <w:rPr>
          <w:rFonts w:ascii="Times New Roman" w:eastAsia="Times New Roman" w:hAnsi="Times New Roman" w:cs="Times New Roman"/>
          <w:i/>
        </w:rPr>
        <w:t>See Ascuitto v. Farricielli</w:t>
      </w:r>
      <w:r w:rsidR="00914296">
        <w:rPr>
          <w:rFonts w:ascii="Times New Roman" w:eastAsia="Times New Roman" w:hAnsi="Times New Roman" w:cs="Times New Roman"/>
        </w:rPr>
        <w:t>, 711 A.2d 708 (Conn. 1998).</w:t>
      </w:r>
    </w:p>
    <w:p w14:paraId="185C6E9B" w14:textId="77777777" w:rsidR="00FA3CF9" w:rsidRPr="00B06D0A" w:rsidRDefault="00FA3CF9">
      <w:pPr>
        <w:ind w:firstLine="720"/>
        <w:rPr>
          <w:rFonts w:ascii="Times New Roman" w:hAnsi="Times New Roman" w:cs="Times New Roman"/>
        </w:rPr>
      </w:pPr>
    </w:p>
    <w:p w14:paraId="2D0BEA61" w14:textId="2E629CD0"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these doctrinal changes, many insurance companies write exclusions of intrafamilial claims into their insurance policies.  Why do insurance companies write such exclusions into their policies?  The worry is collusive suits in which parent and child collude to extract money from the insurer. </w:t>
      </w:r>
    </w:p>
    <w:p w14:paraId="3D2B5C50" w14:textId="77777777" w:rsidR="00FA3CF9" w:rsidRPr="00B06D0A" w:rsidRDefault="00FA3CF9">
      <w:pPr>
        <w:ind w:firstLine="720"/>
        <w:rPr>
          <w:rFonts w:ascii="Times New Roman" w:hAnsi="Times New Roman" w:cs="Times New Roman"/>
        </w:rPr>
      </w:pPr>
    </w:p>
    <w:p w14:paraId="43813112" w14:textId="6950A31F"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Some state legislatures have </w:t>
      </w:r>
      <w:r w:rsidR="00063272">
        <w:rPr>
          <w:rFonts w:ascii="Times New Roman" w:eastAsia="Times New Roman" w:hAnsi="Times New Roman" w:cs="Times New Roman"/>
        </w:rPr>
        <w:t>barred</w:t>
      </w:r>
      <w:r w:rsidRPr="00B06D0A">
        <w:rPr>
          <w:rFonts w:ascii="Times New Roman" w:eastAsia="Times New Roman" w:hAnsi="Times New Roman" w:cs="Times New Roman"/>
        </w:rPr>
        <w:t xml:space="preserve"> </w:t>
      </w:r>
      <w:r w:rsidR="00063272">
        <w:rPr>
          <w:rFonts w:ascii="Times New Roman" w:eastAsia="Times New Roman" w:hAnsi="Times New Roman" w:cs="Times New Roman"/>
        </w:rPr>
        <w:t xml:space="preserve">such </w:t>
      </w:r>
      <w:r w:rsidRPr="00B06D0A">
        <w:rPr>
          <w:rFonts w:ascii="Times New Roman" w:eastAsia="Times New Roman" w:hAnsi="Times New Roman" w:cs="Times New Roman"/>
        </w:rPr>
        <w:t xml:space="preserve">insurance exclusions </w:t>
      </w:r>
      <w:r w:rsidR="00063272">
        <w:rPr>
          <w:rFonts w:ascii="Times New Roman" w:eastAsia="Times New Roman" w:hAnsi="Times New Roman" w:cs="Times New Roman"/>
        </w:rPr>
        <w:t xml:space="preserve">with respect to mandatory automobile insurance.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Ohio Rev. Code § 3937.46</w:t>
      </w:r>
      <w:r w:rsidR="00063272">
        <w:rPr>
          <w:rFonts w:ascii="Times New Roman" w:eastAsia="Times New Roman" w:hAnsi="Times New Roman" w:cs="Times New Roman"/>
        </w:rPr>
        <w:t xml:space="preserve"> (2017); </w:t>
      </w:r>
      <w:r w:rsidR="00063272" w:rsidRPr="00B06D0A">
        <w:rPr>
          <w:rFonts w:ascii="Times New Roman" w:eastAsia="Times New Roman" w:hAnsi="Times New Roman" w:cs="Times New Roman"/>
          <w:i/>
          <w:iCs/>
        </w:rPr>
        <w:t>Rupert v. Stienne</w:t>
      </w:r>
      <w:r w:rsidR="00063272">
        <w:rPr>
          <w:rFonts w:ascii="Times New Roman" w:eastAsia="Times New Roman" w:hAnsi="Times New Roman" w:cs="Times New Roman"/>
        </w:rPr>
        <w:t>, 528 P.2d 1013, 1016-17</w:t>
      </w:r>
      <w:r w:rsidR="00063272" w:rsidRPr="00B06D0A">
        <w:rPr>
          <w:rFonts w:ascii="Times New Roman" w:eastAsia="Times New Roman" w:hAnsi="Times New Roman" w:cs="Times New Roman"/>
        </w:rPr>
        <w:t xml:space="preserve"> (</w:t>
      </w:r>
      <w:r w:rsidR="00063272">
        <w:rPr>
          <w:rFonts w:ascii="Times New Roman" w:eastAsia="Times New Roman" w:hAnsi="Times New Roman" w:cs="Times New Roman"/>
        </w:rPr>
        <w:t>Nev. 1974)</w:t>
      </w:r>
      <w:r w:rsidRPr="00B06D0A">
        <w:rPr>
          <w:rFonts w:ascii="Times New Roman" w:eastAsia="Times New Roman" w:hAnsi="Times New Roman" w:cs="Times New Roman"/>
        </w:rPr>
        <w:t xml:space="preserve">. </w:t>
      </w:r>
      <w:r w:rsidR="00063272">
        <w:rPr>
          <w:rFonts w:ascii="Times New Roman" w:eastAsia="Times New Roman" w:hAnsi="Times New Roman" w:cs="Times New Roman"/>
        </w:rPr>
        <w:t xml:space="preserve"> Some defend the illegality of such exclusions</w:t>
      </w:r>
      <w:r w:rsidR="00063272" w:rsidRPr="00B06D0A">
        <w:rPr>
          <w:rFonts w:ascii="Times New Roman" w:eastAsia="Times New Roman" w:hAnsi="Times New Roman" w:cs="Times New Roman"/>
        </w:rPr>
        <w:t xml:space="preserve"> </w:t>
      </w:r>
      <w:r w:rsidR="00063272">
        <w:rPr>
          <w:rFonts w:ascii="Times New Roman" w:eastAsia="Times New Roman" w:hAnsi="Times New Roman" w:cs="Times New Roman"/>
        </w:rPr>
        <w:t xml:space="preserve">on the ground that they are </w:t>
      </w:r>
      <w:r w:rsidR="00CB671B">
        <w:rPr>
          <w:rFonts w:ascii="Times New Roman" w:eastAsia="Times New Roman" w:hAnsi="Times New Roman" w:cs="Times New Roman"/>
        </w:rPr>
        <w:t xml:space="preserve">an </w:t>
      </w:r>
      <w:r w:rsidR="00063272" w:rsidRPr="00B06D0A">
        <w:rPr>
          <w:rFonts w:ascii="Times New Roman" w:eastAsia="Times New Roman" w:hAnsi="Times New Roman" w:cs="Times New Roman"/>
        </w:rPr>
        <w:t xml:space="preserve">impermissible end-run around the conscious policy change </w:t>
      </w:r>
      <w:r w:rsidR="00063272">
        <w:rPr>
          <w:rFonts w:ascii="Times New Roman" w:eastAsia="Times New Roman" w:hAnsi="Times New Roman" w:cs="Times New Roman"/>
        </w:rPr>
        <w:t>of the cour</w:t>
      </w:r>
      <w:r w:rsidR="00CB671B">
        <w:rPr>
          <w:rFonts w:ascii="Times New Roman" w:eastAsia="Times New Roman" w:hAnsi="Times New Roman" w:cs="Times New Roman"/>
        </w:rPr>
        <w:t>t</w:t>
      </w:r>
      <w:r w:rsidR="00063272">
        <w:rPr>
          <w:rFonts w:ascii="Times New Roman" w:eastAsia="Times New Roman" w:hAnsi="Times New Roman" w:cs="Times New Roman"/>
        </w:rPr>
        <w:t xml:space="preserve">s </w:t>
      </w:r>
      <w:r w:rsidR="00063272" w:rsidRPr="00B06D0A">
        <w:rPr>
          <w:rFonts w:ascii="Times New Roman" w:eastAsia="Times New Roman" w:hAnsi="Times New Roman" w:cs="Times New Roman"/>
        </w:rPr>
        <w:t>to allow intrafamilial suits.</w:t>
      </w:r>
      <w:r w:rsidR="00063272">
        <w:rPr>
          <w:rFonts w:ascii="Times New Roman" w:eastAsia="Times New Roman" w:hAnsi="Times New Roman" w:cs="Times New Roman"/>
        </w:rPr>
        <w:t xml:space="preserve">  </w:t>
      </w:r>
      <w:r w:rsidRPr="00B06D0A">
        <w:rPr>
          <w:rFonts w:ascii="Times New Roman" w:eastAsia="Times New Roman" w:hAnsi="Times New Roman" w:cs="Times New Roman"/>
        </w:rPr>
        <w:t xml:space="preserve">But </w:t>
      </w:r>
      <w:r w:rsidR="00063272">
        <w:rPr>
          <w:rFonts w:ascii="Times New Roman" w:eastAsia="Times New Roman" w:hAnsi="Times New Roman" w:cs="Times New Roman"/>
        </w:rPr>
        <w:t xml:space="preserve">note that </w:t>
      </w:r>
      <w:r w:rsidRPr="00B06D0A">
        <w:rPr>
          <w:rFonts w:ascii="Times New Roman" w:eastAsia="Times New Roman" w:hAnsi="Times New Roman" w:cs="Times New Roman"/>
        </w:rPr>
        <w:t xml:space="preserve">requiring insurers to offer insurance against intrafamilial torts may effectively require families that are safe for children to subsidize the insurance of families that are dangerous for children.  One alternative for insurers would be to develop intrusive mechanisms for monitoring the parenting of their insureds, which would allow them to terminate policies for families with children at risk, or to charge higher premiums. </w:t>
      </w:r>
      <w:r w:rsidR="00C132EA">
        <w:rPr>
          <w:rFonts w:ascii="Times New Roman" w:eastAsia="Times New Roman" w:hAnsi="Times New Roman" w:cs="Times New Roman"/>
        </w:rPr>
        <w:t xml:space="preserve"> </w:t>
      </w:r>
      <w:r w:rsidRPr="00B06D0A">
        <w:rPr>
          <w:rFonts w:ascii="Times New Roman" w:eastAsia="Times New Roman" w:hAnsi="Times New Roman" w:cs="Times New Roman"/>
        </w:rPr>
        <w:t xml:space="preserve">Does the pervasiveness of the exclusion </w:t>
      </w:r>
      <w:r w:rsidR="000F6BA2">
        <w:rPr>
          <w:rFonts w:ascii="Times New Roman" w:eastAsia="Times New Roman" w:hAnsi="Times New Roman" w:cs="Times New Roman"/>
        </w:rPr>
        <w:t xml:space="preserve">in liability policies </w:t>
      </w:r>
      <w:r w:rsidR="005638B8">
        <w:rPr>
          <w:rFonts w:ascii="Times New Roman" w:eastAsia="Times New Roman" w:hAnsi="Times New Roman" w:cs="Times New Roman"/>
        </w:rPr>
        <w:t>(</w:t>
      </w:r>
      <w:r w:rsidR="000F6BA2">
        <w:rPr>
          <w:rFonts w:ascii="Times New Roman" w:eastAsia="Times New Roman" w:hAnsi="Times New Roman" w:cs="Times New Roman"/>
        </w:rPr>
        <w:t xml:space="preserve">other than vehicular </w:t>
      </w:r>
      <w:r w:rsidR="005638B8">
        <w:rPr>
          <w:rFonts w:ascii="Times New Roman" w:eastAsia="Times New Roman" w:hAnsi="Times New Roman" w:cs="Times New Roman"/>
        </w:rPr>
        <w:t xml:space="preserve">liability policies) </w:t>
      </w:r>
      <w:r w:rsidRPr="00B06D0A">
        <w:rPr>
          <w:rFonts w:ascii="Times New Roman" w:eastAsia="Times New Roman" w:hAnsi="Times New Roman" w:cs="Times New Roman"/>
        </w:rPr>
        <w:t xml:space="preserve">suggest that tort law is only </w:t>
      </w:r>
      <w:r w:rsidR="00AF1F7E">
        <w:rPr>
          <w:rFonts w:ascii="Times New Roman" w:eastAsia="Times New Roman" w:hAnsi="Times New Roman" w:cs="Times New Roman"/>
        </w:rPr>
        <w:t xml:space="preserve">a </w:t>
      </w:r>
      <w:r w:rsidRPr="00B06D0A">
        <w:rPr>
          <w:rFonts w:ascii="Times New Roman" w:eastAsia="Times New Roman" w:hAnsi="Times New Roman" w:cs="Times New Roman"/>
        </w:rPr>
        <w:t xml:space="preserve">mechanism for governing intrafamilial conduct in wealthy families?  </w:t>
      </w:r>
    </w:p>
    <w:p w14:paraId="4E44485E" w14:textId="77777777" w:rsidR="00FA3CF9" w:rsidRPr="00B06D0A" w:rsidRDefault="00FA3CF9">
      <w:pPr>
        <w:ind w:firstLine="720"/>
        <w:rPr>
          <w:rFonts w:ascii="Times New Roman" w:hAnsi="Times New Roman" w:cs="Times New Roman"/>
        </w:rPr>
      </w:pPr>
    </w:p>
    <w:p w14:paraId="0B6A71DB" w14:textId="77777777" w:rsidR="00FA3CF9" w:rsidRPr="00B06D0A" w:rsidRDefault="00FA3CF9">
      <w:pPr>
        <w:ind w:firstLine="720"/>
        <w:rPr>
          <w:rFonts w:ascii="Times New Roman" w:hAnsi="Times New Roman" w:cs="Times New Roman"/>
        </w:rPr>
      </w:pPr>
    </w:p>
    <w:p w14:paraId="0D9EA478" w14:textId="77777777" w:rsidR="00FA3CF9" w:rsidRPr="00A559C4" w:rsidRDefault="00FA3CF9" w:rsidP="00322687">
      <w:pPr>
        <w:pStyle w:val="Heading3"/>
      </w:pPr>
      <w:bookmarkStart w:id="849" w:name="_Toc364636241"/>
      <w:bookmarkStart w:id="850" w:name="_Toc518323494"/>
      <w:r w:rsidRPr="00C14ACE">
        <w:t>2.  Charitable Immunity</w:t>
      </w:r>
      <w:bookmarkEnd w:id="849"/>
      <w:bookmarkEnd w:id="850"/>
    </w:p>
    <w:p w14:paraId="1A185521" w14:textId="77777777" w:rsidR="00FA3CF9" w:rsidRPr="00B06D0A" w:rsidRDefault="00FA3CF9">
      <w:pPr>
        <w:rPr>
          <w:rFonts w:ascii="Times New Roman" w:hAnsi="Times New Roman" w:cs="Times New Roman"/>
          <w:b/>
        </w:rPr>
      </w:pPr>
    </w:p>
    <w:p w14:paraId="32869C0B" w14:textId="0EB5A0FF"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American courts long embraced a doctrine of charitable immunity. </w:t>
      </w:r>
      <w:r w:rsidR="00ED6652">
        <w:rPr>
          <w:rFonts w:ascii="Times New Roman" w:eastAsia="Times New Roman" w:hAnsi="Times New Roman" w:cs="Times New Roman"/>
        </w:rPr>
        <w:t xml:space="preserve"> </w:t>
      </w:r>
      <w:r w:rsidR="00ED6652" w:rsidRPr="00ED6652">
        <w:rPr>
          <w:rFonts w:ascii="Times New Roman" w:eastAsia="Times New Roman" w:hAnsi="Times New Roman" w:cs="Times New Roman"/>
          <w:i/>
        </w:rPr>
        <w:t>See</w:t>
      </w:r>
      <w:r w:rsidR="00ED6652">
        <w:rPr>
          <w:rFonts w:ascii="Times New Roman" w:eastAsia="Times New Roman" w:hAnsi="Times New Roman" w:cs="Times New Roman"/>
          <w:i/>
        </w:rPr>
        <w:t>, e.g.</w:t>
      </w:r>
      <w:r w:rsidR="00ED6652" w:rsidRPr="00ED6652">
        <w:rPr>
          <w:rFonts w:ascii="Times New Roman" w:eastAsia="Times New Roman" w:hAnsi="Times New Roman" w:cs="Times New Roman"/>
        </w:rPr>
        <w:t>,</w:t>
      </w:r>
      <w:r w:rsidR="00ED6652" w:rsidRPr="00ED6652">
        <w:rPr>
          <w:rFonts w:ascii="Times New Roman" w:eastAsia="Times New Roman" w:hAnsi="Times New Roman" w:cs="Times New Roman"/>
          <w:i/>
        </w:rPr>
        <w:t xml:space="preserve"> </w:t>
      </w:r>
      <w:r w:rsidRPr="00B06D0A">
        <w:rPr>
          <w:rFonts w:ascii="Times New Roman" w:eastAsia="Times New Roman" w:hAnsi="Times New Roman" w:cs="Times New Roman"/>
          <w:i/>
          <w:iCs/>
        </w:rPr>
        <w:t>McDonald v. Mass. Gen. Hosp.</w:t>
      </w:r>
      <w:r w:rsidRPr="00B06D0A">
        <w:rPr>
          <w:rFonts w:ascii="Times New Roman" w:eastAsia="Times New Roman" w:hAnsi="Times New Roman" w:cs="Times New Roman"/>
        </w:rPr>
        <w:t xml:space="preserve">, 120 Mass. 432 (1876).  This was a distinctively </w:t>
      </w:r>
      <w:r w:rsidR="00ED6652">
        <w:rPr>
          <w:rFonts w:ascii="Times New Roman" w:eastAsia="Times New Roman" w:hAnsi="Times New Roman" w:cs="Times New Roman"/>
        </w:rPr>
        <w:t>American rule; English courts</w:t>
      </w:r>
      <w:r w:rsidRPr="00B06D0A">
        <w:rPr>
          <w:rFonts w:ascii="Times New Roman" w:eastAsia="Times New Roman" w:hAnsi="Times New Roman" w:cs="Times New Roman"/>
        </w:rPr>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funds had been entrusted to the organization by donors for specific purposes that did not include paying damages to tort victims.  They sometimes contended that the usual </w:t>
      </w:r>
      <w:r w:rsidRPr="00B06D0A">
        <w:rPr>
          <w:rFonts w:ascii="Times New Roman" w:eastAsia="Times New Roman" w:hAnsi="Times New Roman" w:cs="Times New Roman"/>
          <w:i/>
          <w:iCs/>
        </w:rPr>
        <w:t>respondeat superior</w:t>
      </w:r>
      <w:r w:rsidRPr="00B06D0A">
        <w:rPr>
          <w:rFonts w:ascii="Times New Roman" w:eastAsia="Times New Roman" w:hAnsi="Times New Roman" w:cs="Times New Roman"/>
        </w:rPr>
        <w:t xml:space="preserve"> doctrines were inapplicable outside the for-profit context.  When the plaintiff was a beneficiary of the charitable enterprise, courts cited a doctrine of implied waiver.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Dille v. St. Luke</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s Hospital</w:t>
      </w:r>
      <w:r w:rsidRPr="00B06D0A">
        <w:rPr>
          <w:rFonts w:ascii="Times New Roman" w:eastAsia="Times New Roman" w:hAnsi="Times New Roman" w:cs="Times New Roman"/>
        </w:rPr>
        <w:t xml:space="preserve">, 355 Mo. 436 (1946). </w:t>
      </w:r>
    </w:p>
    <w:p w14:paraId="711D2FA7" w14:textId="77777777" w:rsidR="00FA3CF9" w:rsidRPr="00B06D0A" w:rsidRDefault="00FA3CF9">
      <w:pPr>
        <w:ind w:firstLine="720"/>
        <w:rPr>
          <w:rFonts w:ascii="Times New Roman" w:hAnsi="Times New Roman" w:cs="Times New Roman"/>
        </w:rPr>
      </w:pPr>
    </w:p>
    <w:p w14:paraId="07BA1BD2" w14:textId="3E86A4F5" w:rsidR="00FA3CF9" w:rsidRPr="00B06D0A" w:rsidRDefault="750671CE">
      <w:pPr>
        <w:ind w:firstLine="720"/>
        <w:rPr>
          <w:rFonts w:ascii="Times New Roman" w:eastAsia="Times New Roman" w:hAnsi="Times New Roman" w:cs="Times New Roman"/>
          <w:b/>
          <w:bCs/>
        </w:rPr>
      </w:pPr>
      <w:r w:rsidRPr="00B06D0A">
        <w:rPr>
          <w:rFonts w:ascii="Times New Roman" w:eastAsia="Times New Roman" w:hAnsi="Times New Roman" w:cs="Times New Roman"/>
        </w:rPr>
        <w:t xml:space="preserve">Over time, states created exceptions to the doctrine of charitable immunity, for example, by recognizing a cause of action for strangers while continuing to bar suits by beneficiaries.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0079651F" w:rsidRPr="0079651F">
        <w:rPr>
          <w:rFonts w:ascii="Times New Roman" w:eastAsia="Times New Roman" w:hAnsi="Times New Roman" w:cs="Times New Roman"/>
          <w:i/>
        </w:rPr>
        <w:t>Byrd Theatre Foundation v. Barnett</w:t>
      </w:r>
      <w:r w:rsidR="0079651F">
        <w:rPr>
          <w:rFonts w:ascii="Times New Roman" w:eastAsia="Times New Roman" w:hAnsi="Times New Roman" w:cs="Times New Roman"/>
        </w:rPr>
        <w:t xml:space="preserve">, 754 S.E.2d 299 (Va. 2014); </w:t>
      </w:r>
      <w:r w:rsidRPr="00B06D0A">
        <w:rPr>
          <w:rFonts w:ascii="Times New Roman" w:eastAsia="Times New Roman" w:hAnsi="Times New Roman" w:cs="Times New Roman"/>
          <w:i/>
          <w:iCs/>
        </w:rPr>
        <w:t>Alabama Baptist Hosp. Bd. v. Carter</w:t>
      </w:r>
      <w:r w:rsidRPr="00B06D0A">
        <w:rPr>
          <w:rFonts w:ascii="Times New Roman" w:eastAsia="Times New Roman" w:hAnsi="Times New Roman" w:cs="Times New Roman"/>
        </w:rPr>
        <w:t xml:space="preserve">, 226 Ala. 109 (1932). Today, most states have abrogated the immunity altogether. </w:t>
      </w:r>
      <w:r w:rsidRPr="00B06D0A">
        <w:rPr>
          <w:rFonts w:ascii="Times New Roman" w:eastAsia="Times New Roman" w:hAnsi="Times New Roman" w:cs="Times New Roman"/>
          <w:i/>
          <w:iCs/>
        </w:rPr>
        <w:t>See, e.g.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President and Directors of Georgetown College v. Hughes</w:t>
      </w:r>
      <w:r w:rsidRPr="00B06D0A">
        <w:rPr>
          <w:rFonts w:ascii="Times New Roman" w:eastAsia="Times New Roman" w:hAnsi="Times New Roman" w:cs="Times New Roman"/>
        </w:rPr>
        <w:t xml:space="preserve">, 130 F.2d 810 (D.C. Cir. 1942). The Second Restatement, for example, discourages any such immunity. </w:t>
      </w:r>
      <w:r w:rsidRPr="00B06D0A">
        <w:rPr>
          <w:rFonts w:ascii="Times New Roman" w:eastAsia="Times New Roman" w:hAnsi="Times New Roman" w:cs="Times New Roman"/>
          <w:smallCaps/>
        </w:rPr>
        <w:t>Restatement (Second) of Torts</w:t>
      </w:r>
      <w:r w:rsidRPr="00B06D0A">
        <w:rPr>
          <w:rFonts w:ascii="Times New Roman" w:eastAsia="Times New Roman" w:hAnsi="Times New Roman" w:cs="Times New Roman"/>
        </w:rPr>
        <w:t xml:space="preserve"> § 895E (1979). </w:t>
      </w:r>
      <w:r w:rsidR="00B64D54">
        <w:rPr>
          <w:rFonts w:ascii="Times New Roman" w:eastAsia="Times New Roman" w:hAnsi="Times New Roman" w:cs="Times New Roman"/>
        </w:rPr>
        <w:t xml:space="preserve"> </w:t>
      </w:r>
      <w:r w:rsidRPr="00B06D0A">
        <w:rPr>
          <w:rFonts w:ascii="Times New Roman" w:eastAsia="Times New Roman" w:hAnsi="Times New Roman" w:cs="Times New Roman"/>
        </w:rPr>
        <w:t xml:space="preserve">Some states preserve </w:t>
      </w:r>
      <w:r w:rsidR="00B64D54">
        <w:rPr>
          <w:rFonts w:ascii="Times New Roman" w:eastAsia="Times New Roman" w:hAnsi="Times New Roman" w:cs="Times New Roman"/>
        </w:rPr>
        <w:t xml:space="preserve">the immunity, e.g., </w:t>
      </w:r>
      <w:r w:rsidR="00B64D54" w:rsidRPr="00880D76">
        <w:rPr>
          <w:rFonts w:ascii="Times New Roman" w:eastAsia="Times New Roman" w:hAnsi="Times New Roman" w:cs="Times New Roman"/>
          <w:i/>
        </w:rPr>
        <w:t>George v. Jefferson Hosp. Ass’n</w:t>
      </w:r>
      <w:r w:rsidR="00B64D54">
        <w:rPr>
          <w:rFonts w:ascii="Times New Roman" w:eastAsia="Times New Roman" w:hAnsi="Times New Roman" w:cs="Times New Roman"/>
        </w:rPr>
        <w:t xml:space="preserve">, 987 S.W.2d 710 (Ark. 1999).  </w:t>
      </w:r>
      <w:r w:rsidR="00880D76">
        <w:rPr>
          <w:rFonts w:ascii="Times New Roman" w:eastAsia="Times New Roman" w:hAnsi="Times New Roman" w:cs="Times New Roman"/>
        </w:rPr>
        <w:t>In other states,</w:t>
      </w:r>
      <w:r w:rsidR="00B64D54">
        <w:rPr>
          <w:rFonts w:ascii="Times New Roman" w:eastAsia="Times New Roman" w:hAnsi="Times New Roman" w:cs="Times New Roman"/>
        </w:rPr>
        <w:t xml:space="preserve"> </w:t>
      </w:r>
      <w:r w:rsidR="00880D76">
        <w:rPr>
          <w:rFonts w:ascii="Times New Roman" w:eastAsia="Times New Roman" w:hAnsi="Times New Roman" w:cs="Times New Roman"/>
        </w:rPr>
        <w:t xml:space="preserve">legislatures restored </w:t>
      </w:r>
      <w:r w:rsidRPr="00B06D0A">
        <w:rPr>
          <w:rFonts w:ascii="Times New Roman" w:eastAsia="Times New Roman" w:hAnsi="Times New Roman" w:cs="Times New Roman"/>
        </w:rPr>
        <w:t xml:space="preserve">a weakened immunity, </w:t>
      </w:r>
      <w:r w:rsidR="00B64D54">
        <w:rPr>
          <w:rFonts w:ascii="Times New Roman" w:eastAsia="Times New Roman" w:hAnsi="Times New Roman" w:cs="Times New Roman"/>
        </w:rPr>
        <w:t>such as</w:t>
      </w:r>
      <w:r w:rsidRPr="00B06D0A">
        <w:rPr>
          <w:rFonts w:ascii="Times New Roman" w:eastAsia="Times New Roman" w:hAnsi="Times New Roman" w:cs="Times New Roman"/>
        </w:rPr>
        <w:t xml:space="preserve"> caps on damage awards against charities</w:t>
      </w:r>
      <w:r w:rsidR="00B64D54">
        <w:rPr>
          <w:rFonts w:ascii="Times New Roman" w:eastAsia="Times New Roman" w:hAnsi="Times New Roman" w:cs="Times New Roman"/>
        </w:rPr>
        <w:t xml:space="preserve">, </w:t>
      </w:r>
      <w:r w:rsidR="00B64D54" w:rsidRPr="00B64D54">
        <w:rPr>
          <w:rFonts w:ascii="Times New Roman" w:eastAsia="Times New Roman" w:hAnsi="Times New Roman" w:cs="Times New Roman"/>
          <w:i/>
        </w:rPr>
        <w:t>s</w:t>
      </w:r>
      <w:r w:rsidRPr="00B06D0A">
        <w:rPr>
          <w:rFonts w:ascii="Times New Roman" w:eastAsia="Times New Roman" w:hAnsi="Times New Roman" w:cs="Times New Roman"/>
          <w:i/>
          <w:iCs/>
        </w:rPr>
        <w:t>ee, e.g.</w:t>
      </w:r>
      <w:r w:rsidRPr="00B06D0A">
        <w:rPr>
          <w:rFonts w:ascii="Times New Roman" w:eastAsia="Times New Roman" w:hAnsi="Times New Roman" w:cs="Times New Roman"/>
        </w:rPr>
        <w:t>, Mass. Gen. L. Ch. 231, § 85 ($20,000)</w:t>
      </w:r>
      <w:r w:rsidR="00B64D54">
        <w:rPr>
          <w:rFonts w:ascii="Times New Roman" w:eastAsia="Times New Roman" w:hAnsi="Times New Roman" w:cs="Times New Roman"/>
        </w:rPr>
        <w:t xml:space="preserve">, or a </w:t>
      </w:r>
      <w:r w:rsidR="00880D76">
        <w:rPr>
          <w:rFonts w:ascii="Times New Roman" w:eastAsia="Times New Roman" w:hAnsi="Times New Roman" w:cs="Times New Roman"/>
        </w:rPr>
        <w:t xml:space="preserve">restriction </w:t>
      </w:r>
      <w:r w:rsidR="00B64D54">
        <w:rPr>
          <w:rFonts w:ascii="Times New Roman" w:eastAsia="Times New Roman" w:hAnsi="Times New Roman" w:cs="Times New Roman"/>
        </w:rPr>
        <w:t xml:space="preserve">of liability to </w:t>
      </w:r>
      <w:r w:rsidR="00880D76">
        <w:rPr>
          <w:rFonts w:ascii="Times New Roman" w:eastAsia="Times New Roman" w:hAnsi="Times New Roman" w:cs="Times New Roman"/>
        </w:rPr>
        <w:t xml:space="preserve">cases of </w:t>
      </w:r>
      <w:r w:rsidR="00B64D54">
        <w:rPr>
          <w:rFonts w:ascii="Times New Roman" w:eastAsia="Times New Roman" w:hAnsi="Times New Roman" w:cs="Times New Roman"/>
        </w:rPr>
        <w:t xml:space="preserve">gross negligence, </w:t>
      </w:r>
      <w:r w:rsidR="00B64D54" w:rsidRPr="00880D76">
        <w:rPr>
          <w:rFonts w:ascii="Times New Roman" w:eastAsia="Times New Roman" w:hAnsi="Times New Roman" w:cs="Times New Roman"/>
          <w:i/>
        </w:rPr>
        <w:t>see, e.g.</w:t>
      </w:r>
      <w:r w:rsidR="00B64D54" w:rsidRPr="00880D76">
        <w:rPr>
          <w:rFonts w:ascii="Times New Roman" w:eastAsia="Times New Roman" w:hAnsi="Times New Roman" w:cs="Times New Roman"/>
        </w:rPr>
        <w:t>,</w:t>
      </w:r>
      <w:r w:rsidR="00B64D54" w:rsidRPr="00880D76">
        <w:rPr>
          <w:rFonts w:ascii="Times New Roman" w:eastAsia="Times New Roman" w:hAnsi="Times New Roman" w:cs="Times New Roman"/>
          <w:i/>
        </w:rPr>
        <w:t xml:space="preserve"> </w:t>
      </w:r>
      <w:r w:rsidR="0079651F">
        <w:rPr>
          <w:rFonts w:ascii="Times New Roman" w:eastAsia="Times New Roman" w:hAnsi="Times New Roman" w:cs="Times New Roman"/>
          <w:i/>
        </w:rPr>
        <w:t>Crowley v. Bob Jones University</w:t>
      </w:r>
      <w:r w:rsidR="0079651F" w:rsidRPr="0079651F">
        <w:rPr>
          <w:rFonts w:ascii="Times New Roman" w:eastAsia="Times New Roman" w:hAnsi="Times New Roman" w:cs="Times New Roman"/>
        </w:rPr>
        <w:t>, 234 S.E.2d 879 (S.C. 1977)</w:t>
      </w:r>
      <w:r w:rsidR="0049649A">
        <w:rPr>
          <w:rFonts w:ascii="Times New Roman" w:eastAsia="Times New Roman" w:hAnsi="Times New Roman" w:cs="Times New Roman"/>
        </w:rPr>
        <w:t xml:space="preserve">, or a restriction of liability to </w:t>
      </w:r>
      <w:r w:rsidR="00202149">
        <w:rPr>
          <w:rFonts w:ascii="Times New Roman" w:eastAsia="Times New Roman" w:hAnsi="Times New Roman" w:cs="Times New Roman"/>
        </w:rPr>
        <w:t xml:space="preserve">strangers rather than beneficiaries, </w:t>
      </w:r>
      <w:r w:rsidR="00202149" w:rsidRPr="00202149">
        <w:rPr>
          <w:rFonts w:ascii="Times New Roman" w:eastAsia="Times New Roman" w:hAnsi="Times New Roman" w:cs="Times New Roman"/>
          <w:i/>
        </w:rPr>
        <w:t>see, e.g.</w:t>
      </w:r>
      <w:r w:rsidR="00202149">
        <w:rPr>
          <w:rFonts w:ascii="Times New Roman" w:eastAsia="Times New Roman" w:hAnsi="Times New Roman" w:cs="Times New Roman"/>
        </w:rPr>
        <w:t>, N.J. Stat. Ann. 2A:53A-7 (2017).</w:t>
      </w:r>
    </w:p>
    <w:p w14:paraId="09CA0E66" w14:textId="77777777" w:rsidR="00FA3CF9" w:rsidRPr="00B06D0A" w:rsidRDefault="00FA3CF9" w:rsidP="003105FE">
      <w:pPr>
        <w:rPr>
          <w:rFonts w:ascii="Times New Roman" w:hAnsi="Times New Roman" w:cs="Times New Roman"/>
          <w:b/>
        </w:rPr>
      </w:pPr>
    </w:p>
    <w:p w14:paraId="6BD9841E" w14:textId="77777777" w:rsidR="00FA3CF9" w:rsidRPr="00B06D0A" w:rsidRDefault="00FA3CF9">
      <w:pPr>
        <w:rPr>
          <w:rFonts w:ascii="Times New Roman" w:hAnsi="Times New Roman" w:cs="Times New Roman"/>
          <w:b/>
        </w:rPr>
      </w:pPr>
    </w:p>
    <w:p w14:paraId="12AE568E" w14:textId="39CDC64E" w:rsidR="00FA3CF9" w:rsidRPr="00A15645" w:rsidRDefault="00FA3CF9" w:rsidP="00322687">
      <w:pPr>
        <w:pStyle w:val="Heading3"/>
      </w:pPr>
      <w:bookmarkStart w:id="851" w:name="_Toc364636242"/>
      <w:bookmarkStart w:id="852" w:name="_Toc518323495"/>
      <w:r w:rsidRPr="00C14ACE">
        <w:t>3.  Employers</w:t>
      </w:r>
      <w:r w:rsidR="00B05F31" w:rsidRPr="00A559C4">
        <w:t>’</w:t>
      </w:r>
      <w:r w:rsidRPr="00A15645">
        <w:t xml:space="preserve"> Immunity</w:t>
      </w:r>
      <w:bookmarkEnd w:id="851"/>
      <w:bookmarkEnd w:id="852"/>
    </w:p>
    <w:p w14:paraId="453B4F8A" w14:textId="77777777" w:rsidR="00FA3CF9" w:rsidRPr="00B06D0A" w:rsidRDefault="00FA3CF9">
      <w:pPr>
        <w:rPr>
          <w:rFonts w:ascii="Times New Roman" w:hAnsi="Times New Roman" w:cs="Times New Roman"/>
        </w:rPr>
      </w:pPr>
    </w:p>
    <w:p w14:paraId="0F6745B1" w14:textId="50444BB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As you will recall from </w:t>
      </w:r>
      <w:r w:rsidR="00C21D6E">
        <w:rPr>
          <w:rFonts w:ascii="Times New Roman" w:eastAsia="Times New Roman" w:hAnsi="Times New Roman" w:cs="Times New Roman"/>
        </w:rPr>
        <w:t>Chapter</w:t>
      </w:r>
      <w:r w:rsidRPr="00B06D0A">
        <w:rPr>
          <w:rFonts w:ascii="Times New Roman" w:eastAsia="Times New Roman" w:hAnsi="Times New Roman" w:cs="Times New Roman"/>
        </w:rPr>
        <w:t xml:space="preserve"> 5, the common law of employers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laws beginning a century ago, most employers have had to pay administrative compensation for workplace injuries.</w:t>
      </w:r>
    </w:p>
    <w:p w14:paraId="07E941A4" w14:textId="77777777" w:rsidR="00FA3CF9" w:rsidRPr="00B06D0A" w:rsidRDefault="00FA3CF9">
      <w:pPr>
        <w:rPr>
          <w:rFonts w:ascii="Times New Roman" w:hAnsi="Times New Roman" w:cs="Times New Roman"/>
        </w:rPr>
      </w:pPr>
    </w:p>
    <w:p w14:paraId="1A87D5BF" w14:textId="60FE5601" w:rsidR="00FA3CF9" w:rsidRPr="00B06D0A" w:rsidRDefault="750671CE">
      <w:pPr>
        <w:ind w:firstLine="720"/>
        <w:rPr>
          <w:rFonts w:ascii="Times New Roman" w:eastAsia="Times New Roman" w:hAnsi="Times New Roman" w:cs="Times New Roman"/>
          <w:b/>
          <w:bCs/>
        </w:rPr>
      </w:pPr>
      <w:r w:rsidRPr="00B06D0A">
        <w:rPr>
          <w:rFonts w:ascii="Times New Roman" w:eastAsia="Times New Roman" w:hAnsi="Times New Roman" w:cs="Times New Roman"/>
        </w:rPr>
        <w:t>The 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regime, however, has brought its own form of common law immunity.  The New York compensation program, for example, provides that </w:t>
      </w:r>
    </w:p>
    <w:p w14:paraId="681FB775" w14:textId="77777777" w:rsidR="00FA3CF9" w:rsidRPr="00B06D0A" w:rsidRDefault="00FA3CF9">
      <w:pPr>
        <w:rPr>
          <w:rFonts w:ascii="Times New Roman" w:hAnsi="Times New Roman" w:cs="Times New Roman"/>
        </w:rPr>
      </w:pPr>
    </w:p>
    <w:p w14:paraId="23CDF0C0" w14:textId="67189699" w:rsidR="00FA3CF9" w:rsidRPr="00B06D0A" w:rsidRDefault="00071101" w:rsidP="00F94B7E">
      <w:pPr>
        <w:pStyle w:val="blockquote"/>
      </w:pPr>
      <w:r>
        <w:t>[t]</w:t>
      </w:r>
      <w:r w:rsidR="750671CE" w:rsidRPr="00B06D0A">
        <w:t>he liability of an employer [under the workers</w:t>
      </w:r>
      <w:r w:rsidR="00B05F31" w:rsidRPr="00B06D0A">
        <w:t>’</w:t>
      </w:r>
      <w:r w:rsidR="750671CE" w:rsidRPr="00B06D0A">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B06D0A" w:rsidRDefault="00FA3CF9">
      <w:pPr>
        <w:rPr>
          <w:rFonts w:ascii="Times New Roman" w:hAnsi="Times New Roman" w:cs="Times New Roman"/>
        </w:rPr>
      </w:pPr>
    </w:p>
    <w:p w14:paraId="5CC670A6" w14:textId="3556487E"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smallCaps/>
        </w:rPr>
        <w:t>N.Y. Work. Comp. Law</w:t>
      </w:r>
      <w:r w:rsidRPr="00B06D0A">
        <w:rPr>
          <w:rFonts w:ascii="Times New Roman" w:eastAsia="Times New Roman" w:hAnsi="Times New Roman" w:cs="Times New Roman"/>
        </w:rPr>
        <w:t xml:space="preserve"> § 11.  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programs like the one in New York thus offer a form of tort immunity, immunizing employers from common law tort liability as the quid pro quo for employees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new statutory no-fault compensation claim.  Other common law countries have adopted 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claim.  But as we saw in the case of </w:t>
      </w:r>
      <w:r w:rsidRPr="00B06D0A">
        <w:rPr>
          <w:rFonts w:ascii="Times New Roman" w:eastAsia="Times New Roman" w:hAnsi="Times New Roman" w:cs="Times New Roman"/>
          <w:i/>
          <w:iCs/>
        </w:rPr>
        <w:t>Ives v. South Buffalo Railway</w:t>
      </w:r>
      <w:r w:rsidRPr="00B06D0A">
        <w:rPr>
          <w:rFonts w:ascii="Times New Roman" w:eastAsia="Times New Roman" w:hAnsi="Times New Roman" w:cs="Times New Roman"/>
        </w:rPr>
        <w:t xml:space="preserve"> above in </w:t>
      </w:r>
      <w:r w:rsidR="00C21D6E">
        <w:rPr>
          <w:rFonts w:ascii="Times New Roman" w:eastAsia="Times New Roman" w:hAnsi="Times New Roman" w:cs="Times New Roman"/>
        </w:rPr>
        <w:t>Chapter</w:t>
      </w:r>
      <w:r w:rsidRPr="00B06D0A">
        <w:rPr>
          <w:rFonts w:ascii="Times New Roman" w:eastAsia="Times New Roman" w:hAnsi="Times New Roman" w:cs="Times New Roman"/>
        </w:rPr>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B06D0A" w:rsidRDefault="00FA3CF9">
      <w:pPr>
        <w:rPr>
          <w:rFonts w:ascii="Times New Roman" w:hAnsi="Times New Roman" w:cs="Times New Roman"/>
        </w:rPr>
      </w:pPr>
    </w:p>
    <w:p w14:paraId="7B2E501C" w14:textId="31D4025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This distinctive feature of American employers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compensation era.  By some estimates, two-thirds of common law products liability suits arise out of workplace injuries.  We will read more about products cases in the next chapter, Chapter 9. </w:t>
      </w:r>
    </w:p>
    <w:p w14:paraId="3AC4303E" w14:textId="77777777" w:rsidR="00FA3CF9" w:rsidRPr="00B06D0A" w:rsidRDefault="00FA3CF9">
      <w:pPr>
        <w:rPr>
          <w:rFonts w:ascii="Times New Roman" w:hAnsi="Times New Roman" w:cs="Times New Roman"/>
          <w:b/>
        </w:rPr>
      </w:pPr>
    </w:p>
    <w:p w14:paraId="06005095" w14:textId="77777777" w:rsidR="00FA3CF9" w:rsidRPr="00B06D0A" w:rsidRDefault="00FA3CF9">
      <w:pPr>
        <w:rPr>
          <w:rFonts w:ascii="Times New Roman" w:hAnsi="Times New Roman" w:cs="Times New Roman"/>
          <w:b/>
        </w:rPr>
      </w:pPr>
    </w:p>
    <w:p w14:paraId="5520204C" w14:textId="77777777" w:rsidR="00FA3CF9" w:rsidRPr="00A559C4" w:rsidRDefault="00FA3CF9" w:rsidP="00322687">
      <w:pPr>
        <w:pStyle w:val="Heading3"/>
      </w:pPr>
      <w:bookmarkStart w:id="853" w:name="_Toc364636243"/>
      <w:bookmarkStart w:id="854" w:name="_Toc518323496"/>
      <w:r w:rsidRPr="00C14ACE">
        <w:t>4.  Sovereign Immunity</w:t>
      </w:r>
      <w:bookmarkEnd w:id="853"/>
      <w:bookmarkEnd w:id="854"/>
    </w:p>
    <w:p w14:paraId="4C83D7FA" w14:textId="77777777" w:rsidR="00FA3CF9" w:rsidRPr="00B06D0A" w:rsidRDefault="00FA3CF9">
      <w:pPr>
        <w:rPr>
          <w:rFonts w:ascii="Times New Roman" w:hAnsi="Times New Roman" w:cs="Times New Roman"/>
        </w:rPr>
      </w:pPr>
    </w:p>
    <w:p w14:paraId="79017FE3" w14:textId="15F225C2" w:rsidR="00FA3CF9" w:rsidRPr="00B06D0A" w:rsidRDefault="750671CE">
      <w:pPr>
        <w:ind w:firstLine="360"/>
        <w:rPr>
          <w:rFonts w:ascii="Times New Roman" w:eastAsia="Times New Roman" w:hAnsi="Times New Roman" w:cs="Times New Roman"/>
        </w:rPr>
      </w:pPr>
      <w:r w:rsidRPr="00B06D0A">
        <w:rPr>
          <w:rFonts w:ascii="Times New Roman" w:eastAsia="Times New Roman" w:hAnsi="Times New Roman" w:cs="Times New Roman"/>
        </w:rPr>
        <w:t>Since at least the time of King Edward I, the common law held that the King could do no wrong.  The King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B06D0A" w:rsidRDefault="00FA3CF9">
      <w:pPr>
        <w:rPr>
          <w:rFonts w:ascii="Times New Roman" w:hAnsi="Times New Roman" w:cs="Times New Roman"/>
        </w:rPr>
      </w:pPr>
    </w:p>
    <w:p w14:paraId="52C8880B" w14:textId="74F3EE12" w:rsidR="00FA3CF9" w:rsidRPr="00B06D0A" w:rsidRDefault="750671CE">
      <w:pPr>
        <w:ind w:firstLine="360"/>
        <w:rPr>
          <w:rFonts w:ascii="Times New Roman" w:eastAsia="Times New Roman" w:hAnsi="Times New Roman" w:cs="Times New Roman"/>
        </w:rPr>
      </w:pPr>
      <w:r w:rsidRPr="00B06D0A">
        <w:rPr>
          <w:rFonts w:ascii="Times New Roman" w:eastAsia="Times New Roman" w:hAnsi="Times New Roman" w:cs="Times New Roman"/>
        </w:rPr>
        <w:t>Why did sovereign immunity exist? The doctrine of sovereign immunity originated in the king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personal immunity. According to Blackstone, sovereign immunity was conceptually required as a consequence of the King</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supremacy: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no suit or action can be brought against the King, even in civil matters, because no court can have jurisdiction him. For all jurisdiction implies superiority of power</w:t>
      </w:r>
      <w:r w:rsidR="004F25B9">
        <w:rPr>
          <w:rFonts w:ascii="Times New Roman" w:eastAsia="Times New Roman" w:hAnsi="Times New Roman" w:cs="Times New Roman"/>
        </w:rPr>
        <w:t xml:space="preserve"> . . .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1 </w:t>
      </w:r>
      <w:r w:rsidRPr="00B06D0A">
        <w:rPr>
          <w:rFonts w:ascii="Times New Roman" w:eastAsia="Times New Roman" w:hAnsi="Times New Roman" w:cs="Times New Roman"/>
          <w:smallCaps/>
        </w:rPr>
        <w:t>William Blackstone, Commentaries on the Laws of England</w:t>
      </w:r>
      <w:r w:rsidRPr="00B06D0A">
        <w:rPr>
          <w:rFonts w:ascii="Times New Roman" w:eastAsia="Times New Roman" w:hAnsi="Times New Roman" w:cs="Times New Roman"/>
        </w:rPr>
        <w:t xml:space="preserve"> 235. Because of the impossibility of subjecting the king to a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jurisdiction,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law also ascribes to the King, in his political capacity, absolute perfection. The King can do no wrong</w:t>
      </w:r>
      <w:r w:rsidR="004F25B9">
        <w:rPr>
          <w:rFonts w:ascii="Times New Roman" w:eastAsia="Times New Roman" w:hAnsi="Times New Roman" w:cs="Times New Roman"/>
        </w:rPr>
        <w:t xml:space="preserve"> . . . .</w:t>
      </w:r>
      <w:r w:rsidR="004F25B9"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Id.</w:t>
      </w:r>
      <w:r w:rsidRPr="00B06D0A">
        <w:rPr>
          <w:rFonts w:ascii="Times New Roman" w:eastAsia="Times New Roman" w:hAnsi="Times New Roman" w:cs="Times New Roman"/>
        </w:rPr>
        <w:t xml:space="preserve"> at 238. </w:t>
      </w:r>
    </w:p>
    <w:p w14:paraId="7217F4A5" w14:textId="77777777" w:rsidR="00FA3CF9" w:rsidRPr="00B06D0A" w:rsidRDefault="00FA3CF9">
      <w:pPr>
        <w:rPr>
          <w:rFonts w:ascii="Times New Roman" w:hAnsi="Times New Roman" w:cs="Times New Roman"/>
        </w:rPr>
      </w:pPr>
    </w:p>
    <w:p w14:paraId="1C11584D" w14:textId="43C4A47E" w:rsidR="00FA3CF9" w:rsidRPr="00B06D0A" w:rsidRDefault="750671CE">
      <w:pPr>
        <w:ind w:firstLine="360"/>
        <w:rPr>
          <w:rFonts w:ascii="Times New Roman" w:eastAsia="Times New Roman" w:hAnsi="Times New Roman" w:cs="Times New Roman"/>
        </w:rPr>
      </w:pPr>
      <w:r w:rsidRPr="00B06D0A">
        <w:rPr>
          <w:rFonts w:ascii="Times New Roman" w:eastAsia="Times New Roman" w:hAnsi="Times New Roman" w:cs="Times New Roman"/>
        </w:rPr>
        <w:t>In the United States, Justice Joseph Story and Learned Hand offered two additional justifications for the doctrine, more consistent with the country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republican character.</w:t>
      </w:r>
    </w:p>
    <w:p w14:paraId="60754D46" w14:textId="77777777" w:rsidR="00FA3CF9" w:rsidRPr="00B06D0A" w:rsidRDefault="00FA3CF9">
      <w:pPr>
        <w:ind w:right="720"/>
        <w:rPr>
          <w:rFonts w:ascii="Times New Roman" w:hAnsi="Times New Roman" w:cs="Times New Roman"/>
        </w:rPr>
      </w:pPr>
    </w:p>
    <w:p w14:paraId="0F226554" w14:textId="77777777" w:rsidR="00FA3CF9" w:rsidRPr="00B06D0A" w:rsidRDefault="750671CE" w:rsidP="00F94B7E">
      <w:pPr>
        <w:pStyle w:val="blockquote"/>
      </w:pPr>
      <w:r w:rsidRPr="00B06D0A">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54CDBF53" w14:textId="77777777" w:rsidR="00FA3CF9" w:rsidRPr="00B06D0A" w:rsidRDefault="750671CE">
      <w:pPr>
        <w:ind w:right="720"/>
        <w:rPr>
          <w:rFonts w:ascii="Times New Roman" w:eastAsia="Times New Roman" w:hAnsi="Times New Roman" w:cs="Times New Roman"/>
        </w:rPr>
      </w:pPr>
      <w:r w:rsidRPr="00B06D0A">
        <w:rPr>
          <w:rFonts w:ascii="Times New Roman" w:eastAsia="Times New Roman" w:hAnsi="Times New Roman" w:cs="Times New Roman"/>
          <w:smallCaps/>
        </w:rPr>
        <w:t>Story on Agency</w:t>
      </w:r>
      <w:r w:rsidRPr="00B06D0A">
        <w:rPr>
          <w:rFonts w:ascii="Times New Roman" w:eastAsia="Times New Roman" w:hAnsi="Times New Roman" w:cs="Times New Roman"/>
        </w:rPr>
        <w:t xml:space="preserve"> § 319 (1839).</w:t>
      </w:r>
    </w:p>
    <w:p w14:paraId="7431BDEC" w14:textId="77777777" w:rsidR="00FA3CF9" w:rsidRPr="00B06D0A" w:rsidRDefault="00FA3CF9">
      <w:pPr>
        <w:ind w:right="720"/>
        <w:rPr>
          <w:rFonts w:ascii="Times New Roman" w:hAnsi="Times New Roman" w:cs="Times New Roman"/>
          <w:b/>
        </w:rPr>
      </w:pPr>
    </w:p>
    <w:p w14:paraId="335000B8" w14:textId="77777777" w:rsidR="00FA3CF9" w:rsidRPr="00B06D0A" w:rsidRDefault="750671CE" w:rsidP="00F94B7E">
      <w:pPr>
        <w:pStyle w:val="blockquote"/>
      </w:pPr>
      <w:r w:rsidRPr="00B06D0A">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B06D0A" w:rsidRDefault="00FA3CF9">
      <w:pPr>
        <w:rPr>
          <w:rFonts w:ascii="Times New Roman" w:hAnsi="Times New Roman" w:cs="Times New Roman"/>
        </w:rPr>
      </w:pPr>
    </w:p>
    <w:p w14:paraId="5104DA63" w14:textId="77777777" w:rsidR="00FA3CF9" w:rsidRPr="00B06D0A" w:rsidRDefault="00FA3CF9">
      <w:pPr>
        <w:rPr>
          <w:rFonts w:ascii="Times New Roman" w:eastAsia="Times New Roman" w:hAnsi="Times New Roman" w:cs="Times New Roman"/>
        </w:rPr>
      </w:pPr>
      <w:r w:rsidRPr="00B06D0A">
        <w:rPr>
          <w:rFonts w:ascii="Times New Roman" w:eastAsia="Times New Roman" w:hAnsi="Times New Roman" w:cs="Times New Roman"/>
          <w:i/>
          <w:iCs/>
        </w:rPr>
        <w:t>Gregoire v. Biddle</w:t>
      </w:r>
      <w:r w:rsidRPr="00B06D0A">
        <w:rPr>
          <w:rFonts w:ascii="Times New Roman" w:eastAsia="Times New Roman" w:hAnsi="Times New Roman" w:cs="Times New Roman"/>
        </w:rPr>
        <w:t xml:space="preserve">, 177 F.2d 579 (2d Cir. 1949) (L. Hand, J.), </w:t>
      </w:r>
      <w:r w:rsidRPr="00B06D0A">
        <w:rPr>
          <w:rFonts w:ascii="Times New Roman" w:eastAsia="Times New Roman" w:hAnsi="Times New Roman" w:cs="Times New Roman"/>
          <w:i/>
          <w:iCs/>
        </w:rPr>
        <w:t>cert. denied</w:t>
      </w:r>
      <w:r w:rsidRPr="00B06D0A">
        <w:rPr>
          <w:rFonts w:ascii="Times New Roman" w:eastAsia="Times New Roman" w:hAnsi="Times New Roman" w:cs="Times New Roman"/>
        </w:rPr>
        <w:t xml:space="preserve">, 339 U.S. 949 (1950). </w:t>
      </w:r>
      <w:r w:rsidRPr="00B06D0A">
        <w:rPr>
          <w:rFonts w:ascii="Times New Roman" w:hAnsi="Times New Roman" w:cs="Times New Roman"/>
        </w:rPr>
        <w:cr/>
      </w:r>
    </w:p>
    <w:p w14:paraId="423ADD75" w14:textId="3F5CC004"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rPr>
          <w:rFonts w:ascii="Times New Roman" w:eastAsia="Times New Roman" w:hAnsi="Times New Roman" w:cs="Times New Roman"/>
        </w:rPr>
        <w:t>—</w:t>
      </w:r>
      <w:r w:rsidRPr="00B06D0A">
        <w:rPr>
          <w:rFonts w:ascii="Times New Roman" w:eastAsia="Times New Roman" w:hAnsi="Times New Roman" w:cs="Times New Roman"/>
        </w:rPr>
        <w:t>rather than lawsuits in the state courts</w:t>
      </w:r>
      <w:r w:rsidR="00DB0B87">
        <w:rPr>
          <w:rFonts w:ascii="Times New Roman" w:eastAsia="Times New Roman" w:hAnsi="Times New Roman" w:cs="Times New Roman"/>
        </w:rPr>
        <w:t>—</w:t>
      </w:r>
      <w:r w:rsidRPr="00B06D0A">
        <w:rPr>
          <w:rFonts w:ascii="Times New Roman" w:eastAsia="Times New Roman" w:hAnsi="Times New Roman" w:cs="Times New Roman"/>
        </w:rPr>
        <w:t>were the standard mechanism for gaining redress from the state for wrongs.</w:t>
      </w:r>
    </w:p>
    <w:p w14:paraId="674EB502" w14:textId="77777777" w:rsidR="00FA3CF9" w:rsidRPr="00B06D0A" w:rsidRDefault="00FA3CF9">
      <w:pPr>
        <w:rPr>
          <w:rFonts w:ascii="Times New Roman" w:hAnsi="Times New Roman" w:cs="Times New Roman"/>
        </w:rPr>
      </w:pPr>
      <w:r w:rsidRPr="00B06D0A">
        <w:rPr>
          <w:rFonts w:ascii="Times New Roman" w:hAnsi="Times New Roman" w:cs="Times New Roman"/>
        </w:rPr>
        <w:t xml:space="preserve"> </w:t>
      </w:r>
    </w:p>
    <w:p w14:paraId="5182EFF5"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273C68DD" w14:textId="77777777" w:rsidR="00FA3CF9" w:rsidRPr="00B06D0A" w:rsidRDefault="00FA3CF9">
      <w:pPr>
        <w:rPr>
          <w:rFonts w:ascii="Times New Roman" w:hAnsi="Times New Roman" w:cs="Times New Roman"/>
        </w:rPr>
      </w:pPr>
    </w:p>
    <w:p w14:paraId="538FBE7A" w14:textId="77777777" w:rsidR="00FA3CF9" w:rsidRPr="00B06D0A" w:rsidRDefault="00FA3CF9">
      <w:pPr>
        <w:rPr>
          <w:rFonts w:ascii="Times New Roman" w:hAnsi="Times New Roman" w:cs="Times New Roman"/>
        </w:rPr>
      </w:pPr>
    </w:p>
    <w:p w14:paraId="6CDFE8D8" w14:textId="77777777" w:rsidR="00B0470F" w:rsidRPr="00F349EC" w:rsidRDefault="00B0470F">
      <w:pPr>
        <w:outlineLvl w:val="0"/>
        <w:rPr>
          <w:rFonts w:ascii="Times New Roman" w:hAnsi="Times New Roman" w:cs="Times New Roman"/>
          <w:b/>
        </w:rPr>
      </w:pPr>
      <w:bookmarkStart w:id="855" w:name="_Toc518323497"/>
      <w:r w:rsidRPr="00AB034A">
        <w:rPr>
          <w:rStyle w:val="Heading4Char"/>
        </w:rPr>
        <w:t>Baum v. U.S.</w:t>
      </w:r>
      <w:bookmarkEnd w:id="855"/>
      <w:r w:rsidRPr="00F349EC">
        <w:rPr>
          <w:rFonts w:ascii="Times New Roman" w:hAnsi="Times New Roman" w:cs="Times New Roman"/>
          <w:b/>
        </w:rPr>
        <w:t>, 986 F.2d 716 (4th Cir. 1993)</w:t>
      </w:r>
    </w:p>
    <w:p w14:paraId="64F4A9AB" w14:textId="77777777" w:rsidR="00B0470F" w:rsidRPr="00B06D0A" w:rsidRDefault="00B0470F">
      <w:pPr>
        <w:rPr>
          <w:rFonts w:ascii="Times New Roman" w:hAnsi="Times New Roman" w:cs="Times New Roman"/>
        </w:rPr>
      </w:pPr>
    </w:p>
    <w:p w14:paraId="191DE110" w14:textId="643F3550" w:rsidR="00B0470F" w:rsidRPr="00B06D0A" w:rsidRDefault="00B0470F">
      <w:pPr>
        <w:outlineLvl w:val="0"/>
        <w:rPr>
          <w:rFonts w:ascii="Times New Roman" w:hAnsi="Times New Roman" w:cs="Times New Roman"/>
        </w:rPr>
      </w:pPr>
      <w:r w:rsidRPr="00B06D0A">
        <w:rPr>
          <w:rFonts w:ascii="Times New Roman" w:hAnsi="Times New Roman" w:cs="Times New Roman"/>
          <w:smallCaps/>
        </w:rPr>
        <w:t>Widener</w:t>
      </w:r>
      <w:r w:rsidRPr="00B06D0A">
        <w:rPr>
          <w:rFonts w:ascii="Times New Roman" w:hAnsi="Times New Roman" w:cs="Times New Roman"/>
        </w:rPr>
        <w:t xml:space="preserve">, </w:t>
      </w:r>
      <w:r w:rsidR="005468ED">
        <w:rPr>
          <w:rFonts w:ascii="Times New Roman" w:hAnsi="Times New Roman" w:cs="Times New Roman"/>
        </w:rPr>
        <w:t>J</w:t>
      </w:r>
      <w:r w:rsidRPr="00B06D0A">
        <w:rPr>
          <w:rFonts w:ascii="Times New Roman" w:hAnsi="Times New Roman" w:cs="Times New Roman"/>
        </w:rPr>
        <w:t>.</w:t>
      </w:r>
    </w:p>
    <w:p w14:paraId="2A4FD16B" w14:textId="77777777" w:rsidR="00B0470F" w:rsidRPr="00B06D0A" w:rsidRDefault="00B0470F">
      <w:pPr>
        <w:rPr>
          <w:rFonts w:ascii="Times New Roman" w:hAnsi="Times New Roman" w:cs="Times New Roman"/>
        </w:rPr>
      </w:pPr>
    </w:p>
    <w:p w14:paraId="5321CEF6" w14:textId="441D19EE"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 xml:space="preserve">This appeal requires us to examine the scope of the discretionary function exception to the limited waiver of sovereign immunity provided for in the Federal Tort Claims Act </w:t>
      </w:r>
      <w:r w:rsidR="0026352C">
        <w:rPr>
          <w:rFonts w:ascii="Times New Roman" w:hAnsi="Times New Roman" w:cs="Times New Roman"/>
        </w:rPr>
        <w:t xml:space="preserve">. . . </w:t>
      </w:r>
      <w:r w:rsidRPr="00B06D0A">
        <w:rPr>
          <w:rFonts w:ascii="Times New Roman" w:hAnsi="Times New Roman" w:cs="Times New Roman"/>
        </w:rPr>
        <w:t>. Appellants Price A. Baum and Margaret Leedy were injured in an automobile accident in which 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B06D0A" w:rsidRDefault="00B0470F" w:rsidP="00F349EC">
      <w:pPr>
        <w:rPr>
          <w:rFonts w:ascii="Times New Roman" w:hAnsi="Times New Roman" w:cs="Times New Roman"/>
        </w:rPr>
      </w:pPr>
    </w:p>
    <w:p w14:paraId="49C3DDDE" w14:textId="77777777" w:rsidR="00B0470F" w:rsidRPr="00B06D0A" w:rsidRDefault="00B0470F">
      <w:pPr>
        <w:outlineLvl w:val="0"/>
        <w:rPr>
          <w:rFonts w:ascii="Times New Roman" w:hAnsi="Times New Roman" w:cs="Times New Roman"/>
        </w:rPr>
      </w:pPr>
      <w:r w:rsidRPr="00B06D0A">
        <w:rPr>
          <w:rFonts w:ascii="Times New Roman" w:hAnsi="Times New Roman" w:cs="Times New Roman"/>
        </w:rPr>
        <w:t>I</w:t>
      </w:r>
    </w:p>
    <w:p w14:paraId="7A235820" w14:textId="77777777" w:rsidR="00B0470F" w:rsidRPr="00B06D0A" w:rsidRDefault="00B0470F">
      <w:pPr>
        <w:rPr>
          <w:rFonts w:ascii="Times New Roman" w:hAnsi="Times New Roman" w:cs="Times New Roman"/>
        </w:rPr>
      </w:pPr>
    </w:p>
    <w:p w14:paraId="38F8B298"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B06D0A" w:rsidRDefault="00B0470F" w:rsidP="00F349EC">
      <w:pPr>
        <w:rPr>
          <w:rFonts w:ascii="Times New Roman" w:hAnsi="Times New Roman" w:cs="Times New Roman"/>
        </w:rPr>
      </w:pPr>
    </w:p>
    <w:p w14:paraId="65A58F58" w14:textId="67ED326D" w:rsidR="00B0470F" w:rsidRPr="00B06D0A" w:rsidRDefault="00B0470F" w:rsidP="005266B4">
      <w:pPr>
        <w:rPr>
          <w:rFonts w:ascii="Times New Roman" w:hAnsi="Times New Roman" w:cs="Times New Roman"/>
        </w:rPr>
      </w:pPr>
      <w:r w:rsidRPr="00B06D0A">
        <w:rPr>
          <w:rFonts w:ascii="Times New Roman" w:hAnsi="Times New Roman" w:cs="Times New Roman"/>
        </w:rPr>
        <w:t>. . .</w:t>
      </w:r>
    </w:p>
    <w:p w14:paraId="1B7909FF" w14:textId="77777777" w:rsidR="00B0470F" w:rsidRPr="00B06D0A" w:rsidRDefault="00B0470F" w:rsidP="00F349EC">
      <w:pPr>
        <w:rPr>
          <w:rFonts w:ascii="Times New Roman" w:hAnsi="Times New Roman" w:cs="Times New Roman"/>
        </w:rPr>
      </w:pPr>
    </w:p>
    <w:p w14:paraId="0D814C1D"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B06D0A" w:rsidRDefault="00B0470F" w:rsidP="00F349EC">
      <w:pPr>
        <w:rPr>
          <w:rFonts w:ascii="Times New Roman" w:hAnsi="Times New Roman" w:cs="Times New Roman"/>
        </w:rPr>
      </w:pPr>
    </w:p>
    <w:p w14:paraId="3C200755" w14:textId="77777777" w:rsidR="00B0470F" w:rsidRPr="00B06D0A" w:rsidRDefault="00B0470F" w:rsidP="00F349EC">
      <w:pPr>
        <w:outlineLvl w:val="0"/>
        <w:rPr>
          <w:rFonts w:ascii="Times New Roman" w:hAnsi="Times New Roman" w:cs="Times New Roman"/>
        </w:rPr>
      </w:pPr>
      <w:r w:rsidRPr="00B06D0A">
        <w:rPr>
          <w:rFonts w:ascii="Times New Roman" w:hAnsi="Times New Roman" w:cs="Times New Roman"/>
        </w:rPr>
        <w:t>II</w:t>
      </w:r>
    </w:p>
    <w:p w14:paraId="33C60DA3" w14:textId="77777777" w:rsidR="00B0470F" w:rsidRPr="00B06D0A" w:rsidRDefault="00B0470F">
      <w:pPr>
        <w:outlineLvl w:val="0"/>
        <w:rPr>
          <w:rFonts w:ascii="Times New Roman" w:hAnsi="Times New Roman" w:cs="Times New Roman"/>
        </w:rPr>
      </w:pPr>
      <w:r w:rsidRPr="00B06D0A">
        <w:rPr>
          <w:rFonts w:ascii="Times New Roman" w:hAnsi="Times New Roman" w:cs="Times New Roman"/>
        </w:rPr>
        <w:t>A</w:t>
      </w:r>
    </w:p>
    <w:p w14:paraId="5006042D"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B06D0A" w:rsidRDefault="00B0470F" w:rsidP="00F349EC">
      <w:pPr>
        <w:rPr>
          <w:rFonts w:ascii="Times New Roman" w:hAnsi="Times New Roman" w:cs="Times New Roman"/>
        </w:rPr>
      </w:pPr>
    </w:p>
    <w:p w14:paraId="1A27ADDB"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B06D0A">
        <w:rPr>
          <w:rFonts w:ascii="Times New Roman" w:hAnsi="Times New Roman" w:cs="Times New Roman"/>
          <w:i/>
        </w:rPr>
        <w:t>United States v. Varig Airlines</w:t>
      </w:r>
      <w:r w:rsidRPr="00B06D0A">
        <w:rPr>
          <w:rFonts w:ascii="Times New Roman" w:hAnsi="Times New Roman" w:cs="Times New Roman"/>
        </w:rPr>
        <w:t>]. The Supreme Court has further identified the purpose of the exception as follows:</w:t>
      </w:r>
    </w:p>
    <w:p w14:paraId="7F456706" w14:textId="77777777" w:rsidR="00B0470F" w:rsidRPr="00B06D0A" w:rsidRDefault="00B0470F" w:rsidP="00F349EC">
      <w:pPr>
        <w:rPr>
          <w:rFonts w:ascii="Times New Roman" w:hAnsi="Times New Roman" w:cs="Times New Roman"/>
        </w:rPr>
      </w:pPr>
    </w:p>
    <w:p w14:paraId="248E416D" w14:textId="77777777" w:rsidR="00B0470F" w:rsidRPr="00B06D0A" w:rsidRDefault="00B0470F" w:rsidP="00F94B7E">
      <w:pPr>
        <w:pStyle w:val="blockquote"/>
      </w:pPr>
      <w:r w:rsidRPr="00B06D0A">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B06D0A" w:rsidRDefault="00B0470F">
      <w:pPr>
        <w:rPr>
          <w:rFonts w:ascii="Times New Roman" w:hAnsi="Times New Roman" w:cs="Times New Roman"/>
          <w:i/>
        </w:rPr>
      </w:pPr>
    </w:p>
    <w:p w14:paraId="7D3571D9" w14:textId="77777777" w:rsidR="00B0470F" w:rsidRPr="00B06D0A" w:rsidRDefault="00B0470F">
      <w:pPr>
        <w:rPr>
          <w:rFonts w:ascii="Times New Roman" w:hAnsi="Times New Roman" w:cs="Times New Roman"/>
        </w:rPr>
      </w:pPr>
      <w:r w:rsidRPr="00B06D0A">
        <w:rPr>
          <w:rFonts w:ascii="Times New Roman" w:hAnsi="Times New Roman" w:cs="Times New Roman"/>
          <w:i/>
        </w:rPr>
        <w:t>Varig Airlines</w:t>
      </w:r>
      <w:r w:rsidRPr="00B06D0A">
        <w:rPr>
          <w:rFonts w:ascii="Times New Roman" w:hAnsi="Times New Roman" w:cs="Times New Roman"/>
        </w:rPr>
        <w:t>.</w:t>
      </w:r>
    </w:p>
    <w:p w14:paraId="065D7B1C" w14:textId="77777777" w:rsidR="00B0470F" w:rsidRPr="00B06D0A" w:rsidRDefault="00B0470F">
      <w:pPr>
        <w:rPr>
          <w:rFonts w:ascii="Times New Roman" w:hAnsi="Times New Roman" w:cs="Times New Roman"/>
        </w:rPr>
      </w:pPr>
    </w:p>
    <w:p w14:paraId="4B48A821" w14:textId="11B45CD0" w:rsidR="00B0470F" w:rsidRPr="00B06D0A" w:rsidRDefault="00B0470F">
      <w:pPr>
        <w:rPr>
          <w:rFonts w:ascii="Times New Roman" w:hAnsi="Times New Roman" w:cs="Times New Roman"/>
        </w:rPr>
      </w:pPr>
      <w:r w:rsidRPr="00B06D0A">
        <w:rPr>
          <w:rFonts w:ascii="Times New Roman" w:hAnsi="Times New Roman" w:cs="Times New Roman"/>
        </w:rPr>
        <w:t>. . .</w:t>
      </w:r>
    </w:p>
    <w:p w14:paraId="3D66D45A" w14:textId="77777777" w:rsidR="00B0470F" w:rsidRPr="00B06D0A" w:rsidRDefault="00B0470F">
      <w:pPr>
        <w:rPr>
          <w:rFonts w:ascii="Times New Roman" w:hAnsi="Times New Roman" w:cs="Times New Roman"/>
        </w:rPr>
      </w:pPr>
    </w:p>
    <w:p w14:paraId="2CED5CC9"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In [</w:t>
      </w:r>
      <w:r w:rsidRPr="00B06D0A">
        <w:rPr>
          <w:rFonts w:ascii="Times New Roman" w:hAnsi="Times New Roman" w:cs="Times New Roman"/>
          <w:i/>
        </w:rPr>
        <w:t>Berkovitz v. United States</w:t>
      </w:r>
      <w:r w:rsidRPr="00B06D0A">
        <w:rPr>
          <w:rFonts w:ascii="Times New Roman" w:hAnsi="Times New Roman" w:cs="Times New Roman"/>
        </w:rPr>
        <w:t>] and [</w:t>
      </w:r>
      <w:r w:rsidRPr="00B06D0A">
        <w:rPr>
          <w:rFonts w:ascii="Times New Roman" w:hAnsi="Times New Roman" w:cs="Times New Roman"/>
          <w:i/>
        </w:rPr>
        <w:t>United States v. Gaubert</w:t>
      </w:r>
      <w:r w:rsidRPr="00B06D0A">
        <w:rPr>
          <w:rFonts w:ascii="Times New Roman" w:hAnsi="Times New Roman" w:cs="Times New Roman"/>
        </w:rPr>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B06D0A" w:rsidRDefault="00B0470F" w:rsidP="00F349EC">
      <w:pPr>
        <w:rPr>
          <w:rFonts w:ascii="Times New Roman" w:hAnsi="Times New Roman" w:cs="Times New Roman"/>
        </w:rPr>
      </w:pPr>
    </w:p>
    <w:p w14:paraId="7D7F3028" w14:textId="4F59498A" w:rsidR="00B0470F" w:rsidRPr="00B06D0A" w:rsidRDefault="00B0470F">
      <w:pPr>
        <w:rPr>
          <w:rFonts w:ascii="Times New Roman" w:hAnsi="Times New Roman" w:cs="Times New Roman"/>
        </w:rPr>
      </w:pPr>
      <w:r w:rsidRPr="00B06D0A">
        <w:rPr>
          <w:rFonts w:ascii="Times New Roman" w:hAnsi="Times New Roman" w:cs="Times New Roman"/>
        </w:rPr>
        <w:t>. . .</w:t>
      </w:r>
    </w:p>
    <w:p w14:paraId="13676E5D" w14:textId="77777777" w:rsidR="00B0470F" w:rsidRPr="00B06D0A" w:rsidRDefault="00B0470F">
      <w:pPr>
        <w:rPr>
          <w:rFonts w:ascii="Times New Roman" w:hAnsi="Times New Roman" w:cs="Times New Roman"/>
        </w:rPr>
      </w:pPr>
    </w:p>
    <w:p w14:paraId="020194C5"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 xml:space="preserve">If no such mandatory statute, regulation, or policy applies to remove the challenged conduct from the choice and judgment of the government, then we move to the second tier of the </w:t>
      </w:r>
      <w:r w:rsidRPr="00B06D0A">
        <w:rPr>
          <w:rFonts w:ascii="Times New Roman" w:hAnsi="Times New Roman" w:cs="Times New Roman"/>
          <w:i/>
        </w:rPr>
        <w:t>Berkovitz</w:t>
      </w:r>
      <w:r w:rsidRPr="00B06D0A">
        <w:rPr>
          <w:rFonts w:ascii="Times New Roman" w:hAnsi="Times New Roman" w:cs="Times New Roman"/>
        </w:rPr>
        <w:t>-</w:t>
      </w:r>
      <w:r w:rsidRPr="00B06D0A">
        <w:rPr>
          <w:rFonts w:ascii="Times New Roman" w:hAnsi="Times New Roman" w:cs="Times New Roman"/>
          <w:i/>
        </w:rPr>
        <w:t>Gaubert</w:t>
      </w:r>
      <w:r w:rsidRPr="00B06D0A">
        <w:rPr>
          <w:rFonts w:ascii="Times New Roman" w:hAnsi="Times New Roman" w:cs="Times New Roman"/>
        </w:rPr>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B06D0A">
        <w:rPr>
          <w:rFonts w:ascii="Times New Roman" w:hAnsi="Times New Roman" w:cs="Times New Roman"/>
          <w:i/>
        </w:rPr>
        <w:t>Gaubert</w:t>
      </w:r>
      <w:r w:rsidRPr="00B06D0A">
        <w:rPr>
          <w:rFonts w:ascii="Times New Roman" w:hAnsi="Times New Roman" w:cs="Times New Roman"/>
        </w:rPr>
        <w:t>, the Court provided an illustration of the operation of this requirement that we think particularly helpful in its application:</w:t>
      </w:r>
    </w:p>
    <w:p w14:paraId="11B4F8C6" w14:textId="77777777" w:rsidR="00B0470F" w:rsidRPr="00B06D0A" w:rsidRDefault="00B0470F" w:rsidP="00F349EC">
      <w:pPr>
        <w:rPr>
          <w:rFonts w:ascii="Times New Roman" w:hAnsi="Times New Roman" w:cs="Times New Roman"/>
        </w:rPr>
      </w:pPr>
    </w:p>
    <w:p w14:paraId="66B8880A" w14:textId="77777777" w:rsidR="00B0470F" w:rsidRPr="00B06D0A" w:rsidRDefault="00B0470F" w:rsidP="00F94B7E">
      <w:pPr>
        <w:pStyle w:val="blockquote"/>
      </w:pPr>
      <w:r w:rsidRPr="00B06D0A">
        <w:t>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not apply. Although driving requires the constant exercise of discretion, the official’s decisions in exercising that discretion can hardly be said to be grounded in regulatory policy.</w:t>
      </w:r>
    </w:p>
    <w:p w14:paraId="5047DCBF" w14:textId="77777777" w:rsidR="00B0470F" w:rsidRPr="00B06D0A" w:rsidRDefault="00B0470F">
      <w:pPr>
        <w:rPr>
          <w:rFonts w:ascii="Times New Roman" w:hAnsi="Times New Roman" w:cs="Times New Roman"/>
        </w:rPr>
      </w:pPr>
    </w:p>
    <w:p w14:paraId="6FEC618D"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 xml:space="preserve">Finally, we note one further point with respect to the application of the second element of the foregoing analysis that we believe </w:t>
      </w:r>
      <w:r w:rsidRPr="00B06D0A">
        <w:rPr>
          <w:rFonts w:ascii="Times New Roman" w:hAnsi="Times New Roman" w:cs="Times New Roman"/>
          <w:i/>
        </w:rPr>
        <w:t>Gaubert</w:t>
      </w:r>
      <w:r w:rsidRPr="00B06D0A">
        <w:rPr>
          <w:rFonts w:ascii="Times New Roman" w:hAnsi="Times New Roman" w:cs="Times New Roman"/>
        </w:rPr>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B06D0A" w:rsidRDefault="00B0470F" w:rsidP="00F349EC">
      <w:pPr>
        <w:rPr>
          <w:rFonts w:ascii="Times New Roman" w:hAnsi="Times New Roman" w:cs="Times New Roman"/>
        </w:rPr>
      </w:pPr>
    </w:p>
    <w:p w14:paraId="49F794D8" w14:textId="77777777" w:rsidR="00B0470F" w:rsidRPr="00B06D0A" w:rsidRDefault="00B0470F" w:rsidP="00F94B7E">
      <w:pPr>
        <w:pStyle w:val="blockquote"/>
      </w:pPr>
      <w:r w:rsidRPr="00B06D0A">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B06D0A" w:rsidRDefault="00B0470F">
      <w:pPr>
        <w:ind w:right="720"/>
        <w:rPr>
          <w:rFonts w:ascii="Times New Roman" w:hAnsi="Times New Roman" w:cs="Times New Roman"/>
        </w:rPr>
      </w:pPr>
    </w:p>
    <w:p w14:paraId="7ACA79DB" w14:textId="77777777" w:rsidR="00B0470F" w:rsidRPr="00B06D0A" w:rsidRDefault="00B0470F">
      <w:pPr>
        <w:ind w:right="720"/>
        <w:rPr>
          <w:rFonts w:ascii="Times New Roman" w:hAnsi="Times New Roman" w:cs="Times New Roman"/>
        </w:rPr>
      </w:pPr>
      <w:r w:rsidRPr="00B06D0A">
        <w:rPr>
          <w:rFonts w:ascii="Times New Roman" w:hAnsi="Times New Roman" w:cs="Times New Roman"/>
          <w:i/>
        </w:rPr>
        <w:t>Gaubert</w:t>
      </w:r>
      <w:r w:rsidRPr="00B06D0A">
        <w:rPr>
          <w:rFonts w:ascii="Times New Roman" w:hAnsi="Times New Roman" w:cs="Times New Roman"/>
        </w:rPr>
        <w:t>, 499 U.S. at ___ n.7, 111 S.Ct. at 1275 n.7.</w:t>
      </w:r>
    </w:p>
    <w:p w14:paraId="44B1C57D" w14:textId="77777777" w:rsidR="00B0470F" w:rsidRPr="00B06D0A" w:rsidRDefault="00B0470F">
      <w:pPr>
        <w:rPr>
          <w:rFonts w:ascii="Times New Roman" w:hAnsi="Times New Roman" w:cs="Times New Roman"/>
        </w:rPr>
      </w:pPr>
    </w:p>
    <w:p w14:paraId="72F21ADB" w14:textId="2F6712E4" w:rsidR="00B0470F" w:rsidRPr="00B06D0A" w:rsidRDefault="00B0470F">
      <w:pPr>
        <w:rPr>
          <w:rFonts w:ascii="Times New Roman" w:hAnsi="Times New Roman" w:cs="Times New Roman"/>
        </w:rPr>
      </w:pPr>
      <w:r w:rsidRPr="00B06D0A">
        <w:rPr>
          <w:rFonts w:ascii="Times New Roman" w:hAnsi="Times New Roman" w:cs="Times New Roman"/>
        </w:rPr>
        <w:t>. . .</w:t>
      </w:r>
    </w:p>
    <w:p w14:paraId="4CFD4A94" w14:textId="77777777" w:rsidR="00B0470F" w:rsidRPr="00B06D0A" w:rsidRDefault="00B0470F">
      <w:pPr>
        <w:rPr>
          <w:rFonts w:ascii="Times New Roman" w:hAnsi="Times New Roman" w:cs="Times New Roman"/>
        </w:rPr>
      </w:pPr>
    </w:p>
    <w:p w14:paraId="2C22F5E5" w14:textId="77777777" w:rsidR="00B0470F" w:rsidRPr="00B06D0A" w:rsidRDefault="00B0470F">
      <w:pPr>
        <w:outlineLvl w:val="0"/>
        <w:rPr>
          <w:rFonts w:ascii="Times New Roman" w:hAnsi="Times New Roman" w:cs="Times New Roman"/>
        </w:rPr>
      </w:pPr>
      <w:r w:rsidRPr="00B06D0A">
        <w:rPr>
          <w:rFonts w:ascii="Times New Roman" w:hAnsi="Times New Roman" w:cs="Times New Roman"/>
        </w:rPr>
        <w:t>B</w:t>
      </w:r>
    </w:p>
    <w:p w14:paraId="54401BC5" w14:textId="77777777" w:rsidR="00B0470F" w:rsidRPr="00B06D0A" w:rsidRDefault="00B0470F">
      <w:pPr>
        <w:rPr>
          <w:rFonts w:ascii="Times New Roman" w:hAnsi="Times New Roman" w:cs="Times New Roman"/>
        </w:rPr>
      </w:pPr>
    </w:p>
    <w:p w14:paraId="3A763CA4"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B06D0A" w:rsidRDefault="00B0470F" w:rsidP="00F349EC">
      <w:pPr>
        <w:rPr>
          <w:rFonts w:ascii="Times New Roman" w:hAnsi="Times New Roman" w:cs="Times New Roman"/>
        </w:rPr>
      </w:pPr>
    </w:p>
    <w:p w14:paraId="7CBC5BC1" w14:textId="77777777" w:rsidR="00B0470F" w:rsidRPr="00B06D0A" w:rsidRDefault="00B0470F">
      <w:pPr>
        <w:rPr>
          <w:rFonts w:ascii="Times New Roman" w:hAnsi="Times New Roman" w:cs="Times New Roman"/>
        </w:rPr>
      </w:pPr>
      <w:r w:rsidRPr="00B06D0A">
        <w:rPr>
          <w:rFonts w:ascii="Times New Roman" w:hAnsi="Times New Roman" w:cs="Times New Roman"/>
        </w:rPr>
        <w:t>1</w:t>
      </w:r>
    </w:p>
    <w:p w14:paraId="6118EA28"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B06D0A" w:rsidRDefault="00B0470F" w:rsidP="00F349EC">
      <w:pPr>
        <w:rPr>
          <w:rFonts w:ascii="Times New Roman" w:hAnsi="Times New Roman" w:cs="Times New Roman"/>
        </w:rPr>
      </w:pPr>
    </w:p>
    <w:p w14:paraId="7574B33F"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B06D0A" w:rsidRDefault="00B0470F" w:rsidP="00F349EC">
      <w:pPr>
        <w:rPr>
          <w:rFonts w:ascii="Times New Roman" w:hAnsi="Times New Roman" w:cs="Times New Roman"/>
        </w:rPr>
      </w:pPr>
    </w:p>
    <w:p w14:paraId="362F0BCF" w14:textId="77777777" w:rsidR="00B0470F" w:rsidRPr="00B06D0A" w:rsidRDefault="00B0470F" w:rsidP="00F94B7E">
      <w:pPr>
        <w:pStyle w:val="blockquote"/>
      </w:pPr>
      <w:r w:rsidRPr="00B06D0A">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B06D0A" w:rsidRDefault="00B0470F">
      <w:pPr>
        <w:ind w:left="720" w:right="720"/>
        <w:rPr>
          <w:rFonts w:ascii="Times New Roman" w:hAnsi="Times New Roman" w:cs="Times New Roman"/>
        </w:rPr>
      </w:pPr>
    </w:p>
    <w:p w14:paraId="760D6F7C"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B06D0A" w:rsidRDefault="00B0470F" w:rsidP="00F349EC">
      <w:pPr>
        <w:rPr>
          <w:rFonts w:ascii="Times New Roman" w:hAnsi="Times New Roman" w:cs="Times New Roman"/>
        </w:rPr>
      </w:pPr>
    </w:p>
    <w:p w14:paraId="129CCC08"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 xml:space="preserve">Finding no mandatory law governing the design and construction of the parkway guardrails, we turn to the second element of the </w:t>
      </w:r>
      <w:r w:rsidRPr="00B06D0A">
        <w:rPr>
          <w:rFonts w:ascii="Times New Roman" w:hAnsi="Times New Roman" w:cs="Times New Roman"/>
          <w:i/>
        </w:rPr>
        <w:t>Berkovitz-Gaubert</w:t>
      </w:r>
      <w:r w:rsidRPr="00B06D0A">
        <w:rPr>
          <w:rFonts w:ascii="Times New Roman" w:hAnsi="Times New Roman" w:cs="Times New Roman"/>
        </w:rPr>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bound up in economic and political policy considerations. As the Court [in </w:t>
      </w:r>
      <w:r w:rsidRPr="00B06D0A">
        <w:rPr>
          <w:rFonts w:ascii="Times New Roman" w:hAnsi="Times New Roman" w:cs="Times New Roman"/>
          <w:i/>
        </w:rPr>
        <w:t>Gaubert</w:t>
      </w:r>
      <w:r w:rsidRPr="00B06D0A">
        <w:rPr>
          <w:rFonts w:ascii="Times New Roman" w:hAnsi="Times New Roman" w:cs="Times New Roman"/>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B06D0A" w:rsidRDefault="00B0470F" w:rsidP="00F349EC">
      <w:pPr>
        <w:rPr>
          <w:rFonts w:ascii="Times New Roman" w:hAnsi="Times New Roman" w:cs="Times New Roman"/>
        </w:rPr>
      </w:pPr>
    </w:p>
    <w:p w14:paraId="13F5B06A" w14:textId="77777777" w:rsidR="00B0470F" w:rsidRPr="00B06D0A" w:rsidRDefault="00B0470F">
      <w:pPr>
        <w:rPr>
          <w:rFonts w:ascii="Times New Roman" w:hAnsi="Times New Roman" w:cs="Times New Roman"/>
        </w:rPr>
      </w:pPr>
      <w:r w:rsidRPr="00B06D0A">
        <w:rPr>
          <w:rFonts w:ascii="Times New Roman" w:hAnsi="Times New Roman" w:cs="Times New Roman"/>
        </w:rPr>
        <w:t>2</w:t>
      </w:r>
    </w:p>
    <w:p w14:paraId="537D84A2" w14:textId="77777777" w:rsidR="00B0470F" w:rsidRPr="00B06D0A" w:rsidRDefault="00B0470F">
      <w:pPr>
        <w:rPr>
          <w:rFonts w:ascii="Times New Roman" w:hAnsi="Times New Roman" w:cs="Times New Roman"/>
        </w:rPr>
      </w:pPr>
    </w:p>
    <w:p w14:paraId="1156288D"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B06D0A" w:rsidRDefault="00B0470F" w:rsidP="00F349EC">
      <w:pPr>
        <w:rPr>
          <w:rFonts w:ascii="Times New Roman" w:hAnsi="Times New Roman" w:cs="Times New Roman"/>
        </w:rPr>
      </w:pPr>
    </w:p>
    <w:p w14:paraId="0BA415E0"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B06D0A" w:rsidRDefault="00B0470F" w:rsidP="00F349EC">
      <w:pPr>
        <w:rPr>
          <w:rFonts w:ascii="Times New Roman" w:hAnsi="Times New Roman" w:cs="Times New Roman"/>
        </w:rPr>
      </w:pPr>
    </w:p>
    <w:p w14:paraId="4D0D5AFC"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B06D0A" w:rsidRDefault="00B0470F" w:rsidP="00F349EC">
      <w:pPr>
        <w:rPr>
          <w:rFonts w:ascii="Times New Roman" w:hAnsi="Times New Roman" w:cs="Times New Roman"/>
        </w:rPr>
      </w:pPr>
    </w:p>
    <w:p w14:paraId="027AC677" w14:textId="77777777" w:rsidR="00B0470F" w:rsidRPr="00B06D0A" w:rsidRDefault="00B0470F" w:rsidP="00F94B7E">
      <w:pPr>
        <w:ind w:firstLine="720"/>
        <w:rPr>
          <w:rFonts w:ascii="Times New Roman" w:hAnsi="Times New Roman" w:cs="Times New Roman"/>
        </w:rPr>
      </w:pPr>
      <w:r w:rsidRPr="00B06D0A">
        <w:rPr>
          <w:rFonts w:ascii="Times New Roman" w:hAnsi="Times New Roman" w:cs="Times New Roman"/>
        </w:rPr>
        <w:t>The judgment of the district court is accordingly affirmed.</w:t>
      </w:r>
    </w:p>
    <w:p w14:paraId="7E7A5379" w14:textId="77777777" w:rsidR="00E82A0A" w:rsidRPr="00B06D0A" w:rsidRDefault="00E82A0A" w:rsidP="00F349EC">
      <w:pPr>
        <w:ind w:firstLine="360"/>
        <w:rPr>
          <w:rFonts w:ascii="Times New Roman" w:hAnsi="Times New Roman" w:cs="Times New Roman"/>
        </w:rPr>
      </w:pPr>
    </w:p>
    <w:p w14:paraId="35E156F2" w14:textId="77777777" w:rsidR="00E82A0A" w:rsidRPr="00B06D0A" w:rsidRDefault="00E82A0A">
      <w:pPr>
        <w:ind w:firstLine="360"/>
        <w:rPr>
          <w:rFonts w:ascii="Times New Roman" w:hAnsi="Times New Roman" w:cs="Times New Roman"/>
        </w:rPr>
      </w:pPr>
    </w:p>
    <w:p w14:paraId="20D163D9" w14:textId="77777777" w:rsidR="00E82A0A" w:rsidRPr="00A559C4" w:rsidRDefault="00E82A0A" w:rsidP="00AB034A">
      <w:pPr>
        <w:pStyle w:val="Heading5"/>
      </w:pPr>
      <w:bookmarkStart w:id="856" w:name="_Toc364636244"/>
      <w:bookmarkStart w:id="857" w:name="_Toc518323498"/>
      <w:r w:rsidRPr="00C14ACE">
        <w:t>Notes</w:t>
      </w:r>
      <w:bookmarkEnd w:id="856"/>
      <w:bookmarkEnd w:id="857"/>
    </w:p>
    <w:p w14:paraId="1BF03ED2" w14:textId="77777777" w:rsidR="00E82A0A" w:rsidRPr="00B06D0A" w:rsidRDefault="00E82A0A">
      <w:pPr>
        <w:ind w:firstLine="360"/>
        <w:rPr>
          <w:rFonts w:ascii="Times New Roman" w:hAnsi="Times New Roman" w:cs="Times New Roman"/>
        </w:rPr>
      </w:pPr>
    </w:p>
    <w:p w14:paraId="6AA6C099" w14:textId="77777777" w:rsidR="00E82A0A" w:rsidRPr="00B06D0A" w:rsidRDefault="00E82A0A">
      <w:pPr>
        <w:ind w:firstLine="360"/>
        <w:rPr>
          <w:rFonts w:ascii="Times New Roman" w:hAnsi="Times New Roman" w:cs="Times New Roman"/>
        </w:rPr>
      </w:pPr>
    </w:p>
    <w:p w14:paraId="1647655D" w14:textId="35562AAF" w:rsidR="00B0470F" w:rsidRPr="00F94B7E" w:rsidRDefault="00B0470F" w:rsidP="00F94B7E">
      <w:pPr>
        <w:pStyle w:val="ListParagraph"/>
        <w:numPr>
          <w:ilvl w:val="0"/>
          <w:numId w:val="124"/>
        </w:numPr>
        <w:ind w:left="0" w:firstLine="360"/>
        <w:rPr>
          <w:rFonts w:ascii="Times New Roman" w:hAnsi="Times New Roman" w:cs="Times New Roman"/>
        </w:rPr>
      </w:pPr>
      <w:r w:rsidRPr="00F94B7E">
        <w:rPr>
          <w:rFonts w:ascii="Times New Roman" w:hAnsi="Times New Roman" w:cs="Times New Roman"/>
          <w:i/>
        </w:rPr>
        <w:t>Plaintiffs occasionally prevail</w:t>
      </w:r>
      <w:r w:rsidRPr="00F94B7E">
        <w:rPr>
          <w:rFonts w:ascii="Times New Roman" w:hAnsi="Times New Roman" w:cs="Times New Roman"/>
        </w:rPr>
        <w:t xml:space="preserve">. While the discretionary function exception often bars plaintiffs from recovering against the government, the 1988 case of </w:t>
      </w:r>
      <w:r w:rsidRPr="00F94B7E">
        <w:rPr>
          <w:rFonts w:ascii="Times New Roman" w:hAnsi="Times New Roman" w:cs="Times New Roman"/>
          <w:i/>
        </w:rPr>
        <w:t>Berkovitz v. United States</w:t>
      </w:r>
      <w:r w:rsidR="004E206E">
        <w:rPr>
          <w:rFonts w:ascii="Times New Roman" w:hAnsi="Times New Roman" w:cs="Times New Roman"/>
        </w:rPr>
        <w:t xml:space="preserve"> </w:t>
      </w:r>
      <w:r w:rsidRPr="00F94B7E">
        <w:rPr>
          <w:rFonts w:ascii="Times New Roman" w:hAnsi="Times New Roman" w:cs="Times New Roman"/>
        </w:rPr>
        <w:t xml:space="preserve">shows that plaintiffs can prevail. Two-month-old Kevin Berkovitz contracted polio within one month of taking an oral polio vaccine approved by the FDA. </w:t>
      </w:r>
      <w:r w:rsidR="00EE16FB">
        <w:rPr>
          <w:rFonts w:ascii="Times New Roman" w:hAnsi="Times New Roman" w:cs="Times New Roman"/>
        </w:rPr>
        <w:t>The Berkovitz family sued, alleging that the FDA had failed to follow it</w:t>
      </w:r>
      <w:r w:rsidR="006C3673">
        <w:rPr>
          <w:rFonts w:ascii="Times New Roman" w:hAnsi="Times New Roman" w:cs="Times New Roman"/>
        </w:rPr>
        <w:t>s</w:t>
      </w:r>
      <w:r w:rsidR="00EE16FB">
        <w:rPr>
          <w:rFonts w:ascii="Times New Roman" w:hAnsi="Times New Roman" w:cs="Times New Roman"/>
        </w:rPr>
        <w:t xml:space="preserve"> </w:t>
      </w:r>
      <w:r w:rsidR="006C3673">
        <w:rPr>
          <w:rFonts w:ascii="Times New Roman" w:hAnsi="Times New Roman" w:cs="Times New Roman"/>
        </w:rPr>
        <w:t xml:space="preserve">own </w:t>
      </w:r>
      <w:r w:rsidR="00EE16FB">
        <w:rPr>
          <w:rFonts w:ascii="Times New Roman" w:hAnsi="Times New Roman" w:cs="Times New Roman"/>
        </w:rPr>
        <w:t xml:space="preserve">policy of testing all vaccine lots.  </w:t>
      </w:r>
      <w:r w:rsidRPr="00F94B7E">
        <w:rPr>
          <w:rFonts w:ascii="Times New Roman" w:hAnsi="Times New Roman" w:cs="Times New Roman"/>
        </w:rPr>
        <w:t xml:space="preserve">The Third Circuit held that the licensing and release of polio vaccines are wholly discretionary actions protected by the discretionary function exception. The Supreme Court, however, found that the government had “adopted a policy of testing all vaccine lots for compliance with safety standards and preventing the distribution to the public of any lots that fail to comply.” The </w:t>
      </w:r>
      <w:r w:rsidR="006C3673">
        <w:rPr>
          <w:rFonts w:ascii="Times New Roman" w:hAnsi="Times New Roman" w:cs="Times New Roman"/>
        </w:rPr>
        <w:t xml:space="preserve">Court concluded, therefore, that the </w:t>
      </w:r>
      <w:r w:rsidRPr="00F94B7E">
        <w:rPr>
          <w:rFonts w:ascii="Times New Roman" w:hAnsi="Times New Roman" w:cs="Times New Roman"/>
        </w:rPr>
        <w:t xml:space="preserve">Berkovitz family’s complaint was directed at a government action that involved no policy discretion. Justice Marshall, writing for a unanimous Court, explained that “the discretionary function exception will not apply when a federal statute, regulation, or policy specifically prescribes a course of action for an employee to follow.” </w:t>
      </w:r>
      <w:r w:rsidR="004E206E">
        <w:rPr>
          <w:rFonts w:ascii="Times New Roman" w:hAnsi="Times New Roman" w:cs="Times New Roman"/>
        </w:rPr>
        <w:t>486 U.S. 531, 536 (1988).</w:t>
      </w:r>
    </w:p>
    <w:p w14:paraId="4C084D71" w14:textId="77777777" w:rsidR="00B0470F" w:rsidRPr="00B06D0A" w:rsidRDefault="00B0470F">
      <w:pPr>
        <w:rPr>
          <w:rFonts w:ascii="Times New Roman" w:hAnsi="Times New Roman" w:cs="Times New Roman"/>
        </w:rPr>
      </w:pPr>
    </w:p>
    <w:p w14:paraId="2B6783D0" w14:textId="77777777" w:rsidR="001B4AA5" w:rsidRPr="00B06D0A" w:rsidRDefault="001B4AA5">
      <w:pPr>
        <w:rPr>
          <w:rFonts w:ascii="Times New Roman" w:hAnsi="Times New Roman" w:cs="Times New Roman"/>
        </w:rPr>
      </w:pPr>
    </w:p>
    <w:p w14:paraId="758FCBC7" w14:textId="49AF45E4" w:rsidR="00B0470F" w:rsidRPr="00F94B7E" w:rsidRDefault="00B0470F" w:rsidP="00F94B7E">
      <w:pPr>
        <w:pStyle w:val="ListParagraph"/>
        <w:numPr>
          <w:ilvl w:val="0"/>
          <w:numId w:val="124"/>
        </w:numPr>
        <w:ind w:left="0" w:firstLine="360"/>
        <w:outlineLvl w:val="0"/>
        <w:rPr>
          <w:rFonts w:ascii="Times New Roman" w:hAnsi="Times New Roman" w:cs="Times New Roman"/>
        </w:rPr>
      </w:pPr>
      <w:r w:rsidRPr="00F94B7E">
        <w:rPr>
          <w:rFonts w:ascii="Times New Roman" w:hAnsi="Times New Roman" w:cs="Times New Roman"/>
          <w:i/>
        </w:rPr>
        <w:t>Exception swallowing the rule?</w:t>
      </w:r>
      <w:r w:rsidRPr="00F94B7E">
        <w:rPr>
          <w:rFonts w:ascii="Times New Roman" w:hAnsi="Times New Roman" w:cs="Times New Roman"/>
        </w:rPr>
        <w:t xml:space="preserve"> The discretionary function exception sometimes seems to undo FTCA liability altogether. Is there really a negligence maintenance claim that could survive the </w:t>
      </w:r>
      <w:r w:rsidRPr="00F94B7E">
        <w:rPr>
          <w:rFonts w:ascii="Times New Roman" w:hAnsi="Times New Roman" w:cs="Times New Roman"/>
          <w:i/>
        </w:rPr>
        <w:t>Baum</w:t>
      </w:r>
      <w:r w:rsidRPr="00F94B7E">
        <w:rPr>
          <w:rFonts w:ascii="Times New Roman" w:hAnsi="Times New Roman" w:cs="Times New Roman"/>
        </w:rPr>
        <w:t xml:space="preserve"> court? Consider the Sixth Circuit case </w:t>
      </w:r>
      <w:r w:rsidRPr="00F94B7E">
        <w:rPr>
          <w:rFonts w:ascii="Times New Roman" w:hAnsi="Times New Roman" w:cs="Times New Roman"/>
          <w:i/>
        </w:rPr>
        <w:t>Rosebush v. United States</w:t>
      </w:r>
      <w:r w:rsidRPr="00F94B7E">
        <w:rPr>
          <w:rFonts w:ascii="Times New Roman" w:hAnsi="Times New Roman" w:cs="Times New Roman"/>
        </w:rPr>
        <w:t xml:space="preserve">, in which a child fell into a fire pit at a national park campsite maintained by the Forest Service. The majority in </w:t>
      </w:r>
      <w:r w:rsidRPr="00F94B7E">
        <w:rPr>
          <w:rFonts w:ascii="Times New Roman" w:hAnsi="Times New Roman" w:cs="Times New Roman"/>
          <w:i/>
        </w:rPr>
        <w:t>Rosebush</w:t>
      </w:r>
      <w:r w:rsidRPr="00F94B7E">
        <w:rPr>
          <w:rFonts w:ascii="Times New Roman" w:hAnsi="Times New Roman" w:cs="Times New Roman"/>
        </w:rPr>
        <w:t xml:space="preserve"> held that the choice of whether to install a grating or railing over the fire pit fell within the discretionary function exception. Dissenting </w:t>
      </w:r>
      <w:r w:rsidR="00071101">
        <w:rPr>
          <w:rFonts w:ascii="Times New Roman" w:hAnsi="Times New Roman" w:cs="Times New Roman"/>
        </w:rPr>
        <w:t>J</w:t>
      </w:r>
      <w:r w:rsidRPr="00F94B7E">
        <w:rPr>
          <w:rFonts w:ascii="Times New Roman" w:hAnsi="Times New Roman" w:cs="Times New Roman"/>
        </w:rPr>
        <w:t>udge Gilbert Merritt had this to say about the exception:</w:t>
      </w:r>
    </w:p>
    <w:p w14:paraId="2889886E" w14:textId="77777777" w:rsidR="00B0470F" w:rsidRPr="00B06D0A" w:rsidRDefault="00B0470F">
      <w:pPr>
        <w:rPr>
          <w:rFonts w:ascii="Times New Roman" w:hAnsi="Times New Roman" w:cs="Times New Roman"/>
        </w:rPr>
      </w:pPr>
    </w:p>
    <w:p w14:paraId="3F43B69B" w14:textId="77777777" w:rsidR="00B0470F" w:rsidRPr="00B06D0A" w:rsidRDefault="00B0470F" w:rsidP="00F94B7E">
      <w:pPr>
        <w:pStyle w:val="blockquote"/>
      </w:pPr>
      <w:r w:rsidRPr="00B06D0A">
        <w:t>Our Court’s decision in this case means that the discretionary function exception has swallowed, digested and excreted the liability-creating sections of the Federal Tort Claims Act. It decimates the Act.</w:t>
      </w:r>
    </w:p>
    <w:p w14:paraId="23C13F90" w14:textId="77777777" w:rsidR="00B0470F" w:rsidRPr="00B06D0A" w:rsidRDefault="00B0470F" w:rsidP="00F94B7E">
      <w:pPr>
        <w:pStyle w:val="blockquote"/>
      </w:pPr>
    </w:p>
    <w:p w14:paraId="47B03654" w14:textId="64191BBC" w:rsidR="00B0470F" w:rsidRPr="00B06D0A" w:rsidRDefault="00B0470F" w:rsidP="00F94B7E">
      <w:pPr>
        <w:pStyle w:val="blockquote"/>
      </w:pPr>
      <w:r w:rsidRPr="00B06D0A">
        <w:t>. . .</w:t>
      </w:r>
    </w:p>
    <w:p w14:paraId="4E210523" w14:textId="77777777" w:rsidR="00B0470F" w:rsidRPr="00B06D0A" w:rsidRDefault="00B0470F" w:rsidP="00F94B7E">
      <w:pPr>
        <w:pStyle w:val="blockquote"/>
      </w:pPr>
    </w:p>
    <w:p w14:paraId="63CEFAA3" w14:textId="77777777" w:rsidR="00B0470F" w:rsidRPr="00B06D0A" w:rsidRDefault="00B0470F" w:rsidP="00F94B7E">
      <w:pPr>
        <w:pStyle w:val="blockquote"/>
      </w:pPr>
      <w:r w:rsidRPr="00B06D0A">
        <w:t xml:space="preserve">I do not agree that the Forest Service’s decision regarding whether to place a grating, a railing, or a warning near a campfire pit is the kind of judgment that the discretionary function exception was designed to shield. In </w:t>
      </w:r>
      <w:r w:rsidRPr="00B06D0A">
        <w:rPr>
          <w:i/>
        </w:rPr>
        <w:t>Gaubert</w:t>
      </w:r>
      <w:r w:rsidRPr="00B06D0A">
        <w:t>,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B06D0A" w:rsidRDefault="00B0470F">
      <w:pPr>
        <w:ind w:right="720"/>
        <w:rPr>
          <w:rFonts w:ascii="Times New Roman" w:hAnsi="Times New Roman" w:cs="Times New Roman"/>
        </w:rPr>
      </w:pPr>
    </w:p>
    <w:p w14:paraId="33601270" w14:textId="77777777" w:rsidR="00B0470F" w:rsidRPr="00B06D0A" w:rsidRDefault="00B0470F">
      <w:pPr>
        <w:ind w:right="720"/>
        <w:rPr>
          <w:rFonts w:ascii="Times New Roman" w:hAnsi="Times New Roman" w:cs="Times New Roman"/>
        </w:rPr>
      </w:pPr>
      <w:r w:rsidRPr="00F94B7E">
        <w:rPr>
          <w:rFonts w:ascii="Times New Roman" w:hAnsi="Times New Roman" w:cs="Times New Roman"/>
          <w:i/>
        </w:rPr>
        <w:t>Rosebush v. U.S.</w:t>
      </w:r>
      <w:r w:rsidRPr="00B06D0A">
        <w:rPr>
          <w:rFonts w:ascii="Times New Roman" w:hAnsi="Times New Roman" w:cs="Times New Roman"/>
        </w:rPr>
        <w:t>, 119 F.3d 438 (6th Cir. 1997).</w:t>
      </w:r>
    </w:p>
    <w:p w14:paraId="07B0299C" w14:textId="77777777" w:rsidR="00B0470F" w:rsidRPr="00B06D0A" w:rsidRDefault="00B0470F">
      <w:pPr>
        <w:rPr>
          <w:rFonts w:ascii="Times New Roman" w:hAnsi="Times New Roman" w:cs="Times New Roman"/>
        </w:rPr>
      </w:pPr>
    </w:p>
    <w:p w14:paraId="19B76341" w14:textId="77777777" w:rsidR="001B4AA5" w:rsidRPr="00B06D0A" w:rsidRDefault="001B4AA5">
      <w:pPr>
        <w:rPr>
          <w:rFonts w:ascii="Times New Roman" w:hAnsi="Times New Roman" w:cs="Times New Roman"/>
        </w:rPr>
      </w:pPr>
    </w:p>
    <w:p w14:paraId="0C38EDC3" w14:textId="46247035" w:rsidR="00B0470F" w:rsidRPr="00F94B7E" w:rsidRDefault="00B0470F" w:rsidP="00F94B7E">
      <w:pPr>
        <w:pStyle w:val="ListParagraph"/>
        <w:numPr>
          <w:ilvl w:val="0"/>
          <w:numId w:val="124"/>
        </w:numPr>
        <w:ind w:left="0" w:firstLine="360"/>
        <w:rPr>
          <w:rFonts w:ascii="Times New Roman" w:hAnsi="Times New Roman" w:cs="Times New Roman"/>
        </w:rPr>
      </w:pPr>
      <w:r w:rsidRPr="00F94B7E">
        <w:rPr>
          <w:rFonts w:ascii="Times New Roman" w:hAnsi="Times New Roman" w:cs="Times New Roman"/>
          <w:i/>
        </w:rPr>
        <w:t>Other exceptions to the FTCA</w:t>
      </w:r>
      <w:r w:rsidRPr="00F94B7E">
        <w:rPr>
          <w:rFonts w:ascii="Times New Roman" w:hAnsi="Times New Roman" w:cs="Times New Roman"/>
        </w:rPr>
        <w:t>. The discretionary function exception is not the only exception to the FTCA’s waiver of sovereign immunity. 28 U.S.C. § 2680. The FTCA also excludes, inter alia, certain claims “arising in respect of the assessment or collection of any tax or customs duty, or the detention of . . . property by any officer of customs or excise or any other law enforcement officer</w:t>
      </w:r>
      <w:r w:rsidR="00922343">
        <w:rPr>
          <w:rFonts w:ascii="Times New Roman" w:hAnsi="Times New Roman" w:cs="Times New Roman"/>
        </w:rPr>
        <w:t>,</w:t>
      </w:r>
      <w:r w:rsidRPr="00F94B7E">
        <w:rPr>
          <w:rFonts w:ascii="Times New Roman" w:hAnsi="Times New Roman" w:cs="Times New Roman"/>
        </w:rPr>
        <w:t>” 28 U.S.C. §2680(c)</w:t>
      </w:r>
      <w:r w:rsidR="00922343">
        <w:rPr>
          <w:rFonts w:ascii="Times New Roman" w:hAnsi="Times New Roman" w:cs="Times New Roman"/>
        </w:rPr>
        <w:t>;</w:t>
      </w:r>
      <w:r w:rsidRPr="00F94B7E">
        <w:rPr>
          <w:rFonts w:ascii="Times New Roman" w:hAnsi="Times New Roman" w:cs="Times New Roman"/>
        </w:rPr>
        <w:t xml:space="preserve"> certain intentional tort claims against “law enforcement officers</w:t>
      </w:r>
      <w:r w:rsidR="00922343">
        <w:rPr>
          <w:rFonts w:ascii="Times New Roman" w:hAnsi="Times New Roman" w:cs="Times New Roman"/>
        </w:rPr>
        <w:t>,</w:t>
      </w:r>
      <w:r w:rsidRPr="00F94B7E">
        <w:rPr>
          <w:rFonts w:ascii="Times New Roman" w:hAnsi="Times New Roman" w:cs="Times New Roman"/>
        </w:rPr>
        <w:t>” 28 U.S.C. § 2680(h)</w:t>
      </w:r>
      <w:r w:rsidR="00922343">
        <w:rPr>
          <w:rFonts w:ascii="Times New Roman" w:hAnsi="Times New Roman" w:cs="Times New Roman"/>
        </w:rPr>
        <w:t>;</w:t>
      </w:r>
      <w:r w:rsidRPr="00F94B7E">
        <w:rPr>
          <w:rFonts w:ascii="Times New Roman" w:hAnsi="Times New Roman" w:cs="Times New Roman"/>
        </w:rPr>
        <w:t xml:space="preserve"> “[a]ny claim arising out of the combatant activities of the military . . . during a time of war</w:t>
      </w:r>
      <w:r w:rsidR="00922343">
        <w:rPr>
          <w:rFonts w:ascii="Times New Roman" w:hAnsi="Times New Roman" w:cs="Times New Roman"/>
        </w:rPr>
        <w:t>,</w:t>
      </w:r>
      <w:r w:rsidRPr="00F94B7E">
        <w:rPr>
          <w:rFonts w:ascii="Times New Roman" w:hAnsi="Times New Roman" w:cs="Times New Roman"/>
        </w:rPr>
        <w:t>” 28 U.S.C. § 2680(j)</w:t>
      </w:r>
      <w:r w:rsidR="00922343">
        <w:rPr>
          <w:rFonts w:ascii="Times New Roman" w:hAnsi="Times New Roman" w:cs="Times New Roman"/>
        </w:rPr>
        <w:t>;</w:t>
      </w:r>
      <w:r w:rsidRPr="00F94B7E">
        <w:rPr>
          <w:rFonts w:ascii="Times New Roman" w:hAnsi="Times New Roman" w:cs="Times New Roman"/>
        </w:rPr>
        <w:t xml:space="preserve"> and “[a]ny claim arising in a foreign country</w:t>
      </w:r>
      <w:r w:rsidR="00922343">
        <w:rPr>
          <w:rFonts w:ascii="Times New Roman" w:hAnsi="Times New Roman" w:cs="Times New Roman"/>
        </w:rPr>
        <w:t>,</w:t>
      </w:r>
      <w:r w:rsidRPr="00F94B7E">
        <w:rPr>
          <w:rFonts w:ascii="Times New Roman" w:hAnsi="Times New Roman" w:cs="Times New Roman"/>
        </w:rPr>
        <w:t>” 28 U.S.C. § 2680(k).</w:t>
      </w:r>
    </w:p>
    <w:p w14:paraId="3C255BBE" w14:textId="77777777" w:rsidR="005C18E5" w:rsidRPr="00B06D0A" w:rsidRDefault="005C18E5">
      <w:pPr>
        <w:rPr>
          <w:rFonts w:ascii="Times New Roman" w:hAnsi="Times New Roman" w:cs="Times New Roman"/>
        </w:rPr>
      </w:pPr>
    </w:p>
    <w:p w14:paraId="0F0EE8FD" w14:textId="6AF8BDFD" w:rsidR="00FA3CF9" w:rsidRPr="00B06D0A" w:rsidRDefault="750671CE">
      <w:pPr>
        <w:ind w:firstLine="720"/>
        <w:rPr>
          <w:rFonts w:ascii="Times New Roman" w:eastAsia="Times New Roman" w:hAnsi="Times New Roman" w:cs="Times New Roman"/>
        </w:rPr>
      </w:pPr>
      <w:r w:rsidRPr="00C33BBE">
        <w:rPr>
          <w:rFonts w:ascii="Times New Roman" w:eastAsia="Times New Roman" w:hAnsi="Times New Roman" w:cs="Times New Roman"/>
        </w:rPr>
        <w:t xml:space="preserve">Recent Supreme Court decisions clarify the boundaries of these exceptions. In </w:t>
      </w:r>
      <w:r w:rsidRPr="00C33BBE">
        <w:rPr>
          <w:rFonts w:ascii="Times New Roman" w:eastAsia="Times New Roman" w:hAnsi="Times New Roman" w:cs="Times New Roman"/>
          <w:i/>
          <w:iCs/>
        </w:rPr>
        <w:t>Ali v. Fed. Bureau of Prisons</w:t>
      </w:r>
      <w:r w:rsidRPr="00B06D0A">
        <w:rPr>
          <w:rFonts w:ascii="Times New Roman" w:eastAsia="Times New Roman" w:hAnsi="Times New Roman" w:cs="Times New Roman"/>
        </w:rPr>
        <w:t xml:space="preserve">, 552 U.S. 214 (2008), the Court ruled that the detention of property exception covers all law enforcement officers, not only those who enforce customs or excise laws. Similarly, in </w:t>
      </w:r>
      <w:r w:rsidRPr="00B06D0A">
        <w:rPr>
          <w:rFonts w:ascii="Times New Roman" w:eastAsia="Times New Roman" w:hAnsi="Times New Roman" w:cs="Times New Roman"/>
          <w:i/>
          <w:iCs/>
        </w:rPr>
        <w:t>Millbrook v. United States</w:t>
      </w:r>
      <w:r w:rsidRPr="00B06D0A">
        <w:rPr>
          <w:rFonts w:ascii="Times New Roman" w:eastAsia="Times New Roman" w:hAnsi="Times New Roman" w:cs="Times New Roman"/>
        </w:rPr>
        <w:t xml:space="preserve">, </w:t>
      </w:r>
      <w:r w:rsidR="00922343">
        <w:rPr>
          <w:rFonts w:ascii="Times New Roman" w:eastAsia="Times New Roman" w:hAnsi="Times New Roman" w:cs="Times New Roman"/>
        </w:rPr>
        <w:t>569 U.S. 50</w:t>
      </w:r>
      <w:r w:rsidRPr="00B06D0A">
        <w:rPr>
          <w:rFonts w:ascii="Times New Roman" w:eastAsia="Times New Roman" w:hAnsi="Times New Roman" w:cs="Times New Roman"/>
        </w:rPr>
        <w:t xml:space="preserve"> (2013), the Court ruled that the FTCA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intentional tort exception extends all acts or omissions that arise within the scope of a law enforcement officer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employ</w:t>
      </w:r>
      <w:r w:rsidR="00AC1B25">
        <w:rPr>
          <w:rFonts w:ascii="Times New Roman" w:eastAsia="Times New Roman" w:hAnsi="Times New Roman" w:cs="Times New Roman"/>
        </w:rPr>
        <w:t xml:space="preserve">ment, regardless of whether </w:t>
      </w:r>
      <w:r w:rsidRPr="00B06D0A">
        <w:rPr>
          <w:rFonts w:ascii="Times New Roman" w:eastAsia="Times New Roman" w:hAnsi="Times New Roman" w:cs="Times New Roman"/>
        </w:rPr>
        <w:t>they are engaged in investigative or law enforcement activity. In S</w:t>
      </w:r>
      <w:r w:rsidRPr="00B06D0A">
        <w:rPr>
          <w:rFonts w:ascii="Times New Roman" w:eastAsia="Times New Roman" w:hAnsi="Times New Roman" w:cs="Times New Roman"/>
          <w:i/>
          <w:iCs/>
        </w:rPr>
        <w:t>osa v. Alvarez-Machain</w:t>
      </w:r>
      <w:r w:rsidRPr="00B06D0A">
        <w:rPr>
          <w:rFonts w:ascii="Times New Roman" w:eastAsia="Times New Roman" w:hAnsi="Times New Roman" w:cs="Times New Roman"/>
        </w:rPr>
        <w:t>, 542 U.S. 692 (2004), the Court denied relief to a Mexican alien who alleged that he was unlawfully abducted from Mexico and arrested in the United States. The Court ruled that the foreign country exception bar</w:t>
      </w:r>
      <w:r w:rsidR="00DD238B">
        <w:rPr>
          <w:rFonts w:ascii="Times New Roman" w:eastAsia="Times New Roman" w:hAnsi="Times New Roman" w:cs="Times New Roman"/>
        </w:rPr>
        <w:t>red the claim</w:t>
      </w:r>
      <w:r w:rsidRPr="00B06D0A">
        <w:rPr>
          <w:rFonts w:ascii="Times New Roman" w:eastAsia="Times New Roman" w:hAnsi="Times New Roman" w:cs="Times New Roman"/>
        </w:rPr>
        <w:t xml:space="preserve">. In </w:t>
      </w:r>
      <w:r w:rsidRPr="00B06D0A">
        <w:rPr>
          <w:rFonts w:ascii="Times New Roman" w:eastAsia="Times New Roman" w:hAnsi="Times New Roman" w:cs="Times New Roman"/>
          <w:i/>
          <w:iCs/>
        </w:rPr>
        <w:t>Smith v. United States</w:t>
      </w:r>
      <w:r w:rsidRPr="00B06D0A">
        <w:rPr>
          <w:rFonts w:ascii="Times New Roman" w:eastAsia="Times New Roman" w:hAnsi="Times New Roman" w:cs="Times New Roman"/>
        </w:rPr>
        <w:t xml:space="preserve">, 507 U.S. 197 (1993), the Court ruled that the exception applies to Antarctica. </w:t>
      </w:r>
    </w:p>
    <w:p w14:paraId="4A0CF7AB" w14:textId="77777777" w:rsidR="00FA3CF9" w:rsidRPr="00B06D0A" w:rsidRDefault="00FA3CF9">
      <w:pPr>
        <w:pStyle w:val="ListParagraph"/>
        <w:ind w:firstLine="720"/>
        <w:rPr>
          <w:rFonts w:ascii="Times New Roman" w:hAnsi="Times New Roman" w:cs="Times New Roman"/>
        </w:rPr>
      </w:pPr>
    </w:p>
    <w:p w14:paraId="6F04947A" w14:textId="77777777" w:rsidR="001B4AA5" w:rsidRPr="00B06D0A" w:rsidRDefault="001B4AA5">
      <w:pPr>
        <w:pStyle w:val="ListParagraph"/>
        <w:ind w:firstLine="720"/>
        <w:rPr>
          <w:rFonts w:ascii="Times New Roman" w:hAnsi="Times New Roman" w:cs="Times New Roman"/>
        </w:rPr>
      </w:pPr>
    </w:p>
    <w:p w14:paraId="6E863914" w14:textId="00AB24D0" w:rsidR="00FA3CF9" w:rsidRPr="00F94B7E" w:rsidRDefault="750671CE" w:rsidP="00F94B7E">
      <w:pPr>
        <w:pStyle w:val="ListParagraph"/>
        <w:numPr>
          <w:ilvl w:val="0"/>
          <w:numId w:val="1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A panoply of exceptions.</w:t>
      </w:r>
      <w:r w:rsidRPr="00F94B7E">
        <w:rPr>
          <w:rFonts w:ascii="Times New Roman" w:eastAsia="Times New Roman" w:hAnsi="Times New Roman" w:cs="Times New Roman"/>
        </w:rPr>
        <w:t xml:space="preserve">  The FTCA waives sovereign immunity where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a private person, would be liable to the claimant in accordance with the law of the place where the act or omission occurred.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28 U.S.C. § 1346 b(1). In </w:t>
      </w:r>
      <w:r w:rsidRPr="00F94B7E">
        <w:rPr>
          <w:rFonts w:ascii="Times New Roman" w:eastAsia="Times New Roman" w:hAnsi="Times New Roman" w:cs="Times New Roman"/>
          <w:i/>
          <w:iCs/>
        </w:rPr>
        <w:t>United States v. Olson</w:t>
      </w:r>
      <w:r w:rsidRPr="00F94B7E">
        <w:rPr>
          <w:rFonts w:ascii="Times New Roman" w:eastAsia="Times New Roman" w:hAnsi="Times New Roman" w:cs="Times New Roman"/>
        </w:rPr>
        <w:t>, 546 U.S. 43 (2005), the Supreme Court unanimously reversed the Ninth Circuit</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ruling that the FTCA waives sovereign immunity where a state or municipal entity would be liable. </w:t>
      </w:r>
    </w:p>
    <w:p w14:paraId="3300AE24" w14:textId="77777777" w:rsidR="005C18E5" w:rsidRPr="00B06D0A" w:rsidRDefault="005C18E5" w:rsidP="00F94B7E">
      <w:pPr>
        <w:rPr>
          <w:rFonts w:ascii="Times New Roman" w:eastAsia="Times New Roman" w:hAnsi="Times New Roman" w:cs="Times New Roman"/>
        </w:rPr>
      </w:pPr>
    </w:p>
    <w:p w14:paraId="2E48ABED" w14:textId="775D715F" w:rsidR="00FA3CF9" w:rsidRPr="00B06D0A" w:rsidRDefault="00FA3CF9" w:rsidP="005C18E5">
      <w:pPr>
        <w:rPr>
          <w:rFonts w:ascii="Times New Roman" w:eastAsia="Times New Roman" w:hAnsi="Times New Roman" w:cs="Times New Roman"/>
        </w:rPr>
      </w:pPr>
      <w:r w:rsidRPr="00B06D0A">
        <w:rPr>
          <w:rFonts w:ascii="Times New Roman" w:eastAsia="Times New Roman" w:hAnsi="Times New Roman" w:cs="Times New Roman"/>
        </w:rPr>
        <w:t xml:space="preserve"> </w:t>
      </w:r>
      <w:r w:rsidRPr="00B06D0A">
        <w:rPr>
          <w:rFonts w:ascii="Times New Roman" w:hAnsi="Times New Roman" w:cs="Times New Roman"/>
        </w:rPr>
        <w:tab/>
      </w:r>
      <w:r w:rsidRPr="00B06D0A">
        <w:rPr>
          <w:rFonts w:ascii="Times New Roman" w:eastAsia="Times New Roman" w:hAnsi="Times New Roman" w:cs="Times New Roman"/>
        </w:rPr>
        <w:t xml:space="preserve">The FTCA provides that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[t]he United States . . . shall not be liable for interest prior to judgment or for punitive damages.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28 U.S.C. § 2674. In </w:t>
      </w:r>
      <w:r w:rsidRPr="00B06D0A">
        <w:rPr>
          <w:rFonts w:ascii="Times New Roman" w:eastAsia="Times New Roman" w:hAnsi="Times New Roman" w:cs="Times New Roman"/>
          <w:i/>
          <w:iCs/>
        </w:rPr>
        <w:t>FAA v. Cooper</w:t>
      </w:r>
      <w:r w:rsidRPr="00B06D0A">
        <w:rPr>
          <w:rFonts w:ascii="Times New Roman" w:eastAsia="Times New Roman" w:hAnsi="Times New Roman" w:cs="Times New Roman"/>
        </w:rPr>
        <w:t xml:space="preserve">, 132 S. Ct. 1441 (2012), the Supreme Court denied punitive damages to a pilot who sued the FAA, DOT, and SSA for disclosing his HIV positive status in violation of the Privacy Act of 1974. However, in </w:t>
      </w:r>
      <w:r w:rsidRPr="00B06D0A">
        <w:rPr>
          <w:rFonts w:ascii="Times New Roman" w:eastAsia="Times New Roman" w:hAnsi="Times New Roman" w:cs="Times New Roman"/>
          <w:i/>
          <w:iCs/>
        </w:rPr>
        <w:t>Molzof v. United States</w:t>
      </w:r>
      <w:r w:rsidRPr="00B06D0A">
        <w:rPr>
          <w:rFonts w:ascii="Times New Roman" w:eastAsia="Times New Roman" w:hAnsi="Times New Roman" w:cs="Times New Roman"/>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B06D0A" w:rsidRDefault="00FA3CF9">
      <w:pPr>
        <w:rPr>
          <w:rFonts w:ascii="Times New Roman" w:hAnsi="Times New Roman" w:cs="Times New Roman"/>
        </w:rPr>
      </w:pPr>
    </w:p>
    <w:p w14:paraId="3C568F6E" w14:textId="77777777" w:rsidR="00FA3CF9" w:rsidRPr="00B06D0A" w:rsidRDefault="00FA3CF9">
      <w:pPr>
        <w:rPr>
          <w:rFonts w:ascii="Times New Roman" w:hAnsi="Times New Roman" w:cs="Times New Roman"/>
        </w:rPr>
      </w:pPr>
    </w:p>
    <w:p w14:paraId="5FC934B8" w14:textId="57FF0B69" w:rsidR="00FA3CF9" w:rsidRPr="00F94B7E" w:rsidRDefault="750671CE" w:rsidP="00F94B7E">
      <w:pPr>
        <w:pStyle w:val="ListParagraph"/>
        <w:numPr>
          <w:ilvl w:val="0"/>
          <w:numId w:val="124"/>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Katrina </w:t>
      </w:r>
      <w:r w:rsidR="00291FE7">
        <w:rPr>
          <w:rFonts w:ascii="Times New Roman" w:eastAsia="Times New Roman" w:hAnsi="Times New Roman" w:cs="Times New Roman"/>
          <w:i/>
          <w:iCs/>
        </w:rPr>
        <w:t>c</w:t>
      </w:r>
      <w:r w:rsidRPr="00F94B7E">
        <w:rPr>
          <w:rFonts w:ascii="Times New Roman" w:eastAsia="Times New Roman" w:hAnsi="Times New Roman" w:cs="Times New Roman"/>
          <w:i/>
          <w:iCs/>
        </w:rPr>
        <w:t xml:space="preserve">anal </w:t>
      </w:r>
      <w:r w:rsidR="00291FE7">
        <w:rPr>
          <w:rFonts w:ascii="Times New Roman" w:eastAsia="Times New Roman" w:hAnsi="Times New Roman" w:cs="Times New Roman"/>
          <w:i/>
          <w:iCs/>
        </w:rPr>
        <w:t>b</w:t>
      </w:r>
      <w:r w:rsidRPr="00F94B7E">
        <w:rPr>
          <w:rFonts w:ascii="Times New Roman" w:eastAsia="Times New Roman" w:hAnsi="Times New Roman" w:cs="Times New Roman"/>
          <w:i/>
          <w:iCs/>
        </w:rPr>
        <w:t xml:space="preserve">reaches </w:t>
      </w:r>
      <w:r w:rsidR="00291FE7">
        <w:rPr>
          <w:rFonts w:ascii="Times New Roman" w:eastAsia="Times New Roman" w:hAnsi="Times New Roman" w:cs="Times New Roman"/>
          <w:i/>
          <w:iCs/>
        </w:rPr>
        <w:t>l</w:t>
      </w:r>
      <w:r w:rsidRPr="00F94B7E">
        <w:rPr>
          <w:rFonts w:ascii="Times New Roman" w:eastAsia="Times New Roman" w:hAnsi="Times New Roman" w:cs="Times New Roman"/>
          <w:i/>
          <w:iCs/>
        </w:rPr>
        <w:t>itigation</w:t>
      </w:r>
      <w:r w:rsidRPr="00F94B7E">
        <w:rPr>
          <w:rFonts w:ascii="Times New Roman" w:eastAsia="Times New Roman" w:hAnsi="Times New Roman" w:cs="Times New Roman"/>
        </w:rPr>
        <w:t>.  In the aftermath of Hurricane Katrina, Louisiana residents brought a lawsuit against the Army Corp of Engineers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Corps</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seeking compensation for flooding damages. </w:t>
      </w:r>
    </w:p>
    <w:p w14:paraId="44F854CE" w14:textId="77777777" w:rsidR="00FA3CF9" w:rsidRPr="00B06D0A" w:rsidRDefault="00FA3CF9">
      <w:pPr>
        <w:rPr>
          <w:rFonts w:ascii="Times New Roman" w:hAnsi="Times New Roman" w:cs="Times New Roman"/>
          <w:strike/>
        </w:rPr>
      </w:pPr>
    </w:p>
    <w:p w14:paraId="05DA3423" w14:textId="01A84F93" w:rsidR="00FA3CF9" w:rsidRPr="00F94B7E" w:rsidRDefault="750671CE">
      <w:pPr>
        <w:ind w:firstLine="720"/>
        <w:rPr>
          <w:rFonts w:ascii="Times New Roman" w:eastAsia="Times New Roman,Batang" w:hAnsi="Times New Roman" w:cs="Times New Roman"/>
          <w:lang w:eastAsia="ko-KR"/>
        </w:rPr>
      </w:pPr>
      <w:r w:rsidRPr="00B06D0A">
        <w:rPr>
          <w:rFonts w:ascii="Times New Roman" w:eastAsia="Times New Roman" w:hAnsi="Times New Roman" w:cs="Times New Roman"/>
        </w:rPr>
        <w:t>The government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defense rested in part on the discretionary-function exception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DFE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to the Federal Tort Claims Act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FTCA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alleging that the Corps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conduct in question constituted a discretionary function of a federal agency. Plaintiffs disputed the application of DFE based on three grounds, which the Fifth Circuit Court of Appeals described as follows: </w:t>
      </w:r>
    </w:p>
    <w:p w14:paraId="1F0ED944" w14:textId="77777777" w:rsidR="00FA3CF9" w:rsidRPr="00F349EC" w:rsidRDefault="00FA3CF9">
      <w:pPr>
        <w:rPr>
          <w:rFonts w:ascii="Times New Roman" w:hAnsi="Times New Roman" w:cs="Times New Roman"/>
        </w:rPr>
      </w:pPr>
    </w:p>
    <w:p w14:paraId="17B1C22C" w14:textId="551F7A31" w:rsidR="00FA3CF9" w:rsidRPr="00F94B7E" w:rsidRDefault="750671CE" w:rsidP="00F94B7E">
      <w:pPr>
        <w:pStyle w:val="blockquote"/>
        <w:rPr>
          <w:rFonts w:eastAsia="Times New Roman,Batang"/>
          <w:lang w:eastAsia="ko-KR"/>
        </w:rPr>
      </w:pPr>
      <w:r w:rsidRPr="00B06D0A">
        <w:t>First, they claim that the impact-review requirement of the National Environmental Policy Act (</w:t>
      </w:r>
      <w:r w:rsidR="00B05F31" w:rsidRPr="00B06D0A">
        <w:t>“</w:t>
      </w:r>
      <w:r w:rsidRPr="00B06D0A">
        <w:t>NEPA</w:t>
      </w:r>
      <w:r w:rsidR="00B05F31" w:rsidRPr="00B06D0A">
        <w:t>”</w:t>
      </w:r>
      <w:r w:rsidRPr="00B06D0A">
        <w:t>) constituted a legal mandate that overrides the Corps</w:t>
      </w:r>
      <w:r w:rsidR="00B05F31" w:rsidRPr="00B06D0A">
        <w:t>’</w:t>
      </w:r>
      <w:r w:rsidRPr="00B06D0A">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F349EC" w:rsidRDefault="00FA3CF9">
      <w:pPr>
        <w:rPr>
          <w:rFonts w:ascii="Times New Roman" w:hAnsi="Times New Roman" w:cs="Times New Roman"/>
        </w:rPr>
      </w:pPr>
    </w:p>
    <w:p w14:paraId="66698ADE" w14:textId="454896C6"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696 F.3d 436, 449 (5th Cir. 2012).</w:t>
      </w:r>
    </w:p>
    <w:p w14:paraId="7A0161D4" w14:textId="77777777" w:rsidR="00FA3CF9" w:rsidRPr="00B06D0A" w:rsidRDefault="00FA3CF9">
      <w:pPr>
        <w:rPr>
          <w:rFonts w:ascii="Times New Roman" w:hAnsi="Times New Roman" w:cs="Times New Roman"/>
          <w:strike/>
        </w:rPr>
      </w:pPr>
    </w:p>
    <w:p w14:paraId="2212F389" w14:textId="39E1B3B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A panel of the Fifth Circuit initially held that the DFE defense did not immunize the government against damages caused by Katrina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effects on MRGO.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 xml:space="preserve">at 391. Reasoning that the immunity defense under the DFE required that the conduct in question involve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an element of judgment or choice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constitute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governmental actions and decisions based on considerations of public policy,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panel rejected the discretionary function defense.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 xml:space="preserve">at 392 (quoting </w:t>
      </w:r>
      <w:r w:rsidRPr="00B06D0A">
        <w:rPr>
          <w:rFonts w:ascii="Times New Roman" w:eastAsia="Times New Roman" w:hAnsi="Times New Roman" w:cs="Times New Roman"/>
          <w:i/>
          <w:iCs/>
        </w:rPr>
        <w:t>Freeman v. United States</w:t>
      </w:r>
      <w:r w:rsidRPr="00B06D0A">
        <w:rPr>
          <w:rFonts w:ascii="Times New Roman" w:eastAsia="Times New Roman" w:hAnsi="Times New Roman" w:cs="Times New Roman"/>
        </w:rPr>
        <w:t>, 556 F.3d 326, 337 (5th Cir. 2009)). In particular, the court found that the Corps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delay in armoring the banks failed to satisfy the second prong of the requirement, as the delay did not involve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decision rooted in public-policy considerations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but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an erroneous scientific judgment.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at 394.</w:t>
      </w:r>
    </w:p>
    <w:p w14:paraId="4C158970" w14:textId="77777777" w:rsidR="00FA3CF9" w:rsidRPr="00B06D0A" w:rsidRDefault="00FA3CF9">
      <w:pPr>
        <w:rPr>
          <w:rFonts w:ascii="Times New Roman" w:hAnsi="Times New Roman" w:cs="Times New Roman"/>
        </w:rPr>
      </w:pPr>
    </w:p>
    <w:p w14:paraId="71467024" w14:textId="77777777"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On rehearing, however, the panel reversed itself, finding that the government enjoyed DFE immunity: </w:t>
      </w:r>
    </w:p>
    <w:p w14:paraId="364908D8" w14:textId="77777777" w:rsidR="00FA3CF9" w:rsidRPr="00B06D0A" w:rsidRDefault="00FA3CF9">
      <w:pPr>
        <w:rPr>
          <w:rFonts w:ascii="Times New Roman" w:hAnsi="Times New Roman" w:cs="Times New Roman"/>
        </w:rPr>
      </w:pPr>
    </w:p>
    <w:p w14:paraId="2AE5125F" w14:textId="639D8001" w:rsidR="00FA3CF9" w:rsidRPr="00B06D0A" w:rsidRDefault="750671CE" w:rsidP="00F94B7E">
      <w:pPr>
        <w:pStyle w:val="blockquote"/>
      </w:pPr>
      <w:r w:rsidRPr="00B06D0A">
        <w:rPr>
          <w:rStyle w:val="cohlgreencoselection7"/>
        </w:rPr>
        <w:t>there is ample record evidence indicating the public-policy character of the Corps</w:t>
      </w:r>
      <w:r w:rsidR="00B05F31" w:rsidRPr="00B06D0A">
        <w:rPr>
          <w:rStyle w:val="cohlgreencoselection7"/>
        </w:rPr>
        <w:t>’</w:t>
      </w:r>
      <w:r w:rsidRPr="00B06D0A">
        <w:rPr>
          <w:rStyle w:val="cohlgreencoselection7"/>
        </w:rPr>
        <w:t>s various decisions contributing to the delay in armoring Reach 2.</w:t>
      </w:r>
      <w:r w:rsidRPr="00B06D0A">
        <w:t xml:space="preserve"> Although the Corps appears to have appreciated the benefit of foreshore protection as early as 1967, the record shows that it also had reason to consider alternatives (such as dredging and levee </w:t>
      </w:r>
      <w:r w:rsidR="00B05F31" w:rsidRPr="00B06D0A">
        <w:t>“</w:t>
      </w:r>
      <w:r w:rsidRPr="00B06D0A">
        <w:t>lifts</w:t>
      </w:r>
      <w:r w:rsidR="00B05F31" w:rsidRPr="00B06D0A">
        <w:t>”</w:t>
      </w:r>
      <w:r w:rsidRPr="00B06D0A">
        <w:t>) and feasibility before committing to an armoring strategy that, in hindsight, may well have been optimal. The Corps</w:t>
      </w:r>
      <w:r w:rsidR="00B05F31" w:rsidRPr="00B06D0A">
        <w:t>’</w:t>
      </w:r>
      <w:r w:rsidRPr="00B06D0A">
        <w:t>s actual reasons for the delay are varied and sometimes unknown, but there can be little dispute that the decisions here were susceptible to policy considerations.</w:t>
      </w:r>
      <w:r w:rsidRPr="00B06D0A">
        <w:rPr>
          <w:vertAlign w:val="superscript"/>
        </w:rPr>
        <w:t xml:space="preserve"> </w:t>
      </w:r>
      <w:r w:rsidRPr="00B06D0A">
        <w:t>Whatever the actual reasons for the delay, the Corps</w:t>
      </w:r>
      <w:r w:rsidR="00B05F31" w:rsidRPr="00B06D0A">
        <w:t>’</w:t>
      </w:r>
      <w:r w:rsidRPr="00B06D0A">
        <w:t>s failure to armor timely Reach 2 is shielded by the DFE.</w:t>
      </w:r>
    </w:p>
    <w:p w14:paraId="30FEA06D" w14:textId="77777777" w:rsidR="00FA3CF9" w:rsidRPr="00B06D0A" w:rsidRDefault="00FA3CF9">
      <w:pPr>
        <w:rPr>
          <w:rFonts w:ascii="Times New Roman" w:hAnsi="Times New Roman" w:cs="Times New Roman"/>
        </w:rPr>
      </w:pPr>
    </w:p>
    <w:p w14:paraId="335D4E3D" w14:textId="77777777"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696 F.3d 436, 451 (5th Cir. 2012) (footnote omitted).</w:t>
      </w:r>
    </w:p>
    <w:p w14:paraId="1D8F4F6E" w14:textId="77777777" w:rsidR="00FA3CF9" w:rsidRPr="00B06D0A" w:rsidRDefault="00FA3CF9">
      <w:pPr>
        <w:rPr>
          <w:rFonts w:ascii="Times New Roman" w:hAnsi="Times New Roman" w:cs="Times New Roman"/>
        </w:rPr>
      </w:pPr>
    </w:p>
    <w:p w14:paraId="1DE6FD90" w14:textId="77777777" w:rsidR="00FA3CF9" w:rsidRPr="00B06D0A" w:rsidRDefault="00FA3CF9">
      <w:pPr>
        <w:rPr>
          <w:rFonts w:ascii="Times New Roman" w:hAnsi="Times New Roman" w:cs="Times New Roman"/>
        </w:rPr>
      </w:pPr>
    </w:p>
    <w:p w14:paraId="419A458B" w14:textId="187155D2" w:rsidR="00FA3CF9" w:rsidRPr="00F94B7E" w:rsidRDefault="750671CE" w:rsidP="00F94B7E">
      <w:pPr>
        <w:pStyle w:val="ListParagraph"/>
        <w:numPr>
          <w:ilvl w:val="0"/>
          <w:numId w:val="124"/>
        </w:numPr>
        <w:ind w:left="0" w:firstLine="360"/>
        <w:rPr>
          <w:rFonts w:ascii="Times New Roman" w:eastAsia="Times New Roman" w:hAnsi="Times New Roman" w:cs="Times New Roman"/>
        </w:rPr>
      </w:pPr>
      <w:r w:rsidRPr="00130A05">
        <w:rPr>
          <w:rFonts w:ascii="Times New Roman" w:eastAsia="Times New Roman" w:hAnsi="Times New Roman" w:cs="Times New Roman"/>
          <w:i/>
          <w:iCs/>
        </w:rPr>
        <w:t>Local</w:t>
      </w:r>
      <w:r w:rsidRPr="00F94B7E">
        <w:rPr>
          <w:rFonts w:ascii="Times New Roman" w:eastAsia="Times New Roman" w:hAnsi="Times New Roman" w:cs="Times New Roman"/>
          <w:i/>
          <w:iCs/>
        </w:rPr>
        <w:t xml:space="preserve"> governmental immunity?</w:t>
      </w:r>
      <w:r w:rsidRPr="00F94B7E">
        <w:rPr>
          <w:rFonts w:ascii="Times New Roman" w:eastAsia="Times New Roman" w:hAnsi="Times New Roman" w:cs="Times New Roman"/>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F94B7E">
        <w:rPr>
          <w:rFonts w:ascii="Times New Roman" w:eastAsia="Times New Roman" w:hAnsi="Times New Roman" w:cs="Times New Roman"/>
          <w:i/>
          <w:iCs/>
        </w:rPr>
        <w:t>See</w:t>
      </w:r>
      <w:r w:rsidRPr="00F94B7E">
        <w:rPr>
          <w:rFonts w:ascii="Times New Roman" w:eastAsia="Times New Roman" w:hAnsi="Times New Roman" w:cs="Times New Roman"/>
        </w:rPr>
        <w:t xml:space="preserve"> Note, </w:t>
      </w:r>
      <w:r w:rsidRPr="00F94B7E">
        <w:rPr>
          <w:rFonts w:ascii="Times New Roman" w:eastAsia="Times New Roman" w:hAnsi="Times New Roman" w:cs="Times New Roman"/>
          <w:i/>
          <w:iCs/>
        </w:rPr>
        <w:t>Municipal Tort Liability</w:t>
      </w:r>
      <w:r w:rsidRPr="00F94B7E">
        <w:rPr>
          <w:rFonts w:ascii="Times New Roman" w:eastAsia="Times New Roman" w:hAnsi="Times New Roman" w:cs="Times New Roman"/>
        </w:rPr>
        <w:t xml:space="preserve">, 7 </w:t>
      </w:r>
      <w:r w:rsidRPr="00F94B7E">
        <w:rPr>
          <w:rFonts w:ascii="Times New Roman" w:eastAsia="Times New Roman" w:hAnsi="Times New Roman" w:cs="Times New Roman"/>
          <w:smallCaps/>
        </w:rPr>
        <w:t>Duke L.J</w:t>
      </w:r>
      <w:r w:rsidRPr="00F94B7E">
        <w:rPr>
          <w:rFonts w:ascii="Times New Roman" w:eastAsia="Times New Roman" w:hAnsi="Times New Roman" w:cs="Times New Roman"/>
        </w:rPr>
        <w:t xml:space="preserve">. 142, 142-43 (1958).  Today, the state-level waivers of sovereign immunity typically waive the sovereign immunity of local governments in their governmental capacity.  Nonetheless, questions of local government tort liability continue to raise tricky problems.  Consider the </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crazy love</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 case that gripped New York City for nearly a decade after the 1959 events that led to it:</w:t>
      </w:r>
    </w:p>
    <w:p w14:paraId="58D09130" w14:textId="77777777" w:rsidR="00FA3CF9" w:rsidRDefault="00FA3CF9">
      <w:pPr>
        <w:rPr>
          <w:rFonts w:ascii="Times New Roman" w:hAnsi="Times New Roman" w:cs="Times New Roman"/>
        </w:rPr>
      </w:pPr>
    </w:p>
    <w:p w14:paraId="7436ED1B" w14:textId="77777777" w:rsidR="005468ED" w:rsidRPr="00B06D0A" w:rsidRDefault="005468ED">
      <w:pPr>
        <w:rPr>
          <w:rFonts w:ascii="Times New Roman" w:hAnsi="Times New Roman" w:cs="Times New Roman"/>
        </w:rPr>
      </w:pPr>
    </w:p>
    <w:p w14:paraId="545EC7B6" w14:textId="77777777" w:rsidR="00FA3CF9" w:rsidRPr="00B06D0A" w:rsidRDefault="00FA3CF9">
      <w:pPr>
        <w:rPr>
          <w:rFonts w:ascii="Times New Roman" w:eastAsia="Times New Roman" w:hAnsi="Times New Roman" w:cs="Times New Roman"/>
          <w:b/>
          <w:bCs/>
        </w:rPr>
      </w:pPr>
      <w:bookmarkStart w:id="858" w:name="_Toc518323499"/>
      <w:r w:rsidRPr="003E7485">
        <w:rPr>
          <w:rStyle w:val="Heading4Char"/>
          <w:szCs w:val="24"/>
        </w:rPr>
        <w:t>Riss v. City of New York</w:t>
      </w:r>
      <w:bookmarkEnd w:id="858"/>
      <w:r w:rsidRPr="00B06D0A">
        <w:rPr>
          <w:rFonts w:ascii="Times New Roman" w:eastAsia="Times New Roman" w:hAnsi="Times New Roman" w:cs="Times New Roman"/>
          <w:b/>
          <w:bCs/>
          <w:i/>
          <w:iCs/>
        </w:rPr>
        <w:t xml:space="preserve">, </w:t>
      </w:r>
      <w:r w:rsidRPr="00B06D0A">
        <w:rPr>
          <w:rFonts w:ascii="Times New Roman" w:eastAsia="Times New Roman" w:hAnsi="Times New Roman" w:cs="Times New Roman"/>
          <w:b/>
          <w:bCs/>
        </w:rPr>
        <w:t>22 N.Y.2d 579 (1968)</w:t>
      </w:r>
    </w:p>
    <w:p w14:paraId="532072D3" w14:textId="77777777" w:rsidR="00FA3CF9" w:rsidRPr="00B06D0A" w:rsidRDefault="00FA3CF9">
      <w:pPr>
        <w:rPr>
          <w:rFonts w:ascii="Times New Roman" w:hAnsi="Times New Roman" w:cs="Times New Roman"/>
        </w:rPr>
      </w:pPr>
    </w:p>
    <w:p w14:paraId="1EE1DD19" w14:textId="55621E75"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smallCaps/>
        </w:rPr>
        <w:t>Breitel</w:t>
      </w:r>
      <w:r w:rsidRPr="00B06D0A">
        <w:rPr>
          <w:rFonts w:ascii="Times New Roman" w:eastAsia="Times New Roman" w:hAnsi="Times New Roman" w:cs="Times New Roman"/>
        </w:rPr>
        <w:t>, J.</w:t>
      </w:r>
    </w:p>
    <w:p w14:paraId="59EBD6C1" w14:textId="77777777" w:rsidR="00FA3CF9" w:rsidRPr="00B06D0A" w:rsidRDefault="00FA3CF9">
      <w:pPr>
        <w:rPr>
          <w:rFonts w:ascii="Times New Roman" w:hAnsi="Times New Roman" w:cs="Times New Roman"/>
        </w:rPr>
      </w:pPr>
    </w:p>
    <w:p w14:paraId="479A9FAD"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B06D0A" w:rsidRDefault="00FA3CF9">
      <w:pPr>
        <w:rPr>
          <w:rFonts w:ascii="Times New Roman" w:hAnsi="Times New Roman" w:cs="Times New Roman"/>
        </w:rPr>
      </w:pPr>
    </w:p>
    <w:p w14:paraId="3A6256FF"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B06D0A" w:rsidRDefault="00FA3CF9">
      <w:pPr>
        <w:rPr>
          <w:rFonts w:ascii="Times New Roman" w:hAnsi="Times New Roman" w:cs="Times New Roman"/>
        </w:rPr>
      </w:pPr>
    </w:p>
    <w:p w14:paraId="2D887B6E" w14:textId="4EF623D8"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In contrast, this case involves the provision of a governmental service to protect the public generally from external hazards and particularly to control the activities of criminal wrongdoers.</w:t>
      </w:r>
      <w:r w:rsidR="00943897">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B06D0A" w:rsidRDefault="00FA3CF9">
      <w:pPr>
        <w:rPr>
          <w:rFonts w:ascii="Times New Roman" w:hAnsi="Times New Roman" w:cs="Times New Roman"/>
        </w:rPr>
      </w:pPr>
    </w:p>
    <w:p w14:paraId="16E1E43A" w14:textId="53C9E50B"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Before such extension of responsibilities should be dictated by the indirect imposition of tort liabilities, there should be a legislative determination that that should be the scope of public responsibility </w:t>
      </w:r>
      <w:r w:rsidR="00943897">
        <w:rPr>
          <w:rFonts w:ascii="Times New Roman" w:eastAsia="Times New Roman" w:hAnsi="Times New Roman" w:cs="Times New Roman"/>
        </w:rPr>
        <w:t xml:space="preserve">. . . </w:t>
      </w:r>
      <w:r w:rsidRPr="00B06D0A">
        <w:rPr>
          <w:rFonts w:ascii="Times New Roman" w:eastAsia="Times New Roman" w:hAnsi="Times New Roman" w:cs="Times New Roman"/>
        </w:rPr>
        <w:t>.</w:t>
      </w:r>
    </w:p>
    <w:p w14:paraId="72FD39F8" w14:textId="77777777" w:rsidR="00FA3CF9" w:rsidRPr="00B06D0A" w:rsidRDefault="00FA3CF9">
      <w:pPr>
        <w:rPr>
          <w:rFonts w:ascii="Times New Roman" w:hAnsi="Times New Roman" w:cs="Times New Roman"/>
        </w:rPr>
      </w:pPr>
    </w:p>
    <w:p w14:paraId="77A5C212" w14:textId="485119E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Yet even this class of liability has for some years been suspended by legislative action </w:t>
      </w:r>
      <w:r w:rsidR="00943897">
        <w:rPr>
          <w:rFonts w:ascii="Times New Roman" w:eastAsia="Times New Roman" w:hAnsi="Times New Roman" w:cs="Times New Roman"/>
        </w:rPr>
        <w:t xml:space="preserve">. . . </w:t>
      </w:r>
      <w:r w:rsidRPr="00B06D0A">
        <w:rPr>
          <w:rFonts w:ascii="Times New Roman" w:eastAsia="Times New Roman" w:hAnsi="Times New Roman" w:cs="Times New Roman"/>
        </w:rPr>
        <w:t>, a factor of considerable significance.</w:t>
      </w:r>
    </w:p>
    <w:p w14:paraId="2D132ACB" w14:textId="77777777" w:rsidR="00FA3CF9" w:rsidRPr="00B06D0A" w:rsidRDefault="00FA3CF9">
      <w:pPr>
        <w:rPr>
          <w:rFonts w:ascii="Times New Roman" w:hAnsi="Times New Roman" w:cs="Times New Roman"/>
        </w:rPr>
      </w:pPr>
    </w:p>
    <w:p w14:paraId="535D8A22"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B06D0A" w:rsidRDefault="00FA3CF9">
      <w:pPr>
        <w:rPr>
          <w:rFonts w:ascii="Times New Roman" w:hAnsi="Times New Roman" w:cs="Times New Roman"/>
        </w:rPr>
      </w:pPr>
    </w:p>
    <w:p w14:paraId="13A1CFEF" w14:textId="6A5AB45D" w:rsidR="00FA3CF9" w:rsidRPr="00B06D0A" w:rsidRDefault="750671CE">
      <w:pPr>
        <w:rPr>
          <w:rFonts w:ascii="Times New Roman" w:eastAsia="Times New Roman" w:hAnsi="Times New Roman" w:cs="Times New Roman"/>
        </w:rPr>
      </w:pPr>
      <w:r w:rsidRPr="00B06D0A">
        <w:rPr>
          <w:rFonts w:ascii="Times New Roman" w:eastAsia="Times New Roman" w:hAnsi="Times New Roman" w:cs="Times New Roman"/>
        </w:rPr>
        <w:t>. . .</w:t>
      </w:r>
    </w:p>
    <w:p w14:paraId="41B2B86D" w14:textId="77777777" w:rsidR="00FA3CF9" w:rsidRPr="00B06D0A" w:rsidRDefault="00FA3CF9">
      <w:pPr>
        <w:rPr>
          <w:rFonts w:ascii="Times New Roman" w:hAnsi="Times New Roman" w:cs="Times New Roman"/>
        </w:rPr>
      </w:pPr>
    </w:p>
    <w:p w14:paraId="0059F4B5"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B06D0A" w:rsidRDefault="00FA3CF9">
      <w:pPr>
        <w:rPr>
          <w:rFonts w:ascii="Times New Roman" w:hAnsi="Times New Roman" w:cs="Times New Roman"/>
        </w:rPr>
      </w:pPr>
    </w:p>
    <w:p w14:paraId="1FCEAB26"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Accordingly, the order of the Appellate Division affirming the judgment of dismissal should be affirmed.</w:t>
      </w:r>
    </w:p>
    <w:p w14:paraId="56889C76" w14:textId="77777777" w:rsidR="00FA3CF9" w:rsidRPr="00B06D0A" w:rsidRDefault="00FA3CF9">
      <w:pPr>
        <w:rPr>
          <w:rFonts w:ascii="Times New Roman" w:hAnsi="Times New Roman" w:cs="Times New Roman"/>
        </w:rPr>
      </w:pPr>
    </w:p>
    <w:p w14:paraId="51E74E1B" w14:textId="2D76A56C" w:rsidR="00FA3CF9" w:rsidRPr="00B06D0A" w:rsidRDefault="750671CE">
      <w:pPr>
        <w:rPr>
          <w:rFonts w:ascii="Times New Roman" w:eastAsia="Times New Roman" w:hAnsi="Times New Roman" w:cs="Times New Roman"/>
        </w:rPr>
      </w:pPr>
      <w:r w:rsidRPr="00F94B7E">
        <w:rPr>
          <w:rFonts w:ascii="Times New Roman" w:eastAsia="Times New Roman" w:hAnsi="Times New Roman" w:cs="Times New Roman"/>
          <w:smallCaps/>
        </w:rPr>
        <w:t>K</w:t>
      </w:r>
      <w:r w:rsidR="00C52213" w:rsidRPr="00F94B7E">
        <w:rPr>
          <w:rFonts w:ascii="Times New Roman" w:eastAsia="Times New Roman" w:hAnsi="Times New Roman" w:cs="Times New Roman"/>
          <w:smallCaps/>
        </w:rPr>
        <w:t>eating</w:t>
      </w:r>
      <w:r w:rsidRPr="00B06D0A">
        <w:rPr>
          <w:rFonts w:ascii="Times New Roman" w:eastAsia="Times New Roman" w:hAnsi="Times New Roman" w:cs="Times New Roman"/>
        </w:rPr>
        <w:t>, J</w:t>
      </w:r>
      <w:r w:rsidR="00130A05">
        <w:rPr>
          <w:rFonts w:ascii="Times New Roman" w:eastAsia="Times New Roman" w:hAnsi="Times New Roman" w:cs="Times New Roman"/>
        </w:rPr>
        <w:t xml:space="preserve">., </w:t>
      </w:r>
      <w:r w:rsidRPr="00B06D0A">
        <w:rPr>
          <w:rFonts w:ascii="Times New Roman" w:eastAsia="Times New Roman" w:hAnsi="Times New Roman" w:cs="Times New Roman"/>
        </w:rPr>
        <w:t>dissenting.</w:t>
      </w:r>
    </w:p>
    <w:p w14:paraId="31AC4996" w14:textId="77777777" w:rsidR="00FA3CF9" w:rsidRPr="00B06D0A" w:rsidRDefault="00FA3CF9">
      <w:pPr>
        <w:rPr>
          <w:rFonts w:ascii="Times New Roman" w:hAnsi="Times New Roman" w:cs="Times New Roman"/>
        </w:rPr>
      </w:pPr>
    </w:p>
    <w:p w14:paraId="398FC8EC" w14:textId="01724979"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If I can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t have you, no one else will have you, and when I get through with you, no one else will want you.</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fear for her life, she went to those charged by law with the duty of preserving and safeguarding the lives of the citizens and residents of this State. Linda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last chance.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Completely distraught, she called the police, begging for help, but was refused. The next day Pugach carried out his dire threats in the very manner he had foretold by having a hired thug throw lye in Linda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face. Linda was blinded in one eye, lost a good portion of her vision in the other, and her face was permanently scarred. After the assault the authorities concluded that there was some basis for Linda</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fears, and for the next three and one-half years, she was given around-the-clock protection. . . .</w:t>
      </w:r>
    </w:p>
    <w:p w14:paraId="5C1BDFDF" w14:textId="77777777" w:rsidR="00FA3CF9" w:rsidRPr="00B06D0A" w:rsidRDefault="00FA3CF9">
      <w:pPr>
        <w:rPr>
          <w:rFonts w:ascii="Times New Roman" w:hAnsi="Times New Roman" w:cs="Times New Roman"/>
        </w:rPr>
      </w:pPr>
    </w:p>
    <w:p w14:paraId="34685B8F"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28D45DB" w14:textId="77777777" w:rsidR="00FA3CF9" w:rsidRPr="00B06D0A" w:rsidRDefault="00FA3CF9">
      <w:pPr>
        <w:rPr>
          <w:rFonts w:ascii="Times New Roman" w:hAnsi="Times New Roman" w:cs="Times New Roman"/>
        </w:rPr>
      </w:pPr>
    </w:p>
    <w:p w14:paraId="20BDB249" w14:textId="3BB4F2C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What makes the city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286D5830" w14:textId="77777777" w:rsidR="00FA3CF9" w:rsidRPr="00B06D0A" w:rsidRDefault="00FA3CF9">
      <w:pPr>
        <w:rPr>
          <w:rFonts w:ascii="Times New Roman" w:hAnsi="Times New Roman" w:cs="Times New Roman"/>
        </w:rPr>
      </w:pPr>
    </w:p>
    <w:p w14:paraId="05DCEFB9" w14:textId="59FCECC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It is not a distortion to summarize the essence of the city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case here in the following language: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Because we owe a duty to everybody, we owe it to nobody.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B06D0A" w:rsidRDefault="00FA3CF9">
      <w:pPr>
        <w:rPr>
          <w:rFonts w:ascii="Times New Roman" w:hAnsi="Times New Roman" w:cs="Times New Roman"/>
        </w:rPr>
      </w:pPr>
    </w:p>
    <w:p w14:paraId="02F69529" w14:textId="7E0BCD65"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 . . The city invokes the specter of a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crushing burden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00FA0CAD">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Pr>
          <w:rFonts w:ascii="Times New Roman" w:eastAsia="Times New Roman" w:hAnsi="Times New Roman" w:cs="Times New Roman"/>
        </w:rPr>
        <w:t xml:space="preserve">. . . </w:t>
      </w:r>
    </w:p>
    <w:p w14:paraId="48C4FF11" w14:textId="77777777" w:rsidR="00FA3CF9" w:rsidRPr="00B06D0A" w:rsidRDefault="00FA3CF9">
      <w:pPr>
        <w:rPr>
          <w:rFonts w:ascii="Times New Roman" w:hAnsi="Times New Roman" w:cs="Times New Roman"/>
        </w:rPr>
      </w:pPr>
    </w:p>
    <w:p w14:paraId="4879F95B" w14:textId="25D3924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The fear of financial disaster is a myth. The same argument was made a generation ago in opposition to proposals that the State waive its defense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sovereign immunity.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failure to provide sufficient police to protect Linda is contrary to the most elementary notions of justice. . . .</w:t>
      </w:r>
    </w:p>
    <w:p w14:paraId="0A600229" w14:textId="77777777" w:rsidR="00FA3CF9" w:rsidRPr="00B06D0A" w:rsidRDefault="00FA3CF9">
      <w:pPr>
        <w:rPr>
          <w:rFonts w:ascii="Times New Roman" w:hAnsi="Times New Roman" w:cs="Times New Roman"/>
        </w:rPr>
      </w:pPr>
    </w:p>
    <w:p w14:paraId="203F9A2A" w14:textId="40A0827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Another variation of the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crushing burden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B06D0A" w:rsidRDefault="00FA3CF9">
      <w:pPr>
        <w:rPr>
          <w:rFonts w:ascii="Times New Roman" w:hAnsi="Times New Roman" w:cs="Times New Roman"/>
        </w:rPr>
      </w:pPr>
    </w:p>
    <w:p w14:paraId="734AA117" w14:textId="0C297A9A"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If the police department is in such a deplorable state that the city, because of insufficient manpower, is truly unable to protect persons in Linda Riss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position, then liability 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B06D0A" w:rsidRDefault="00FA3CF9">
      <w:pPr>
        <w:rPr>
          <w:rFonts w:ascii="Times New Roman" w:hAnsi="Times New Roman" w:cs="Times New Roman"/>
        </w:rPr>
      </w:pPr>
    </w:p>
    <w:p w14:paraId="1CD685A2" w14:textId="3FD058A0"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appeal for help because there was absolutely no manpower available to deal with Pugach. This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garden variety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negligence case arose in the course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day-by-day operations of government.</w:t>
      </w:r>
      <w:r w:rsidR="00B05F31" w:rsidRPr="00B06D0A">
        <w:rPr>
          <w:rFonts w:ascii="Times New Roman" w:eastAsia="Times New Roman" w:hAnsi="Times New Roman" w:cs="Times New Roman"/>
        </w:rPr>
        <w:t>”</w:t>
      </w:r>
      <w:r w:rsidR="00C55B81">
        <w:rPr>
          <w:rFonts w:ascii="Times New Roman" w:eastAsia="Times New Roman" w:hAnsi="Times New Roman" w:cs="Times New Roman"/>
        </w:rPr>
        <w:t xml:space="preserve"> . . .</w:t>
      </w:r>
      <w:r w:rsidRPr="00B06D0A">
        <w:rPr>
          <w:rFonts w:ascii="Times New Roman" w:eastAsia="Times New Roman" w:hAnsi="Times New Roman" w:cs="Times New Roman"/>
        </w:rPr>
        <w:t xml:space="preserve"> Linda Riss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tragedy resulted not from high policy or inadequate manpower, but plain negligence on the part of persons with whom Linda dealt</w:t>
      </w:r>
      <w:r w:rsidR="00C55B81">
        <w:rPr>
          <w:rFonts w:ascii="Times New Roman" w:eastAsia="Times New Roman" w:hAnsi="Times New Roman" w:cs="Times New Roman"/>
        </w:rPr>
        <w:t xml:space="preserve"> . . .</w:t>
      </w:r>
      <w:r w:rsidR="00B946D2">
        <w:rPr>
          <w:rFonts w:ascii="Times New Roman" w:eastAsia="Times New Roman" w:hAnsi="Times New Roman" w:cs="Times New Roman"/>
        </w:rPr>
        <w:t xml:space="preserve"> .</w:t>
      </w:r>
    </w:p>
    <w:p w14:paraId="6CD16939" w14:textId="77777777" w:rsidR="00FA3CF9" w:rsidRPr="00B06D0A" w:rsidRDefault="00FA3CF9">
      <w:pPr>
        <w:rPr>
          <w:rFonts w:ascii="Times New Roman" w:hAnsi="Times New Roman" w:cs="Times New Roman"/>
        </w:rPr>
      </w:pPr>
    </w:p>
    <w:p w14:paraId="38BE9396" w14:textId="2C876F8C"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Pr>
          <w:rFonts w:ascii="Times New Roman" w:eastAsia="Times New Roman" w:hAnsi="Times New Roman" w:cs="Times New Roman"/>
        </w:rPr>
        <w:t xml:space="preserve">. </w:t>
      </w:r>
      <w:r w:rsidRPr="00B06D0A">
        <w:rPr>
          <w:rFonts w:ascii="Times New Roman" w:eastAsia="Times New Roman" w:hAnsi="Times New Roman" w:cs="Times New Roman"/>
        </w:rPr>
        <w:t>Every time a municipality is held liable for a defective sidewalk, it is as if the courts are saying that more . . . resources should have been allocated to sidewalk repair . . .</w:t>
      </w:r>
      <w:r w:rsidR="00FA0CAD">
        <w:rPr>
          <w:rFonts w:ascii="Times New Roman" w:eastAsia="Times New Roman" w:hAnsi="Times New Roman" w:cs="Times New Roman"/>
        </w:rPr>
        <w:t xml:space="preserve"> .</w:t>
      </w:r>
    </w:p>
    <w:p w14:paraId="0230C048" w14:textId="77777777" w:rsidR="00FA3CF9" w:rsidRPr="00B06D0A" w:rsidRDefault="00FA3CF9">
      <w:pPr>
        <w:rPr>
          <w:rFonts w:ascii="Times New Roman" w:hAnsi="Times New Roman" w:cs="Times New Roman"/>
        </w:rPr>
      </w:pPr>
    </w:p>
    <w:p w14:paraId="234D3504"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B06D0A" w:rsidRDefault="00FA3CF9">
      <w:pPr>
        <w:rPr>
          <w:rFonts w:ascii="Times New Roman" w:hAnsi="Times New Roman" w:cs="Times New Roman"/>
        </w:rPr>
      </w:pPr>
    </w:p>
    <w:p w14:paraId="303710A6" w14:textId="7FE052D9"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meddle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B06D0A" w:rsidRDefault="00FA3CF9">
      <w:pPr>
        <w:rPr>
          <w:rFonts w:ascii="Times New Roman" w:hAnsi="Times New Roman" w:cs="Times New Roman"/>
        </w:rPr>
      </w:pPr>
    </w:p>
    <w:p w14:paraId="7FA00AF3"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B06D0A" w:rsidRDefault="00FA3CF9">
      <w:pPr>
        <w:rPr>
          <w:rFonts w:ascii="Times New Roman" w:hAnsi="Times New Roman" w:cs="Times New Roman"/>
        </w:rPr>
      </w:pPr>
    </w:p>
    <w:p w14:paraId="262BA1BD" w14:textId="6FA0AB30"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compensation resulted in improved industrial safety practices. To visit liability upon the city here will no doubt have similar constructive effects. . . .</w:t>
      </w:r>
    </w:p>
    <w:p w14:paraId="72E8878E" w14:textId="77777777" w:rsidR="00FA3CF9" w:rsidRPr="00B06D0A" w:rsidRDefault="00FA3CF9">
      <w:pPr>
        <w:rPr>
          <w:rFonts w:ascii="Times New Roman" w:hAnsi="Times New Roman" w:cs="Times New Roman"/>
        </w:rPr>
      </w:pPr>
    </w:p>
    <w:p w14:paraId="5DA53FC1" w14:textId="507851EE"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sovereign immunity.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B06D0A" w:rsidRDefault="00FA3CF9">
      <w:pPr>
        <w:rPr>
          <w:rFonts w:ascii="Times New Roman" w:hAnsi="Times New Roman" w:cs="Times New Roman"/>
        </w:rPr>
      </w:pPr>
    </w:p>
    <w:p w14:paraId="379D7F1E" w14:textId="4D88BAD8" w:rsidR="00FA3CF9" w:rsidRPr="00B06D0A" w:rsidRDefault="750671CE">
      <w:pPr>
        <w:rPr>
          <w:rFonts w:ascii="Times New Roman" w:eastAsia="Times New Roman" w:hAnsi="Times New Roman" w:cs="Times New Roman"/>
        </w:rPr>
      </w:pPr>
      <w:r w:rsidRPr="00F94B7E">
        <w:rPr>
          <w:rFonts w:ascii="Times New Roman" w:eastAsia="Times New Roman" w:hAnsi="Times New Roman" w:cs="Times New Roman"/>
          <w:smallCaps/>
        </w:rPr>
        <w:t>F</w:t>
      </w:r>
      <w:r w:rsidR="00977BFD" w:rsidRPr="00F94B7E">
        <w:rPr>
          <w:rFonts w:ascii="Times New Roman" w:eastAsia="Times New Roman" w:hAnsi="Times New Roman" w:cs="Times New Roman"/>
          <w:smallCaps/>
        </w:rPr>
        <w:t>uld</w:t>
      </w:r>
      <w:r w:rsidRPr="00B06D0A">
        <w:rPr>
          <w:rFonts w:ascii="Times New Roman" w:eastAsia="Times New Roman" w:hAnsi="Times New Roman" w:cs="Times New Roman"/>
        </w:rPr>
        <w:t>, C.J., and B</w:t>
      </w:r>
      <w:r w:rsidR="00977BFD" w:rsidRPr="00F94B7E">
        <w:rPr>
          <w:rFonts w:ascii="Times New Roman" w:eastAsia="Times New Roman" w:hAnsi="Times New Roman" w:cs="Times New Roman"/>
          <w:smallCaps/>
        </w:rPr>
        <w:t>urke</w:t>
      </w:r>
      <w:r w:rsidRPr="00F94B7E">
        <w:rPr>
          <w:rFonts w:ascii="Times New Roman" w:eastAsia="Times New Roman" w:hAnsi="Times New Roman" w:cs="Times New Roman"/>
          <w:smallCaps/>
        </w:rPr>
        <w:t>, S</w:t>
      </w:r>
      <w:r w:rsidR="00977BFD" w:rsidRPr="00F94B7E">
        <w:rPr>
          <w:rFonts w:ascii="Times New Roman" w:eastAsia="Times New Roman" w:hAnsi="Times New Roman" w:cs="Times New Roman"/>
          <w:smallCaps/>
        </w:rPr>
        <w:t>cileppi</w:t>
      </w:r>
      <w:r w:rsidRPr="00F94B7E">
        <w:rPr>
          <w:rFonts w:ascii="Times New Roman" w:eastAsia="Times New Roman" w:hAnsi="Times New Roman" w:cs="Times New Roman"/>
          <w:smallCaps/>
        </w:rPr>
        <w:t>, B</w:t>
      </w:r>
      <w:r w:rsidR="00977BFD" w:rsidRPr="00F94B7E">
        <w:rPr>
          <w:rFonts w:ascii="Times New Roman" w:eastAsia="Times New Roman" w:hAnsi="Times New Roman" w:cs="Times New Roman"/>
          <w:smallCaps/>
        </w:rPr>
        <w:t>ergan</w:t>
      </w:r>
      <w:r w:rsidRPr="00B06D0A">
        <w:rPr>
          <w:rFonts w:ascii="Times New Roman" w:eastAsia="Times New Roman" w:hAnsi="Times New Roman" w:cs="Times New Roman"/>
        </w:rPr>
        <w:t xml:space="preserve"> and </w:t>
      </w:r>
      <w:r w:rsidRPr="00F94B7E">
        <w:rPr>
          <w:rFonts w:ascii="Times New Roman" w:eastAsia="Times New Roman" w:hAnsi="Times New Roman" w:cs="Times New Roman"/>
          <w:smallCaps/>
        </w:rPr>
        <w:t>J</w:t>
      </w:r>
      <w:r w:rsidR="00977BFD" w:rsidRPr="00F94B7E">
        <w:rPr>
          <w:rFonts w:ascii="Times New Roman" w:eastAsia="Times New Roman" w:hAnsi="Times New Roman" w:cs="Times New Roman"/>
          <w:smallCaps/>
        </w:rPr>
        <w:t>asen</w:t>
      </w:r>
      <w:r w:rsidRPr="00B06D0A">
        <w:rPr>
          <w:rFonts w:ascii="Times New Roman" w:eastAsia="Times New Roman" w:hAnsi="Times New Roman" w:cs="Times New Roman"/>
        </w:rPr>
        <w:t xml:space="preserve">, JJ. concur with </w:t>
      </w:r>
      <w:r w:rsidRPr="00F94B7E">
        <w:rPr>
          <w:rFonts w:ascii="Times New Roman" w:eastAsia="Times New Roman" w:hAnsi="Times New Roman" w:cs="Times New Roman"/>
          <w:smallCaps/>
        </w:rPr>
        <w:t>B</w:t>
      </w:r>
      <w:r w:rsidR="00977BFD" w:rsidRPr="00F94B7E">
        <w:rPr>
          <w:rFonts w:ascii="Times New Roman" w:eastAsia="Times New Roman" w:hAnsi="Times New Roman" w:cs="Times New Roman"/>
          <w:smallCaps/>
        </w:rPr>
        <w:t>reitel</w:t>
      </w:r>
      <w:r w:rsidRPr="00B06D0A">
        <w:rPr>
          <w:rFonts w:ascii="Times New Roman" w:eastAsia="Times New Roman" w:hAnsi="Times New Roman" w:cs="Times New Roman"/>
        </w:rPr>
        <w:t>, J.</w:t>
      </w:r>
    </w:p>
    <w:p w14:paraId="30227FEF" w14:textId="77777777" w:rsidR="00FA3CF9" w:rsidRPr="00B06D0A" w:rsidRDefault="00FA3CF9">
      <w:pPr>
        <w:rPr>
          <w:rFonts w:ascii="Times New Roman" w:hAnsi="Times New Roman" w:cs="Times New Roman"/>
        </w:rPr>
      </w:pPr>
    </w:p>
    <w:p w14:paraId="3692CC17" w14:textId="77777777" w:rsidR="00FA3CF9" w:rsidRPr="00B06D0A" w:rsidRDefault="00FA3CF9">
      <w:pPr>
        <w:spacing w:after="160"/>
        <w:rPr>
          <w:rFonts w:ascii="Times New Roman" w:hAnsi="Times New Roman" w:cs="Times New Roman"/>
        </w:rPr>
      </w:pPr>
    </w:p>
    <w:p w14:paraId="38AC6725" w14:textId="77777777" w:rsidR="00FA3CF9" w:rsidRPr="00A559C4" w:rsidRDefault="00FA3CF9" w:rsidP="00AB034A">
      <w:pPr>
        <w:pStyle w:val="Heading5"/>
      </w:pPr>
      <w:bookmarkStart w:id="859" w:name="_Toc364636245"/>
      <w:bookmarkStart w:id="860" w:name="_Toc518323500"/>
      <w:r w:rsidRPr="00C14ACE">
        <w:t>Notes</w:t>
      </w:r>
      <w:bookmarkEnd w:id="859"/>
      <w:bookmarkEnd w:id="860"/>
    </w:p>
    <w:p w14:paraId="48FDD9A5" w14:textId="77777777" w:rsidR="00FA3CF9" w:rsidRDefault="00FA3CF9" w:rsidP="00F94B7E">
      <w:pPr>
        <w:rPr>
          <w:rFonts w:ascii="Times New Roman" w:hAnsi="Times New Roman" w:cs="Times New Roman"/>
        </w:rPr>
      </w:pPr>
    </w:p>
    <w:p w14:paraId="21A42B77" w14:textId="77777777" w:rsidR="005468ED" w:rsidRPr="00B06D0A" w:rsidRDefault="005468ED" w:rsidP="00F94B7E">
      <w:pPr>
        <w:rPr>
          <w:rFonts w:ascii="Times New Roman" w:hAnsi="Times New Roman" w:cs="Times New Roman"/>
        </w:rPr>
      </w:pPr>
    </w:p>
    <w:p w14:paraId="4D937BA9" w14:textId="490EE409" w:rsidR="00FA3CF9" w:rsidRPr="00F94B7E" w:rsidRDefault="750671CE" w:rsidP="00F94B7E">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Crazy love.  </w:t>
      </w:r>
      <w:r w:rsidRPr="00F94B7E">
        <w:rPr>
          <w:rFonts w:ascii="Times New Roman" w:eastAsia="Times New Roman" w:hAnsi="Times New Roman" w:cs="Times New Roman"/>
        </w:rPr>
        <w:t>Burton Pugach, the lawyer responsible for Linda Riss</w:t>
      </w:r>
      <w:r w:rsidR="00B05F31" w:rsidRPr="00F94B7E">
        <w:rPr>
          <w:rFonts w:ascii="Times New Roman" w:eastAsia="Times New Roman" w:hAnsi="Times New Roman" w:cs="Times New Roman"/>
        </w:rPr>
        <w:t>’</w:t>
      </w:r>
      <w:r w:rsidR="00922343">
        <w:rPr>
          <w:rFonts w:ascii="Times New Roman" w:eastAsia="Times New Roman" w:hAnsi="Times New Roman" w:cs="Times New Roman"/>
        </w:rPr>
        <w:t>s</w:t>
      </w:r>
      <w:r w:rsidRPr="00F94B7E">
        <w:rPr>
          <w:rFonts w:ascii="Times New Roman" w:eastAsia="Times New Roman" w:hAnsi="Times New Roman" w:cs="Times New Roman"/>
        </w:rPr>
        <w:t xml:space="preserve"> disfigurement, was convicted of assault and sentenced to prison for his attack on Riss.  During his fourteen-years in prison, he continued to write love letters to her. Eight months after Pugach was paroled, he and Riss resumed their relationship. They married soon thereafter. In 1997, Pugach was indicted for sexually abusing and threatening to kill another woman. During his trial, Riss testified on her husband</w:t>
      </w:r>
      <w:r w:rsidR="00B05F31" w:rsidRPr="00F94B7E">
        <w:rPr>
          <w:rFonts w:ascii="Times New Roman" w:eastAsia="Times New Roman" w:hAnsi="Times New Roman" w:cs="Times New Roman"/>
        </w:rPr>
        <w:t>’</w:t>
      </w:r>
      <w:r w:rsidRPr="00F94B7E">
        <w:rPr>
          <w:rFonts w:ascii="Times New Roman" w:eastAsia="Times New Roman" w:hAnsi="Times New Roman" w:cs="Times New Roman"/>
        </w:rPr>
        <w:t xml:space="preserve">s behalf. Despite his conviction and subsequent imprisonment, they remained married. The film </w:t>
      </w:r>
      <w:r w:rsidRPr="00F94B7E">
        <w:rPr>
          <w:rFonts w:ascii="Times New Roman" w:eastAsia="Times New Roman" w:hAnsi="Times New Roman" w:cs="Times New Roman"/>
          <w:i/>
          <w:iCs/>
        </w:rPr>
        <w:t>Crazy Love</w:t>
      </w:r>
      <w:r w:rsidRPr="00F94B7E">
        <w:rPr>
          <w:rFonts w:ascii="Times New Roman" w:eastAsia="Times New Roman" w:hAnsi="Times New Roman" w:cs="Times New Roman"/>
        </w:rPr>
        <w:t xml:space="preserve"> documents their relationship. </w:t>
      </w:r>
      <w:r w:rsidRPr="00F94B7E">
        <w:rPr>
          <w:rFonts w:ascii="Times New Roman" w:eastAsia="Times New Roman" w:hAnsi="Times New Roman" w:cs="Times New Roman"/>
          <w:smallCaps/>
        </w:rPr>
        <w:t>Crazy Love</w:t>
      </w:r>
      <w:r w:rsidRPr="00F94B7E">
        <w:rPr>
          <w:rFonts w:ascii="Times New Roman" w:eastAsia="Times New Roman" w:hAnsi="Times New Roman" w:cs="Times New Roman"/>
        </w:rPr>
        <w:t xml:space="preserve"> (Magnolia Pictures 2007). </w:t>
      </w:r>
      <w:r w:rsidRPr="00F94B7E">
        <w:rPr>
          <w:rFonts w:ascii="Times New Roman" w:eastAsia="Times New Roman" w:hAnsi="Times New Roman" w:cs="Times New Roman"/>
          <w:i/>
          <w:iCs/>
        </w:rPr>
        <w:t>See also</w:t>
      </w:r>
      <w:r w:rsidRPr="00F94B7E">
        <w:rPr>
          <w:rFonts w:ascii="Times New Roman" w:eastAsia="Times New Roman" w:hAnsi="Times New Roman" w:cs="Times New Roman"/>
        </w:rPr>
        <w:t xml:space="preserve"> Ruth La Ferla, </w:t>
      </w:r>
      <w:r w:rsidRPr="00F94B7E">
        <w:rPr>
          <w:rFonts w:ascii="Times New Roman" w:eastAsia="Times New Roman" w:hAnsi="Times New Roman" w:cs="Times New Roman"/>
          <w:i/>
          <w:iCs/>
        </w:rPr>
        <w:t>What</w:t>
      </w:r>
      <w:r w:rsidR="00B05F31" w:rsidRPr="00F94B7E">
        <w:rPr>
          <w:rFonts w:ascii="Times New Roman" w:eastAsia="Times New Roman" w:hAnsi="Times New Roman" w:cs="Times New Roman"/>
          <w:i/>
          <w:iCs/>
        </w:rPr>
        <w:t>’</w:t>
      </w:r>
      <w:r w:rsidRPr="00F94B7E">
        <w:rPr>
          <w:rFonts w:ascii="Times New Roman" w:eastAsia="Times New Roman" w:hAnsi="Times New Roman" w:cs="Times New Roman"/>
          <w:i/>
          <w:iCs/>
        </w:rPr>
        <w:t>s Love Got to Do With It?</w:t>
      </w:r>
      <w:r w:rsidRPr="00F94B7E">
        <w:rPr>
          <w:rFonts w:ascii="Times New Roman" w:eastAsia="Times New Roman" w:hAnsi="Times New Roman" w:cs="Times New Roman"/>
        </w:rPr>
        <w:t xml:space="preserve">, </w:t>
      </w:r>
      <w:r w:rsidRPr="00F94B7E">
        <w:rPr>
          <w:rFonts w:ascii="Times New Roman" w:eastAsia="Times New Roman" w:hAnsi="Times New Roman" w:cs="Times New Roman"/>
          <w:smallCaps/>
        </w:rPr>
        <w:t>N.Y. Times</w:t>
      </w:r>
      <w:r w:rsidRPr="00F94B7E">
        <w:rPr>
          <w:rFonts w:ascii="Times New Roman" w:eastAsia="Times New Roman" w:hAnsi="Times New Roman" w:cs="Times New Roman"/>
        </w:rPr>
        <w:t>, May 27, 2007, at H1.</w:t>
      </w:r>
    </w:p>
    <w:p w14:paraId="2DFBF1BD" w14:textId="77777777" w:rsidR="00FA3CF9" w:rsidRDefault="00FA3CF9" w:rsidP="005468ED">
      <w:pPr>
        <w:rPr>
          <w:rFonts w:ascii="Times New Roman" w:hAnsi="Times New Roman" w:cs="Times New Roman"/>
        </w:rPr>
      </w:pPr>
    </w:p>
    <w:p w14:paraId="51151650" w14:textId="77777777" w:rsidR="005468ED" w:rsidRPr="00B06D0A" w:rsidRDefault="005468ED" w:rsidP="005468ED">
      <w:pPr>
        <w:rPr>
          <w:rFonts w:ascii="Times New Roman" w:hAnsi="Times New Roman" w:cs="Times New Roman"/>
        </w:rPr>
      </w:pPr>
    </w:p>
    <w:p w14:paraId="3575B65A" w14:textId="003B4115" w:rsidR="00FA3CF9" w:rsidRPr="00F94B7E" w:rsidRDefault="750671CE" w:rsidP="00F94B7E">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Political accountability?</w:t>
      </w:r>
      <w:r w:rsidRPr="00F94B7E">
        <w:rPr>
          <w:rFonts w:ascii="Times New Roman" w:eastAsia="Times New Roman" w:hAnsi="Times New Roman" w:cs="Times New Roman"/>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Default="00FA3CF9">
      <w:pPr>
        <w:rPr>
          <w:rFonts w:ascii="Times New Roman" w:hAnsi="Times New Roman" w:cs="Times New Roman"/>
        </w:rPr>
      </w:pPr>
    </w:p>
    <w:p w14:paraId="3105EE9A" w14:textId="77777777" w:rsidR="005468ED" w:rsidRPr="00B06D0A" w:rsidRDefault="005468ED">
      <w:pPr>
        <w:rPr>
          <w:rFonts w:ascii="Times New Roman" w:hAnsi="Times New Roman" w:cs="Times New Roman"/>
        </w:rPr>
      </w:pPr>
    </w:p>
    <w:p w14:paraId="082952F8" w14:textId="3752128F" w:rsidR="00FA3CF9" w:rsidRPr="00F94B7E" w:rsidRDefault="750671CE" w:rsidP="00F94B7E">
      <w:pPr>
        <w:pStyle w:val="ListParagraph"/>
        <w:numPr>
          <w:ilvl w:val="0"/>
          <w:numId w:val="125"/>
        </w:numPr>
        <w:ind w:left="0" w:firstLine="360"/>
        <w:rPr>
          <w:rFonts w:ascii="Times New Roman" w:eastAsia="Times New Roman" w:hAnsi="Times New Roman" w:cs="Times New Roman"/>
        </w:rPr>
      </w:pPr>
      <w:r w:rsidRPr="00F94B7E">
        <w:rPr>
          <w:rFonts w:ascii="Times New Roman" w:eastAsia="Times New Roman" w:hAnsi="Times New Roman" w:cs="Times New Roman"/>
          <w:i/>
          <w:iCs/>
        </w:rPr>
        <w:t xml:space="preserve">Potholes in the law. </w:t>
      </w:r>
      <w:r w:rsidRPr="00F94B7E">
        <w:rPr>
          <w:rFonts w:ascii="Times New Roman" w:eastAsia="Times New Roman" w:hAnsi="Times New Roman" w:cs="Times New Roman"/>
        </w:rPr>
        <w:t xml:space="preserve">State level waivers of sovereign immunity often include exceptions or special treatment for recurring problems.  </w:t>
      </w:r>
    </w:p>
    <w:p w14:paraId="3460B2A9" w14:textId="77777777" w:rsidR="00FA3CF9" w:rsidRPr="00B06D0A" w:rsidRDefault="00FA3CF9">
      <w:pPr>
        <w:rPr>
          <w:rFonts w:ascii="Times New Roman" w:hAnsi="Times New Roman" w:cs="Times New Roman"/>
        </w:rPr>
      </w:pPr>
    </w:p>
    <w:p w14:paraId="7CB2CA91" w14:textId="629ECFFD" w:rsidR="00FA3CF9" w:rsidRPr="00B06D0A" w:rsidRDefault="750671CE" w:rsidP="00F94B7E">
      <w:pPr>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rPr>
        <w:t>Consider, for example, the lowly pothole. A New York statute immunizes the state from liability arising from pothole-related claims between November 1 and May 15</w:t>
      </w:r>
      <w:r w:rsidR="00935378" w:rsidRPr="00935378">
        <w:rPr>
          <w:rFonts w:ascii="Times New Roman" w:eastAsia="Times New Roman" w:hAnsi="Times New Roman" w:cs="Times New Roman"/>
        </w:rPr>
        <w:t>—</w:t>
      </w:r>
      <w:r w:rsidRPr="00B06D0A">
        <w:rPr>
          <w:rFonts w:ascii="Times New Roman" w:eastAsia="Times New Roman" w:hAnsi="Times New Roman" w:cs="Times New Roman"/>
        </w:rPr>
        <w:t xml:space="preserve">the season in which ice and snow creates the most severe pothole problems. </w:t>
      </w:r>
      <w:r w:rsidRPr="00B06D0A">
        <w:rPr>
          <w:rFonts w:ascii="Times New Roman" w:eastAsia="Times New Roman" w:hAnsi="Times New Roman" w:cs="Times New Roman"/>
          <w:smallCaps/>
          <w:color w:val="000000" w:themeColor="text1"/>
        </w:rPr>
        <w:t>N.Y. High. Law</w:t>
      </w:r>
      <w:r w:rsidRPr="00B06D0A">
        <w:rPr>
          <w:rFonts w:ascii="Times New Roman" w:eastAsia="Times New Roman" w:hAnsi="Times New Roman" w:cs="Times New Roman"/>
          <w:color w:val="000000" w:themeColor="text1"/>
        </w:rPr>
        <w:t xml:space="preserve"> § 58 (McKinney 2014); </w:t>
      </w:r>
      <w:r w:rsidRPr="00B06D0A">
        <w:rPr>
          <w:rFonts w:ascii="Times New Roman" w:eastAsia="Times New Roman" w:hAnsi="Times New Roman" w:cs="Times New Roman"/>
          <w:i/>
          <w:iCs/>
          <w:color w:val="000000" w:themeColor="text1"/>
        </w:rPr>
        <w:t xml:space="preserve">see also </w:t>
      </w:r>
      <w:r w:rsidRPr="00B06D0A">
        <w:rPr>
          <w:rFonts w:ascii="Times New Roman" w:eastAsia="Times New Roman" w:hAnsi="Times New Roman" w:cs="Times New Roman"/>
          <w:color w:val="000000" w:themeColor="text1"/>
        </w:rPr>
        <w:t xml:space="preserve">Sam Roberts, </w:t>
      </w:r>
      <w:r w:rsidRPr="00B06D0A">
        <w:rPr>
          <w:rFonts w:ascii="Times New Roman" w:eastAsia="Times New Roman" w:hAnsi="Times New Roman" w:cs="Times New Roman"/>
          <w:i/>
          <w:iCs/>
          <w:color w:val="000000" w:themeColor="text1"/>
        </w:rPr>
        <w:t>Taking on a Pothole Law: In Winter, New York State Rejects Drivers</w:t>
      </w:r>
      <w:r w:rsidR="00B05F31" w:rsidRPr="00B06D0A">
        <w:rPr>
          <w:rFonts w:ascii="Times New Roman" w:eastAsia="Times New Roman" w:hAnsi="Times New Roman" w:cs="Times New Roman"/>
          <w:i/>
          <w:iCs/>
          <w:color w:val="000000" w:themeColor="text1"/>
        </w:rPr>
        <w:t>’</w:t>
      </w:r>
      <w:r w:rsidRPr="00B06D0A">
        <w:rPr>
          <w:rFonts w:ascii="Times New Roman" w:eastAsia="Times New Roman" w:hAnsi="Times New Roman" w:cs="Times New Roman"/>
          <w:i/>
          <w:iCs/>
          <w:color w:val="000000" w:themeColor="text1"/>
        </w:rPr>
        <w:t xml:space="preserve"> Claims</w:t>
      </w:r>
      <w:r w:rsidRPr="00B06D0A">
        <w:rPr>
          <w:rFonts w:ascii="Times New Roman" w:eastAsia="Times New Roman" w:hAnsi="Times New Roman" w:cs="Times New Roman"/>
          <w:color w:val="000000" w:themeColor="text1"/>
        </w:rPr>
        <w:t xml:space="preserve">, N.Y. </w:t>
      </w:r>
      <w:r w:rsidRPr="00B06D0A">
        <w:rPr>
          <w:rFonts w:ascii="Times New Roman" w:eastAsia="Times New Roman" w:hAnsi="Times New Roman" w:cs="Times New Roman"/>
          <w:smallCaps/>
          <w:color w:val="000000" w:themeColor="text1"/>
        </w:rPr>
        <w:t>Times</w:t>
      </w:r>
      <w:r w:rsidRPr="00B06D0A">
        <w:rPr>
          <w:rFonts w:ascii="Times New Roman" w:eastAsia="Times New Roman" w:hAnsi="Times New Roman" w:cs="Times New Roman"/>
          <w:color w:val="000000" w:themeColor="text1"/>
        </w:rPr>
        <w:t xml:space="preserve">, Apr. 29, 2014. </w:t>
      </w:r>
    </w:p>
    <w:p w14:paraId="72122052" w14:textId="77777777" w:rsidR="00FA3CF9" w:rsidRPr="00B06D0A" w:rsidRDefault="00FA3CF9">
      <w:pPr>
        <w:rPr>
          <w:rFonts w:ascii="Times New Roman" w:hAnsi="Times New Roman" w:cs="Times New Roman"/>
        </w:rPr>
      </w:pPr>
    </w:p>
    <w:p w14:paraId="3C6EEF89" w14:textId="77777777" w:rsidR="00FA3CF9" w:rsidRPr="00B06D0A" w:rsidRDefault="750671CE" w:rsidP="00F94B7E">
      <w:pPr>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rPr>
        <w:t xml:space="preserve">Ten states have statutory provisions that grant full immunity for injuries arising from pothole- or weather-related defects.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smallCaps/>
        </w:rPr>
        <w:t>Del. Code Ann</w:t>
      </w:r>
      <w:r w:rsidRPr="00B06D0A">
        <w:rPr>
          <w:rFonts w:ascii="Times New Roman" w:eastAsia="Times New Roman" w:hAnsi="Times New Roman" w:cs="Times New Roman"/>
        </w:rPr>
        <w:t xml:space="preserve">. tit. 10, § 4011 (2014); </w:t>
      </w:r>
      <w:r w:rsidRPr="00B06D0A">
        <w:rPr>
          <w:rFonts w:ascii="Times New Roman" w:eastAsia="Times New Roman" w:hAnsi="Times New Roman" w:cs="Times New Roman"/>
          <w:smallCaps/>
          <w:color w:val="000000" w:themeColor="text1"/>
        </w:rPr>
        <w:t xml:space="preserve">Ga. Code Ann. § 50-21-24 (2014); </w:t>
      </w:r>
      <w:r w:rsidRPr="00B06D0A">
        <w:rPr>
          <w:rFonts w:ascii="Times New Roman" w:eastAsia="Times New Roman" w:hAnsi="Times New Roman" w:cs="Times New Roman"/>
          <w:smallCaps/>
        </w:rPr>
        <w:t>Idaho Code Ann.</w:t>
      </w:r>
      <w:r w:rsidRPr="00B06D0A">
        <w:rPr>
          <w:rFonts w:ascii="Times New Roman" w:eastAsia="Times New Roman" w:hAnsi="Times New Roman" w:cs="Times New Roman"/>
        </w:rPr>
        <w:t xml:space="preserve"> § 6-904 (2014); </w:t>
      </w:r>
      <w:r w:rsidRPr="00B06D0A">
        <w:rPr>
          <w:rFonts w:ascii="Times New Roman" w:eastAsia="Times New Roman" w:hAnsi="Times New Roman" w:cs="Times New Roman"/>
          <w:smallCaps/>
          <w:color w:val="000000" w:themeColor="text1"/>
        </w:rPr>
        <w:t>Kan. Stat. Ann.</w:t>
      </w:r>
      <w:r w:rsidRPr="00B06D0A">
        <w:rPr>
          <w:rFonts w:ascii="Times New Roman" w:eastAsia="Times New Roman" w:hAnsi="Times New Roman" w:cs="Times New Roman"/>
          <w:color w:val="000000" w:themeColor="text1"/>
        </w:rPr>
        <w:t xml:space="preserve"> § 75-6104 (2014); </w:t>
      </w:r>
      <w:r w:rsidRPr="00B06D0A">
        <w:rPr>
          <w:rFonts w:ascii="Times New Roman" w:eastAsia="Times New Roman" w:hAnsi="Times New Roman" w:cs="Times New Roman"/>
          <w:smallCaps/>
          <w:color w:val="000000" w:themeColor="text1"/>
        </w:rPr>
        <w:t>Miss. Code Ann</w:t>
      </w:r>
      <w:r w:rsidRPr="00B06D0A">
        <w:rPr>
          <w:rFonts w:ascii="Times New Roman" w:eastAsia="Times New Roman" w:hAnsi="Times New Roman" w:cs="Times New Roman"/>
          <w:color w:val="000000" w:themeColor="text1"/>
        </w:rPr>
        <w:t xml:space="preserve">. § 11-46-9 (2014); </w:t>
      </w:r>
      <w:r w:rsidRPr="00B06D0A">
        <w:rPr>
          <w:rFonts w:ascii="Times New Roman" w:eastAsia="Times New Roman" w:hAnsi="Times New Roman" w:cs="Times New Roman"/>
          <w:smallCaps/>
          <w:color w:val="000000" w:themeColor="text1"/>
        </w:rPr>
        <w:t>Okla. Stat.</w:t>
      </w:r>
      <w:r w:rsidRPr="00B06D0A">
        <w:rPr>
          <w:rFonts w:ascii="Times New Roman" w:eastAsia="Times New Roman" w:hAnsi="Times New Roman" w:cs="Times New Roman"/>
          <w:color w:val="000000" w:themeColor="text1"/>
        </w:rPr>
        <w:t xml:space="preserve"> tit. 51, § 155 (2014); </w:t>
      </w:r>
      <w:r w:rsidRPr="00B06D0A">
        <w:rPr>
          <w:rFonts w:ascii="Times New Roman" w:eastAsia="Times New Roman" w:hAnsi="Times New Roman" w:cs="Times New Roman"/>
          <w:smallCaps/>
          <w:color w:val="000000" w:themeColor="text1"/>
        </w:rPr>
        <w:t>Or. Rev. Stat</w:t>
      </w:r>
      <w:r w:rsidRPr="00B06D0A">
        <w:rPr>
          <w:rFonts w:ascii="Times New Roman" w:eastAsia="Times New Roman" w:hAnsi="Times New Roman" w:cs="Times New Roman"/>
          <w:color w:val="000000" w:themeColor="text1"/>
        </w:rPr>
        <w:t xml:space="preserve">. § 30.265 (2014); </w:t>
      </w:r>
      <w:r w:rsidRPr="00B06D0A">
        <w:rPr>
          <w:rFonts w:ascii="Times New Roman" w:eastAsia="Times New Roman" w:hAnsi="Times New Roman" w:cs="Times New Roman"/>
          <w:smallCaps/>
          <w:color w:val="000000" w:themeColor="text1"/>
        </w:rPr>
        <w:t>S.C. Code Ann. § 15-78-60 (2014); Wyo. Stat. Ann.</w:t>
      </w:r>
      <w:r w:rsidRPr="00B06D0A">
        <w:rPr>
          <w:rFonts w:ascii="Times New Roman" w:eastAsia="Times New Roman" w:hAnsi="Times New Roman" w:cs="Times New Roman"/>
          <w:color w:val="000000" w:themeColor="text1"/>
        </w:rPr>
        <w:t xml:space="preserve"> § 1-39-120 (2014); </w:t>
      </w:r>
      <w:r w:rsidRPr="00B06D0A">
        <w:rPr>
          <w:rFonts w:ascii="Times New Roman" w:eastAsia="Times New Roman" w:hAnsi="Times New Roman" w:cs="Times New Roman"/>
          <w:i/>
          <w:iCs/>
          <w:color w:val="000000" w:themeColor="text1"/>
        </w:rPr>
        <w:t>Lane v. State</w:t>
      </w:r>
      <w:r w:rsidRPr="00B06D0A">
        <w:rPr>
          <w:rFonts w:ascii="Times New Roman" w:eastAsia="Times New Roman" w:hAnsi="Times New Roman" w:cs="Times New Roman"/>
          <w:color w:val="000000" w:themeColor="text1"/>
        </w:rPr>
        <w:t xml:space="preserve">, 811 A.2d 190 (Vt. 2002). </w:t>
      </w:r>
    </w:p>
    <w:p w14:paraId="40B54B99" w14:textId="2685791A" w:rsidR="00FA3CF9" w:rsidRPr="00F94B7E" w:rsidRDefault="750671CE" w:rsidP="00F94B7E">
      <w:pPr>
        <w:pStyle w:val="ListParagraph"/>
        <w:numPr>
          <w:ilvl w:val="0"/>
          <w:numId w:val="125"/>
        </w:numPr>
        <w:spacing w:after="240"/>
        <w:ind w:left="0" w:firstLine="360"/>
        <w:rPr>
          <w:rFonts w:ascii="Times New Roman" w:eastAsia="Times New Roman" w:hAnsi="Times New Roman" w:cs="Times New Roman"/>
          <w:b/>
          <w:bCs/>
          <w:u w:val="single"/>
        </w:rPr>
      </w:pPr>
      <w:r w:rsidRPr="00F94B7E">
        <w:rPr>
          <w:rFonts w:ascii="Times New Roman" w:eastAsia="Times New Roman" w:hAnsi="Times New Roman" w:cs="Times New Roman"/>
          <w:i/>
          <w:iCs/>
        </w:rPr>
        <w:t>Local government liability for recreational activities</w:t>
      </w:r>
      <w:r w:rsidRPr="00F94B7E">
        <w:rPr>
          <w:rFonts w:ascii="Times New Roman" w:eastAsia="Times New Roman" w:hAnsi="Times New Roman" w:cs="Times New Roman"/>
        </w:rPr>
        <w:t xml:space="preserve">.  Every winter a particular recreational activity creates a slippery slope problem for municipalities across much of the country: sledding.   </w:t>
      </w:r>
    </w:p>
    <w:p w14:paraId="06221064" w14:textId="7991B541" w:rsidR="00FA3CF9" w:rsidRPr="00B06D0A" w:rsidRDefault="750671CE">
      <w:pPr>
        <w:spacing w:after="240"/>
        <w:ind w:firstLine="720"/>
        <w:rPr>
          <w:rFonts w:ascii="Times New Roman" w:eastAsia="Times New Roman" w:hAnsi="Times New Roman" w:cs="Times New Roman"/>
        </w:rPr>
      </w:pPr>
      <w:r w:rsidRPr="00B06D0A">
        <w:rPr>
          <w:rFonts w:ascii="Times New Roman" w:eastAsia="Times New Roman" w:hAnsi="Times New Roman" w:cs="Times New Roman"/>
        </w:rPr>
        <w:t>Some worry that sledding liability exposes municipalities to vast liabilities, possibly increasing municipalities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insurance and tax rates.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 xml:space="preserve">Husna Haq, </w:t>
      </w:r>
      <w:r w:rsidRPr="00B06D0A">
        <w:rPr>
          <w:rFonts w:ascii="Times New Roman" w:eastAsia="Times New Roman" w:hAnsi="Times New Roman" w:cs="Times New Roman"/>
          <w:i/>
          <w:iCs/>
        </w:rPr>
        <w:t>More US Cities Ban Sledding. Will It Work?</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Christian Sci. Monitor</w:t>
      </w:r>
      <w:r w:rsidRPr="00B06D0A">
        <w:rPr>
          <w:rFonts w:ascii="Times New Roman" w:eastAsia="Times New Roman" w:hAnsi="Times New Roman" w:cs="Times New Roman"/>
        </w:rPr>
        <w:t xml:space="preserve"> (Jan. 5, 2015)</w:t>
      </w:r>
      <w:r w:rsidR="00922343">
        <w:rPr>
          <w:rFonts w:ascii="Times New Roman" w:eastAsia="Times New Roman" w:hAnsi="Times New Roman" w:cs="Times New Roman"/>
        </w:rPr>
        <w:t xml:space="preserve"> </w:t>
      </w:r>
      <w:r w:rsidRPr="00B06D0A">
        <w:rPr>
          <w:rFonts w:ascii="Times New Roman" w:eastAsia="Times New Roman" w:hAnsi="Times New Roman" w:cs="Times New Roman"/>
        </w:rPr>
        <w:t xml:space="preserve">(noting that Sioux City, Iowa, and Boone, Iowa, have paid millions to individuals injured while sledding in city parks). Thus, to limit potential liability, some municipalities like Dubuque ban sledding in many city parks. </w:t>
      </w:r>
      <w:r w:rsidRPr="00B06D0A">
        <w:rPr>
          <w:rFonts w:ascii="Times New Roman" w:eastAsia="Times New Roman" w:hAnsi="Times New Roman" w:cs="Times New Roman"/>
          <w:i/>
          <w:iCs/>
        </w:rPr>
        <w:t>See City of Dubuque, Iowa</w:t>
      </w:r>
      <w:r w:rsidR="00D55178" w:rsidRPr="00D55178">
        <w:rPr>
          <w:rFonts w:ascii="Times New Roman" w:eastAsia="Times New Roman" w:hAnsi="Times New Roman" w:cs="Times New Roman"/>
          <w:i/>
          <w:iCs/>
        </w:rPr>
        <w:t>—</w:t>
      </w:r>
      <w:r w:rsidRPr="00B06D0A">
        <w:rPr>
          <w:rFonts w:ascii="Times New Roman" w:eastAsia="Times New Roman" w:hAnsi="Times New Roman" w:cs="Times New Roman"/>
          <w:i/>
          <w:iCs/>
        </w:rPr>
        <w:t>City Council Proceedings Regular Session</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City of Dubuque</w:t>
      </w:r>
      <w:r w:rsidRPr="00B06D0A">
        <w:rPr>
          <w:rFonts w:ascii="Times New Roman" w:eastAsia="Times New Roman" w:hAnsi="Times New Roman" w:cs="Times New Roman"/>
        </w:rPr>
        <w:t xml:space="preserve"> 2 (Jan. 5, 2015).</w:t>
      </w:r>
    </w:p>
    <w:p w14:paraId="63DB7DB4" w14:textId="7F4A94FC" w:rsidR="00FA3CF9" w:rsidRPr="00B06D0A" w:rsidRDefault="750671CE">
      <w:pPr>
        <w:spacing w:after="240"/>
        <w:ind w:firstLine="720"/>
        <w:rPr>
          <w:rFonts w:ascii="Times New Roman" w:eastAsia="Times New Roman" w:hAnsi="Times New Roman" w:cs="Times New Roman"/>
          <w:i/>
          <w:iCs/>
        </w:rPr>
      </w:pPr>
      <w:r w:rsidRPr="00B06D0A">
        <w:rPr>
          <w:rFonts w:ascii="Times New Roman" w:eastAsia="Times New Roman" w:hAnsi="Times New Roman" w:cs="Times New Roman"/>
        </w:rPr>
        <w:t xml:space="preserve">Other cities in Iowa have used non-legislative measures to decrease potential liability. For instance, Des Moines has added signs at sledding hills, warning sledders that they sled at their own risk. </w:t>
      </w:r>
      <w:r w:rsidRPr="00B06D0A">
        <w:rPr>
          <w:rFonts w:ascii="Times New Roman" w:eastAsia="Times New Roman" w:hAnsi="Times New Roman" w:cs="Times New Roman"/>
          <w:smallCaps/>
        </w:rPr>
        <w:t>Des Moines, Iowa, Code</w:t>
      </w:r>
      <w:r w:rsidRPr="00B06D0A">
        <w:rPr>
          <w:rFonts w:ascii="Times New Roman" w:eastAsia="Times New Roman" w:hAnsi="Times New Roman" w:cs="Times New Roman"/>
        </w:rPr>
        <w:t xml:space="preserve"> § 74-117 (2013); Scott McFetridge, </w:t>
      </w:r>
      <w:r w:rsidRPr="00B06D0A">
        <w:rPr>
          <w:rFonts w:ascii="Times New Roman" w:eastAsia="Times New Roman" w:hAnsi="Times New Roman" w:cs="Times New Roman"/>
          <w:i/>
          <w:iCs/>
        </w:rPr>
        <w:t>Liability Concerns Prompt Some Cities to Limit Sledding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Assoc. Press</w:t>
      </w:r>
      <w:r w:rsidRPr="00B06D0A">
        <w:rPr>
          <w:rFonts w:ascii="Times New Roman" w:eastAsia="Times New Roman" w:hAnsi="Times New Roman" w:cs="Times New Roman"/>
        </w:rPr>
        <w:t xml:space="preserve"> (Jan. 4, 2015).   Such signs likely shield municipalities from negligence claims. </w:t>
      </w:r>
      <w:r w:rsidRPr="00B06D0A">
        <w:rPr>
          <w:rFonts w:ascii="Times New Roman" w:eastAsia="Times New Roman" w:hAnsi="Times New Roman" w:cs="Times New Roman"/>
          <w:i/>
          <w:iCs/>
        </w:rPr>
        <w:t>See Hecht v. Des Moines Playground &amp; Recreation Ass</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n</w:t>
      </w:r>
      <w:r w:rsidRPr="00B06D0A">
        <w:rPr>
          <w:rFonts w:ascii="Times New Roman" w:eastAsia="Times New Roman" w:hAnsi="Times New Roman" w:cs="Times New Roman"/>
        </w:rPr>
        <w:t xml:space="preserve">, 287 N.W. 259, 264 (Iowa 1939) (holding that adequate warnings are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all that [a defendant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duty of] reasonable and ordinary care require[s]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Some states have enacted statutory immunization of state and local governments for injuries arising out of recreational injuries, as in Michigan and Wisconsin.  </w:t>
      </w:r>
      <w:r w:rsidRPr="00B06D0A">
        <w:rPr>
          <w:rFonts w:ascii="Times New Roman" w:eastAsia="Times New Roman" w:hAnsi="Times New Roman" w:cs="Times New Roman"/>
          <w:smallCaps/>
        </w:rPr>
        <w:t>Mich. Comp. Laws</w:t>
      </w:r>
      <w:r w:rsidRPr="00B06D0A">
        <w:rPr>
          <w:rFonts w:ascii="Times New Roman" w:eastAsia="Times New Roman" w:hAnsi="Times New Roman" w:cs="Times New Roman"/>
        </w:rPr>
        <w:t xml:space="preserve"> § 691.1407 (2014); </w:t>
      </w:r>
      <w:r w:rsidRPr="00B06D0A">
        <w:rPr>
          <w:rFonts w:ascii="Times New Roman" w:eastAsia="Times New Roman" w:hAnsi="Times New Roman" w:cs="Times New Roman"/>
          <w:smallCaps/>
        </w:rPr>
        <w:t>Wis. Stat. Ann</w:t>
      </w:r>
      <w:r w:rsidRPr="00B06D0A">
        <w:rPr>
          <w:rFonts w:ascii="Times New Roman" w:eastAsia="Times New Roman" w:hAnsi="Times New Roman" w:cs="Times New Roman"/>
        </w:rPr>
        <w:t xml:space="preserve">. 895.52 (West 2014).  </w:t>
      </w:r>
    </w:p>
    <w:p w14:paraId="76725720" w14:textId="7777777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B06D0A" w:rsidRDefault="00FA3CF9">
      <w:pPr>
        <w:ind w:firstLine="720"/>
        <w:rPr>
          <w:rFonts w:ascii="Times New Roman" w:eastAsia="Times New Roman" w:hAnsi="Times New Roman" w:cs="Times New Roman"/>
        </w:rPr>
      </w:pPr>
    </w:p>
    <w:p w14:paraId="67C0E505" w14:textId="65E37B7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Interestingly, Dubuque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restrictions have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spark[ed] . . . backlash</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among residents. </w:t>
      </w:r>
      <w:r w:rsidRPr="00B06D0A">
        <w:rPr>
          <w:rFonts w:ascii="Times New Roman" w:eastAsia="Times New Roman" w:hAnsi="Times New Roman" w:cs="Times New Roman"/>
          <w:i/>
          <w:iCs/>
        </w:rPr>
        <w:t>Dubuque Officials Consider Opening More Parks to Sledding</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S.F. Gate</w:t>
      </w:r>
      <w:r w:rsidRPr="00B06D0A">
        <w:rPr>
          <w:rFonts w:ascii="Times New Roman" w:eastAsia="Times New Roman" w:hAnsi="Times New Roman" w:cs="Times New Roman"/>
        </w:rPr>
        <w:t xml:space="preserve"> (Jan. 17, 2015).  In the wake of protests, Dubuque</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City Council amended its ordinance and opened more of the city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parks for sledding. </w:t>
      </w:r>
      <w:r w:rsidRPr="00B06D0A">
        <w:rPr>
          <w:rFonts w:ascii="Times New Roman" w:eastAsia="Times New Roman" w:hAnsi="Times New Roman" w:cs="Times New Roman"/>
          <w:i/>
          <w:iCs/>
        </w:rPr>
        <w:t>See City of Dubuque, Iowa</w:t>
      </w:r>
      <w:r w:rsidR="005C2AB0" w:rsidRPr="005C2AB0">
        <w:rPr>
          <w:rFonts w:ascii="Times New Roman" w:eastAsia="Times New Roman" w:hAnsi="Times New Roman" w:cs="Times New Roman"/>
          <w:i/>
          <w:iCs/>
        </w:rPr>
        <w:t>—</w:t>
      </w:r>
      <w:r w:rsidRPr="00B06D0A">
        <w:rPr>
          <w:rFonts w:ascii="Times New Roman" w:eastAsia="Times New Roman" w:hAnsi="Times New Roman" w:cs="Times New Roman"/>
          <w:i/>
          <w:iCs/>
        </w:rPr>
        <w:t>City Council Proceedings Regular Session</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City of Dubuque</w:t>
      </w:r>
      <w:r w:rsidRPr="00B06D0A">
        <w:rPr>
          <w:rFonts w:ascii="Times New Roman" w:eastAsia="Times New Roman" w:hAnsi="Times New Roman" w:cs="Times New Roman"/>
        </w:rPr>
        <w:t xml:space="preserve"> 5 (Jan. 20, 2015), http://www.cityofdubuque.org/ArchiveCenter/ViewFile/Item/4751.</w:t>
      </w:r>
    </w:p>
    <w:p w14:paraId="6E1ED96A" w14:textId="77777777" w:rsidR="00FA3CF9" w:rsidRPr="00B06D0A" w:rsidRDefault="00FA3CF9">
      <w:pPr>
        <w:rPr>
          <w:rFonts w:ascii="Times New Roman" w:hAnsi="Times New Roman" w:cs="Times New Roman"/>
        </w:rPr>
      </w:pPr>
    </w:p>
    <w:p w14:paraId="5F272F50" w14:textId="77777777" w:rsidR="00FA3CF9" w:rsidRPr="00B06D0A" w:rsidRDefault="00FA3CF9">
      <w:pPr>
        <w:rPr>
          <w:rFonts w:ascii="Times New Roman" w:hAnsi="Times New Roman" w:cs="Times New Roman"/>
        </w:rPr>
      </w:pPr>
    </w:p>
    <w:p w14:paraId="7D4F08B2" w14:textId="07439022" w:rsidR="00FA3CF9" w:rsidRPr="00A559C4" w:rsidRDefault="00FA3CF9" w:rsidP="00322687">
      <w:pPr>
        <w:pStyle w:val="Heading3"/>
      </w:pPr>
      <w:bookmarkStart w:id="861" w:name="_Toc364636246"/>
      <w:bookmarkStart w:id="862" w:name="_Toc518323501"/>
      <w:r w:rsidRPr="00C14ACE">
        <w:t>5.  Government Officer Immunity</w:t>
      </w:r>
      <w:bookmarkEnd w:id="861"/>
      <w:bookmarkEnd w:id="862"/>
    </w:p>
    <w:p w14:paraId="5C0D7F6F" w14:textId="77777777" w:rsidR="00FA3CF9" w:rsidRDefault="00FA3CF9">
      <w:pPr>
        <w:rPr>
          <w:rFonts w:ascii="Times New Roman" w:hAnsi="Times New Roman" w:cs="Times New Roman"/>
        </w:rPr>
      </w:pPr>
    </w:p>
    <w:p w14:paraId="4B9F673B" w14:textId="77777777" w:rsidR="005468ED" w:rsidRPr="00B06D0A" w:rsidRDefault="005468ED">
      <w:pPr>
        <w:rPr>
          <w:rFonts w:ascii="Times New Roman" w:hAnsi="Times New Roman" w:cs="Times New Roman"/>
        </w:rPr>
      </w:pPr>
    </w:p>
    <w:p w14:paraId="0CDEBF63" w14:textId="77777777" w:rsidR="00FA3CF9" w:rsidRPr="00A559C4" w:rsidRDefault="00FA3CF9" w:rsidP="002502CC">
      <w:pPr>
        <w:pStyle w:val="Heading4"/>
      </w:pPr>
      <w:bookmarkStart w:id="863" w:name="_Toc364636247"/>
      <w:bookmarkStart w:id="864" w:name="_Toc518323502"/>
      <w:r w:rsidRPr="00C14ACE">
        <w:t>a. Federal Officials</w:t>
      </w:r>
      <w:bookmarkEnd w:id="863"/>
      <w:bookmarkEnd w:id="864"/>
    </w:p>
    <w:p w14:paraId="5860E852" w14:textId="77777777" w:rsidR="00FA3CF9" w:rsidRPr="00B06D0A" w:rsidRDefault="00FA3CF9">
      <w:pPr>
        <w:rPr>
          <w:rFonts w:ascii="Times New Roman" w:hAnsi="Times New Roman" w:cs="Times New Roman"/>
        </w:rPr>
      </w:pPr>
    </w:p>
    <w:p w14:paraId="18BD63D7" w14:textId="403EE077" w:rsidR="00FA3CF9" w:rsidRPr="00B06D0A" w:rsidRDefault="750671CE">
      <w:pPr>
        <w:widowControl w:val="0"/>
        <w:autoSpaceDE w:val="0"/>
        <w:autoSpaceDN w:val="0"/>
        <w:adjustRightInd w:val="0"/>
        <w:spacing w:after="240"/>
        <w:ind w:firstLine="720"/>
        <w:rPr>
          <w:rFonts w:ascii="Times New Roman" w:eastAsia="Times New Roman" w:hAnsi="Times New Roman" w:cs="Times New Roman"/>
        </w:rPr>
      </w:pPr>
      <w:r w:rsidRPr="00B06D0A">
        <w:rPr>
          <w:rFonts w:ascii="Times New Roman" w:eastAsia="Times New Roman" w:hAnsi="Times New Roman" w:cs="Times New Roman"/>
        </w:rPr>
        <w:t>In the 19</w:t>
      </w:r>
      <w:r w:rsidR="005C2AB0">
        <w:rPr>
          <w:rFonts w:ascii="Times New Roman" w:eastAsia="Times New Roman" w:hAnsi="Times New Roman" w:cs="Times New Roman"/>
        </w:rPr>
        <w:t>th</w:t>
      </w:r>
      <w:r w:rsidRPr="00B06D0A">
        <w:rPr>
          <w:rFonts w:ascii="Times New Roman" w:eastAsia="Times New Roman" w:hAnsi="Times New Roman" w:cs="Times New Roman"/>
        </w:rPr>
        <w:t xml:space="preserve"> century, federal officials who committed common law torts while serving their duties received no protection from the judiciary. The existence of a superior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orders or an officer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good faith belief in the legality of his actions provided no shield from personal liability.</w:t>
      </w:r>
      <w:r w:rsidRPr="00B06D0A">
        <w:rPr>
          <w:rFonts w:ascii="Times New Roman" w:eastAsia="Times New Roman" w:hAnsi="Times New Roman" w:cs="Times New Roman"/>
          <w:i/>
          <w:iCs/>
        </w:rPr>
        <w:t xml:space="preserve"> See</w:t>
      </w:r>
      <w:r w:rsidRPr="00B06D0A">
        <w:rPr>
          <w:rFonts w:ascii="Times New Roman" w:eastAsia="Times New Roman" w:hAnsi="Times New Roman" w:cs="Times New Roman"/>
        </w:rPr>
        <w:t xml:space="preserve"> Orval Edwin Jones, </w:t>
      </w:r>
      <w:r w:rsidRPr="00B06D0A">
        <w:rPr>
          <w:rFonts w:ascii="Times New Roman" w:eastAsia="Times New Roman" w:hAnsi="Times New Roman" w:cs="Times New Roman"/>
          <w:i/>
          <w:iCs/>
        </w:rPr>
        <w:t>Tort Immunity of Federal Executive Officials: The Mutable Scope of Absolute Immunity</w:t>
      </w:r>
      <w:r w:rsidRPr="00B06D0A">
        <w:rPr>
          <w:rFonts w:ascii="Times New Roman" w:eastAsia="Times New Roman" w:hAnsi="Times New Roman" w:cs="Times New Roman"/>
          <w:smallCaps/>
        </w:rPr>
        <w:t>, 37 Okla. L. Rev</w:t>
      </w:r>
      <w:r w:rsidRPr="00B06D0A">
        <w:rPr>
          <w:rFonts w:ascii="Times New Roman" w:eastAsia="Times New Roman" w:hAnsi="Times New Roman" w:cs="Times New Roman"/>
        </w:rPr>
        <w:t xml:space="preserve">. 285 (1984). The earliest federal case demonstrating this principle is </w:t>
      </w:r>
      <w:r w:rsidRPr="00B06D0A">
        <w:rPr>
          <w:rFonts w:ascii="Times New Roman" w:eastAsia="Times New Roman" w:hAnsi="Times New Roman" w:cs="Times New Roman"/>
          <w:i/>
          <w:iCs/>
        </w:rPr>
        <w:t>Little v. Barreme</w:t>
      </w:r>
      <w:r w:rsidRPr="00B06D0A">
        <w:rPr>
          <w:rFonts w:ascii="Times New Roman" w:eastAsia="Times New Roman" w:hAnsi="Times New Roman" w:cs="Times New Roman"/>
        </w:rPr>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B06D0A">
        <w:rPr>
          <w:rFonts w:ascii="Times New Roman" w:eastAsia="Times New Roman" w:hAnsi="Times New Roman" w:cs="Times New Roman"/>
          <w:i/>
          <w:iCs/>
        </w:rPr>
        <w:t>to</w:t>
      </w:r>
      <w:r w:rsidRPr="00B06D0A">
        <w:rPr>
          <w:rFonts w:ascii="Times New Roman" w:eastAsia="Times New Roman" w:hAnsi="Times New Roman" w:cs="Times New Roman"/>
        </w:rPr>
        <w:t xml:space="preserve"> any French port. The Court held that the President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order did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legalize an act which without those instructions would have been a plain trespass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and that Little was thus liable for damages.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at 179.</w:t>
      </w:r>
    </w:p>
    <w:p w14:paraId="34ABDE9C" w14:textId="2917B857"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judiciary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8517C2">
        <w:rPr>
          <w:rFonts w:ascii="Times New Roman" w:eastAsia="Times New Roman" w:hAnsi="Times New Roman" w:cs="Times New Roman"/>
        </w:rPr>
        <w:t>—</w:t>
      </w:r>
      <w:r w:rsidRPr="00B06D0A">
        <w:rPr>
          <w:rFonts w:ascii="Times New Roman" w:eastAsia="Times New Roman" w:hAnsi="Times New Roman" w:cs="Times New Roman"/>
        </w:rPr>
        <w:t xml:space="preserve">including Captain Little himself.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James E. Pfander &amp; Jonathan L. Hunt, </w:t>
      </w:r>
      <w:r w:rsidRPr="00B06D0A">
        <w:rPr>
          <w:rFonts w:ascii="Times New Roman" w:eastAsia="Times New Roman" w:hAnsi="Times New Roman" w:cs="Times New Roman"/>
          <w:i/>
          <w:iCs/>
        </w:rPr>
        <w:t>Public Wrongs and Private Bills: Indemnification and Government Accountability in the Early Republic</w:t>
      </w:r>
      <w:r w:rsidRPr="00B06D0A">
        <w:rPr>
          <w:rFonts w:ascii="Times New Roman" w:eastAsia="Times New Roman" w:hAnsi="Times New Roman" w:cs="Times New Roman"/>
        </w:rPr>
        <w:t xml:space="preserve">, 85 </w:t>
      </w:r>
      <w:r w:rsidRPr="00B06D0A">
        <w:rPr>
          <w:rFonts w:ascii="Times New Roman" w:eastAsia="Times New Roman" w:hAnsi="Times New Roman" w:cs="Times New Roman"/>
          <w:smallCaps/>
        </w:rPr>
        <w:t xml:space="preserve">N.Y.U. L. Rev. </w:t>
      </w:r>
      <w:r w:rsidRPr="00B06D0A">
        <w:rPr>
          <w:rFonts w:ascii="Times New Roman" w:eastAsia="Times New Roman" w:hAnsi="Times New Roman" w:cs="Times New Roman"/>
        </w:rPr>
        <w:t>1862, 1905 (2010). This case-by-case system of indemnification didn</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 undo </w:t>
      </w:r>
      <w:r w:rsidRPr="00B06D0A">
        <w:rPr>
          <w:rFonts w:ascii="Times New Roman" w:eastAsia="Times New Roman" w:hAnsi="Times New Roman" w:cs="Times New Roman"/>
          <w:i/>
          <w:iCs/>
        </w:rPr>
        <w:t xml:space="preserve">ex post </w:t>
      </w:r>
      <w:r w:rsidRPr="00B06D0A">
        <w:rPr>
          <w:rFonts w:ascii="Times New Roman" w:eastAsia="Times New Roman" w:hAnsi="Times New Roman" w:cs="Times New Roman"/>
        </w:rPr>
        <w:t>review. Instead, it gave both the courts and Congress shared responsibility in determining the propriety of an officer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acts.</w:t>
      </w:r>
    </w:p>
    <w:p w14:paraId="4087E6A8" w14:textId="77777777" w:rsidR="00FA3CF9" w:rsidRPr="00B06D0A" w:rsidRDefault="00FA3CF9">
      <w:pPr>
        <w:ind w:firstLine="720"/>
        <w:rPr>
          <w:rFonts w:ascii="Times New Roman" w:hAnsi="Times New Roman" w:cs="Times New Roman"/>
          <w:iCs/>
        </w:rPr>
      </w:pPr>
    </w:p>
    <w:p w14:paraId="38A888A8" w14:textId="0FA42E53"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The doctrine of immunity for common law torts committed in an official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course of duty developed slowly, beginning in the latter part of the century. </w:t>
      </w:r>
      <w:r w:rsidRPr="00B06D0A">
        <w:rPr>
          <w:rFonts w:ascii="Times New Roman" w:eastAsia="Times New Roman" w:hAnsi="Times New Roman" w:cs="Times New Roman"/>
          <w:i/>
          <w:iCs/>
        </w:rPr>
        <w:t>See</w:t>
      </w:r>
      <w:r w:rsidRPr="00B06D0A">
        <w:rPr>
          <w:rFonts w:ascii="Times New Roman" w:eastAsia="Times New Roman" w:hAnsi="Times New Roman" w:cs="Times New Roman"/>
        </w:rPr>
        <w:t xml:space="preserve"> Theodore P. Stein, </w:t>
      </w:r>
      <w:r w:rsidRPr="00B06D0A">
        <w:rPr>
          <w:rFonts w:ascii="Times New Roman" w:eastAsia="Times New Roman" w:hAnsi="Times New Roman" w:cs="Times New Roman"/>
          <w:i/>
          <w:iCs/>
        </w:rPr>
        <w:t xml:space="preserve">Nixon v. Fitzgerald: Presidential Immunity </w:t>
      </w:r>
      <w:r w:rsidR="008517C2">
        <w:rPr>
          <w:rFonts w:ascii="Times New Roman" w:eastAsia="Times New Roman" w:hAnsi="Times New Roman" w:cs="Times New Roman"/>
          <w:i/>
          <w:iCs/>
        </w:rPr>
        <w:t>a</w:t>
      </w:r>
      <w:r w:rsidRPr="00B06D0A">
        <w:rPr>
          <w:rFonts w:ascii="Times New Roman" w:eastAsia="Times New Roman" w:hAnsi="Times New Roman" w:cs="Times New Roman"/>
          <w:i/>
          <w:iCs/>
        </w:rPr>
        <w:t>s a Constitutional Imperative</w:t>
      </w:r>
      <w:r w:rsidRPr="00B06D0A">
        <w:rPr>
          <w:rFonts w:ascii="Times New Roman" w:eastAsia="Times New Roman" w:hAnsi="Times New Roman" w:cs="Times New Roman"/>
        </w:rPr>
        <w:t xml:space="preserve">, 32 </w:t>
      </w:r>
      <w:r w:rsidRPr="00B06D0A">
        <w:rPr>
          <w:rFonts w:ascii="Times New Roman" w:eastAsia="Times New Roman" w:hAnsi="Times New Roman" w:cs="Times New Roman"/>
          <w:smallCaps/>
        </w:rPr>
        <w:t>Cath. U. L. Rev.</w:t>
      </w:r>
      <w:r w:rsidRPr="00B06D0A">
        <w:rPr>
          <w:rFonts w:ascii="Times New Roman" w:eastAsia="Times New Roman" w:hAnsi="Times New Roman" w:cs="Times New Roman"/>
        </w:rPr>
        <w:t xml:space="preserve"> 759-85 (1983). The Supreme Court first laid out the reasoning for officials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immunity in the case of </w:t>
      </w:r>
      <w:r w:rsidRPr="00B06D0A">
        <w:rPr>
          <w:rFonts w:ascii="Times New Roman" w:eastAsia="Times New Roman" w:hAnsi="Times New Roman" w:cs="Times New Roman"/>
          <w:i/>
          <w:iCs/>
        </w:rPr>
        <w:t>Bradley v. Fisher</w:t>
      </w:r>
      <w:r w:rsidRPr="00B06D0A">
        <w:rPr>
          <w:rFonts w:ascii="Times New Roman" w:eastAsia="Times New Roman" w:hAnsi="Times New Roman" w:cs="Times New Roman"/>
        </w:rPr>
        <w:t>, holding that a federal judge accused of maliciously ordering a lawyer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disbarment was absolutely immune from civil liability. 80 U.S. 335 (1871). The Court reasoned that personal liability would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destroy that independence without which no judiciary can be either respectable or useful.</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 xml:space="preserve">Id. </w:t>
      </w:r>
      <w:r w:rsidRPr="00B06D0A">
        <w:rPr>
          <w:rFonts w:ascii="Times New Roman" w:eastAsia="Times New Roman" w:hAnsi="Times New Roman" w:cs="Times New Roman"/>
        </w:rPr>
        <w:t>at 347. 25 years later, the Court expanded immunity to federal officials in the President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cabinet in </w:t>
      </w:r>
      <w:r w:rsidRPr="00B06D0A">
        <w:rPr>
          <w:rFonts w:ascii="Times New Roman" w:eastAsia="Times New Roman" w:hAnsi="Times New Roman" w:cs="Times New Roman"/>
          <w:i/>
          <w:iCs/>
        </w:rPr>
        <w:t>Spalding v. Vilas</w:t>
      </w:r>
      <w:r w:rsidRPr="00B06D0A">
        <w:rPr>
          <w:rFonts w:ascii="Times New Roman" w:eastAsia="Times New Roman" w:hAnsi="Times New Roman" w:cs="Times New Roman"/>
        </w:rPr>
        <w:t xml:space="preserve">, echoing </w:t>
      </w:r>
      <w:r w:rsidRPr="00B06D0A">
        <w:rPr>
          <w:rFonts w:ascii="Times New Roman" w:eastAsia="Times New Roman" w:hAnsi="Times New Roman" w:cs="Times New Roman"/>
          <w:i/>
          <w:iCs/>
        </w:rPr>
        <w:t xml:space="preserve">Bradley </w:t>
      </w:r>
      <w:r w:rsidRPr="00B06D0A">
        <w:rPr>
          <w:rFonts w:ascii="Times New Roman" w:eastAsia="Times New Roman" w:hAnsi="Times New Roman" w:cs="Times New Roman"/>
        </w:rPr>
        <w:t xml:space="preserve">by stating cabinet officer liability for acts done in the scope of their duties would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seriously cripple the proper . . . administration of public affairs.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161 U.S. 483, 499 (1896). The Warren Court expanded this immunity to all federal executive officials in </w:t>
      </w:r>
      <w:r w:rsidRPr="00B06D0A">
        <w:rPr>
          <w:rFonts w:ascii="Times New Roman" w:eastAsia="Times New Roman" w:hAnsi="Times New Roman" w:cs="Times New Roman"/>
          <w:i/>
          <w:iCs/>
        </w:rPr>
        <w:t>Barr v. Matteo</w:t>
      </w:r>
      <w:r w:rsidRPr="00B06D0A">
        <w:rPr>
          <w:rFonts w:ascii="Times New Roman" w:eastAsia="Times New Roman" w:hAnsi="Times New Roman" w:cs="Times New Roman"/>
        </w:rPr>
        <w:t>, which</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relied on an additional policy justification that forcing officials to defend themselves against civil suits would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consume time and energies which would otherwise be devoted to governmental service </w:t>
      </w:r>
      <w:r w:rsidR="00922343">
        <w:rPr>
          <w:rFonts w:ascii="Times New Roman" w:eastAsia="Times New Roman" w:hAnsi="Times New Roman" w:cs="Times New Roman"/>
        </w:rPr>
        <w:t>. . .</w:t>
      </w:r>
      <w:r w:rsidRPr="00B06D0A">
        <w:rPr>
          <w:rFonts w:ascii="Times New Roman" w:eastAsia="Times New Roman" w:hAnsi="Times New Roman" w:cs="Times New Roman"/>
        </w:rPr>
        <w:t xml:space="preserv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60 U.S. 564, 571 (1959). In 1988, Congress legislated this immunity doctrine into law with the passage of the Westfall Act, whose purpose was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to protect federal employees from personal liability for common law torts committed within the scope of their employment </w:t>
      </w:r>
      <w:r w:rsidR="008517C2">
        <w:rPr>
          <w:rFonts w:ascii="Times New Roman" w:eastAsia="Times New Roman" w:hAnsi="Times New Roman" w:cs="Times New Roman"/>
        </w:rPr>
        <w:t>. . .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Federal Employees Liability Reform and Tort Compensation Act, Pub. L. No. 100-694, 102 Stat. 4563 (1988). </w:t>
      </w:r>
    </w:p>
    <w:p w14:paraId="348F75C4" w14:textId="77777777" w:rsidR="00FA3CF9" w:rsidRDefault="00FA3CF9">
      <w:pPr>
        <w:rPr>
          <w:rFonts w:ascii="Times New Roman" w:hAnsi="Times New Roman" w:cs="Times New Roman"/>
        </w:rPr>
      </w:pPr>
    </w:p>
    <w:p w14:paraId="3D4821BE" w14:textId="77777777" w:rsidR="005468ED" w:rsidRPr="00B06D0A" w:rsidRDefault="005468ED">
      <w:pPr>
        <w:rPr>
          <w:rFonts w:ascii="Times New Roman" w:hAnsi="Times New Roman" w:cs="Times New Roman"/>
        </w:rPr>
      </w:pPr>
    </w:p>
    <w:p w14:paraId="7EA5A6C8" w14:textId="40AF7CEE" w:rsidR="00FA3CF9" w:rsidRPr="00A15645" w:rsidRDefault="00FA3CF9" w:rsidP="002502CC">
      <w:pPr>
        <w:pStyle w:val="Heading4"/>
      </w:pPr>
      <w:bookmarkStart w:id="865" w:name="_Toc364636248"/>
      <w:bookmarkStart w:id="866" w:name="_Toc518323503"/>
      <w:r w:rsidRPr="00C14ACE">
        <w:t xml:space="preserve">b. State </w:t>
      </w:r>
      <w:r w:rsidR="00B25C29" w:rsidRPr="00A559C4">
        <w:t>O</w:t>
      </w:r>
      <w:r w:rsidRPr="00A15645">
        <w:t>fficials</w:t>
      </w:r>
      <w:bookmarkEnd w:id="865"/>
      <w:bookmarkEnd w:id="866"/>
      <w:r w:rsidRPr="00A15645">
        <w:t xml:space="preserve"> </w:t>
      </w:r>
    </w:p>
    <w:p w14:paraId="33FC4AE8" w14:textId="77777777" w:rsidR="00FA3CF9" w:rsidRPr="00B06D0A" w:rsidRDefault="00FA3CF9">
      <w:pPr>
        <w:rPr>
          <w:rFonts w:ascii="Times New Roman" w:hAnsi="Times New Roman" w:cs="Times New Roman"/>
          <w:i/>
        </w:rPr>
      </w:pPr>
    </w:p>
    <w:p w14:paraId="70D270AF" w14:textId="7D5132ED" w:rsidR="00FA3CF9" w:rsidRPr="00B06D0A" w:rsidRDefault="00FA3CF9">
      <w:pPr>
        <w:rPr>
          <w:rFonts w:ascii="Times New Roman" w:eastAsia="Times New Roman" w:hAnsi="Times New Roman" w:cs="Times New Roman"/>
        </w:rPr>
      </w:pPr>
      <w:r w:rsidRPr="00B06D0A">
        <w:rPr>
          <w:rFonts w:ascii="Times New Roman" w:hAnsi="Times New Roman" w:cs="Times New Roman"/>
        </w:rPr>
        <w:tab/>
      </w:r>
      <w:r w:rsidRPr="00B06D0A">
        <w:rPr>
          <w:rFonts w:ascii="Times New Roman" w:eastAsia="Times New Roman" w:hAnsi="Times New Roman" w:cs="Times New Roman"/>
        </w:rPr>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 xml:space="preserve">Note, </w:t>
      </w:r>
      <w:r w:rsidRPr="00B06D0A">
        <w:rPr>
          <w:rFonts w:ascii="Times New Roman" w:eastAsia="Times New Roman" w:hAnsi="Times New Roman" w:cs="Times New Roman"/>
          <w:i/>
          <w:iCs/>
        </w:rPr>
        <w:t>Tort Liability of Administrative Officers in New York</w:t>
      </w:r>
      <w:r w:rsidRPr="00B06D0A">
        <w:rPr>
          <w:rFonts w:ascii="Times New Roman" w:eastAsia="Times New Roman" w:hAnsi="Times New Roman" w:cs="Times New Roman"/>
        </w:rPr>
        <w:t xml:space="preserve">, 28 </w:t>
      </w:r>
      <w:r w:rsidRPr="00B06D0A">
        <w:rPr>
          <w:rFonts w:ascii="Times New Roman" w:eastAsia="Times New Roman" w:hAnsi="Times New Roman" w:cs="Times New Roman"/>
          <w:smallCaps/>
        </w:rPr>
        <w:t>St. John</w:t>
      </w:r>
      <w:r w:rsidR="00B05F31" w:rsidRPr="00B06D0A">
        <w:rPr>
          <w:rFonts w:ascii="Times New Roman" w:eastAsia="Times New Roman" w:hAnsi="Times New Roman" w:cs="Times New Roman"/>
          <w:smallCaps/>
        </w:rPr>
        <w:t>’</w:t>
      </w:r>
      <w:r w:rsidRPr="00B06D0A">
        <w:rPr>
          <w:rFonts w:ascii="Times New Roman" w:eastAsia="Times New Roman" w:hAnsi="Times New Roman" w:cs="Times New Roman"/>
          <w:smallCaps/>
        </w:rPr>
        <w:t xml:space="preserve">s L. Rev. 265 </w:t>
      </w:r>
      <w:r w:rsidRPr="00B06D0A">
        <w:rPr>
          <w:rFonts w:ascii="Times New Roman" w:eastAsia="Times New Roman" w:hAnsi="Times New Roman" w:cs="Times New Roman"/>
        </w:rPr>
        <w:t>(1954).</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In the early case of </w:t>
      </w:r>
      <w:r w:rsidRPr="00B06D0A">
        <w:rPr>
          <w:rFonts w:ascii="Times New Roman" w:eastAsia="Times New Roman" w:hAnsi="Times New Roman" w:cs="Times New Roman"/>
          <w:i/>
          <w:iCs/>
        </w:rPr>
        <w:t>Hyde v. Melvin</w:t>
      </w:r>
      <w:r w:rsidRPr="00B06D0A">
        <w:rPr>
          <w:rFonts w:ascii="Times New Roman" w:eastAsia="Times New Roman" w:hAnsi="Times New Roman" w:cs="Times New Roman"/>
        </w:rPr>
        <w:t>, 11 Johns. 521 (N.Y. Sup. Ct. 1814), the Supreme Court of New York held a state militia captain liable for improperly forcing a militia member to perform his duties, despite acting under orders granting him authorization-in-fact to do so. As the 19</w:t>
      </w:r>
      <w:r w:rsidR="008517C2">
        <w:rPr>
          <w:rFonts w:ascii="Times New Roman" w:eastAsia="Times New Roman" w:hAnsi="Times New Roman" w:cs="Times New Roman"/>
        </w:rPr>
        <w:t>th</w:t>
      </w:r>
      <w:r w:rsidRPr="00B06D0A">
        <w:rPr>
          <w:rFonts w:ascii="Times New Roman" w:eastAsia="Times New Roman" w:hAnsi="Times New Roman" w:cs="Times New Roman"/>
        </w:rPr>
        <w:t xml:space="preserve"> century unfolded, New York created absolute immunity for a limited set of officials whose duties were judicial or highly discretionary. </w:t>
      </w:r>
      <w:r w:rsidRPr="00B06D0A">
        <w:rPr>
          <w:rFonts w:ascii="Times New Roman" w:eastAsia="Times New Roman" w:hAnsi="Times New Roman" w:cs="Times New Roman"/>
          <w:i/>
          <w:iCs/>
        </w:rPr>
        <w:t xml:space="preserve">See, e.g., Wilson v. Mayor, </w:t>
      </w:r>
      <w:r w:rsidRPr="00B06D0A">
        <w:rPr>
          <w:rFonts w:ascii="Times New Roman" w:eastAsia="Times New Roman" w:hAnsi="Times New Roman" w:cs="Times New Roman"/>
        </w:rPr>
        <w:t>1 Denio 585 (N.Y. Sup. Ct. 1845) (granting absolute immunity to mayors and aldermen executing discretionary powers). After the start of the Civil War</w:t>
      </w:r>
      <w:r w:rsidR="00922343">
        <w:rPr>
          <w:rFonts w:ascii="Times New Roman" w:eastAsia="Times New Roman" w:hAnsi="Times New Roman" w:cs="Times New Roman"/>
        </w:rPr>
        <w:t>,</w:t>
      </w:r>
      <w:r w:rsidRPr="00B06D0A">
        <w:rPr>
          <w:rFonts w:ascii="Times New Roman" w:eastAsia="Times New Roman" w:hAnsi="Times New Roman" w:cs="Times New Roman"/>
        </w:rPr>
        <w:t xml:space="preserve"> states expanded absolute immunity to low-level officials. David E. Engdahl, </w:t>
      </w:r>
      <w:r w:rsidRPr="00B06D0A">
        <w:rPr>
          <w:rFonts w:ascii="Times New Roman" w:eastAsia="Times New Roman" w:hAnsi="Times New Roman" w:cs="Times New Roman"/>
          <w:i/>
          <w:iCs/>
        </w:rPr>
        <w:t>Immunity and Accountability for Positive Governmental Wrongs,</w:t>
      </w:r>
      <w:r w:rsidRPr="00B06D0A">
        <w:rPr>
          <w:rFonts w:ascii="Times New Roman" w:eastAsia="Times New Roman" w:hAnsi="Times New Roman" w:cs="Times New Roman"/>
        </w:rPr>
        <w:t xml:space="preserve"> 44 </w:t>
      </w:r>
      <w:r w:rsidRPr="00B06D0A">
        <w:rPr>
          <w:rFonts w:ascii="Times New Roman" w:eastAsia="Times New Roman" w:hAnsi="Times New Roman" w:cs="Times New Roman"/>
          <w:smallCaps/>
        </w:rPr>
        <w:t>U. Colo. L. Rev.</w:t>
      </w:r>
      <w:r w:rsidRPr="00B06D0A">
        <w:rPr>
          <w:rFonts w:ascii="Times New Roman" w:eastAsia="Times New Roman" w:hAnsi="Times New Roman" w:cs="Times New Roman"/>
        </w:rPr>
        <w:t xml:space="preserve"> 1, 48 (1972). For example, New York expanded absolute immunity to the state highway commissioner, finding that while the statute that authorized the logging was unconstitutional, no liability existed because the commissioner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duty was to execute the law as he found it.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i/>
          <w:iCs/>
        </w:rPr>
        <w:t>Dexter v. Alfred</w:t>
      </w:r>
      <w:r w:rsidRPr="00B06D0A">
        <w:rPr>
          <w:rFonts w:ascii="Times New Roman" w:eastAsia="Times New Roman" w:hAnsi="Times New Roman" w:cs="Times New Roman"/>
        </w:rPr>
        <w:t xml:space="preserve">, 19 N. Y. Supp. 770, 771 (N.Y. Sup. Ct. 1892). </w:t>
      </w:r>
    </w:p>
    <w:p w14:paraId="5439D193" w14:textId="77777777" w:rsidR="00FA3CF9" w:rsidRPr="00B06D0A" w:rsidRDefault="00FA3CF9">
      <w:pPr>
        <w:rPr>
          <w:rFonts w:ascii="Times New Roman" w:hAnsi="Times New Roman" w:cs="Times New Roman"/>
        </w:rPr>
      </w:pPr>
    </w:p>
    <w:p w14:paraId="13AE12FF" w14:textId="74D5B659" w:rsidR="00FA3CF9" w:rsidRPr="00B06D0A" w:rsidRDefault="750671CE" w:rsidP="00F94B7E">
      <w:pPr>
        <w:ind w:firstLine="720"/>
        <w:rPr>
          <w:rFonts w:ascii="Times New Roman" w:hAnsi="Times New Roman" w:cs="Times New Roman"/>
          <w:i/>
        </w:rPr>
      </w:pPr>
      <w:r w:rsidRPr="00B06D0A">
        <w:rPr>
          <w:rFonts w:ascii="Times New Roman" w:eastAsia="Times New Roman" w:hAnsi="Times New Roman" w:cs="Times New Roman"/>
        </w:rPr>
        <w:t>Unlike the federal government, however, the vast majority of states did not continue the expansion of absolute immunity to all officials.</w:t>
      </w:r>
      <w:r w:rsidRPr="00B06D0A">
        <w:rPr>
          <w:rFonts w:ascii="Times New Roman" w:eastAsia="Times New Roman" w:hAnsi="Times New Roman" w:cs="Times New Roman"/>
          <w:i/>
          <w:iCs/>
        </w:rPr>
        <w:t xml:space="preserve"> See </w:t>
      </w:r>
      <w:r w:rsidRPr="00B06D0A">
        <w:rPr>
          <w:rFonts w:ascii="Times New Roman" w:eastAsia="Times New Roman" w:hAnsi="Times New Roman" w:cs="Times New Roman"/>
        </w:rPr>
        <w:t xml:space="preserve">5 </w:t>
      </w:r>
      <w:r w:rsidRPr="00B06D0A">
        <w:rPr>
          <w:rFonts w:ascii="Times New Roman" w:eastAsia="Times New Roman" w:hAnsi="Times New Roman" w:cs="Times New Roman"/>
          <w:smallCaps/>
        </w:rPr>
        <w:t xml:space="preserve">F. Harper, F. James &amp; O. Gray, The Law of Torts </w:t>
      </w:r>
      <w:r w:rsidRPr="00B06D0A">
        <w:rPr>
          <w:rFonts w:ascii="Times New Roman" w:eastAsia="Times New Roman" w:hAnsi="Times New Roman" w:cs="Times New Roman"/>
        </w:rPr>
        <w:t>§ 29.10, n. 44, at 825-</w:t>
      </w:r>
      <w:r w:rsidR="008517C2">
        <w:rPr>
          <w:rFonts w:ascii="Times New Roman" w:eastAsia="Times New Roman" w:hAnsi="Times New Roman" w:cs="Times New Roman"/>
        </w:rPr>
        <w:t>2</w:t>
      </w:r>
      <w:r w:rsidRPr="00B06D0A">
        <w:rPr>
          <w:rFonts w:ascii="Times New Roman" w:eastAsia="Times New Roman" w:hAnsi="Times New Roman" w:cs="Times New Roman"/>
        </w:rPr>
        <w:t xml:space="preserve">6 (3d ed. 2006). Instead, states tend to shield low-level administrative officials, like prosecutors, with </w:t>
      </w:r>
      <w:r w:rsidRPr="00B06D0A">
        <w:rPr>
          <w:rFonts w:ascii="Times New Roman" w:eastAsia="Times New Roman" w:hAnsi="Times New Roman" w:cs="Times New Roman"/>
          <w:i/>
          <w:iCs/>
        </w:rPr>
        <w:t xml:space="preserve">qualified </w:t>
      </w:r>
      <w:r w:rsidRPr="00B06D0A">
        <w:rPr>
          <w:rFonts w:ascii="Times New Roman" w:eastAsia="Times New Roman" w:hAnsi="Times New Roman" w:cs="Times New Roman"/>
        </w:rPr>
        <w:t>immunity, which protects officials so long as they (1) use discretion (2) in good faith while (3) acting in the scope of their official duties.</w:t>
      </w:r>
      <w:r w:rsidRPr="00B06D0A">
        <w:rPr>
          <w:rFonts w:ascii="Times New Roman" w:eastAsia="Times New Roman" w:hAnsi="Times New Roman" w:cs="Times New Roman"/>
          <w:i/>
          <w:iCs/>
        </w:rPr>
        <w:t xml:space="preserve"> See, e.g.</w:t>
      </w:r>
      <w:r w:rsidRPr="00F94B7E">
        <w:rPr>
          <w:rFonts w:ascii="Times New Roman" w:eastAsia="Times New Roman" w:hAnsi="Times New Roman" w:cs="Times New Roman"/>
          <w:iCs/>
        </w:rPr>
        <w:t>,</w:t>
      </w:r>
      <w:r w:rsidRPr="00B06D0A">
        <w:rPr>
          <w:rFonts w:ascii="Times New Roman" w:eastAsia="Times New Roman" w:hAnsi="Times New Roman" w:cs="Times New Roman"/>
          <w:i/>
          <w:iCs/>
        </w:rPr>
        <w:t xml:space="preserve"> City of Lancaster v. Chambers</w:t>
      </w:r>
      <w:r w:rsidRPr="00B06D0A">
        <w:rPr>
          <w:rFonts w:ascii="Times New Roman" w:eastAsia="Times New Roman" w:hAnsi="Times New Roman" w:cs="Times New Roman"/>
        </w:rPr>
        <w:t>, 883 S.W.2d 650, 653 (Tex. 1994). Ministerial officials</w:t>
      </w:r>
      <w:r w:rsidR="008517C2" w:rsidRPr="008517C2">
        <w:rPr>
          <w:rFonts w:ascii="Times New Roman" w:eastAsia="Times New Roman" w:hAnsi="Times New Roman" w:cs="Times New Roman"/>
        </w:rPr>
        <w:t>—</w:t>
      </w:r>
      <w:r w:rsidRPr="00B06D0A">
        <w:rPr>
          <w:rFonts w:ascii="Times New Roman" w:eastAsia="Times New Roman" w:hAnsi="Times New Roman" w:cs="Times New Roman"/>
        </w:rPr>
        <w:t>those that perform their duties not according to individual choice</w:t>
      </w:r>
      <w:r w:rsidR="008517C2" w:rsidRPr="008517C2">
        <w:rPr>
          <w:rFonts w:ascii="Times New Roman" w:eastAsia="Times New Roman" w:hAnsi="Times New Roman" w:cs="Times New Roman"/>
        </w:rPr>
        <w:t>—</w:t>
      </w:r>
      <w:r w:rsidRPr="00B06D0A">
        <w:rPr>
          <w:rFonts w:ascii="Times New Roman" w:eastAsia="Times New Roman" w:hAnsi="Times New Roman" w:cs="Times New Roman"/>
        </w:rPr>
        <w:t xml:space="preserve">are personally liable for common-law torts, regardless of their good faith or lack of malice. </w:t>
      </w:r>
      <w:r w:rsidRPr="00B06D0A">
        <w:rPr>
          <w:rFonts w:ascii="Times New Roman" w:eastAsia="Times New Roman" w:hAnsi="Times New Roman" w:cs="Times New Roman"/>
          <w:i/>
          <w:iCs/>
        </w:rPr>
        <w:t xml:space="preserve">See generally </w:t>
      </w:r>
      <w:r w:rsidRPr="00B06D0A">
        <w:rPr>
          <w:rFonts w:ascii="Times New Roman" w:eastAsia="Times New Roman" w:hAnsi="Times New Roman" w:cs="Times New Roman"/>
        </w:rPr>
        <w:t xml:space="preserve">Gray, </w:t>
      </w:r>
      <w:r w:rsidRPr="00B06D0A">
        <w:rPr>
          <w:rFonts w:ascii="Times New Roman" w:eastAsia="Times New Roman" w:hAnsi="Times New Roman" w:cs="Times New Roman"/>
          <w:i/>
          <w:iCs/>
        </w:rPr>
        <w:t xml:space="preserve">supra </w:t>
      </w:r>
      <w:r w:rsidRPr="00B06D0A">
        <w:rPr>
          <w:rFonts w:ascii="Times New Roman" w:eastAsia="Times New Roman" w:hAnsi="Times New Roman" w:cs="Times New Roman"/>
        </w:rPr>
        <w:t>notes 38-</w:t>
      </w:r>
      <w:r w:rsidR="008517C2">
        <w:rPr>
          <w:rFonts w:ascii="Times New Roman" w:eastAsia="Times New Roman" w:hAnsi="Times New Roman" w:cs="Times New Roman"/>
        </w:rPr>
        <w:t>3</w:t>
      </w:r>
      <w:r w:rsidRPr="00B06D0A">
        <w:rPr>
          <w:rFonts w:ascii="Times New Roman" w:eastAsia="Times New Roman" w:hAnsi="Times New Roman" w:cs="Times New Roman"/>
        </w:rPr>
        <w:t>9, at 822-</w:t>
      </w:r>
      <w:r w:rsidR="008517C2">
        <w:rPr>
          <w:rFonts w:ascii="Times New Roman" w:eastAsia="Times New Roman" w:hAnsi="Times New Roman" w:cs="Times New Roman"/>
        </w:rPr>
        <w:t>2</w:t>
      </w:r>
      <w:r w:rsidRPr="00B06D0A">
        <w:rPr>
          <w:rFonts w:ascii="Times New Roman" w:eastAsia="Times New Roman" w:hAnsi="Times New Roman" w:cs="Times New Roman"/>
        </w:rPr>
        <w:t xml:space="preserve">3. Many states, including New York, have enacted indemnification statues to relieve low-level state employees held liable for acts performed in the course of their duties.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 xml:space="preserve">Carolyn Kearns, </w:t>
      </w:r>
      <w:r w:rsidRPr="00B06D0A">
        <w:rPr>
          <w:rFonts w:ascii="Times New Roman" w:eastAsia="Times New Roman" w:hAnsi="Times New Roman" w:cs="Times New Roman"/>
          <w:i/>
          <w:iCs/>
        </w:rPr>
        <w:t>Tort Liability of Administrative Officers in New York</w:t>
      </w:r>
      <w:r w:rsidRPr="00B06D0A">
        <w:rPr>
          <w:rFonts w:ascii="Times New Roman" w:eastAsia="Times New Roman" w:hAnsi="Times New Roman" w:cs="Times New Roman"/>
        </w:rPr>
        <w:t xml:space="preserve">, 62 </w:t>
      </w:r>
      <w:r w:rsidRPr="00B06D0A">
        <w:rPr>
          <w:rFonts w:ascii="Times New Roman" w:eastAsia="Times New Roman" w:hAnsi="Times New Roman" w:cs="Times New Roman"/>
          <w:smallCaps/>
        </w:rPr>
        <w:t>St. John</w:t>
      </w:r>
      <w:r w:rsidR="00B05F31" w:rsidRPr="00B06D0A">
        <w:rPr>
          <w:rFonts w:ascii="Times New Roman" w:eastAsia="Times New Roman" w:hAnsi="Times New Roman" w:cs="Times New Roman"/>
          <w:smallCaps/>
        </w:rPr>
        <w:t>’</w:t>
      </w:r>
      <w:r w:rsidRPr="00B06D0A">
        <w:rPr>
          <w:rFonts w:ascii="Times New Roman" w:eastAsia="Times New Roman" w:hAnsi="Times New Roman" w:cs="Times New Roman"/>
          <w:smallCaps/>
        </w:rPr>
        <w:t xml:space="preserve">s L. Rev. 181 </w:t>
      </w:r>
      <w:r w:rsidRPr="00B06D0A">
        <w:rPr>
          <w:rFonts w:ascii="Times New Roman" w:eastAsia="Times New Roman" w:hAnsi="Times New Roman" w:cs="Times New Roman"/>
        </w:rPr>
        <w:t>(1954).</w:t>
      </w:r>
    </w:p>
    <w:p w14:paraId="181B7EFB" w14:textId="77777777" w:rsidR="00FA3CF9" w:rsidRDefault="00FA3CF9">
      <w:pPr>
        <w:rPr>
          <w:rFonts w:ascii="Times New Roman" w:hAnsi="Times New Roman" w:cs="Times New Roman"/>
        </w:rPr>
      </w:pPr>
    </w:p>
    <w:p w14:paraId="4B30F7C8" w14:textId="77777777" w:rsidR="005468ED" w:rsidRPr="00B06D0A" w:rsidRDefault="005468ED">
      <w:pPr>
        <w:rPr>
          <w:rFonts w:ascii="Times New Roman" w:hAnsi="Times New Roman" w:cs="Times New Roman"/>
        </w:rPr>
      </w:pPr>
    </w:p>
    <w:p w14:paraId="71E31B74" w14:textId="77777777" w:rsidR="00FA3CF9" w:rsidRPr="00A559C4" w:rsidRDefault="00FA3CF9" w:rsidP="002502CC">
      <w:pPr>
        <w:pStyle w:val="Heading4"/>
      </w:pPr>
      <w:bookmarkStart w:id="867" w:name="_Toc364636249"/>
      <w:bookmarkStart w:id="868" w:name="_Toc518323504"/>
      <w:r w:rsidRPr="00C14ACE">
        <w:t>c. Constitutional Torts</w:t>
      </w:r>
      <w:bookmarkEnd w:id="867"/>
      <w:bookmarkEnd w:id="868"/>
    </w:p>
    <w:p w14:paraId="30A11ACA" w14:textId="77777777" w:rsidR="00FA3CF9" w:rsidRPr="00B06D0A" w:rsidRDefault="00FA3CF9">
      <w:pPr>
        <w:rPr>
          <w:rFonts w:ascii="Times New Roman" w:hAnsi="Times New Roman" w:cs="Times New Roman"/>
        </w:rPr>
      </w:pPr>
    </w:p>
    <w:p w14:paraId="2F8D95B8" w14:textId="45C16B5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Even as Congress and the courts worked to immunize federal officials from liability for </w:t>
      </w:r>
      <w:r w:rsidRPr="00B06D0A">
        <w:rPr>
          <w:rFonts w:ascii="Times New Roman" w:eastAsia="Times New Roman" w:hAnsi="Times New Roman" w:cs="Times New Roman"/>
          <w:i/>
          <w:iCs/>
        </w:rPr>
        <w:t xml:space="preserve">common law </w:t>
      </w:r>
      <w:r w:rsidRPr="00B06D0A">
        <w:rPr>
          <w:rFonts w:ascii="Times New Roman" w:eastAsia="Times New Roman" w:hAnsi="Times New Roman" w:cs="Times New Roman"/>
        </w:rPr>
        <w:t xml:space="preserve">torts, the Supreme Court created a new category of </w:t>
      </w:r>
      <w:r w:rsidRPr="00B06D0A">
        <w:rPr>
          <w:rFonts w:ascii="Times New Roman" w:eastAsia="Times New Roman" w:hAnsi="Times New Roman" w:cs="Times New Roman"/>
          <w:i/>
          <w:iCs/>
        </w:rPr>
        <w:t xml:space="preserve">constitutional </w:t>
      </w:r>
      <w:r w:rsidRPr="00B06D0A">
        <w:rPr>
          <w:rFonts w:ascii="Times New Roman" w:eastAsia="Times New Roman" w:hAnsi="Times New Roman" w:cs="Times New Roman"/>
        </w:rPr>
        <w:t>torts</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for which federal employees could be held personally liable. In </w:t>
      </w:r>
      <w:r w:rsidRPr="00B06D0A">
        <w:rPr>
          <w:rFonts w:ascii="Times New Roman" w:eastAsia="Times New Roman" w:hAnsi="Times New Roman" w:cs="Times New Roman"/>
          <w:i/>
          <w:iCs/>
        </w:rPr>
        <w:t>Bivens v. Six Unknown Named Agents</w:t>
      </w:r>
      <w:r w:rsidRPr="00B06D0A">
        <w:rPr>
          <w:rFonts w:ascii="Times New Roman" w:eastAsia="Times New Roman" w:hAnsi="Times New Roman" w:cs="Times New Roman"/>
        </w:rPr>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B06D0A">
        <w:rPr>
          <w:rFonts w:ascii="Times New Roman" w:eastAsia="Times New Roman" w:hAnsi="Times New Roman" w:cs="Times New Roman"/>
          <w:i/>
          <w:iCs/>
        </w:rPr>
        <w:t xml:space="preserve">Bivens </w:t>
      </w:r>
      <w:r w:rsidRPr="00B06D0A">
        <w:rPr>
          <w:rFonts w:ascii="Times New Roman" w:eastAsia="Times New Roman" w:hAnsi="Times New Roman" w:cs="Times New Roman"/>
        </w:rPr>
        <w:t xml:space="preserve">cases where such representation is requested.  Moreover, indemnification of officers held liable in </w:t>
      </w:r>
      <w:r w:rsidRPr="00B06D0A">
        <w:rPr>
          <w:rFonts w:ascii="Times New Roman" w:eastAsia="Times New Roman" w:hAnsi="Times New Roman" w:cs="Times New Roman"/>
          <w:i/>
          <w:iCs/>
        </w:rPr>
        <w:t xml:space="preserve">Bivens </w:t>
      </w:r>
      <w:r w:rsidRPr="00B06D0A">
        <w:rPr>
          <w:rFonts w:ascii="Times New Roman" w:eastAsia="Times New Roman" w:hAnsi="Times New Roman" w:cs="Times New Roman"/>
        </w:rPr>
        <w:t xml:space="preserve">actions is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virtual certainty.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Cornelia T.L. Pillard, </w:t>
      </w:r>
      <w:r w:rsidRPr="00B06D0A">
        <w:rPr>
          <w:rFonts w:ascii="Times New Roman" w:eastAsia="Times New Roman" w:hAnsi="Times New Roman" w:cs="Times New Roman"/>
          <w:i/>
          <w:iCs/>
        </w:rPr>
        <w:t xml:space="preserve">Taking Fiction Seriously: The Strange Results </w:t>
      </w:r>
      <w:r w:rsidR="008517C2">
        <w:rPr>
          <w:rFonts w:ascii="Times New Roman" w:eastAsia="Times New Roman" w:hAnsi="Times New Roman" w:cs="Times New Roman"/>
          <w:i/>
          <w:iCs/>
        </w:rPr>
        <w:t>o</w:t>
      </w:r>
      <w:r w:rsidRPr="00B06D0A">
        <w:rPr>
          <w:rFonts w:ascii="Times New Roman" w:eastAsia="Times New Roman" w:hAnsi="Times New Roman" w:cs="Times New Roman"/>
          <w:i/>
          <w:iCs/>
        </w:rPr>
        <w:t>f Public Officials</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 xml:space="preserve"> Individual Liability Under </w:t>
      </w:r>
      <w:r w:rsidRPr="00F94B7E">
        <w:rPr>
          <w:rFonts w:ascii="Times New Roman" w:eastAsia="Times New Roman" w:hAnsi="Times New Roman" w:cs="Times New Roman"/>
          <w:iCs/>
        </w:rPr>
        <w:t>Bivens</w:t>
      </w:r>
      <w:r w:rsidRPr="00B06D0A">
        <w:rPr>
          <w:rFonts w:ascii="Times New Roman" w:eastAsia="Times New Roman" w:hAnsi="Times New Roman" w:cs="Times New Roman"/>
        </w:rPr>
        <w:t xml:space="preserve">, </w:t>
      </w:r>
      <w:r w:rsidRPr="00B06D0A">
        <w:rPr>
          <w:rFonts w:ascii="Times New Roman" w:eastAsia="Times New Roman" w:hAnsi="Times New Roman" w:cs="Times New Roman"/>
          <w:smallCaps/>
        </w:rPr>
        <w:t xml:space="preserve">88 Geo. L.J. </w:t>
      </w:r>
      <w:r w:rsidRPr="00B06D0A">
        <w:rPr>
          <w:rFonts w:ascii="Times New Roman" w:eastAsia="Times New Roman" w:hAnsi="Times New Roman" w:cs="Times New Roman"/>
        </w:rPr>
        <w:t>65, 76-</w:t>
      </w:r>
      <w:r w:rsidR="008517C2">
        <w:rPr>
          <w:rFonts w:ascii="Times New Roman" w:eastAsia="Times New Roman" w:hAnsi="Times New Roman" w:cs="Times New Roman"/>
        </w:rPr>
        <w:t>7</w:t>
      </w:r>
      <w:r w:rsidRPr="00B06D0A">
        <w:rPr>
          <w:rFonts w:ascii="Times New Roman" w:eastAsia="Times New Roman" w:hAnsi="Times New Roman" w:cs="Times New Roman"/>
        </w:rPr>
        <w:t>7 (1999).</w:t>
      </w:r>
    </w:p>
    <w:p w14:paraId="65B5819E" w14:textId="77777777" w:rsidR="00FA3CF9" w:rsidRPr="00B06D0A" w:rsidRDefault="00FA3CF9">
      <w:pPr>
        <w:rPr>
          <w:rFonts w:ascii="Times New Roman" w:hAnsi="Times New Roman" w:cs="Times New Roman"/>
        </w:rPr>
      </w:pPr>
    </w:p>
    <w:p w14:paraId="7F3A7910" w14:textId="283EED5A" w:rsidR="00FA3CF9" w:rsidRPr="00B06D0A" w:rsidRDefault="750671CE">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 officials, like their federal brethren, may be held personally liable for constitutional torts under a provision of the Civil Rights Act of 1871, which was passed to combat a wave of atrocities committed by the Ku Klux Klan in the South.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Harry A. Blackmun,</w:t>
      </w:r>
      <w:r w:rsidRPr="00B06D0A">
        <w:rPr>
          <w:rFonts w:ascii="Times New Roman" w:eastAsia="Times New Roman" w:hAnsi="Times New Roman" w:cs="Times New Roman"/>
          <w:i/>
          <w:iCs/>
        </w:rPr>
        <w:t xml:space="preserve"> Section 1983 and Federal Protection of Individual Rights</w:t>
      </w:r>
      <w:r w:rsidR="008517C2" w:rsidRPr="008517C2">
        <w:rPr>
          <w:rFonts w:ascii="Times New Roman" w:eastAsia="Times New Roman" w:hAnsi="Times New Roman" w:cs="Times New Roman"/>
          <w:i/>
          <w:iCs/>
        </w:rPr>
        <w:t>—</w:t>
      </w:r>
      <w:r w:rsidRPr="00B06D0A">
        <w:rPr>
          <w:rFonts w:ascii="Times New Roman" w:eastAsia="Times New Roman" w:hAnsi="Times New Roman" w:cs="Times New Roman"/>
          <w:i/>
          <w:iCs/>
        </w:rPr>
        <w:t>Will the Statute Remain Alive or Fade Away?</w:t>
      </w:r>
      <w:r w:rsidRPr="00B06D0A">
        <w:rPr>
          <w:rFonts w:ascii="Times New Roman" w:eastAsia="Times New Roman" w:hAnsi="Times New Roman" w:cs="Times New Roman"/>
        </w:rPr>
        <w:t xml:space="preserve">, 60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1, 5 (1982). Section 1 of the Act, now codified as Section 1983 of Title 42 of the United States Code, aimed to protect freedmen in the South by providing a cause of action against </w:t>
      </w:r>
    </w:p>
    <w:p w14:paraId="014365E2" w14:textId="77777777" w:rsidR="00FA3CF9" w:rsidRPr="00B06D0A" w:rsidRDefault="00FA3CF9">
      <w:pPr>
        <w:pStyle w:val="CommentText"/>
        <w:ind w:firstLine="720"/>
        <w:rPr>
          <w:rFonts w:ascii="Times New Roman" w:hAnsi="Times New Roman" w:cs="Times New Roman"/>
        </w:rPr>
      </w:pPr>
    </w:p>
    <w:p w14:paraId="11A84760" w14:textId="77777777" w:rsidR="00FA3CF9" w:rsidRPr="00B06D0A" w:rsidRDefault="750671CE" w:rsidP="00F94B7E">
      <w:pPr>
        <w:pStyle w:val="blockquote"/>
      </w:pPr>
      <w:r w:rsidRPr="00B06D0A">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B06D0A" w:rsidRDefault="00FA3CF9">
      <w:pPr>
        <w:pStyle w:val="CommentText"/>
        <w:ind w:firstLine="720"/>
        <w:rPr>
          <w:rFonts w:ascii="Times New Roman" w:hAnsi="Times New Roman" w:cs="Times New Roman"/>
        </w:rPr>
      </w:pPr>
    </w:p>
    <w:p w14:paraId="0E1E9B96" w14:textId="4C90FC86" w:rsidR="00FA3CF9" w:rsidRPr="00B06D0A" w:rsidRDefault="750671CE">
      <w:pPr>
        <w:pStyle w:val="CommentText"/>
        <w:rPr>
          <w:rFonts w:ascii="Times New Roman" w:eastAsia="Times New Roman" w:hAnsi="Times New Roman" w:cs="Times New Roman"/>
        </w:rPr>
      </w:pPr>
      <w:r w:rsidRPr="00B06D0A">
        <w:rPr>
          <w:rFonts w:ascii="Times New Roman" w:eastAsia="Times New Roman" w:hAnsi="Times New Roman" w:cs="Times New Roman"/>
        </w:rPr>
        <w:t>Section 1983 was narrowly construed by courts and ignored by prosecutors for nearly a century.  But after the Supreme Court</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s ruling in </w:t>
      </w:r>
      <w:r w:rsidRPr="00B06D0A">
        <w:rPr>
          <w:rFonts w:ascii="Times New Roman" w:eastAsia="Times New Roman" w:hAnsi="Times New Roman" w:cs="Times New Roman"/>
          <w:i/>
          <w:iCs/>
        </w:rPr>
        <w:t>Monroe v. Pape,</w:t>
      </w:r>
      <w:r w:rsidRPr="00B06D0A">
        <w:rPr>
          <w:rFonts w:ascii="Times New Roman" w:eastAsia="Times New Roman" w:hAnsi="Times New Roman" w:cs="Times New Roman"/>
        </w:rPr>
        <w:t xml:space="preserve"> 365 U.S. 167</w:t>
      </w:r>
      <w:r w:rsidRPr="00B06D0A">
        <w:rPr>
          <w:rFonts w:ascii="Times New Roman" w:eastAsia="Times New Roman" w:hAnsi="Times New Roman" w:cs="Times New Roman"/>
          <w:i/>
          <w:iCs/>
        </w:rPr>
        <w:t xml:space="preserve"> </w:t>
      </w:r>
      <w:r w:rsidRPr="00B06D0A">
        <w:rPr>
          <w:rFonts w:ascii="Times New Roman" w:eastAsia="Times New Roman" w:hAnsi="Times New Roman" w:cs="Times New Roman"/>
        </w:rPr>
        <w:t xml:space="preserve">(1961), Section 1983 became a viable independent federal remedy against state and local officials for violations of federally protected rights. </w:t>
      </w:r>
    </w:p>
    <w:p w14:paraId="474371BB" w14:textId="77777777" w:rsidR="00FA3CF9" w:rsidRPr="00B06D0A" w:rsidRDefault="00FA3CF9">
      <w:pPr>
        <w:pStyle w:val="CommentText"/>
        <w:rPr>
          <w:rFonts w:ascii="Times New Roman" w:hAnsi="Times New Roman" w:cs="Times New Roman"/>
        </w:rPr>
      </w:pPr>
    </w:p>
    <w:p w14:paraId="016EDB2B" w14:textId="440240B9" w:rsidR="00FA3CF9" w:rsidRPr="00B06D0A" w:rsidRDefault="750671CE">
      <w:pPr>
        <w:pStyle w:val="CommentText"/>
        <w:ind w:firstLine="720"/>
        <w:rPr>
          <w:rFonts w:ascii="Times New Roman" w:eastAsia="Times New Roman" w:hAnsi="Times New Roman" w:cs="Times New Roman"/>
        </w:rPr>
      </w:pPr>
      <w:r w:rsidRPr="00B06D0A">
        <w:rPr>
          <w:rFonts w:ascii="Times New Roman" w:eastAsia="Times New Roman" w:hAnsi="Times New Roman" w:cs="Times New Roman"/>
        </w:rPr>
        <w:t xml:space="preserve">States are not subject to Section 1983 actions because they are not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persons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B06D0A">
        <w:rPr>
          <w:rFonts w:ascii="Times New Roman" w:eastAsia="Times New Roman" w:hAnsi="Times New Roman" w:cs="Times New Roman"/>
          <w:i/>
          <w:iCs/>
        </w:rPr>
        <w:t>Monell v. Dep</w:t>
      </w:r>
      <w:r w:rsidR="00B05F31" w:rsidRPr="00B06D0A">
        <w:rPr>
          <w:rFonts w:ascii="Times New Roman" w:eastAsia="Times New Roman" w:hAnsi="Times New Roman" w:cs="Times New Roman"/>
          <w:i/>
          <w:iCs/>
        </w:rPr>
        <w:t>’</w:t>
      </w:r>
      <w:r w:rsidRPr="00B06D0A">
        <w:rPr>
          <w:rFonts w:ascii="Times New Roman" w:eastAsia="Times New Roman" w:hAnsi="Times New Roman" w:cs="Times New Roman"/>
          <w:i/>
          <w:iCs/>
        </w:rPr>
        <w:t>t of Soc. Scrvs. of N.Y.</w:t>
      </w:r>
      <w:r w:rsidRPr="00B06D0A">
        <w:rPr>
          <w:rFonts w:ascii="Times New Roman" w:eastAsia="Times New Roman" w:hAnsi="Times New Roman" w:cs="Times New Roman"/>
        </w:rPr>
        <w:t>, 436 U.S. 658, 690-</w:t>
      </w:r>
      <w:r w:rsidR="008517C2">
        <w:rPr>
          <w:rFonts w:ascii="Times New Roman" w:eastAsia="Times New Roman" w:hAnsi="Times New Roman" w:cs="Times New Roman"/>
        </w:rPr>
        <w:t>9</w:t>
      </w:r>
      <w:r w:rsidRPr="00B06D0A">
        <w:rPr>
          <w:rFonts w:ascii="Times New Roman" w:eastAsia="Times New Roman" w:hAnsi="Times New Roman" w:cs="Times New Roman"/>
        </w:rPr>
        <w:t xml:space="preserve">1 (1978). Nevertheless, municipalities routinely indemnify police officers found liable in Section 1983 suits even when there is no official policy. Joanna C. Schwartz, </w:t>
      </w:r>
      <w:r w:rsidRPr="00B06D0A">
        <w:rPr>
          <w:rFonts w:ascii="Times New Roman" w:eastAsia="Times New Roman" w:hAnsi="Times New Roman" w:cs="Times New Roman"/>
          <w:i/>
          <w:iCs/>
        </w:rPr>
        <w:t>Police Indemnification</w:t>
      </w:r>
      <w:r w:rsidRPr="00B06D0A">
        <w:rPr>
          <w:rFonts w:ascii="Times New Roman" w:eastAsia="Times New Roman" w:hAnsi="Times New Roman" w:cs="Times New Roman"/>
        </w:rPr>
        <w:t xml:space="preserve">, 89 </w:t>
      </w:r>
      <w:r w:rsidRPr="00B06D0A">
        <w:rPr>
          <w:rFonts w:ascii="Times New Roman" w:eastAsia="Times New Roman" w:hAnsi="Times New Roman" w:cs="Times New Roman"/>
          <w:smallCaps/>
        </w:rPr>
        <w:t>N.Y.U. L. Rev</w:t>
      </w:r>
      <w:r w:rsidRPr="00B06D0A">
        <w:rPr>
          <w:rFonts w:ascii="Times New Roman" w:eastAsia="Times New Roman" w:hAnsi="Times New Roman" w:cs="Times New Roman"/>
        </w:rPr>
        <w:t xml:space="preserve">. 885, 888-90 (2014); </w:t>
      </w:r>
      <w:r w:rsidRPr="00B06D0A">
        <w:rPr>
          <w:rFonts w:ascii="Times New Roman" w:eastAsia="Times New Roman" w:hAnsi="Times New Roman" w:cs="Times New Roman"/>
          <w:i/>
          <w:iCs/>
        </w:rPr>
        <w:t xml:space="preserve">see also </w:t>
      </w:r>
      <w:r w:rsidRPr="00B06D0A">
        <w:rPr>
          <w:rFonts w:ascii="Times New Roman" w:eastAsia="Times New Roman" w:hAnsi="Times New Roman" w:cs="Times New Roman"/>
          <w:smallCaps/>
        </w:rPr>
        <w:t>Peter H. Schuck, Suing Government: Citizen Remedies for Official Wrongs</w:t>
      </w:r>
      <w:r w:rsidRPr="00B06D0A">
        <w:rPr>
          <w:rFonts w:ascii="Times New Roman" w:eastAsia="Times New Roman" w:hAnsi="Times New Roman" w:cs="Times New Roman"/>
        </w:rPr>
        <w:t xml:space="preserve"> 85 (1983). </w:t>
      </w:r>
    </w:p>
    <w:p w14:paraId="14DAB7FF" w14:textId="77777777" w:rsidR="00FA3CF9" w:rsidRPr="00B06D0A" w:rsidRDefault="00FA3CF9">
      <w:pPr>
        <w:pStyle w:val="CommentText"/>
        <w:ind w:firstLine="720"/>
        <w:rPr>
          <w:rFonts w:ascii="Times New Roman" w:hAnsi="Times New Roman" w:cs="Times New Roman"/>
        </w:rPr>
      </w:pPr>
    </w:p>
    <w:p w14:paraId="25D16E08" w14:textId="06C13C13"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Does indemnification effectively replicate the economic structure of vicarious liability? Or should municipalities be vicariously liable for their employees</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B06D0A">
        <w:rPr>
          <w:rFonts w:ascii="Times New Roman" w:eastAsia="Times New Roman" w:hAnsi="Times New Roman" w:cs="Times New Roman"/>
          <w:i/>
          <w:iCs/>
        </w:rPr>
        <w:t xml:space="preserve">See </w:t>
      </w:r>
      <w:r w:rsidRPr="00B06D0A">
        <w:rPr>
          <w:rFonts w:ascii="Times New Roman" w:eastAsia="Times New Roman" w:hAnsi="Times New Roman" w:cs="Times New Roman"/>
        </w:rPr>
        <w:t xml:space="preserve">Joanna C. Schwartz, </w:t>
      </w:r>
      <w:r w:rsidRPr="00B06D0A">
        <w:rPr>
          <w:rFonts w:ascii="Times New Roman" w:eastAsia="Times New Roman" w:hAnsi="Times New Roman" w:cs="Times New Roman"/>
          <w:i/>
          <w:iCs/>
        </w:rPr>
        <w:t>Myths and Mechanics of Deterrence: The Role of Lawsuits in Law Enforcement Decisionmaking</w:t>
      </w:r>
      <w:r w:rsidRPr="00B06D0A">
        <w:rPr>
          <w:rFonts w:ascii="Times New Roman" w:eastAsia="Times New Roman" w:hAnsi="Times New Roman" w:cs="Times New Roman"/>
        </w:rPr>
        <w:t xml:space="preserve">, 57 UCLA L. </w:t>
      </w:r>
      <w:r w:rsidRPr="00B06D0A">
        <w:rPr>
          <w:rFonts w:ascii="Times New Roman" w:eastAsia="Times New Roman" w:hAnsi="Times New Roman" w:cs="Times New Roman"/>
          <w:smallCaps/>
        </w:rPr>
        <w:t>Rev.</w:t>
      </w:r>
      <w:r w:rsidRPr="00B06D0A">
        <w:rPr>
          <w:rFonts w:ascii="Times New Roman" w:eastAsia="Times New Roman" w:hAnsi="Times New Roman" w:cs="Times New Roman"/>
        </w:rPr>
        <w:t xml:space="preserve"> 1023, 1032 (2010).</w:t>
      </w:r>
    </w:p>
    <w:p w14:paraId="6E76F751" w14:textId="382E8B08" w:rsidR="00973246" w:rsidRDefault="00973246">
      <w:pPr>
        <w:rPr>
          <w:rFonts w:ascii="Times New Roman" w:hAnsi="Times New Roman" w:cs="Times New Roman"/>
        </w:rPr>
      </w:pPr>
      <w:r>
        <w:rPr>
          <w:rFonts w:ascii="Times New Roman" w:hAnsi="Times New Roman" w:cs="Times New Roman"/>
        </w:rPr>
        <w:br w:type="page"/>
      </w:r>
    </w:p>
    <w:p w14:paraId="791E2A57" w14:textId="77777777" w:rsidR="00FA3CF9" w:rsidRPr="00A559C4" w:rsidRDefault="00FA3CF9" w:rsidP="00322687">
      <w:pPr>
        <w:pStyle w:val="Heading3"/>
      </w:pPr>
      <w:bookmarkStart w:id="869" w:name="_Toc364636250"/>
      <w:bookmarkStart w:id="870" w:name="_Toc518323505"/>
      <w:r w:rsidRPr="00C14ACE">
        <w:t>6.  Statutory Immunity</w:t>
      </w:r>
      <w:bookmarkEnd w:id="869"/>
      <w:bookmarkEnd w:id="870"/>
    </w:p>
    <w:p w14:paraId="154B4ECF" w14:textId="77777777" w:rsidR="00FA3CF9" w:rsidRPr="00B06D0A" w:rsidRDefault="00FA3CF9">
      <w:pPr>
        <w:ind w:firstLine="720"/>
        <w:rPr>
          <w:rFonts w:ascii="Times New Roman" w:hAnsi="Times New Roman" w:cs="Times New Roman"/>
        </w:rPr>
      </w:pPr>
    </w:p>
    <w:p w14:paraId="051B10C7" w14:textId="77777777" w:rsidR="00FA3CF9" w:rsidRPr="00B06D0A" w:rsidRDefault="00FA3CF9">
      <w:pPr>
        <w:ind w:firstLine="720"/>
        <w:rPr>
          <w:rFonts w:ascii="Times New Roman" w:hAnsi="Times New Roman" w:cs="Times New Roman"/>
        </w:rPr>
      </w:pPr>
    </w:p>
    <w:p w14:paraId="7A5F50E5" w14:textId="77777777" w:rsidR="00FA3CF9" w:rsidRPr="00A559C4" w:rsidRDefault="00FA3CF9" w:rsidP="002502CC">
      <w:pPr>
        <w:pStyle w:val="Heading4"/>
      </w:pPr>
      <w:bookmarkStart w:id="871" w:name="_Toc364636251"/>
      <w:bookmarkStart w:id="872" w:name="_Toc518323506"/>
      <w:r w:rsidRPr="00C14ACE">
        <w:t>The Protection of Lawful Commerce in Arms Act of 2005</w:t>
      </w:r>
      <w:bookmarkEnd w:id="871"/>
      <w:bookmarkEnd w:id="872"/>
    </w:p>
    <w:p w14:paraId="35AF60A5" w14:textId="77777777" w:rsidR="00FA3CF9" w:rsidRPr="00B06D0A" w:rsidRDefault="00FA3CF9">
      <w:pPr>
        <w:rPr>
          <w:rFonts w:ascii="Times New Roman" w:hAnsi="Times New Roman" w:cs="Times New Roman"/>
          <w:b/>
        </w:rPr>
      </w:pPr>
    </w:p>
    <w:p w14:paraId="241B72BC" w14:textId="705577D1" w:rsidR="00FA3CF9" w:rsidRPr="00B06D0A" w:rsidRDefault="750671CE">
      <w:pPr>
        <w:ind w:firstLine="720"/>
        <w:rPr>
          <w:rFonts w:ascii="Times New Roman" w:eastAsia="Times New Roman" w:hAnsi="Times New Roman" w:cs="Times New Roman"/>
        </w:rPr>
      </w:pPr>
      <w:r w:rsidRPr="00B06D0A">
        <w:rPr>
          <w:rFonts w:ascii="Times New Roman" w:eastAsia="Times New Roman" w:hAnsi="Times New Roman" w:cs="Times New Roman"/>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 xml:space="preserve">  The legislation excluded from its immunity rule five categories of firearms injuries, as to which the civil actions may still be brought:</w:t>
      </w:r>
    </w:p>
    <w:p w14:paraId="4C0D5323" w14:textId="77777777" w:rsidR="00FA3CF9" w:rsidRPr="00B06D0A" w:rsidRDefault="00FA3CF9">
      <w:pPr>
        <w:ind w:left="720"/>
        <w:rPr>
          <w:rFonts w:ascii="Times New Roman" w:hAnsi="Times New Roman" w:cs="Times New Roman"/>
        </w:rPr>
      </w:pPr>
    </w:p>
    <w:p w14:paraId="363B5270" w14:textId="77777777" w:rsidR="00FA3CF9" w:rsidRPr="00B06D0A" w:rsidRDefault="750671CE" w:rsidP="00F94B7E">
      <w:pPr>
        <w:ind w:left="720" w:right="720"/>
        <w:jc w:val="both"/>
        <w:rPr>
          <w:rFonts w:ascii="Times New Roman" w:eastAsia="Times New Roman" w:hAnsi="Times New Roman" w:cs="Times New Roman"/>
        </w:rPr>
      </w:pPr>
      <w:r w:rsidRPr="00B06D0A">
        <w:rPr>
          <w:rFonts w:ascii="Times New Roman" w:eastAsia="Times New Roman" w:hAnsi="Times New Roman" w:cs="Times New Roman"/>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B06D0A" w:rsidRDefault="750671CE" w:rsidP="00F94B7E">
      <w:pPr>
        <w:ind w:left="720" w:right="720"/>
        <w:jc w:val="both"/>
        <w:rPr>
          <w:rFonts w:ascii="Times New Roman" w:eastAsia="Times New Roman" w:hAnsi="Times New Roman" w:cs="Times New Roman"/>
        </w:rPr>
      </w:pPr>
      <w:r w:rsidRPr="00B06D0A">
        <w:rPr>
          <w:rFonts w:ascii="Times New Roman" w:eastAsia="Times New Roman" w:hAnsi="Times New Roman" w:cs="Times New Roman"/>
        </w:rPr>
        <w:t>(ii) an action brought against a seller for negligent entrustment or negligence per se;</w:t>
      </w:r>
    </w:p>
    <w:p w14:paraId="668785D0" w14:textId="74991015" w:rsidR="00FA3CF9" w:rsidRPr="00B06D0A" w:rsidRDefault="750671CE" w:rsidP="00F94B7E">
      <w:pPr>
        <w:ind w:left="720" w:right="720"/>
        <w:jc w:val="both"/>
        <w:rPr>
          <w:rFonts w:ascii="Times New Roman" w:eastAsia="Times New Roman" w:hAnsi="Times New Roman" w:cs="Times New Roman"/>
        </w:rPr>
      </w:pPr>
      <w:r w:rsidRPr="00B06D0A">
        <w:rPr>
          <w:rFonts w:ascii="Times New Roman" w:eastAsia="Times New Roman" w:hAnsi="Times New Roman" w:cs="Times New Roman"/>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Pr>
          <w:rFonts w:ascii="Times New Roman" w:eastAsia="Times New Roman" w:hAnsi="Times New Roman" w:cs="Times New Roman"/>
        </w:rPr>
        <w:t xml:space="preserve"> ;</w:t>
      </w:r>
    </w:p>
    <w:p w14:paraId="78255C78" w14:textId="77777777" w:rsidR="00FA3CF9" w:rsidRPr="00B06D0A" w:rsidRDefault="750671CE" w:rsidP="00F94B7E">
      <w:pPr>
        <w:ind w:left="720" w:right="720"/>
        <w:jc w:val="both"/>
        <w:rPr>
          <w:rFonts w:ascii="Times New Roman" w:eastAsia="Times New Roman" w:hAnsi="Times New Roman" w:cs="Times New Roman"/>
        </w:rPr>
      </w:pPr>
      <w:r w:rsidRPr="00B06D0A">
        <w:rPr>
          <w:rFonts w:ascii="Times New Roman" w:eastAsia="Times New Roman" w:hAnsi="Times New Roman" w:cs="Times New Roman"/>
        </w:rPr>
        <w:t>(iv) an action for breach of contract or warranty in connection with the purchase of the product;</w:t>
      </w:r>
    </w:p>
    <w:p w14:paraId="4C59549D" w14:textId="2F0AEDD1" w:rsidR="00FA3CF9" w:rsidRPr="00B06D0A" w:rsidRDefault="750671CE" w:rsidP="00F94B7E">
      <w:pPr>
        <w:ind w:left="720" w:right="720"/>
        <w:jc w:val="both"/>
        <w:rPr>
          <w:rFonts w:ascii="Times New Roman" w:eastAsia="Times New Roman" w:hAnsi="Times New Roman" w:cs="Times New Roman"/>
        </w:rPr>
      </w:pPr>
      <w:r w:rsidRPr="00B06D0A">
        <w:rPr>
          <w:rFonts w:ascii="Times New Roman" w:eastAsia="Times New Roman" w:hAnsi="Times New Roman" w:cs="Times New Roman"/>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Pr>
          <w:rFonts w:ascii="Times New Roman" w:eastAsia="Times New Roman" w:hAnsi="Times New Roman" w:cs="Times New Roman"/>
        </w:rPr>
        <w:t>.</w:t>
      </w:r>
    </w:p>
    <w:p w14:paraId="1A0FEFF7" w14:textId="77777777" w:rsidR="00FA3CF9" w:rsidRPr="00B06D0A" w:rsidRDefault="00FA3CF9">
      <w:pPr>
        <w:tabs>
          <w:tab w:val="left" w:pos="5880"/>
        </w:tabs>
        <w:rPr>
          <w:rFonts w:ascii="Times New Roman" w:hAnsi="Times New Roman" w:cs="Times New Roman"/>
        </w:rPr>
      </w:pPr>
    </w:p>
    <w:p w14:paraId="7075A3E7" w14:textId="03BD7687" w:rsidR="00FA3CF9" w:rsidRPr="00B06D0A" w:rsidRDefault="750671CE">
      <w:pPr>
        <w:spacing w:after="16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15 U.S.C. § 7903(5)(A).</w:t>
      </w:r>
    </w:p>
    <w:p w14:paraId="6C1DD891" w14:textId="77777777" w:rsidR="00FA3CF9" w:rsidRPr="00B06D0A" w:rsidRDefault="00FA3CF9">
      <w:pPr>
        <w:spacing w:after="160"/>
        <w:rPr>
          <w:rFonts w:ascii="Times New Roman" w:hAnsi="Times New Roman" w:cs="Times New Roman"/>
          <w:b/>
          <w:color w:val="000000"/>
        </w:rPr>
      </w:pPr>
    </w:p>
    <w:p w14:paraId="2D63AC22" w14:textId="0039C8D4" w:rsidR="00FA3CF9" w:rsidRPr="00B06D0A" w:rsidRDefault="00FA3CF9" w:rsidP="00F94B7E">
      <w:pPr>
        <w:rPr>
          <w:rFonts w:ascii="Times New Roman" w:eastAsia="Times New Roman" w:hAnsi="Times New Roman" w:cs="Times New Roman"/>
          <w:b/>
          <w:bCs/>
          <w:color w:val="000000" w:themeColor="text1"/>
        </w:rPr>
      </w:pPr>
      <w:bookmarkStart w:id="873" w:name="_Toc518323507"/>
      <w:r w:rsidRPr="00C14ACE">
        <w:rPr>
          <w:rStyle w:val="Heading4Char"/>
          <w:szCs w:val="24"/>
        </w:rPr>
        <w:t>City of New York v. Beretta U.S.A. Corp</w:t>
      </w:r>
      <w:bookmarkEnd w:id="873"/>
      <w:r w:rsidRPr="00B06D0A">
        <w:rPr>
          <w:rFonts w:ascii="Times New Roman" w:eastAsia="Times New Roman" w:hAnsi="Times New Roman" w:cs="Times New Roman"/>
          <w:color w:val="000000"/>
        </w:rPr>
        <w:t>.</w:t>
      </w:r>
      <w:r w:rsidR="00E8695B" w:rsidRPr="00B06D0A">
        <w:rPr>
          <w:rFonts w:ascii="Times New Roman" w:eastAsia="Times New Roman" w:hAnsi="Times New Roman" w:cs="Times New Roman"/>
          <w:b/>
          <w:bCs/>
          <w:color w:val="000000"/>
        </w:rPr>
        <w:t xml:space="preserve">, </w:t>
      </w:r>
      <w:r w:rsidRPr="00B06D0A">
        <w:rPr>
          <w:rFonts w:ascii="Times New Roman" w:eastAsia="Times New Roman" w:hAnsi="Times New Roman" w:cs="Times New Roman"/>
          <w:b/>
          <w:bCs/>
          <w:color w:val="000000"/>
        </w:rPr>
        <w:t>524 F.3d 384 (2d Cir. 2008)</w:t>
      </w:r>
    </w:p>
    <w:p w14:paraId="63CF504B" w14:textId="77777777" w:rsidR="00FA3CF9" w:rsidRPr="00B06D0A" w:rsidRDefault="00FA3CF9">
      <w:pPr>
        <w:widowControl w:val="0"/>
        <w:autoSpaceDE w:val="0"/>
        <w:autoSpaceDN w:val="0"/>
        <w:adjustRightInd w:val="0"/>
        <w:rPr>
          <w:rFonts w:ascii="Times New Roman" w:hAnsi="Times New Roman" w:cs="Times New Roman"/>
          <w:color w:val="000000"/>
        </w:rPr>
      </w:pPr>
    </w:p>
    <w:p w14:paraId="23483313" w14:textId="112450E4"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B06D0A">
        <w:rPr>
          <w:rFonts w:ascii="Times New Roman" w:eastAsia="Times New Roman" w:hAnsi="Times New Roman" w:cs="Times New Roman"/>
          <w:smallCaps/>
          <w:color w:val="000000" w:themeColor="text1"/>
        </w:rPr>
        <w:t>Miner</w:t>
      </w:r>
      <w:r w:rsidRPr="00B06D0A">
        <w:rPr>
          <w:rFonts w:ascii="Times New Roman" w:eastAsia="Times New Roman" w:hAnsi="Times New Roman" w:cs="Times New Roman"/>
          <w:color w:val="000000" w:themeColor="text1"/>
        </w:rPr>
        <w:t xml:space="preserve">, </w:t>
      </w:r>
      <w:r w:rsidR="005468ED">
        <w:rPr>
          <w:rFonts w:ascii="Times New Roman" w:eastAsia="Times New Roman" w:hAnsi="Times New Roman" w:cs="Times New Roman"/>
          <w:color w:val="000000" w:themeColor="text1"/>
        </w:rPr>
        <w:t>J.</w:t>
      </w:r>
    </w:p>
    <w:p w14:paraId="23DC33F9" w14:textId="77777777" w:rsidR="00FA3CF9" w:rsidRPr="00B06D0A" w:rsidRDefault="00FA3CF9">
      <w:pPr>
        <w:widowControl w:val="0"/>
        <w:autoSpaceDE w:val="0"/>
        <w:autoSpaceDN w:val="0"/>
        <w:adjustRightInd w:val="0"/>
        <w:rPr>
          <w:rFonts w:ascii="Times New Roman" w:hAnsi="Times New Roman" w:cs="Times New Roman"/>
          <w:color w:val="000000"/>
        </w:rPr>
      </w:pPr>
    </w:p>
    <w:p w14:paraId="183CACB3" w14:textId="67801728" w:rsidR="00FA3CF9" w:rsidRPr="00B06D0A" w:rsidRDefault="750671CE" w:rsidP="005A5833">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 .</w:t>
      </w:r>
      <w:r w:rsidR="005A5833">
        <w:rPr>
          <w:rFonts w:ascii="Times New Roman" w:eastAsia="Times New Roman" w:hAnsi="Times New Roman" w:cs="Times New Roman"/>
          <w:color w:val="000000"/>
        </w:rPr>
        <w:t xml:space="preserve"> </w:t>
      </w:r>
      <w:r w:rsidR="00FA3CF9" w:rsidRPr="00B06D0A">
        <w:rPr>
          <w:rFonts w:ascii="Times New Roman" w:eastAsia="Times New Roman" w:hAnsi="Times New Roman" w:cs="Times New Roman"/>
          <w:color w:val="000000"/>
        </w:rPr>
        <w:t>[O]n June 20, 2000 . . . the City filed a complaint against the Firearms Suppliers seeking injunctive relief and abatement of the alleged public nuisance caused by the Firearms Suppliers</w:t>
      </w:r>
      <w:r w:rsidR="00B05F31" w:rsidRPr="00B06D0A">
        <w:rPr>
          <w:rFonts w:ascii="Times New Roman" w:eastAsia="Times New Roman" w:hAnsi="Times New Roman" w:cs="Times New Roman"/>
          <w:color w:val="000000"/>
        </w:rPr>
        <w:t>’</w:t>
      </w:r>
      <w:r w:rsidR="00FA3CF9" w:rsidRPr="00B06D0A">
        <w:rPr>
          <w:rFonts w:ascii="Times New Roman" w:eastAsia="Times New Roman" w:hAnsi="Times New Roman" w:cs="Times New Roman"/>
          <w:color w:val="000000"/>
        </w:rPr>
        <w:t xml:space="preserve"> distribution practices. The City claimed that the Firearms Suppliers market guns to legitimate buyers with the knowledge that those guns will be diverted through various mechanisms into illegal markets. </w:t>
      </w:r>
      <w:bookmarkStart w:id="874" w:name="Document1zzSDUNumber3"/>
      <w:bookmarkEnd w:id="874"/>
      <w:r w:rsidR="00FA3CF9" w:rsidRPr="00B06D0A">
        <w:rPr>
          <w:rFonts w:ascii="Times New Roman" w:eastAsia="Times New Roman" w:hAnsi="Times New Roman" w:cs="Times New Roman"/>
          <w:color w:val="000000"/>
        </w:rPr>
        <w:t>. .</w:t>
      </w:r>
    </w:p>
    <w:p w14:paraId="6ABA1D66" w14:textId="77777777" w:rsidR="00FA3CF9" w:rsidRPr="00B06D0A" w:rsidRDefault="00FA3CF9">
      <w:pPr>
        <w:widowControl w:val="0"/>
        <w:autoSpaceDE w:val="0"/>
        <w:autoSpaceDN w:val="0"/>
        <w:adjustRightInd w:val="0"/>
        <w:rPr>
          <w:rFonts w:ascii="Times New Roman" w:hAnsi="Times New Roman" w:cs="Times New Roman"/>
          <w:color w:val="000000"/>
        </w:rPr>
      </w:pPr>
    </w:p>
    <w:p w14:paraId="0106D21C" w14:textId="0AC593C1"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On October 26, 2005, the Protection of Lawful Commerce in Arms Act . . . became federal law. The PLCAA provides that any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qualified civil liability action that is pending on October 26, 2005, shall be immediately dismissed by the court in which the action was brought or is currently pending.</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 . . </w:t>
      </w:r>
    </w:p>
    <w:p w14:paraId="7DB73FE7" w14:textId="77777777" w:rsidR="00FA3CF9" w:rsidRPr="00B06D0A" w:rsidRDefault="00FA3CF9">
      <w:pPr>
        <w:widowControl w:val="0"/>
        <w:autoSpaceDE w:val="0"/>
        <w:autoSpaceDN w:val="0"/>
        <w:adjustRightInd w:val="0"/>
        <w:rPr>
          <w:rFonts w:ascii="Times New Roman" w:hAnsi="Times New Roman" w:cs="Times New Roman"/>
          <w:color w:val="000000"/>
        </w:rPr>
      </w:pPr>
    </w:p>
    <w:p w14:paraId="7A1B88E9" w14:textId="38054E58" w:rsidR="00FA3CF9" w:rsidRPr="00ED7BEB" w:rsidRDefault="00FA3CF9">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 xml:space="preserve"> . . . This provision has been called the </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predicate exception,</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 xml:space="preserve"> which appellation we adopt. For purposes of this opinion, a statute upon which a case is brought under the predicate exception is referred to as a </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predicate statute.</w:t>
      </w:r>
      <w:r w:rsidR="00B05F31" w:rsidRPr="00B06D0A">
        <w:rPr>
          <w:rFonts w:ascii="Times New Roman" w:eastAsia="Times New Roman" w:hAnsi="Times New Roman" w:cs="Times New Roman"/>
          <w:color w:val="000000"/>
        </w:rPr>
        <w:t>”</w:t>
      </w:r>
      <w:r w:rsidRPr="00B06D0A">
        <w:rPr>
          <w:rFonts w:ascii="Times New Roman" w:eastAsia="Times New Roman" w:hAnsi="Times New Roman" w:cs="Times New Roman"/>
          <w:color w:val="000000"/>
        </w:rPr>
        <w:t xml:space="preserve">  The predicate statute at issue in this case is </w:t>
      </w:r>
      <w:r w:rsidRPr="00B06D0A">
        <w:rPr>
          <w:rFonts w:ascii="Times New Roman" w:eastAsia="Times New Roman" w:hAnsi="Times New Roman" w:cs="Times New Roman"/>
        </w:rPr>
        <w:t>New York Penal Law § 240.45</w:t>
      </w:r>
      <w:r w:rsidRPr="00B06D0A">
        <w:rPr>
          <w:rFonts w:ascii="Times New Roman" w:eastAsia="Times New Roman" w:hAnsi="Times New Roman" w:cs="Times New Roman"/>
          <w:color w:val="000000"/>
        </w:rPr>
        <w:t>, Criminal Nuisance in the Second Degree.</w:t>
      </w:r>
      <w:r w:rsidRPr="00F349EC">
        <w:rPr>
          <w:rStyle w:val="FootnoteReference"/>
          <w:rFonts w:ascii="Times New Roman" w:eastAsia="Times New Roman" w:hAnsi="Times New Roman" w:cs="Times New Roman"/>
        </w:rPr>
        <w:footnoteReference w:id="25"/>
      </w:r>
      <w:r w:rsidRPr="00F349EC">
        <w:rPr>
          <w:rFonts w:ascii="Times New Roman" w:eastAsia="Times New Roman" w:hAnsi="Times New Roman" w:cs="Times New Roman"/>
          <w:color w:val="000000"/>
        </w:rPr>
        <w:t> </w:t>
      </w:r>
      <w:r w:rsidRPr="00F349EC">
        <w:rPr>
          <w:rFonts w:ascii="Times New Roman" w:eastAsia="Times New Roman" w:hAnsi="Times New Roman" w:cs="Times New Roman"/>
        </w:rPr>
        <w:t xml:space="preserve">. . . </w:t>
      </w:r>
      <w:r w:rsidRPr="00F349EC">
        <w:rPr>
          <w:rFonts w:ascii="Times New Roman" w:eastAsia="Times New Roman" w:hAnsi="Times New Roman" w:cs="Times New Roman"/>
          <w:color w:val="000000"/>
        </w:rPr>
        <w:t xml:space="preserve">   </w:t>
      </w:r>
    </w:p>
    <w:p w14:paraId="0D60521A" w14:textId="77777777" w:rsidR="00FA3CF9" w:rsidRPr="00B06D0A" w:rsidRDefault="00FA3CF9">
      <w:pPr>
        <w:widowControl w:val="0"/>
        <w:autoSpaceDE w:val="0"/>
        <w:autoSpaceDN w:val="0"/>
        <w:adjustRightInd w:val="0"/>
        <w:rPr>
          <w:rFonts w:ascii="Times New Roman" w:hAnsi="Times New Roman" w:cs="Times New Roman"/>
          <w:color w:val="000000"/>
        </w:rPr>
      </w:pPr>
    </w:p>
    <w:p w14:paraId="433A61DF" w14:textId="6ABCEE1A"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On December 2, 2005, the United States District Court for the Eastern District of New York (Weinstein</w:t>
      </w:r>
      <w:r w:rsidRPr="00592D8C">
        <w:rPr>
          <w:rFonts w:ascii="Times New Roman" w:eastAsia="Times New Roman" w:hAnsi="Times New Roman" w:cs="Times New Roman"/>
          <w:color w:val="000000" w:themeColor="text1"/>
        </w:rPr>
        <w:t xml:space="preserve">, </w:t>
      </w:r>
      <w:r w:rsidRPr="00F94B7E">
        <w:rPr>
          <w:rFonts w:ascii="Times New Roman" w:eastAsia="Times New Roman" w:hAnsi="Times New Roman" w:cs="Times New Roman"/>
          <w:iCs/>
          <w:color w:val="000000" w:themeColor="text1"/>
        </w:rPr>
        <w:t>J.</w:t>
      </w:r>
      <w:r w:rsidRPr="00592D8C">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 . . held that,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[b]y its plain meaning, New York [Penal Law § ] 240.45 satisfies the language of the predicate exception requiring a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statute applicable to the sale or marketing of [a firearm].</w:t>
      </w:r>
      <w:r w:rsidR="00B05F31" w:rsidRPr="00B06D0A">
        <w:rPr>
          <w:rFonts w:ascii="Times New Roman" w:eastAsia="Times New Roman" w:hAnsi="Times New Roman" w:cs="Times New Roman"/>
          <w:color w:val="000000" w:themeColor="text1"/>
        </w:rPr>
        <w:t>’</w:t>
      </w:r>
      <w:r w:rsidR="006758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 . . </w:t>
      </w:r>
    </w:p>
    <w:p w14:paraId="31C98B38" w14:textId="77777777" w:rsidR="00FA3CF9" w:rsidRPr="00B06D0A" w:rsidRDefault="00FA3CF9">
      <w:pPr>
        <w:widowControl w:val="0"/>
        <w:autoSpaceDE w:val="0"/>
        <w:autoSpaceDN w:val="0"/>
        <w:adjustRightInd w:val="0"/>
        <w:rPr>
          <w:rFonts w:ascii="Times New Roman" w:hAnsi="Times New Roman" w:cs="Times New Roman"/>
          <w:color w:val="000000"/>
        </w:rPr>
      </w:pPr>
    </w:p>
    <w:p w14:paraId="1BEEA9B4" w14:textId="586A8FCF"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District Court certified its December 2, 2005 order for immediate appeal to this Court, pursuant to </w:t>
      </w:r>
      <w:r w:rsidRPr="00B06D0A">
        <w:rPr>
          <w:rFonts w:ascii="Times New Roman" w:eastAsia="Times New Roman" w:hAnsi="Times New Roman" w:cs="Times New Roman"/>
        </w:rPr>
        <w:t>28 U.S.C. § 1292(b)</w:t>
      </w:r>
      <w:r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i/>
          <w:iCs/>
        </w:rPr>
        <w:t>Id.</w:t>
      </w:r>
      <w:r w:rsidRPr="00F349EC">
        <w:rPr>
          <w:rFonts w:ascii="Times New Roman" w:eastAsia="Times New Roman" w:hAnsi="Times New Roman" w:cs="Times New Roman"/>
        </w:rPr>
        <w:t xml:space="preserve"> at 298</w:t>
      </w:r>
      <w:r w:rsidRPr="00F349EC">
        <w:rPr>
          <w:rFonts w:ascii="Times New Roman" w:eastAsia="Times New Roman" w:hAnsi="Times New Roman" w:cs="Times New Roman"/>
          <w:color w:val="000000" w:themeColor="text1"/>
        </w:rPr>
        <w:t xml:space="preserve"> (</w:t>
      </w:r>
      <w:r w:rsidR="00B05F31" w:rsidRPr="00F349EC">
        <w:rPr>
          <w:rFonts w:ascii="Times New Roman" w:eastAsia="Times New Roman" w:hAnsi="Times New Roman" w:cs="Times New Roman"/>
          <w:color w:val="000000" w:themeColor="text1"/>
        </w:rPr>
        <w:t>“</w:t>
      </w:r>
      <w:r w:rsidRPr="00ED7BEB">
        <w:rPr>
          <w:rFonts w:ascii="Times New Roman" w:eastAsia="Times New Roman" w:hAnsi="Times New Roman" w:cs="Times New Roman"/>
          <w:color w:val="000000" w:themeColor="text1"/>
        </w:rPr>
        <w:t>There is a substantial ground for disagreement about a controlling issue of law-the applicability of the Ac</w:t>
      </w:r>
      <w:r w:rsidRPr="00B06D0A">
        <w:rPr>
          <w:rFonts w:ascii="Times New Roman" w:eastAsia="Times New Roman" w:hAnsi="Times New Roman" w:cs="Times New Roman"/>
          <w:color w:val="000000" w:themeColor="text1"/>
        </w:rPr>
        <w:t>t to the present litigation-and an immediate appeal may substantially advance the ultimate termination of the litigation.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 . .</w:t>
      </w:r>
    </w:p>
    <w:p w14:paraId="2DF1275F" w14:textId="77777777" w:rsidR="00FA3CF9" w:rsidRPr="00B06D0A" w:rsidRDefault="00FA3CF9">
      <w:pPr>
        <w:widowControl w:val="0"/>
        <w:autoSpaceDE w:val="0"/>
        <w:autoSpaceDN w:val="0"/>
        <w:adjustRightInd w:val="0"/>
        <w:rPr>
          <w:rFonts w:ascii="Times New Roman" w:hAnsi="Times New Roman" w:cs="Times New Roman"/>
          <w:color w:val="000000"/>
        </w:rPr>
      </w:pPr>
    </w:p>
    <w:p w14:paraId="665FEF21" w14:textId="70094B67" w:rsidR="00FA3CF9" w:rsidRPr="00B06D0A"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[W]e conclude that the City</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claim, predicated on </w:t>
      </w:r>
      <w:hyperlink r:id="rId67">
        <w:r w:rsidRPr="00B06D0A">
          <w:rPr>
            <w:rFonts w:ascii="Times New Roman" w:eastAsia="Times New Roman" w:hAnsi="Times New Roman" w:cs="Times New Roman"/>
          </w:rPr>
          <w:t>New York Penal Law § 240.45</w:t>
        </w:r>
      </w:hyperlink>
      <w:r w:rsidRPr="00F349EC">
        <w:rPr>
          <w:rFonts w:ascii="Times New Roman" w:eastAsia="Times New Roman" w:hAnsi="Times New Roman" w:cs="Times New Roman"/>
          <w:color w:val="000000" w:themeColor="text1"/>
        </w:rPr>
        <w:t>, does not fall within an exception to the claim restricting provisions of the Act because that statute does not fall within the contours of the Act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predicate exception. . . .</w:t>
      </w:r>
    </w:p>
    <w:p w14:paraId="0965A9D8" w14:textId="77777777" w:rsidR="00FA3CF9" w:rsidRPr="00B06D0A" w:rsidRDefault="00FA3CF9">
      <w:pPr>
        <w:widowControl w:val="0"/>
        <w:autoSpaceDE w:val="0"/>
        <w:autoSpaceDN w:val="0"/>
        <w:adjustRightInd w:val="0"/>
        <w:rPr>
          <w:rFonts w:ascii="Times New Roman" w:hAnsi="Times New Roman" w:cs="Times New Roman"/>
          <w:color w:val="000000"/>
        </w:rPr>
      </w:pPr>
    </w:p>
    <w:p w14:paraId="1C3189AE" w14:textId="2AEB3A58"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We conclude . . . that the meaning of the term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applicable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B06D0A" w:rsidRDefault="00FA3CF9">
      <w:pPr>
        <w:widowControl w:val="0"/>
        <w:autoSpaceDE w:val="0"/>
        <w:autoSpaceDN w:val="0"/>
        <w:adjustRightInd w:val="0"/>
        <w:rPr>
          <w:rFonts w:ascii="Times New Roman" w:hAnsi="Times New Roman" w:cs="Times New Roman"/>
          <w:color w:val="000000"/>
        </w:rPr>
      </w:pPr>
    </w:p>
    <w:p w14:paraId="0BE41A85" w14:textId="188BF6EC"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We think Congress clearly intended to protect from vicarious liability members of the firearms industry who engage in the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lawful design, manufacture, marketing, 30 distribution, importation, or sale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of firearms. Preceding subsection (a)(5), Congress stated that it had found that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B06D0A">
        <w:rPr>
          <w:rFonts w:ascii="Times New Roman" w:eastAsia="Times New Roman" w:hAnsi="Times New Roman" w:cs="Times New Roman"/>
          <w:color w:val="000000" w:themeColor="text1"/>
        </w:rPr>
        <w:t>”</w:t>
      </w:r>
      <w:hyperlink r:id="rId68">
        <w:r w:rsidRPr="00B06D0A">
          <w:rPr>
            <w:rFonts w:ascii="Times New Roman" w:eastAsia="Times New Roman" w:hAnsi="Times New Roman" w:cs="Times New Roman"/>
          </w:rPr>
          <w:t>15 U.S.C. § 7901(a)(4)</w:t>
        </w:r>
      </w:hyperlink>
      <w:r w:rsidRPr="00F349EC">
        <w:rPr>
          <w:rFonts w:ascii="Times New Roman" w:eastAsia="Times New Roman" w:hAnsi="Times New Roman" w:cs="Times New Roman"/>
        </w:rPr>
        <w:t>.</w:t>
      </w:r>
      <w:r w:rsidRPr="00F349EC">
        <w:rPr>
          <w:rFonts w:ascii="Times New Roman" w:eastAsia="Times New Roman" w:hAnsi="Times New Roman" w:cs="Times New Roman"/>
          <w:color w:val="000000" w:themeColor="text1"/>
        </w:rPr>
        <w:t xml:space="preserve"> We think the juxtaposition of these two subsections demonstrates that Congress meant that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lawful design, manufacture, marketing, distribution, importation, or sale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of firearms means such activities having been done in compliance with statutes like those described in subsection (a)(4).</w:t>
      </w:r>
      <w:r w:rsidR="005A5833">
        <w:rPr>
          <w:rFonts w:ascii="Times New Roman" w:eastAsia="Times New Roman" w:hAnsi="Times New Roman" w:cs="Times New Roman"/>
          <w:color w:val="000000" w:themeColor="text1"/>
        </w:rPr>
        <w:t xml:space="preserve"> . . .</w:t>
      </w:r>
    </w:p>
    <w:p w14:paraId="76027C08" w14:textId="77777777" w:rsidR="00FA3CF9" w:rsidRPr="00B06D0A" w:rsidRDefault="00FA3CF9">
      <w:pPr>
        <w:widowControl w:val="0"/>
        <w:autoSpaceDE w:val="0"/>
        <w:autoSpaceDN w:val="0"/>
        <w:adjustRightInd w:val="0"/>
        <w:rPr>
          <w:rFonts w:ascii="Times New Roman" w:hAnsi="Times New Roman" w:cs="Times New Roman"/>
          <w:color w:val="000000"/>
        </w:rPr>
      </w:pPr>
    </w:p>
    <w:p w14:paraId="585D2C3A" w14:textId="0FA29E3A" w:rsidR="00FA3CF9" w:rsidRPr="00B06D0A"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[T]he legislative history of the statute supports the Firearms Suppliers</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proffered interpretation of the term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applicable.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United States Senator Larry E. Craig, a sponsor of the PLCAA, named the case at bar as an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example</w:t>
      </w:r>
      <w:r w:rsidR="0026352C">
        <w:rPr>
          <w:rFonts w:ascii="Times New Roman" w:eastAsia="Times New Roman" w:hAnsi="Times New Roman" w:cs="Times New Roman"/>
          <w:color w:val="000000" w:themeColor="text1"/>
        </w:rPr>
        <w:t xml:space="preserve"> . . . </w:t>
      </w:r>
      <w:r w:rsidRPr="00B06D0A">
        <w:rPr>
          <w:rFonts w:ascii="Times New Roman" w:eastAsia="Times New Roman" w:hAnsi="Times New Roman" w:cs="Times New Roman"/>
          <w:color w:val="000000" w:themeColor="text1"/>
        </w:rPr>
        <w:t xml:space="preserve">of exactly the type of </w:t>
      </w:r>
      <w:r w:rsidR="0026352C">
        <w:rPr>
          <w:rFonts w:ascii="Times New Roman" w:eastAsia="Times New Roman" w:hAnsi="Times New Roman" w:cs="Times New Roman"/>
          <w:color w:val="000000" w:themeColor="text1"/>
        </w:rPr>
        <w:t>. . .</w:t>
      </w:r>
      <w:r w:rsidR="0026352C"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color w:val="000000" w:themeColor="text1"/>
        </w:rPr>
        <w:t>lawsuit</w:t>
      </w:r>
      <w:r w:rsidR="0026352C">
        <w:rPr>
          <w:rFonts w:ascii="Times New Roman" w:eastAsia="Times New Roman" w:hAnsi="Times New Roman" w:cs="Times New Roman"/>
          <w:color w:val="000000" w:themeColor="text1"/>
        </w:rPr>
        <w:t xml:space="preserve"> . . .</w:t>
      </w:r>
      <w:r w:rsidRPr="00B06D0A">
        <w:rPr>
          <w:rFonts w:ascii="Times New Roman" w:eastAsia="Times New Roman" w:hAnsi="Times New Roman" w:cs="Times New Roman"/>
          <w:color w:val="000000" w:themeColor="text1"/>
        </w:rPr>
        <w:t xml:space="preserve"> this bill will eliminate.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 . . United States Representative Clifford B. Stearns, the sponsor of H.R. 800, the House version of the PLCAA, inserted similar comments into the PLCAA</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legislative history so that the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Congressional Record [would] clearly reflect some specific examples of the type of </w:t>
      </w:r>
      <w:r w:rsidR="0026352C">
        <w:rPr>
          <w:rFonts w:ascii="Times New Roman" w:eastAsia="Times New Roman" w:hAnsi="Times New Roman" w:cs="Times New Roman"/>
          <w:color w:val="000000" w:themeColor="text1"/>
        </w:rPr>
        <w:t>. . .</w:t>
      </w:r>
      <w:r w:rsidRPr="00B06D0A">
        <w:rPr>
          <w:rFonts w:ascii="Times New Roman" w:eastAsia="Times New Roman" w:hAnsi="Times New Roman" w:cs="Times New Roman"/>
          <w:color w:val="000000" w:themeColor="text1"/>
        </w:rPr>
        <w:t xml:space="preserve"> lawsuit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the PLCAA would preclude. . . .</w:t>
      </w:r>
    </w:p>
    <w:p w14:paraId="6C88CDF0" w14:textId="77777777" w:rsidR="00FA3CF9" w:rsidRPr="00B06D0A" w:rsidRDefault="00FA3CF9">
      <w:pPr>
        <w:widowControl w:val="0"/>
        <w:autoSpaceDE w:val="0"/>
        <w:autoSpaceDN w:val="0"/>
        <w:adjustRightInd w:val="0"/>
        <w:rPr>
          <w:rFonts w:ascii="Times New Roman" w:hAnsi="Times New Roman" w:cs="Times New Roman"/>
          <w:color w:val="000000"/>
        </w:rPr>
      </w:pPr>
    </w:p>
    <w:p w14:paraId="575167C6" w14:textId="58541AD2" w:rsidR="00FA3CF9" w:rsidRPr="00B06D0A" w:rsidRDefault="750671CE" w:rsidP="00F94B7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The case is remanded to the District Court with instructions to enter judgment dismissing the case as barred by the PLCAA.</w:t>
      </w:r>
    </w:p>
    <w:p w14:paraId="6906ECDF" w14:textId="77777777" w:rsidR="00FA3CF9" w:rsidRPr="00B06D0A" w:rsidRDefault="00FA3CF9">
      <w:pPr>
        <w:widowControl w:val="0"/>
        <w:autoSpaceDE w:val="0"/>
        <w:autoSpaceDN w:val="0"/>
        <w:adjustRightInd w:val="0"/>
        <w:rPr>
          <w:rFonts w:ascii="Times New Roman" w:hAnsi="Times New Roman" w:cs="Times New Roman"/>
          <w:color w:val="000000"/>
        </w:rPr>
      </w:pPr>
    </w:p>
    <w:p w14:paraId="49BA0DF7" w14:textId="23618BC8" w:rsidR="00FA3CF9" w:rsidRPr="00B06D0A" w:rsidRDefault="750671CE">
      <w:pPr>
        <w:widowControl w:val="0"/>
        <w:autoSpaceDE w:val="0"/>
        <w:autoSpaceDN w:val="0"/>
        <w:adjustRightInd w:val="0"/>
        <w:rPr>
          <w:rFonts w:ascii="Times New Roman" w:eastAsia="Times New Roman" w:hAnsi="Times New Roman" w:cs="Times New Roman"/>
          <w:color w:val="000000" w:themeColor="text1"/>
        </w:rPr>
      </w:pPr>
      <w:r w:rsidRPr="00F94B7E">
        <w:rPr>
          <w:rFonts w:ascii="Times New Roman" w:eastAsia="Times New Roman" w:hAnsi="Times New Roman" w:cs="Times New Roman"/>
          <w:smallCaps/>
        </w:rPr>
        <w:t>K</w:t>
      </w:r>
      <w:r w:rsidR="0067580A" w:rsidRPr="00F94B7E">
        <w:rPr>
          <w:rFonts w:ascii="Times New Roman" w:eastAsia="Times New Roman" w:hAnsi="Times New Roman" w:cs="Times New Roman"/>
          <w:smallCaps/>
        </w:rPr>
        <w:t>atzmann</w:t>
      </w:r>
      <w:r w:rsidRPr="00B06D0A">
        <w:rPr>
          <w:rFonts w:ascii="Times New Roman" w:eastAsia="Times New Roman" w:hAnsi="Times New Roman" w:cs="Times New Roman"/>
          <w:color w:val="000000" w:themeColor="text1"/>
        </w:rPr>
        <w:t xml:space="preserve">, </w:t>
      </w:r>
      <w:r w:rsidR="005A5833">
        <w:rPr>
          <w:rFonts w:ascii="Times New Roman" w:eastAsia="Times New Roman" w:hAnsi="Times New Roman" w:cs="Times New Roman"/>
          <w:color w:val="000000" w:themeColor="text1"/>
        </w:rPr>
        <w:t>J.</w:t>
      </w:r>
      <w:r w:rsidRPr="00B06D0A">
        <w:rPr>
          <w:rFonts w:ascii="Times New Roman" w:eastAsia="Times New Roman" w:hAnsi="Times New Roman" w:cs="Times New Roman"/>
          <w:color w:val="000000" w:themeColor="text1"/>
        </w:rPr>
        <w:t>, dissenting</w:t>
      </w:r>
      <w:r w:rsidR="005A5833">
        <w:rPr>
          <w:rFonts w:ascii="Times New Roman" w:eastAsia="Times New Roman" w:hAnsi="Times New Roman" w:cs="Times New Roman"/>
          <w:color w:val="000000" w:themeColor="text1"/>
        </w:rPr>
        <w:t>.</w:t>
      </w:r>
    </w:p>
    <w:p w14:paraId="01B6863D" w14:textId="77777777" w:rsidR="00FA3CF9" w:rsidRPr="00B06D0A" w:rsidRDefault="00FA3CF9">
      <w:pPr>
        <w:widowControl w:val="0"/>
        <w:autoSpaceDE w:val="0"/>
        <w:autoSpaceDN w:val="0"/>
        <w:adjustRightInd w:val="0"/>
        <w:rPr>
          <w:rFonts w:ascii="Times New Roman" w:hAnsi="Times New Roman" w:cs="Times New Roman"/>
          <w:color w:val="000000"/>
        </w:rPr>
      </w:pPr>
    </w:p>
    <w:p w14:paraId="52488CE7" w14:textId="77777777"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Unlike the majority, I believe this case may be simply resolved by looking only at the ordinary meaning of the words in the statute. . . .</w:t>
      </w:r>
    </w:p>
    <w:p w14:paraId="44526358" w14:textId="77777777" w:rsidR="00FA3CF9" w:rsidRPr="00B06D0A" w:rsidRDefault="00FA3CF9">
      <w:pPr>
        <w:widowControl w:val="0"/>
        <w:autoSpaceDE w:val="0"/>
        <w:autoSpaceDN w:val="0"/>
        <w:adjustRightInd w:val="0"/>
        <w:rPr>
          <w:rFonts w:ascii="Times New Roman" w:hAnsi="Times New Roman" w:cs="Times New Roman"/>
          <w:color w:val="000000"/>
        </w:rPr>
      </w:pPr>
    </w:p>
    <w:p w14:paraId="26B50BC0" w14:textId="53885865" w:rsidR="00FA3CF9" w:rsidRPr="00B06D0A" w:rsidRDefault="750671CE" w:rsidP="00F94B7E">
      <w:pPr>
        <w:widowControl w:val="0"/>
        <w:autoSpaceDE w:val="0"/>
        <w:autoSpaceDN w:val="0"/>
        <w:adjustRightInd w:val="0"/>
        <w:ind w:firstLine="720"/>
        <w:rPr>
          <w:rFonts w:ascii="Times New Roman" w:hAnsi="Times New Roman" w:cs="Times New Roman"/>
          <w:color w:val="000000"/>
        </w:rPr>
      </w:pPr>
      <w:r w:rsidRPr="00B06D0A">
        <w:rPr>
          <w:rFonts w:ascii="Times New Roman" w:eastAsia="Times New Roman" w:hAnsi="Times New Roman" w:cs="Times New Roman"/>
          <w:color w:val="000000" w:themeColor="text1"/>
        </w:rPr>
        <w:t xml:space="preserve">As the district court correctly noted, </w:t>
      </w:r>
      <w:hyperlink r:id="rId69">
        <w:r w:rsidRPr="00B06D0A">
          <w:rPr>
            <w:rFonts w:ascii="Times New Roman" w:eastAsia="Times New Roman" w:hAnsi="Times New Roman" w:cs="Times New Roman"/>
          </w:rPr>
          <w:t>401 F.Supp.2d at 261,</w:t>
        </w:r>
      </w:hyperlink>
      <w:r w:rsidRPr="00F349EC">
        <w:rPr>
          <w:rFonts w:ascii="Times New Roman" w:eastAsia="Times New Roman" w:hAnsi="Times New Roman" w:cs="Times New Roman"/>
          <w:color w:val="000000" w:themeColor="text1"/>
        </w:rPr>
        <w:t xml:space="preserve"> the ordinary meaning of the word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applicable</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is clear; any attempt to read that word as meaning anything more than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capable of being applied</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is a strained effort to read an ambiguity that does not exist into the statute. . . .   </w:t>
      </w:r>
    </w:p>
    <w:p w14:paraId="0A909500" w14:textId="77777777" w:rsidR="00FA3CF9" w:rsidRPr="00B06D0A" w:rsidRDefault="00FA3CF9">
      <w:pPr>
        <w:spacing w:after="160"/>
        <w:rPr>
          <w:rFonts w:ascii="Times New Roman" w:hAnsi="Times New Roman" w:cs="Times New Roman"/>
          <w:color w:val="000000"/>
        </w:rPr>
      </w:pPr>
    </w:p>
    <w:p w14:paraId="67B0E914" w14:textId="77777777" w:rsidR="00FA3CF9" w:rsidRPr="00B06D0A" w:rsidRDefault="00FA3CF9">
      <w:pPr>
        <w:spacing w:after="160"/>
        <w:rPr>
          <w:rFonts w:ascii="Times New Roman" w:hAnsi="Times New Roman" w:cs="Times New Roman"/>
          <w:color w:val="000000"/>
        </w:rPr>
      </w:pPr>
    </w:p>
    <w:p w14:paraId="08EA9A6E" w14:textId="77777777" w:rsidR="00FA3CF9" w:rsidRPr="00A559C4" w:rsidRDefault="00FA3CF9" w:rsidP="00322687">
      <w:pPr>
        <w:pStyle w:val="Heading3"/>
      </w:pPr>
      <w:bookmarkStart w:id="875" w:name="_Toc364636252"/>
      <w:bookmarkStart w:id="876" w:name="_Toc518323508"/>
      <w:r w:rsidRPr="00C14ACE">
        <w:t>7.  Wartime and National Security Immunities</w:t>
      </w:r>
      <w:bookmarkEnd w:id="875"/>
      <w:bookmarkEnd w:id="876"/>
    </w:p>
    <w:p w14:paraId="2B333299" w14:textId="77777777" w:rsidR="00FA3CF9" w:rsidRPr="00B06D0A" w:rsidRDefault="00FA3CF9">
      <w:pPr>
        <w:widowControl w:val="0"/>
        <w:autoSpaceDE w:val="0"/>
        <w:autoSpaceDN w:val="0"/>
        <w:adjustRightInd w:val="0"/>
        <w:rPr>
          <w:rFonts w:ascii="Times New Roman" w:hAnsi="Times New Roman" w:cs="Times New Roman"/>
          <w:b/>
          <w:color w:val="000000"/>
        </w:rPr>
      </w:pPr>
    </w:p>
    <w:p w14:paraId="6628D9BE" w14:textId="5D8F2D60" w:rsidR="00FA3CF9" w:rsidRPr="00B06D0A" w:rsidRDefault="750671CE">
      <w:pPr>
        <w:widowControl w:val="0"/>
        <w:autoSpaceDE w:val="0"/>
        <w:autoSpaceDN w:val="0"/>
        <w:adjustRightInd w:val="0"/>
        <w:ind w:firstLine="720"/>
        <w:rPr>
          <w:rStyle w:val="ptext-"/>
          <w:rFonts w:ascii="Times New Roman" w:eastAsia="Times New Roman" w:hAnsi="Times New Roman" w:cs="Times New Roman"/>
        </w:rPr>
      </w:pPr>
      <w:r w:rsidRPr="00B06D0A">
        <w:rPr>
          <w:rFonts w:ascii="Times New Roman" w:eastAsia="Times New Roman" w:hAnsi="Times New Roman" w:cs="Times New Roman"/>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B06D0A">
        <w:rPr>
          <w:rFonts w:ascii="Times New Roman" w:eastAsia="Times New Roman" w:hAnsi="Times New Roman" w:cs="Times New Roman"/>
          <w:b/>
          <w:bCs/>
          <w:color w:val="000000" w:themeColor="text1"/>
        </w:rPr>
        <w:t xml:space="preserve"> </w:t>
      </w:r>
      <w:r w:rsidRPr="00B06D0A">
        <w:rPr>
          <w:rFonts w:ascii="Times New Roman" w:eastAsia="Times New Roman" w:hAnsi="Times New Roman" w:cs="Times New Roman"/>
          <w:color w:val="000000" w:themeColor="text1"/>
        </w:rPr>
        <w:t xml:space="preserve">such </w:t>
      </w:r>
      <w:r w:rsidRPr="00B06D0A">
        <w:rPr>
          <w:rStyle w:val="ptext-"/>
          <w:rFonts w:ascii="Times New Roman" w:eastAsia="Times New Roman" w:hAnsi="Times New Roman" w:cs="Times New Roman"/>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 xml:space="preserve"> homes, animals, and family members.  </w:t>
      </w:r>
      <w:r w:rsidRPr="00B06D0A">
        <w:rPr>
          <w:rStyle w:val="ptext-"/>
          <w:rFonts w:ascii="Times New Roman" w:eastAsia="Times New Roman" w:hAnsi="Times New Roman" w:cs="Times New Roman"/>
          <w:i/>
          <w:iCs/>
        </w:rPr>
        <w:t xml:space="preserve">See </w:t>
      </w:r>
      <w:r w:rsidRPr="00B06D0A">
        <w:rPr>
          <w:rFonts w:ascii="Times New Roman" w:eastAsia="Times New Roman" w:hAnsi="Times New Roman" w:cs="Times New Roman"/>
          <w:color w:val="000000" w:themeColor="text1"/>
        </w:rPr>
        <w:t xml:space="preserve">John Fabian Witt, </w:t>
      </w:r>
      <w:r w:rsidRPr="00B06D0A">
        <w:rPr>
          <w:rFonts w:ascii="Times New Roman" w:eastAsia="Times New Roman" w:hAnsi="Times New Roman" w:cs="Times New Roman"/>
          <w:i/>
          <w:iCs/>
          <w:color w:val="000000" w:themeColor="text1"/>
        </w:rPr>
        <w:t>Form and Substance in the Law of Counterinsurgency Damages</w:t>
      </w:r>
      <w:r w:rsidRPr="00B06D0A">
        <w:rPr>
          <w:rFonts w:ascii="Times New Roman" w:eastAsia="Times New Roman" w:hAnsi="Times New Roman" w:cs="Times New Roman"/>
          <w:color w:val="000000" w:themeColor="text1"/>
        </w:rPr>
        <w:t xml:space="preserve">, 41 </w:t>
      </w:r>
      <w:r w:rsidRPr="00B06D0A">
        <w:rPr>
          <w:rFonts w:ascii="Times New Roman" w:eastAsia="Times New Roman" w:hAnsi="Times New Roman" w:cs="Times New Roman"/>
          <w:smallCaps/>
          <w:color w:val="000000" w:themeColor="text1"/>
        </w:rPr>
        <w:t>Loy. L. Rev.</w:t>
      </w:r>
      <w:r w:rsidRPr="00B06D0A">
        <w:rPr>
          <w:rFonts w:ascii="Times New Roman" w:eastAsia="Times New Roman" w:hAnsi="Times New Roman" w:cs="Times New Roman"/>
          <w:color w:val="000000" w:themeColor="text1"/>
        </w:rPr>
        <w:t xml:space="preserve"> 1455 (2008).</w:t>
      </w:r>
    </w:p>
    <w:p w14:paraId="62E02138" w14:textId="13132130" w:rsidR="00FA3CF9" w:rsidRPr="00B06D0A" w:rsidRDefault="750671CE">
      <w:pPr>
        <w:widowControl w:val="0"/>
        <w:autoSpaceDE w:val="0"/>
        <w:autoSpaceDN w:val="0"/>
        <w:adjustRightInd w:val="0"/>
        <w:ind w:firstLine="720"/>
        <w:rPr>
          <w:rStyle w:val="ptext-"/>
          <w:rFonts w:ascii="Times New Roman" w:eastAsia="Times New Roman" w:hAnsi="Times New Roman" w:cs="Times New Roman"/>
        </w:rPr>
      </w:pPr>
      <w:r w:rsidRPr="00B06D0A">
        <w:rPr>
          <w:rStyle w:val="ptext-"/>
          <w:rFonts w:ascii="Times New Roman" w:eastAsia="Times New Roman" w:hAnsi="Times New Roman" w:cs="Times New Roman"/>
        </w:rPr>
        <w:t>The Foreign Claims Act (FCA), first enacted during World War I, aims to offer a remedy where tort doesn</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t reach.  The FCA authorizes the U.S. Armed Forces to pay monetary compensation to the inhabitants of foreign countries for torts committed against them by the in non-combat operations. A claimant seeking relief under the FCA must file her grievance with a Foreign Claims Commission (</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FCC</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he or she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friendly</w:t>
      </w:r>
      <w:r w:rsidR="00B05F31" w:rsidRPr="00B06D0A">
        <w:rPr>
          <w:rStyle w:val="ptext-"/>
          <w:rFonts w:ascii="Times New Roman" w:eastAsia="Times New Roman" w:hAnsi="Times New Roman" w:cs="Times New Roman"/>
        </w:rPr>
        <w:t>”</w:t>
      </w:r>
      <w:r w:rsidRPr="00B06D0A">
        <w:rPr>
          <w:rStyle w:val="ptext-"/>
          <w:rFonts w:ascii="Times New Roman" w:eastAsia="Times New Roman" w:hAnsi="Times New Roman" w:cs="Times New Roman"/>
        </w:rPr>
        <w:t xml:space="preserve"> by the local military commander before becoming eligible to pursue a claim under the FCA. Furthermore, all claimants must file within two years of the occurrence in question. </w:t>
      </w:r>
    </w:p>
    <w:p w14:paraId="4B6752A3" w14:textId="77777777" w:rsidR="00FA3CF9" w:rsidRPr="00B06D0A" w:rsidRDefault="00FA3CF9">
      <w:pPr>
        <w:widowControl w:val="0"/>
        <w:autoSpaceDE w:val="0"/>
        <w:autoSpaceDN w:val="0"/>
        <w:adjustRightInd w:val="0"/>
        <w:ind w:firstLine="720"/>
        <w:rPr>
          <w:rStyle w:val="ptext-"/>
          <w:rFonts w:ascii="Times New Roman" w:hAnsi="Times New Roman" w:cs="Times New Roman"/>
        </w:rPr>
      </w:pPr>
    </w:p>
    <w:p w14:paraId="55DA0344" w14:textId="4915B01C" w:rsidR="00FA3CF9" w:rsidRPr="00B06D0A" w:rsidRDefault="750671CE">
      <w:pPr>
        <w:widowControl w:val="0"/>
        <w:autoSpaceDE w:val="0"/>
        <w:autoSpaceDN w:val="0"/>
        <w:adjustRightInd w:val="0"/>
        <w:ind w:firstLine="720"/>
        <w:rPr>
          <w:rStyle w:val="ptext-"/>
          <w:rFonts w:ascii="Times New Roman" w:eastAsia="Times New Roman" w:hAnsi="Times New Roman" w:cs="Times New Roman"/>
        </w:rPr>
      </w:pPr>
      <w:r w:rsidRPr="00B06D0A">
        <w:rPr>
          <w:rStyle w:val="ptext-"/>
          <w:rFonts w:ascii="Times New Roman" w:eastAsia="Times New Roman" w:hAnsi="Times New Roman" w:cs="Times New Roman"/>
        </w:rPr>
        <w:t>FCCs decide claims on the basis of prevailing local tort law for both liability and damages. Once a claimant accepts the payment authorized by the FCC, the claim is considered satisfied in full</w:t>
      </w:r>
      <w:r w:rsidR="00FE1EB6">
        <w:rPr>
          <w:rStyle w:val="ptext-"/>
          <w:rFonts w:ascii="Times New Roman" w:eastAsia="Times New Roman" w:hAnsi="Times New Roman" w:cs="Times New Roman"/>
        </w:rPr>
        <w:t>,</w:t>
      </w:r>
      <w:r w:rsidRPr="00B06D0A">
        <w:rPr>
          <w:rStyle w:val="ptext-"/>
          <w:rFonts w:ascii="Times New Roman" w:eastAsia="Times New Roman" w:hAnsi="Times New Roman" w:cs="Times New Roman"/>
        </w:rPr>
        <w:t xml:space="preserve"> and she releases the United States from any further liability arising from the incident at issue. If a claim is denied, the claimant may request that the commission reconsider her case. Failing that, she may request further review by a higher military authority—either the Judge Advocate General </w:t>
      </w:r>
      <w:r w:rsidR="00FE1EB6">
        <w:rPr>
          <w:rStyle w:val="ptext-"/>
          <w:rFonts w:ascii="Times New Roman" w:eastAsia="Times New Roman" w:hAnsi="Times New Roman" w:cs="Times New Roman"/>
        </w:rPr>
        <w:t xml:space="preserve">(JAG) </w:t>
      </w:r>
      <w:r w:rsidRPr="00B06D0A">
        <w:rPr>
          <w:rStyle w:val="ptext-"/>
          <w:rFonts w:ascii="Times New Roman" w:eastAsia="Times New Roman" w:hAnsi="Times New Roman" w:cs="Times New Roman"/>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B06D0A" w:rsidRDefault="00FA3CF9">
      <w:pPr>
        <w:widowControl w:val="0"/>
        <w:autoSpaceDE w:val="0"/>
        <w:autoSpaceDN w:val="0"/>
        <w:adjustRightInd w:val="0"/>
        <w:ind w:firstLine="720"/>
        <w:rPr>
          <w:rStyle w:val="ptext-"/>
          <w:rFonts w:ascii="Times New Roman" w:hAnsi="Times New Roman" w:cs="Times New Roman"/>
        </w:rPr>
      </w:pPr>
    </w:p>
    <w:p w14:paraId="79792AFB" w14:textId="77777777" w:rsidR="00FA3CF9" w:rsidRPr="00B06D0A" w:rsidRDefault="750671CE">
      <w:pPr>
        <w:widowControl w:val="0"/>
        <w:autoSpaceDE w:val="0"/>
        <w:autoSpaceDN w:val="0"/>
        <w:adjustRightInd w:val="0"/>
        <w:ind w:firstLine="720"/>
        <w:rPr>
          <w:rStyle w:val="ptext-"/>
          <w:rFonts w:ascii="Times New Roman" w:eastAsia="Times New Roman" w:hAnsi="Times New Roman" w:cs="Times New Roman"/>
        </w:rPr>
      </w:pPr>
      <w:r w:rsidRPr="00B06D0A">
        <w:rPr>
          <w:rStyle w:val="ptext-"/>
          <w:rFonts w:ascii="Times New Roman" w:eastAsia="Times New Roman" w:hAnsi="Times New Roman" w:cs="Times New Roman"/>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B06D0A" w:rsidRDefault="00FA3CF9">
      <w:pPr>
        <w:widowControl w:val="0"/>
        <w:autoSpaceDE w:val="0"/>
        <w:autoSpaceDN w:val="0"/>
        <w:adjustRightInd w:val="0"/>
        <w:ind w:firstLine="720"/>
        <w:rPr>
          <w:rStyle w:val="ptext-"/>
          <w:rFonts w:ascii="Times New Roman" w:hAnsi="Times New Roman" w:cs="Times New Roman"/>
        </w:rPr>
      </w:pPr>
    </w:p>
    <w:p w14:paraId="295E113C" w14:textId="30B40B9C"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Another place where liability questions have arisen in the armed conflicts of the past decade is with respect to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liability for torture. In </w:t>
      </w:r>
      <w:r w:rsidRPr="00B06D0A">
        <w:rPr>
          <w:rFonts w:ascii="Times New Roman" w:eastAsia="Times New Roman" w:hAnsi="Times New Roman" w:cs="Times New Roman"/>
          <w:i/>
          <w:iCs/>
          <w:color w:val="000000" w:themeColor="text1"/>
        </w:rPr>
        <w:t>Arar v. Ashcroft</w:t>
      </w:r>
      <w:r w:rsidRPr="00B06D0A">
        <w:rPr>
          <w:rFonts w:ascii="Times New Roman" w:eastAsia="Times New Roman" w:hAnsi="Times New Roman" w:cs="Times New Roman"/>
          <w:color w:val="000000" w:themeColor="text1"/>
        </w:rPr>
        <w:t>, 585 F.3d 559 (2d Cir. 2009) (en banc</w:t>
      </w:r>
      <w:r w:rsidRPr="00B06D0A">
        <w:rPr>
          <w:rFonts w:ascii="Times New Roman" w:eastAsia="Times New Roman" w:hAnsi="Times New Roman" w:cs="Times New Roman"/>
          <w:i/>
          <w:iCs/>
          <w:color w:val="000000" w:themeColor="text1"/>
        </w:rPr>
        <w:t>)</w:t>
      </w:r>
      <w:r w:rsidRPr="00B06D0A">
        <w:rPr>
          <w:rFonts w:ascii="Times New Roman" w:eastAsia="Times New Roman" w:hAnsi="Times New Roman" w:cs="Times New Roman"/>
          <w:color w:val="000000" w:themeColor="text1"/>
        </w:rPr>
        <w:t xml:space="preserve">, the Second Circuit declined to recognize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liability for torture resulting from the government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alleged, </w:t>
      </w:r>
      <w:r w:rsidRPr="00B06D0A">
        <w:rPr>
          <w:rFonts w:ascii="Times New Roman" w:eastAsia="Times New Roman" w:hAnsi="Times New Roman" w:cs="Times New Roman"/>
          <w:i/>
          <w:iCs/>
          <w:color w:val="000000" w:themeColor="text1"/>
        </w:rPr>
        <w:t>inter alia</w:t>
      </w:r>
      <w:r w:rsidRPr="00B06D0A">
        <w:rPr>
          <w:rFonts w:ascii="Times New Roman" w:eastAsia="Times New Roman" w:hAnsi="Times New Roman" w:cs="Times New Roman"/>
          <w:color w:val="000000" w:themeColor="text1"/>
        </w:rPr>
        <w:t xml:space="preserve">, that government officials had violated his </w:t>
      </w:r>
      <w:r w:rsidR="00FE1EB6">
        <w:rPr>
          <w:rFonts w:ascii="Times New Roman" w:eastAsia="Times New Roman" w:hAnsi="Times New Roman" w:cs="Times New Roman"/>
          <w:color w:val="000000" w:themeColor="text1"/>
        </w:rPr>
        <w:t>Fifth Amendment</w:t>
      </w:r>
      <w:r w:rsidRPr="00B06D0A">
        <w:rPr>
          <w:rFonts w:ascii="Times New Roman" w:eastAsia="Times New Roman" w:hAnsi="Times New Roman" w:cs="Times New Roman"/>
          <w:color w:val="000000" w:themeColor="text1"/>
        </w:rPr>
        <w:t xml:space="preserve"> substantive due process rights by deporting him to a foreign country to face coercive interrogation. The district court dismissed Arar</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s claim, and the Second Circuit affirmed on the grounds that extending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liability to cases involving extraordinary rendition would have the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tendency to affect diplomacy, foreign policy, and the security of the nation.</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 </w:t>
      </w:r>
      <w:r w:rsidRPr="00B06D0A">
        <w:rPr>
          <w:rFonts w:ascii="Times New Roman" w:eastAsia="Times New Roman" w:hAnsi="Times New Roman" w:cs="Times New Roman"/>
          <w:i/>
          <w:iCs/>
          <w:color w:val="000000" w:themeColor="text1"/>
        </w:rPr>
        <w:t>Id.</w:t>
      </w:r>
      <w:r w:rsidRPr="00B06D0A">
        <w:rPr>
          <w:rFonts w:ascii="Times New Roman" w:eastAsia="Times New Roman" w:hAnsi="Times New Roman" w:cs="Times New Roman"/>
          <w:color w:val="000000" w:themeColor="text1"/>
        </w:rPr>
        <w:t xml:space="preserve"> at 574. </w:t>
      </w:r>
    </w:p>
    <w:p w14:paraId="18C7F02F" w14:textId="77777777" w:rsidR="00FA3CF9" w:rsidRPr="00B06D0A" w:rsidRDefault="00FA3CF9">
      <w:pPr>
        <w:widowControl w:val="0"/>
        <w:autoSpaceDE w:val="0"/>
        <w:autoSpaceDN w:val="0"/>
        <w:adjustRightInd w:val="0"/>
        <w:ind w:firstLine="720"/>
        <w:rPr>
          <w:rFonts w:ascii="Times New Roman" w:hAnsi="Times New Roman" w:cs="Times New Roman"/>
          <w:color w:val="000000"/>
        </w:rPr>
      </w:pPr>
    </w:p>
    <w:p w14:paraId="4955F631" w14:textId="062E2F40" w:rsidR="00FA3CF9" w:rsidRPr="00B06D0A"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The dissenters objected to reaching the merits of the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claim and argued instead in favor of deciding the case on the narrower grounds of the state secrets doctrine. </w:t>
      </w:r>
      <w:r w:rsidRPr="00B06D0A">
        <w:rPr>
          <w:rFonts w:ascii="Times New Roman" w:eastAsia="Times New Roman" w:hAnsi="Times New Roman" w:cs="Times New Roman"/>
        </w:rPr>
        <w:t>They would have allowed Arar</w:t>
      </w:r>
      <w:r w:rsidR="00B05F31" w:rsidRPr="00B06D0A">
        <w:rPr>
          <w:rFonts w:ascii="Times New Roman" w:eastAsia="Times New Roman" w:hAnsi="Times New Roman" w:cs="Times New Roman"/>
        </w:rPr>
        <w:t>’</w:t>
      </w:r>
      <w:r w:rsidRPr="00B06D0A">
        <w:rPr>
          <w:rFonts w:ascii="Times New Roman" w:eastAsia="Times New Roman" w:hAnsi="Times New Roman" w:cs="Times New Roman"/>
        </w:rPr>
        <w:t>s claim to proceed, though they conceded that it would almost certainly fail once the government asserted the state secrets privilege upon remand.  </w:t>
      </w:r>
      <w:r w:rsidRPr="00B06D0A">
        <w:rPr>
          <w:rFonts w:ascii="Times New Roman" w:eastAsia="Times New Roman" w:hAnsi="Times New Roman" w:cs="Times New Roman"/>
          <w:i/>
          <w:iCs/>
          <w:color w:val="000000" w:themeColor="text1"/>
        </w:rPr>
        <w:t>Id</w:t>
      </w:r>
      <w:r w:rsidRPr="00B06D0A">
        <w:rPr>
          <w:rFonts w:ascii="Times New Roman" w:eastAsia="Times New Roman" w:hAnsi="Times New Roman" w:cs="Times New Roman"/>
          <w:color w:val="000000" w:themeColor="text1"/>
        </w:rPr>
        <w:t>. at 638 (Calabresi, J., dissenting) (</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 xml:space="preserve">holding that Arar, </w:t>
      </w:r>
      <w:r w:rsidRPr="00B06D0A">
        <w:rPr>
          <w:rFonts w:ascii="Times New Roman" w:eastAsia="Times New Roman" w:hAnsi="Times New Roman" w:cs="Times New Roman"/>
          <w:i/>
          <w:iCs/>
          <w:color w:val="000000" w:themeColor="text1"/>
        </w:rPr>
        <w:t xml:space="preserve">even if all of his allegations are true, </w:t>
      </w:r>
      <w:r w:rsidRPr="00B06D0A">
        <w:rPr>
          <w:rFonts w:ascii="Times New Roman" w:eastAsia="Times New Roman" w:hAnsi="Times New Roman" w:cs="Times New Roman"/>
          <w:color w:val="000000" w:themeColor="text1"/>
        </w:rPr>
        <w:t xml:space="preserve">has suffered no remediable constitutional harm </w:t>
      </w:r>
      <w:r w:rsidRPr="00B06D0A">
        <w:rPr>
          <w:rFonts w:ascii="Times New Roman" w:eastAsia="Times New Roman" w:hAnsi="Times New Roman" w:cs="Times New Roman"/>
          <w:i/>
          <w:iCs/>
          <w:color w:val="000000" w:themeColor="text1"/>
        </w:rPr>
        <w:t>legitimates</w:t>
      </w:r>
      <w:r w:rsidRPr="00B06D0A">
        <w:rPr>
          <w:rFonts w:ascii="Times New Roman" w:eastAsia="Times New Roman" w:hAnsi="Times New Roman" w:cs="Times New Roman"/>
          <w:color w:val="000000" w:themeColor="text1"/>
        </w:rPr>
        <w:t xml:space="preserve"> the Government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s actions in a way that a state secrets dismissal would not</w:t>
      </w:r>
      <w:r w:rsidR="00B05F31" w:rsidRPr="00B06D0A">
        <w:rPr>
          <w:rFonts w:ascii="Times New Roman" w:eastAsia="Times New Roman" w:hAnsi="Times New Roman" w:cs="Times New Roman"/>
          <w:color w:val="000000" w:themeColor="text1"/>
        </w:rPr>
        <w:t>”</w:t>
      </w:r>
      <w:r w:rsidRPr="00B06D0A">
        <w:rPr>
          <w:rFonts w:ascii="Times New Roman" w:eastAsia="Times New Roman" w:hAnsi="Times New Roman" w:cs="Times New Roman"/>
          <w:color w:val="000000" w:themeColor="text1"/>
        </w:rPr>
        <w:t>).</w:t>
      </w:r>
    </w:p>
    <w:p w14:paraId="01D29BB5" w14:textId="77777777" w:rsidR="00FA3CF9" w:rsidRPr="00B06D0A" w:rsidRDefault="00FA3CF9">
      <w:pPr>
        <w:widowControl w:val="0"/>
        <w:autoSpaceDE w:val="0"/>
        <w:autoSpaceDN w:val="0"/>
        <w:adjustRightInd w:val="0"/>
        <w:ind w:firstLine="720"/>
        <w:rPr>
          <w:rFonts w:ascii="Times New Roman" w:hAnsi="Times New Roman" w:cs="Times New Roman"/>
          <w:color w:val="000000"/>
        </w:rPr>
      </w:pPr>
    </w:p>
    <w:p w14:paraId="07AC236F" w14:textId="7301B618" w:rsidR="00FA3CF9" w:rsidRPr="00B06D0A" w:rsidRDefault="750671CE" w:rsidP="00F94B7E">
      <w:pPr>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Other circuits have been no more willing than the Second to extend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liability to cases involving allegations of torture arising out of U.S. national security programs.  Both the D.C. Circuit, </w:t>
      </w:r>
      <w:r w:rsidRPr="00B06D0A">
        <w:rPr>
          <w:rFonts w:ascii="Times New Roman" w:eastAsia="Times New Roman" w:hAnsi="Times New Roman" w:cs="Times New Roman"/>
          <w:i/>
          <w:iCs/>
        </w:rPr>
        <w:t>Ali v. Rumsfeld</w:t>
      </w:r>
      <w:r w:rsidRPr="00B06D0A">
        <w:rPr>
          <w:rFonts w:ascii="Times New Roman" w:eastAsia="Times New Roman" w:hAnsi="Times New Roman" w:cs="Times New Roman"/>
        </w:rPr>
        <w:t xml:space="preserve">, 649 F.3d 762, 773 (D.C. Cir. 2011), and the Seventh Circuit, </w:t>
      </w:r>
      <w:r w:rsidRPr="00B06D0A">
        <w:rPr>
          <w:rFonts w:ascii="Times New Roman" w:eastAsia="Times New Roman" w:hAnsi="Times New Roman" w:cs="Times New Roman"/>
          <w:i/>
          <w:iCs/>
          <w:color w:val="000000" w:themeColor="text1"/>
        </w:rPr>
        <w:t xml:space="preserve">Vance v. Rumsfeld, </w:t>
      </w:r>
      <w:r w:rsidRPr="00B06D0A">
        <w:rPr>
          <w:rFonts w:ascii="Times New Roman" w:eastAsia="Times New Roman" w:hAnsi="Times New Roman" w:cs="Times New Roman"/>
          <w:color w:val="000000" w:themeColor="text1"/>
        </w:rPr>
        <w:t>701 F.3d 193, 202 (7</w:t>
      </w:r>
      <w:r w:rsidR="00B028FC">
        <w:rPr>
          <w:rFonts w:ascii="Times New Roman" w:eastAsia="Times New Roman" w:hAnsi="Times New Roman" w:cs="Times New Roman"/>
          <w:color w:val="000000" w:themeColor="text1"/>
        </w:rPr>
        <w:t>t</w:t>
      </w:r>
      <w:r w:rsidR="0039795B">
        <w:rPr>
          <w:rFonts w:ascii="Times New Roman" w:eastAsia="Times New Roman" w:hAnsi="Times New Roman" w:cs="Times New Roman"/>
          <w:color w:val="000000" w:themeColor="text1"/>
        </w:rPr>
        <w:t>h</w:t>
      </w:r>
      <w:r w:rsidR="00476E72">
        <w:rPr>
          <w:rFonts w:ascii="Times New Roman" w:eastAsia="Times New Roman" w:hAnsi="Times New Roman" w:cs="Times New Roman"/>
          <w:color w:val="000000" w:themeColor="text1"/>
          <w:vertAlign w:val="superscript"/>
        </w:rPr>
        <w:t xml:space="preserve"> </w:t>
      </w:r>
      <w:r w:rsidRPr="00B06D0A">
        <w:rPr>
          <w:rFonts w:ascii="Times New Roman" w:eastAsia="Times New Roman" w:hAnsi="Times New Roman" w:cs="Times New Roman"/>
          <w:color w:val="000000" w:themeColor="text1"/>
        </w:rPr>
        <w:t xml:space="preserve">Cir. 2012), have dismissed </w:t>
      </w:r>
      <w:r w:rsidRPr="00B06D0A">
        <w:rPr>
          <w:rFonts w:ascii="Times New Roman" w:eastAsia="Times New Roman" w:hAnsi="Times New Roman" w:cs="Times New Roman"/>
          <w:i/>
          <w:iCs/>
          <w:color w:val="000000" w:themeColor="text1"/>
        </w:rPr>
        <w:t xml:space="preserve">Bivens </w:t>
      </w:r>
      <w:r w:rsidRPr="00B06D0A">
        <w:rPr>
          <w:rFonts w:ascii="Times New Roman" w:eastAsia="Times New Roman" w:hAnsi="Times New Roman" w:cs="Times New Roman"/>
          <w:color w:val="000000" w:themeColor="text1"/>
        </w:rPr>
        <w:t xml:space="preserve">actions for post-9/11 torture as prohibitively threatening to important government interests. Only the Fourth Circuit, </w:t>
      </w:r>
      <w:r w:rsidRPr="00B06D0A">
        <w:rPr>
          <w:rFonts w:ascii="Times New Roman" w:eastAsia="Times New Roman" w:hAnsi="Times New Roman" w:cs="Times New Roman"/>
          <w:i/>
          <w:iCs/>
          <w:color w:val="000000" w:themeColor="text1"/>
        </w:rPr>
        <w:t>El-Masri v. United States</w:t>
      </w:r>
      <w:r w:rsidRPr="00B06D0A">
        <w:rPr>
          <w:rFonts w:ascii="Times New Roman" w:eastAsia="Times New Roman" w:hAnsi="Times New Roman" w:cs="Times New Roman"/>
          <w:color w:val="000000" w:themeColor="text1"/>
        </w:rPr>
        <w:t xml:space="preserve">, 479 F.3d 296 (4th Cir. 2007), has taken the approach favored by the </w:t>
      </w:r>
      <w:r w:rsidRPr="00B06D0A">
        <w:rPr>
          <w:rFonts w:ascii="Times New Roman" w:eastAsia="Times New Roman" w:hAnsi="Times New Roman" w:cs="Times New Roman"/>
          <w:i/>
          <w:iCs/>
          <w:color w:val="000000" w:themeColor="text1"/>
        </w:rPr>
        <w:t>Arar</w:t>
      </w:r>
      <w:r w:rsidRPr="00B06D0A">
        <w:rPr>
          <w:rFonts w:ascii="Times New Roman" w:eastAsia="Times New Roman" w:hAnsi="Times New Roman" w:cs="Times New Roman"/>
          <w:color w:val="000000" w:themeColor="text1"/>
        </w:rPr>
        <w:t xml:space="preserve"> dissenters and declined to reach the merits of the </w:t>
      </w:r>
      <w:r w:rsidRPr="00B06D0A">
        <w:rPr>
          <w:rFonts w:ascii="Times New Roman" w:eastAsia="Times New Roman" w:hAnsi="Times New Roman" w:cs="Times New Roman"/>
          <w:i/>
          <w:iCs/>
          <w:color w:val="000000" w:themeColor="text1"/>
        </w:rPr>
        <w:t xml:space="preserve">Bivens </w:t>
      </w:r>
      <w:r w:rsidRPr="00B06D0A">
        <w:rPr>
          <w:rFonts w:ascii="Times New Roman" w:eastAsia="Times New Roman" w:hAnsi="Times New Roman" w:cs="Times New Roman"/>
          <w:color w:val="000000" w:themeColor="text1"/>
        </w:rPr>
        <w:t xml:space="preserve">claim, relying instead the state secrets doctrine in its dismissal of the case.  As of yet, no federal court has recognized a </w:t>
      </w:r>
      <w:r w:rsidRPr="00B06D0A">
        <w:rPr>
          <w:rFonts w:ascii="Times New Roman" w:eastAsia="Times New Roman" w:hAnsi="Times New Roman" w:cs="Times New Roman"/>
          <w:i/>
          <w:iCs/>
          <w:color w:val="000000" w:themeColor="text1"/>
        </w:rPr>
        <w:t>Bivens</w:t>
      </w:r>
      <w:r w:rsidRPr="00B06D0A">
        <w:rPr>
          <w:rFonts w:ascii="Times New Roman" w:eastAsia="Times New Roman" w:hAnsi="Times New Roman" w:cs="Times New Roman"/>
          <w:color w:val="000000" w:themeColor="text1"/>
        </w:rPr>
        <w:t xml:space="preserve"> action for damages arising from torture in the extended national security state. </w:t>
      </w:r>
    </w:p>
    <w:p w14:paraId="71D80109" w14:textId="77777777" w:rsidR="00FA3CF9" w:rsidRPr="00B06D0A" w:rsidRDefault="00FA3CF9">
      <w:pPr>
        <w:widowControl w:val="0"/>
        <w:autoSpaceDE w:val="0"/>
        <w:autoSpaceDN w:val="0"/>
        <w:adjustRightInd w:val="0"/>
        <w:rPr>
          <w:rFonts w:ascii="Times New Roman" w:hAnsi="Times New Roman" w:cs="Times New Roman"/>
          <w:color w:val="000000"/>
        </w:rPr>
      </w:pPr>
    </w:p>
    <w:p w14:paraId="2A201E6F" w14:textId="77777777" w:rsidR="00FA3CF9" w:rsidRPr="00B06D0A" w:rsidRDefault="00FA3CF9">
      <w:pPr>
        <w:widowControl w:val="0"/>
        <w:autoSpaceDE w:val="0"/>
        <w:autoSpaceDN w:val="0"/>
        <w:adjustRightInd w:val="0"/>
        <w:rPr>
          <w:rFonts w:ascii="Times New Roman" w:hAnsi="Times New Roman" w:cs="Times New Roman"/>
          <w:color w:val="000000"/>
        </w:rPr>
      </w:pPr>
    </w:p>
    <w:p w14:paraId="2D3C4EC2" w14:textId="77777777" w:rsidR="00FA3CF9" w:rsidRPr="00A559C4" w:rsidRDefault="00FA3CF9" w:rsidP="00322687">
      <w:pPr>
        <w:pStyle w:val="Heading3"/>
      </w:pPr>
      <w:bookmarkStart w:id="877" w:name="_Toc364636253"/>
      <w:bookmarkStart w:id="878" w:name="_Toc518323509"/>
      <w:r w:rsidRPr="00C14ACE">
        <w:t>8.  Immunity Reconsidered</w:t>
      </w:r>
      <w:bookmarkEnd w:id="877"/>
      <w:bookmarkEnd w:id="878"/>
    </w:p>
    <w:p w14:paraId="7DA6386C" w14:textId="77777777" w:rsidR="00FA3CF9" w:rsidRPr="00B06D0A" w:rsidRDefault="00FA3CF9">
      <w:pPr>
        <w:widowControl w:val="0"/>
        <w:autoSpaceDE w:val="0"/>
        <w:autoSpaceDN w:val="0"/>
        <w:adjustRightInd w:val="0"/>
        <w:rPr>
          <w:rFonts w:ascii="Times New Roman" w:hAnsi="Times New Roman" w:cs="Times New Roman"/>
          <w:b/>
          <w:color w:val="000000"/>
        </w:rPr>
      </w:pPr>
    </w:p>
    <w:p w14:paraId="6CCF802B" w14:textId="77777777" w:rsidR="00FA3CF9" w:rsidRPr="00B06D0A" w:rsidRDefault="00FA3CF9">
      <w:pPr>
        <w:widowControl w:val="0"/>
        <w:autoSpaceDE w:val="0"/>
        <w:autoSpaceDN w:val="0"/>
        <w:adjustRightInd w:val="0"/>
        <w:rPr>
          <w:rFonts w:ascii="Times New Roman" w:hAnsi="Times New Roman" w:cs="Times New Roman"/>
          <w:b/>
          <w:color w:val="000000"/>
        </w:rPr>
      </w:pPr>
    </w:p>
    <w:p w14:paraId="39944811" w14:textId="77777777" w:rsidR="00CC3A8B" w:rsidRDefault="750671CE">
      <w:pPr>
        <w:widowControl w:val="0"/>
        <w:autoSpaceDE w:val="0"/>
        <w:autoSpaceDN w:val="0"/>
        <w:adjustRightInd w:val="0"/>
        <w:ind w:firstLine="720"/>
        <w:rPr>
          <w:rFonts w:ascii="Times New Roman" w:eastAsia="Times New Roman" w:hAnsi="Times New Roman" w:cs="Times New Roman"/>
          <w:color w:val="000000" w:themeColor="text1"/>
        </w:rPr>
      </w:pPr>
      <w:r w:rsidRPr="00B06D0A">
        <w:rPr>
          <w:rFonts w:ascii="Times New Roman" w:eastAsia="Times New Roman" w:hAnsi="Times New Roman" w:cs="Times New Roman"/>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Default="00CC3A8B">
      <w:pPr>
        <w:widowControl w:val="0"/>
        <w:autoSpaceDE w:val="0"/>
        <w:autoSpaceDN w:val="0"/>
        <w:adjustRightInd w:val="0"/>
        <w:ind w:firstLine="720"/>
        <w:rPr>
          <w:rFonts w:ascii="Times New Roman" w:eastAsia="Times New Roman" w:hAnsi="Times New Roman" w:cs="Times New Roman"/>
          <w:color w:val="000000" w:themeColor="text1"/>
        </w:rPr>
      </w:pPr>
    </w:p>
    <w:p w14:paraId="0F2A8679" w14:textId="70347EEC" w:rsidR="00FA3CF9" w:rsidRDefault="00CC3A8B" w:rsidP="00CC3A8B">
      <w:pPr>
        <w:widowControl w:val="0"/>
        <w:autoSpaceDE w:val="0"/>
        <w:autoSpaceDN w:val="0"/>
        <w:adjustRightInd w:val="0"/>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Fifty years</w:t>
      </w:r>
      <w:r w:rsidR="750671CE" w:rsidRPr="00B06D0A">
        <w:rPr>
          <w:rFonts w:ascii="Times New Roman" w:eastAsia="Times New Roman" w:hAnsi="Times New Roman" w:cs="Times New Roman"/>
          <w:color w:val="000000" w:themeColor="text1"/>
        </w:rPr>
        <w:t xml:space="preserve"> ago</w:t>
      </w:r>
      <w:r w:rsidR="00FE1EB6">
        <w:rPr>
          <w:rFonts w:ascii="Times New Roman" w:eastAsia="Times New Roman" w:hAnsi="Times New Roman" w:cs="Times New Roman"/>
          <w:color w:val="000000" w:themeColor="text1"/>
        </w:rPr>
        <w:t>,</w:t>
      </w:r>
      <w:r w:rsidR="750671CE" w:rsidRPr="00B06D0A">
        <w:rPr>
          <w:rFonts w:ascii="Times New Roman" w:eastAsia="Times New Roman" w:hAnsi="Times New Roman" w:cs="Times New Roman"/>
          <w:color w:val="000000" w:themeColor="text1"/>
        </w:rPr>
        <w:t xml:space="preserve"> it seemed apparent that the historical trend was toward abolishing limited duties and immunities. </w:t>
      </w:r>
      <w:r w:rsidR="750671CE" w:rsidRPr="00B06D0A">
        <w:rPr>
          <w:rFonts w:ascii="Times New Roman" w:eastAsia="Times New Roman" w:hAnsi="Times New Roman" w:cs="Times New Roman"/>
          <w:i/>
          <w:iCs/>
          <w:color w:val="000000" w:themeColor="text1"/>
        </w:rPr>
        <w:t>See</w:t>
      </w:r>
      <w:r w:rsidR="750671CE" w:rsidRPr="00B06D0A">
        <w:rPr>
          <w:rFonts w:ascii="Times New Roman" w:eastAsia="Times New Roman" w:hAnsi="Times New Roman" w:cs="Times New Roman"/>
          <w:color w:val="000000" w:themeColor="text1"/>
        </w:rPr>
        <w:t xml:space="preserve"> Robert Rabin, </w:t>
      </w:r>
      <w:r w:rsidR="750671CE" w:rsidRPr="00B06D0A">
        <w:rPr>
          <w:rFonts w:ascii="Times New Roman" w:eastAsia="Times New Roman" w:hAnsi="Times New Roman" w:cs="Times New Roman"/>
          <w:i/>
          <w:iCs/>
          <w:color w:val="000000" w:themeColor="text1"/>
        </w:rPr>
        <w:t>Tort Law in Transition: Tracing the Patterns of Sociological Change</w:t>
      </w:r>
      <w:r w:rsidR="750671CE" w:rsidRPr="00B06D0A">
        <w:rPr>
          <w:rFonts w:ascii="Times New Roman" w:eastAsia="Times New Roman" w:hAnsi="Times New Roman" w:cs="Times New Roman"/>
          <w:color w:val="000000" w:themeColor="text1"/>
        </w:rPr>
        <w:t xml:space="preserve">, 23 </w:t>
      </w:r>
      <w:r w:rsidR="750671CE" w:rsidRPr="00B06D0A">
        <w:rPr>
          <w:rFonts w:ascii="Times New Roman" w:eastAsia="Times New Roman" w:hAnsi="Times New Roman" w:cs="Times New Roman"/>
          <w:smallCaps/>
          <w:color w:val="000000" w:themeColor="text1"/>
        </w:rPr>
        <w:t>Val. U. L. Rev.</w:t>
      </w:r>
      <w:r w:rsidR="750671CE" w:rsidRPr="00B06D0A">
        <w:rPr>
          <w:rFonts w:ascii="Times New Roman" w:eastAsia="Times New Roman" w:hAnsi="Times New Roman" w:cs="Times New Roman"/>
          <w:color w:val="000000" w:themeColor="text1"/>
        </w:rPr>
        <w:t xml:space="preserve"> 1, 26 (1988).  </w:t>
      </w:r>
      <w:r w:rsidR="00125E77">
        <w:rPr>
          <w:rFonts w:ascii="Times New Roman" w:eastAsia="Times New Roman" w:hAnsi="Times New Roman" w:cs="Times New Roman"/>
          <w:color w:val="000000" w:themeColor="text1"/>
        </w:rPr>
        <w:t xml:space="preserve">Beginning in the 1980s, however, that trend slowed and even reversed.  </w:t>
      </w:r>
      <w:r w:rsidR="750671CE" w:rsidRPr="00B06D0A">
        <w:rPr>
          <w:rFonts w:ascii="Times New Roman" w:eastAsia="Times New Roman" w:hAnsi="Times New Roman" w:cs="Times New Roman"/>
          <w:color w:val="000000" w:themeColor="text1"/>
        </w:rPr>
        <w:t xml:space="preserve">Today, the trend in the area of limited duties and immunities seems to some considerably less certain. </w:t>
      </w:r>
    </w:p>
    <w:p w14:paraId="28F61AA6" w14:textId="77777777" w:rsidR="00125E77" w:rsidRDefault="00125E77" w:rsidP="00CC3A8B">
      <w:pPr>
        <w:widowControl w:val="0"/>
        <w:autoSpaceDE w:val="0"/>
        <w:autoSpaceDN w:val="0"/>
        <w:adjustRightInd w:val="0"/>
        <w:ind w:firstLine="720"/>
        <w:rPr>
          <w:rFonts w:ascii="Times New Roman" w:eastAsia="Times New Roman" w:hAnsi="Times New Roman" w:cs="Times New Roman"/>
          <w:color w:val="000000" w:themeColor="text1"/>
        </w:rPr>
      </w:pPr>
    </w:p>
    <w:p w14:paraId="04690FFA" w14:textId="5913FD9A" w:rsidR="00125E77" w:rsidRPr="00B06D0A" w:rsidRDefault="00125E77" w:rsidP="00CC3A8B">
      <w:pPr>
        <w:widowControl w:val="0"/>
        <w:autoSpaceDE w:val="0"/>
        <w:autoSpaceDN w:val="0"/>
        <w:adjustRightInd w:val="0"/>
        <w:ind w:firstLine="720"/>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B06D0A" w:rsidRDefault="00FA3CF9">
      <w:pPr>
        <w:widowControl w:val="0"/>
        <w:autoSpaceDE w:val="0"/>
        <w:autoSpaceDN w:val="0"/>
        <w:adjustRightInd w:val="0"/>
        <w:ind w:firstLine="720"/>
        <w:rPr>
          <w:rFonts w:ascii="Times New Roman" w:hAnsi="Times New Roman" w:cs="Times New Roman"/>
          <w:color w:val="000000"/>
        </w:rPr>
      </w:pPr>
    </w:p>
    <w:p w14:paraId="3BC76F0C" w14:textId="77777777" w:rsidR="00FF20BE" w:rsidRDefault="00FF20BE" w:rsidP="00FF20BE">
      <w:pPr>
        <w:rPr>
          <w:b/>
          <w:bCs/>
          <w:sz w:val="28"/>
          <w:szCs w:val="28"/>
        </w:rPr>
        <w:sectPr w:rsidR="00FF20BE" w:rsidSect="00080A6E">
          <w:headerReference w:type="default" r:id="rId70"/>
          <w:pgSz w:w="12240" w:h="15840"/>
          <w:pgMar w:top="1440" w:right="1800" w:bottom="1440" w:left="1800" w:header="720" w:footer="720" w:gutter="0"/>
          <w:cols w:space="720"/>
          <w:noEndnote/>
          <w:titlePg/>
        </w:sectPr>
      </w:pPr>
    </w:p>
    <w:p w14:paraId="4DAC99D2" w14:textId="1B525ED7" w:rsidR="00C85B70" w:rsidRPr="005A5833" w:rsidRDefault="750671CE" w:rsidP="00296689">
      <w:pPr>
        <w:pStyle w:val="Heading1"/>
        <w:rPr>
          <w:color w:val="000000" w:themeColor="text1"/>
        </w:rPr>
      </w:pPr>
      <w:bookmarkStart w:id="879" w:name="_Toc364636254"/>
      <w:bookmarkStart w:id="880" w:name="_Toc518323510"/>
      <w:r w:rsidRPr="00F31881">
        <w:t xml:space="preserve">CHAPTER 9.  MODERN </w:t>
      </w:r>
      <w:r w:rsidR="00B969C4">
        <w:t>NON-FAULT</w:t>
      </w:r>
      <w:r w:rsidRPr="00F31881">
        <w:t xml:space="preserve"> LIABILITY?</w:t>
      </w:r>
      <w:bookmarkEnd w:id="879"/>
      <w:bookmarkEnd w:id="880"/>
    </w:p>
    <w:p w14:paraId="7195DCEF" w14:textId="77777777" w:rsidR="00C85B70" w:rsidRPr="00C85B70" w:rsidRDefault="00C85B70" w:rsidP="00C85B70">
      <w:pPr>
        <w:spacing w:line="264" w:lineRule="auto"/>
        <w:rPr>
          <w:rFonts w:ascii="Times New Roman" w:eastAsia="Times New Roman" w:hAnsi="Times New Roman" w:cs="Times New Roman"/>
          <w:lang w:eastAsia="en-US"/>
        </w:rPr>
      </w:pPr>
    </w:p>
    <w:p w14:paraId="1D49C040" w14:textId="77777777" w:rsidR="00C85B70" w:rsidRPr="00C85B70" w:rsidRDefault="00C85B70" w:rsidP="00C85B70">
      <w:pPr>
        <w:spacing w:line="264" w:lineRule="auto"/>
        <w:rPr>
          <w:rFonts w:ascii="Times New Roman" w:eastAsia="Times New Roman" w:hAnsi="Times New Roman" w:cs="Times New Roman"/>
          <w:lang w:eastAsia="en-US"/>
        </w:rPr>
      </w:pPr>
    </w:p>
    <w:p w14:paraId="316121CE" w14:textId="3099A78F"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most of this book, we have been focused on torts that involve wrongful behavior, either intentional or unintentional.  We have allocated hundreds of pages to explicating the cause of action for negligence.  But from the very outset of the course</w:t>
      </w:r>
      <w:r w:rsidR="00FE1EB6">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and, if so, under what circumstances?</w:t>
      </w:r>
    </w:p>
    <w:p w14:paraId="765AAB68" w14:textId="77777777" w:rsidR="00C85B70" w:rsidRPr="00C85B70" w:rsidRDefault="00C85B70" w:rsidP="00C85B70">
      <w:pPr>
        <w:spacing w:line="264" w:lineRule="auto"/>
        <w:rPr>
          <w:rFonts w:ascii="Times New Roman" w:eastAsia="Times New Roman" w:hAnsi="Times New Roman" w:cs="Times New Roman"/>
          <w:lang w:eastAsia="en-US"/>
        </w:rPr>
      </w:pPr>
    </w:p>
    <w:p w14:paraId="0F6EB13E" w14:textId="77777777"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We begin with a startling observation: we have actually been dealing in a form of non-fault liability for weeks.  The doctrine is called </w:t>
      </w:r>
      <w:r w:rsidRPr="750671CE">
        <w:rPr>
          <w:rFonts w:ascii="Times New Roman" w:eastAsia="Times New Roman" w:hAnsi="Times New Roman" w:cs="Times New Roman"/>
          <w:i/>
          <w:iCs/>
          <w:lang w:eastAsia="en-US"/>
        </w:rPr>
        <w:t>respondeat superior</w:t>
      </w:r>
      <w:r w:rsidRPr="00C85B70">
        <w:rPr>
          <w:rFonts w:ascii="Times New Roman" w:eastAsia="Times New Roman" w:hAnsi="Times New Roman" w:cs="Times New Roman"/>
          <w:lang w:eastAsia="en-US"/>
        </w:rPr>
        <w:t xml:space="preserve">; it establishes the vicarious liability of employers, without regard to the fault of the employer, for certain tortious acts of their employees. </w:t>
      </w:r>
    </w:p>
    <w:p w14:paraId="24923FC3" w14:textId="77777777" w:rsidR="00C85B70" w:rsidRPr="00C85B70" w:rsidRDefault="00C85B70" w:rsidP="00C85B70">
      <w:pPr>
        <w:spacing w:line="264" w:lineRule="auto"/>
        <w:rPr>
          <w:rFonts w:ascii="Times New Roman" w:eastAsia="Times New Roman" w:hAnsi="Times New Roman" w:cs="Times New Roman"/>
          <w:lang w:eastAsia="en-US"/>
        </w:rPr>
      </w:pPr>
    </w:p>
    <w:p w14:paraId="19A4E413" w14:textId="77777777" w:rsidR="00C85B70" w:rsidRPr="00C85B70" w:rsidRDefault="00C85B70" w:rsidP="00C85B70">
      <w:pPr>
        <w:spacing w:line="264" w:lineRule="auto"/>
        <w:rPr>
          <w:rFonts w:ascii="Times New Roman" w:eastAsia="Times New Roman" w:hAnsi="Times New Roman" w:cs="Times New Roman"/>
          <w:lang w:eastAsia="en-US"/>
        </w:rPr>
      </w:pPr>
    </w:p>
    <w:p w14:paraId="65CE6446" w14:textId="77777777" w:rsidR="00C85B70" w:rsidRPr="00C85B70" w:rsidRDefault="00C85B70" w:rsidP="750671CE">
      <w:pPr>
        <w:pStyle w:val="Heading2"/>
        <w:rPr>
          <w:lang w:eastAsia="en-US"/>
        </w:rPr>
      </w:pPr>
      <w:bookmarkStart w:id="881" w:name="_Toc364636255"/>
      <w:bookmarkStart w:id="882" w:name="_Toc518323511"/>
      <w:r w:rsidRPr="00C85B70">
        <w:rPr>
          <w:lang w:eastAsia="en-US"/>
        </w:rPr>
        <w:t>A.  Vicarious Liability</w:t>
      </w:r>
      <w:bookmarkEnd w:id="881"/>
      <w:bookmarkEnd w:id="882"/>
      <w:r w:rsidRPr="00C85B70">
        <w:rPr>
          <w:lang w:eastAsia="en-US"/>
        </w:rPr>
        <w:t xml:space="preserve"> </w:t>
      </w:r>
    </w:p>
    <w:p w14:paraId="39E9B430" w14:textId="77777777" w:rsidR="00C85B70" w:rsidRPr="00C85B70" w:rsidRDefault="00C85B70" w:rsidP="00C85B70">
      <w:pPr>
        <w:spacing w:line="264" w:lineRule="auto"/>
        <w:rPr>
          <w:rFonts w:ascii="Times New Roman" w:eastAsia="Times New Roman" w:hAnsi="Times New Roman" w:cs="Times New Roman"/>
          <w:b/>
          <w:lang w:eastAsia="en-US"/>
        </w:rPr>
      </w:pPr>
    </w:p>
    <w:p w14:paraId="55B25859" w14:textId="77777777" w:rsidR="00C85B70" w:rsidRPr="00C85B70" w:rsidRDefault="00C85B70" w:rsidP="00C85B70">
      <w:pPr>
        <w:spacing w:line="264" w:lineRule="auto"/>
        <w:rPr>
          <w:rFonts w:ascii="Times New Roman" w:eastAsia="Times New Roman" w:hAnsi="Times New Roman" w:cs="Times New Roman"/>
          <w:b/>
          <w:lang w:eastAsia="en-US"/>
        </w:rPr>
      </w:pPr>
    </w:p>
    <w:p w14:paraId="73E3C413" w14:textId="7916B73C" w:rsidR="00C85B70" w:rsidRPr="005B147F" w:rsidRDefault="00C85B70" w:rsidP="750671CE">
      <w:pPr>
        <w:shd w:val="clear" w:color="auto" w:fill="FFFFFF" w:themeFill="background1"/>
        <w:spacing w:line="264" w:lineRule="auto"/>
        <w:textAlignment w:val="baseline"/>
        <w:outlineLvl w:val="0"/>
        <w:rPr>
          <w:rFonts w:ascii="Times New Roman" w:eastAsia="Times New Roman" w:hAnsi="Times New Roman" w:cs="Times New Roman"/>
          <w:b/>
          <w:bCs/>
          <w:lang w:eastAsia="en-US"/>
        </w:rPr>
      </w:pPr>
      <w:bookmarkStart w:id="883" w:name="_Toc267354230"/>
      <w:bookmarkStart w:id="884" w:name="_Toc518323512"/>
      <w:r w:rsidRPr="00973246">
        <w:rPr>
          <w:rStyle w:val="Heading3Char"/>
          <w:i/>
        </w:rPr>
        <w:t>Ira S. Bushey &amp; Sons, Inc. v. United States</w:t>
      </w:r>
      <w:bookmarkEnd w:id="883"/>
      <w:bookmarkEnd w:id="884"/>
      <w:r w:rsidR="00FB3872" w:rsidRPr="00F94B7E">
        <w:rPr>
          <w:rFonts w:ascii="Times New Roman" w:eastAsia="Times New Roman,Cambria" w:hAnsi="Times New Roman" w:cs="Times New Roman"/>
          <w:b/>
          <w:bCs/>
          <w:lang w:eastAsia="en-US"/>
        </w:rPr>
        <w:t xml:space="preserve">, </w:t>
      </w:r>
      <w:r w:rsidRPr="005B147F">
        <w:rPr>
          <w:rFonts w:ascii="Times New Roman" w:eastAsia="Times New Roman" w:hAnsi="Times New Roman" w:cs="Times New Roman"/>
          <w:b/>
          <w:bCs/>
          <w:lang w:eastAsia="en-US"/>
        </w:rPr>
        <w:t>398 F.2d 167 (2d Cir. 1968)</w:t>
      </w:r>
    </w:p>
    <w:p w14:paraId="03E601F2" w14:textId="77777777" w:rsidR="00C85B70" w:rsidRPr="00121DBE" w:rsidRDefault="00C85B70" w:rsidP="00C85B70">
      <w:pPr>
        <w:widowControl w:val="0"/>
        <w:overflowPunct w:val="0"/>
        <w:autoSpaceDE w:val="0"/>
        <w:autoSpaceDN w:val="0"/>
        <w:adjustRightInd w:val="0"/>
        <w:spacing w:line="264" w:lineRule="auto"/>
        <w:ind w:firstLine="720"/>
        <w:rPr>
          <w:rFonts w:ascii="Times New Roman" w:eastAsia="Times New Roman" w:hAnsi="Times New Roman" w:cs="Times New Roman"/>
          <w:lang w:eastAsia="en-US"/>
        </w:rPr>
      </w:pPr>
    </w:p>
    <w:p w14:paraId="7780666A" w14:textId="7242E6A3" w:rsidR="00FB3872" w:rsidRPr="00F94B7E" w:rsidRDefault="750671CE" w:rsidP="750671CE">
      <w:pPr>
        <w:shd w:val="clear" w:color="auto" w:fill="FFFFFF" w:themeFill="background1"/>
        <w:spacing w:line="288" w:lineRule="atLeast"/>
        <w:textAlignment w:val="baseline"/>
        <w:rPr>
          <w:rFonts w:ascii="Times New Roman" w:eastAsia="Times New Roman,Cambria" w:hAnsi="Times New Roman" w:cs="Times New Roman"/>
          <w:b/>
          <w:bCs/>
          <w:lang w:eastAsia="en-US"/>
        </w:rPr>
      </w:pPr>
      <w:r w:rsidRPr="00F94B7E">
        <w:rPr>
          <w:rFonts w:ascii="Times New Roman" w:eastAsia="Times New Roman,Cambria" w:hAnsi="Times New Roman" w:cs="Times New Roman"/>
          <w:smallCaps/>
          <w:lang w:eastAsia="en-US"/>
        </w:rPr>
        <w:t>Friendly, J</w:t>
      </w:r>
      <w:r w:rsidRPr="00F94B7E">
        <w:rPr>
          <w:rFonts w:ascii="Times New Roman" w:eastAsia="Times New Roman,Cambria" w:hAnsi="Times New Roman" w:cs="Times New Roman"/>
          <w:b/>
          <w:bCs/>
          <w:lang w:eastAsia="en-US"/>
        </w:rPr>
        <w:t>.</w:t>
      </w:r>
    </w:p>
    <w:p w14:paraId="0B96F5A7" w14:textId="77777777" w:rsidR="000163BF" w:rsidRPr="005B147F" w:rsidRDefault="000163BF" w:rsidP="00C85B70">
      <w:pPr>
        <w:shd w:val="clear" w:color="auto" w:fill="FFFFFF"/>
        <w:spacing w:line="288" w:lineRule="atLeast"/>
        <w:textAlignment w:val="baseline"/>
        <w:rPr>
          <w:rFonts w:ascii="Times New Roman" w:eastAsiaTheme="minorHAnsi" w:hAnsi="Times New Roman" w:cs="Times New Roman"/>
          <w:b/>
          <w:lang w:eastAsia="en-US"/>
        </w:rPr>
      </w:pPr>
    </w:p>
    <w:p w14:paraId="29E549E7" w14:textId="11BDE767" w:rsidR="00C85B70" w:rsidRPr="00F94B7E" w:rsidRDefault="00C85B70" w:rsidP="750671CE">
      <w:pPr>
        <w:shd w:val="clear" w:color="auto" w:fill="FFFFFF" w:themeFill="background1"/>
        <w:ind w:firstLine="720"/>
        <w:textAlignment w:val="baseline"/>
        <w:rPr>
          <w:rFonts w:ascii="Times New Roman" w:eastAsia="Times New Roman,ＭＳ ゴシック" w:hAnsi="Times New Roman" w:cs="Times New Roman"/>
          <w:b/>
          <w:bCs/>
          <w:sz w:val="14"/>
          <w:szCs w:val="14"/>
          <w:lang w:eastAsia="en-US"/>
        </w:rPr>
      </w:pPr>
      <w:r w:rsidRPr="00F94B7E">
        <w:rPr>
          <w:rFonts w:ascii="Times New Roman" w:eastAsia="Times New Roman,Cambria" w:hAnsi="Times New Roman" w:cs="Times New Roman"/>
          <w:bdr w:val="none" w:sz="0" w:space="0" w:color="auto" w:frame="1"/>
          <w:lang w:eastAsia="en-US"/>
        </w:rPr>
        <w:t>While the United States Coast Guard vessel Tamaroa was being overhauled in a floating drydock located in Brooklyn</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5B147F">
        <w:rPr>
          <w:rFonts w:ascii="Times New Roman" w:eastAsia="Times New Roman" w:hAnsi="Times New Roman" w:cs="Times New Roman"/>
          <w:lang w:eastAsia="en-US"/>
        </w:rPr>
        <w:t>—</w:t>
      </w:r>
      <w:r w:rsidRPr="00F94B7E">
        <w:rPr>
          <w:rFonts w:ascii="Times New Roman" w:eastAsia="Times New Roman,Cambria" w:hAnsi="Times New Roman" w:cs="Times New Roman"/>
          <w:bdr w:val="none" w:sz="0" w:space="0" w:color="auto" w:frame="1"/>
          <w:lang w:eastAsia="en-US"/>
        </w:rPr>
        <w:t>fortunately without loss of life or personal injury. The drydock owner sought and was granted compensation by the District Court for the Eastern District of New York in an amount to be determined . . . ; the United States appeals.</w:t>
      </w:r>
      <w:r w:rsidRPr="005B147F">
        <w:rPr>
          <w:rFonts w:ascii="Times New Roman" w:eastAsia="Times New Roman" w:hAnsi="Times New Roman" w:cs="Times New Roman"/>
          <w:lang w:eastAsia="en-US"/>
        </w:rPr>
        <w:t> </w:t>
      </w:r>
    </w:p>
    <w:p w14:paraId="5C50E41B" w14:textId="77777777" w:rsidR="00C85B70" w:rsidRPr="005B147F" w:rsidRDefault="00C85B70" w:rsidP="00C85B70">
      <w:pPr>
        <w:shd w:val="clear" w:color="auto" w:fill="FFFFFF"/>
        <w:spacing w:line="288" w:lineRule="atLeast"/>
        <w:textAlignment w:val="baseline"/>
        <w:rPr>
          <w:rFonts w:ascii="Times New Roman" w:eastAsia="Times New Roman" w:hAnsi="Times New Roman" w:cs="Times New Roman"/>
          <w:color w:val="333333"/>
          <w:lang w:eastAsia="en-US"/>
        </w:rPr>
      </w:pPr>
    </w:p>
    <w:p w14:paraId="264BBAB3" w14:textId="3D6314B6" w:rsidR="00C85B70" w:rsidRPr="00F94B7E" w:rsidRDefault="00C85B70" w:rsidP="00F94B7E">
      <w:pPr>
        <w:shd w:val="clear" w:color="auto" w:fill="FFFFFF" w:themeFill="background1"/>
        <w:spacing w:line="288" w:lineRule="atLeast"/>
        <w:textAlignment w:val="baseline"/>
        <w:rPr>
          <w:rFonts w:ascii="Times New Roman" w:eastAsia="Times New Roman,Cambria" w:hAnsi="Times New Roman" w:cs="Times New Roman"/>
          <w:color w:val="333333"/>
          <w:lang w:eastAsia="en-US"/>
        </w:rPr>
      </w:pPr>
      <w:r w:rsidRPr="00F94B7E">
        <w:rPr>
          <w:rFonts w:ascii="Times New Roman" w:eastAsia="Times New Roman,Cambria" w:hAnsi="Times New Roman" w:cs="Times New Roman"/>
          <w:color w:val="333333"/>
          <w:bdr w:val="none" w:sz="0" w:space="0" w:color="auto" w:frame="1"/>
          <w:lang w:eastAsia="en-US"/>
        </w:rPr>
        <w:t>. . .</w:t>
      </w:r>
    </w:p>
    <w:p w14:paraId="4246252B"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color w:val="333333"/>
          <w:bdr w:val="none" w:sz="0" w:space="0" w:color="auto" w:frame="1"/>
          <w:lang w:eastAsia="en-US"/>
        </w:rPr>
      </w:pPr>
    </w:p>
    <w:p w14:paraId="180CA8AF" w14:textId="77777777" w:rsidR="00C85B70" w:rsidRPr="000163BF" w:rsidRDefault="750671CE" w:rsidP="750671CE">
      <w:pPr>
        <w:shd w:val="clear" w:color="auto" w:fill="FFFFFF" w:themeFill="background1"/>
        <w:spacing w:line="288" w:lineRule="atLeast"/>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163BF" w:rsidRDefault="750671CE" w:rsidP="750671CE">
      <w:pPr>
        <w:shd w:val="clear" w:color="auto" w:fill="FFFFFF" w:themeFill="background1"/>
        <w:spacing w:before="240" w:line="288" w:lineRule="atLeast"/>
        <w:ind w:left="720" w:right="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workmen.</w:t>
      </w:r>
    </w:p>
    <w:p w14:paraId="50647063" w14:textId="77777777" w:rsidR="00C85B70" w:rsidRPr="000163BF" w:rsidRDefault="00C85B70" w:rsidP="00C85B70">
      <w:pPr>
        <w:shd w:val="clear" w:color="auto" w:fill="FFFFFF"/>
        <w:spacing w:before="240" w:line="288" w:lineRule="atLeast"/>
        <w:ind w:left="720" w:right="720"/>
        <w:textAlignment w:val="baseline"/>
        <w:rPr>
          <w:rFonts w:ascii="Times New Roman" w:eastAsia="Times New Roman" w:hAnsi="Times New Roman" w:cs="Times New Roman"/>
          <w:lang w:eastAsia="en-US"/>
        </w:rPr>
      </w:pPr>
    </w:p>
    <w:p w14:paraId="38386460" w14:textId="4C594FED" w:rsidR="00C85B70" w:rsidRPr="000163BF" w:rsidRDefault="00C85B70" w:rsidP="750671CE">
      <w:pPr>
        <w:ind w:firstLine="720"/>
        <w:rPr>
          <w:rFonts w:ascii="Times New Roman" w:eastAsia="Times New Roman" w:hAnsi="Times New Roman" w:cs="Times New Roman"/>
          <w:lang w:eastAsia="en-US"/>
        </w:rPr>
      </w:pPr>
      <w:r w:rsidRPr="000163BF">
        <w:rPr>
          <w:rFonts w:ascii="Times New Roman" w:eastAsia="Times New Roman" w:hAnsi="Times New Roman" w:cs="Times New Roman"/>
          <w:shd w:val="clear" w:color="auto" w:fill="FFFFFF"/>
          <w:lang w:eastAsia="en-US"/>
        </w:rPr>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Pr>
          <w:rFonts w:ascii="Times New Roman" w:eastAsia="Times New Roman" w:hAnsi="Times New Roman" w:cs="Times New Roman"/>
          <w:shd w:val="clear" w:color="auto" w:fill="FFFFFF"/>
          <w:lang w:eastAsia="en-US"/>
        </w:rPr>
        <w:t>’</w:t>
      </w:r>
      <w:r w:rsidRPr="000163BF">
        <w:rPr>
          <w:rFonts w:ascii="Times New Roman" w:eastAsia="Times New Roman" w:hAnsi="Times New Roman" w:cs="Times New Roman"/>
          <w:shd w:val="clear" w:color="auto" w:fill="FFFFFF"/>
          <w:lang w:eastAsia="en-US"/>
        </w:rPr>
        <w:t>s shack.</w:t>
      </w:r>
    </w:p>
    <w:p w14:paraId="666F8B9E" w14:textId="77777777" w:rsidR="00C85B70" w:rsidRPr="000163BF" w:rsidRDefault="00C85B70" w:rsidP="00C85B70">
      <w:pPr>
        <w:shd w:val="clear" w:color="auto" w:fill="FFFFFF"/>
        <w:spacing w:line="288" w:lineRule="atLeast"/>
        <w:textAlignment w:val="baseline"/>
        <w:rPr>
          <w:rFonts w:ascii="Times New Roman" w:eastAsia="Times New Roman" w:hAnsi="Times New Roman" w:cs="Times New Roman"/>
          <w:lang w:eastAsia="en-US"/>
        </w:rPr>
      </w:pPr>
    </w:p>
    <w:p w14:paraId="604C16F2" w14:textId="3EE0E884" w:rsidR="00C85B70" w:rsidRPr="000163BF"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Seaman Lane, whose prior record was unblemished, returned from shore leave a little after midnight on March 14. He had been drinking heavily; the quartermaster made mental note that he was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loose.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turned some valves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also muttered something about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valves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another who was standing the engineering watch. Neither did anything; apparently Lane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163BF" w:rsidRDefault="00C85B70" w:rsidP="00C85B70">
      <w:pPr>
        <w:shd w:val="clear" w:color="auto" w:fill="FFFFFF"/>
        <w:spacing w:line="288" w:lineRule="atLeast"/>
        <w:ind w:firstLine="720"/>
        <w:textAlignment w:val="baseline"/>
        <w:rPr>
          <w:rFonts w:ascii="Times New Roman" w:hAnsi="Times New Roman" w:cs="Times New Roman"/>
          <w:lang w:eastAsia="en-US"/>
        </w:rPr>
      </w:pPr>
    </w:p>
    <w:p w14:paraId="79F9B962" w14:textId="47D6EB86" w:rsidR="00C85B70" w:rsidRPr="00F94B7E" w:rsidRDefault="00C85B70" w:rsidP="750671CE">
      <w:pPr>
        <w:shd w:val="clear" w:color="auto" w:fill="FFFFFF" w:themeFill="background1"/>
        <w:ind w:firstLine="720"/>
        <w:textAlignment w:val="baseline"/>
        <w:rPr>
          <w:rFonts w:ascii="Times New Roman" w:eastAsia="Times New Roman,Cambria" w:hAnsi="Times New Roman" w:cs="Times New Roman"/>
          <w:lang w:eastAsia="en-US"/>
        </w:rPr>
      </w:pPr>
      <w:r w:rsidRPr="00F94B7E">
        <w:rPr>
          <w:rFonts w:ascii="Times New Roman" w:eastAsia="Times New Roman,Cambria" w:hAnsi="Times New Roman" w:cs="Times New Roman"/>
          <w:bdr w:val="none" w:sz="0" w:space="0" w:color="auto" w:frame="1"/>
          <w:lang w:eastAsia="en-US"/>
        </w:rPr>
        <w:t>The</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Government attacks imposition of liability on the ground that Lane</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s acts were not within the scope of his employment. It relies heavily on § 228(1) of the Restatement of Agency 2d which says that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conduct of a servant is within the scope of employment if, but only if: </w:t>
      </w:r>
      <w:r w:rsidR="00B71C01" w:rsidRPr="00F94B7E">
        <w:rPr>
          <w:rFonts w:ascii="Times New Roman" w:eastAsia="Times New Roman,Cambria" w:hAnsi="Times New Roman" w:cs="Times New Roman"/>
          <w:bdr w:val="none" w:sz="0" w:space="0" w:color="auto" w:frame="1"/>
          <w:lang w:eastAsia="en-US"/>
        </w:rPr>
        <w:t>. . .</w:t>
      </w:r>
      <w:r w:rsidRPr="00F94B7E">
        <w:rPr>
          <w:rFonts w:ascii="Times New Roman" w:eastAsia="Times New Roman,Cambria" w:hAnsi="Times New Roman" w:cs="Times New Roman"/>
          <w:bdr w:val="none" w:sz="0" w:space="0" w:color="auto" w:frame="1"/>
          <w:lang w:eastAsia="en-US"/>
        </w:rPr>
        <w:t xml:space="preserve"> (c) it is actuated, at least in part by a purpose to serve the master.</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 Courts have gone to considerable lengths to find such a purpose, as witness a well-known opinion in which Judge Learned Hand concluded that a drunken boatswain who routed the plaintiff out of his bunk with a blow, saying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Get up, you big son of a bitch, and turn to,</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 and then continued to fight, might have thought he was acting in the interest of the ship.</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 . .  It would be going too far to find such a purpose here; while Lane</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s return to the Tamaroa was to serve his employer, no one has suggested how he could have thought turning the wheels to be, even if</w:t>
      </w:r>
      <w:r w:rsidR="00832826" w:rsidRPr="005B147F">
        <w:rPr>
          <w:rFonts w:ascii="Times New Roman" w:eastAsia="Times New Roman" w:hAnsi="Times New Roman" w:cs="Times New Roman"/>
          <w:lang w:eastAsia="en-US"/>
        </w:rPr>
        <w:t>—</w:t>
      </w:r>
      <w:r w:rsidRPr="00F94B7E">
        <w:rPr>
          <w:rFonts w:ascii="Times New Roman" w:eastAsia="Times New Roman,Cambria" w:hAnsi="Times New Roman" w:cs="Times New Roman"/>
          <w:bdr w:val="none" w:sz="0" w:space="0" w:color="auto" w:frame="1"/>
          <w:lang w:eastAsia="en-US"/>
        </w:rPr>
        <w:t>which is by no means clear</w:t>
      </w:r>
      <w:r w:rsidR="00832826" w:rsidRPr="005B147F">
        <w:rPr>
          <w:rFonts w:ascii="Times New Roman" w:eastAsia="Times New Roman" w:hAnsi="Times New Roman" w:cs="Times New Roman"/>
          <w:lang w:eastAsia="en-US"/>
        </w:rPr>
        <w:t>—</w:t>
      </w:r>
      <w:r w:rsidRPr="00F94B7E">
        <w:rPr>
          <w:rFonts w:ascii="Times New Roman" w:eastAsia="Times New Roman,Cambria" w:hAnsi="Times New Roman" w:cs="Times New Roman"/>
          <w:bdr w:val="none" w:sz="0" w:space="0" w:color="auto" w:frame="1"/>
          <w:lang w:eastAsia="en-US"/>
        </w:rPr>
        <w:t>he was unaware</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of the consequences.</w:t>
      </w:r>
    </w:p>
    <w:p w14:paraId="7C49E001"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39238CDC" w14:textId="3187347D" w:rsidR="00C85B70" w:rsidRPr="000163BF"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In light of the highly artificial way in which the motive test has been applied, the district judge believed himself obliged to test the doctrine</w:t>
      </w:r>
      <w:r w:rsidR="00B05F31">
        <w:rPr>
          <w:rFonts w:ascii="Times New Roman" w:eastAsia="Times New Roman" w:hAnsi="Times New Roman" w:cs="Times New Roman"/>
          <w:lang w:eastAsia="en-US"/>
        </w:rPr>
        <w:t>’</w:t>
      </w:r>
      <w:r w:rsidRPr="000163BF">
        <w:rPr>
          <w:rFonts w:ascii="Times New Roman" w:eastAsia="Times New Roman" w:hAnsi="Times New Roman" w:cs="Times New Roman"/>
          <w:lang w:eastAsia="en-US"/>
        </w:rPr>
        <w:t>s continuing vitality by referring to the larger purposes </w:t>
      </w:r>
      <w:r w:rsidRPr="750671CE">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750671CE">
        <w:rPr>
          <w:rFonts w:ascii="Times New Roman,Cambria" w:eastAsia="Times New Roman,Cambria" w:hAnsi="Times New Roman,Cambria" w:cs="Times New Roman,Cambria"/>
          <w:bdr w:val="none" w:sz="0" w:space="0" w:color="auto" w:frame="1"/>
          <w:lang w:eastAsia="en-US"/>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163BF">
        <w:rPr>
          <w:rFonts w:ascii="Times New Roman" w:eastAsia="Times New Roman" w:hAnsi="Times New Roman" w:cs="Times New Roman"/>
          <w:lang w:eastAsia="en-US"/>
        </w:rPr>
        <w:t xml:space="preserve">Calabresi, </w:t>
      </w:r>
      <w:r w:rsidRPr="750671CE">
        <w:rPr>
          <w:rFonts w:ascii="Times New Roman" w:eastAsia="Times New Roman" w:hAnsi="Times New Roman" w:cs="Times New Roman"/>
          <w:i/>
          <w:iCs/>
          <w:lang w:eastAsia="en-US"/>
        </w:rPr>
        <w:t>The Decision for Accidents: An Approach to Non-fault Allocation of Costs</w:t>
      </w:r>
      <w:r w:rsidRPr="000163BF">
        <w:rPr>
          <w:rFonts w:ascii="Times New Roman" w:eastAsia="Times New Roman" w:hAnsi="Times New Roman" w:cs="Times New Roman"/>
          <w:lang w:eastAsia="en-US"/>
        </w:rPr>
        <w:t xml:space="preserve">, 78 </w:t>
      </w:r>
      <w:r w:rsidRPr="00F94B7E">
        <w:rPr>
          <w:rFonts w:ascii="Times New Roman" w:eastAsia="Times New Roman" w:hAnsi="Times New Roman" w:cs="Times New Roman"/>
          <w:smallCaps/>
          <w:lang w:eastAsia="en-US"/>
        </w:rPr>
        <w:t>Harv. L. Rev.</w:t>
      </w:r>
      <w:r w:rsidRPr="000163BF">
        <w:rPr>
          <w:rFonts w:ascii="Times New Roman" w:eastAsia="Times New Roman" w:hAnsi="Times New Roman" w:cs="Times New Roman"/>
          <w:lang w:eastAsia="en-US"/>
        </w:rPr>
        <w:t xml:space="preserve"> 713, 725-34 (1965).</w:t>
      </w:r>
      <w:r w:rsidRPr="000163BF">
        <w:rPr>
          <w:rFonts w:ascii="Times New Roman" w:eastAsia="Times New Roman" w:hAnsi="Times New Roman" w:cs="Times New Roman"/>
          <w:bdr w:val="none" w:sz="0" w:space="0" w:color="auto" w:frame="1"/>
          <w:lang w:eastAsia="en-US"/>
        </w:rPr>
        <w:t xml:space="preserve">  </w:t>
      </w:r>
      <w:r w:rsidRPr="750671CE">
        <w:rPr>
          <w:rFonts w:ascii="Times New Roman,Cambria" w:eastAsia="Times New Roman,Cambria" w:hAnsi="Times New Roman,Cambria" w:cs="Times New Roman,Cambria"/>
          <w:bdr w:val="none" w:sz="0" w:space="0" w:color="auto" w:frame="1"/>
          <w:lang w:eastAsia="en-US"/>
        </w:rPr>
        <w:t xml:space="preserve">And the suggestion that imposition of liability here will lead to more intensive screening of employees rests on highly questionable premises, </w:t>
      </w:r>
      <w:r w:rsidRPr="000163BF">
        <w:rPr>
          <w:rFonts w:ascii="Times New Roman" w:eastAsia="Times New Roman" w:hAnsi="Times New Roman" w:cs="Times New Roman"/>
          <w:lang w:eastAsia="en-US"/>
        </w:rPr>
        <w:t xml:space="preserve">see Comment, </w:t>
      </w:r>
      <w:r w:rsidRPr="750671CE">
        <w:rPr>
          <w:rFonts w:ascii="Times New Roman" w:eastAsia="Times New Roman" w:hAnsi="Times New Roman" w:cs="Times New Roman"/>
          <w:i/>
          <w:iCs/>
          <w:lang w:eastAsia="en-US"/>
        </w:rPr>
        <w:t>Assessment of Punitive Damages Against an Entrepreneur for the Malicious Torts of His Employees</w:t>
      </w:r>
      <w:r w:rsidRPr="000163BF">
        <w:rPr>
          <w:rFonts w:ascii="Times New Roman" w:eastAsia="Times New Roman" w:hAnsi="Times New Roman" w:cs="Times New Roman"/>
          <w:lang w:eastAsia="en-US"/>
        </w:rPr>
        <w:t xml:space="preserve">, 70 </w:t>
      </w:r>
      <w:r w:rsidRPr="00F94B7E">
        <w:rPr>
          <w:rFonts w:ascii="Times New Roman" w:eastAsia="Times New Roman" w:hAnsi="Times New Roman" w:cs="Times New Roman"/>
          <w:smallCaps/>
          <w:lang w:eastAsia="en-US"/>
        </w:rPr>
        <w:t>Yale L.J.</w:t>
      </w:r>
      <w:r w:rsidRPr="000163BF">
        <w:rPr>
          <w:rFonts w:ascii="Times New Roman" w:eastAsia="Times New Roman" w:hAnsi="Times New Roman" w:cs="Times New Roman"/>
          <w:lang w:eastAsia="en-US"/>
        </w:rPr>
        <w:t xml:space="preserve"> 1296, 1301-04 (1961).</w:t>
      </w:r>
      <w:r w:rsidRPr="000163BF">
        <w:rPr>
          <w:rFonts w:ascii="Times New Roman" w:eastAsia="Times New Roman" w:hAnsi="Times New Roman" w:cs="Times New Roman"/>
          <w:vertAlign w:val="superscript"/>
          <w:lang w:eastAsia="en-US"/>
        </w:rPr>
        <w:t xml:space="preserve"> </w:t>
      </w:r>
      <w:r w:rsidRPr="750671CE">
        <w:rPr>
          <w:rFonts w:ascii="Times New Roman,Cambria" w:eastAsia="Times New Roman,Cambria" w:hAnsi="Times New Roman,Cambria" w:cs="Times New Roman,Cambria"/>
          <w:bdr w:val="none" w:sz="0" w:space="0" w:color="auto" w:frame="1"/>
          <w:lang w:eastAsia="en-US"/>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future,</w:t>
      </w:r>
      <w:r w:rsidRPr="750671CE">
        <w:rPr>
          <w:rFonts w:ascii="Times New Roman,Cambria" w:eastAsia="Times New Roman,Cambria" w:hAnsi="Times New Roman,Cambria" w:cs="Times New Roman,Cambria"/>
          <w:bdr w:val="none" w:sz="0" w:space="0" w:color="auto" w:frame="1"/>
          <w:vertAlign w:val="superscript"/>
          <w:lang w:eastAsia="en-US"/>
        </w:rPr>
        <w:footnoteReference w:customMarkFollows="1" w:id="26"/>
        <w:t>6</w:t>
      </w:r>
      <w:r w:rsidRPr="000163BF">
        <w:rPr>
          <w:rFonts w:ascii="Times New Roman" w:eastAsia="Times New Roman" w:hAnsi="Times New Roman" w:cs="Times New Roman"/>
          <w:bdr w:val="none" w:sz="0" w:space="0" w:color="auto" w:frame="1"/>
          <w:lang w:eastAsia="en-US"/>
        </w:rPr>
        <w:t> </w:t>
      </w:r>
      <w:r w:rsidRPr="750671CE">
        <w:rPr>
          <w:rFonts w:ascii="Times New Roman,Cambria" w:eastAsia="Times New Roman,Cambria" w:hAnsi="Times New Roman,Cambria" w:cs="Times New Roman,Cambria"/>
          <w:bdr w:val="none" w:sz="0" w:space="0" w:color="auto" w:frame="1"/>
          <w:lang w:eastAsia="en-US"/>
        </w:rPr>
        <w:t>while placing the burden on shipowners is much less</w:t>
      </w:r>
      <w:r w:rsidRPr="000163BF">
        <w:rPr>
          <w:rFonts w:ascii="Times New Roman" w:eastAsia="Times New Roman" w:hAnsi="Times New Roman" w:cs="Times New Roman"/>
          <w:bdr w:val="none" w:sz="0" w:space="0" w:color="auto" w:frame="1"/>
          <w:lang w:eastAsia="en-US"/>
        </w:rPr>
        <w:t> </w:t>
      </w:r>
      <w:r w:rsidRPr="750671CE">
        <w:rPr>
          <w:rFonts w:ascii="Times New Roman,Cambria" w:eastAsia="Times New Roman,Cambria" w:hAnsi="Times New Roman,Cambria" w:cs="Times New Roman,Cambria"/>
          <w:bdr w:val="none" w:sz="0" w:space="0" w:color="auto" w:frame="1"/>
          <w:lang w:eastAsia="en-US"/>
        </w:rPr>
        <w:t>likely to lead to accident prevention.</w:t>
      </w:r>
      <w:r w:rsidRPr="750671CE">
        <w:rPr>
          <w:rFonts w:ascii="Times New Roman,Cambria" w:eastAsia="Times New Roman,Cambria" w:hAnsi="Times New Roman,Cambria" w:cs="Times New Roman,Cambria"/>
          <w:bdr w:val="none" w:sz="0" w:space="0" w:color="auto" w:frame="1"/>
          <w:vertAlign w:val="superscript"/>
          <w:lang w:eastAsia="en-US"/>
        </w:rPr>
        <w:footnoteReference w:customMarkFollows="1" w:id="27"/>
        <w:t>7</w:t>
      </w:r>
      <w:r w:rsidRPr="000163BF">
        <w:rPr>
          <w:rFonts w:ascii="Times New Roman" w:eastAsia="Times New Roman" w:hAnsi="Times New Roman" w:cs="Times New Roman"/>
          <w:lang w:eastAsia="en-US"/>
        </w:rPr>
        <w:t> It is true, of course, that in many cases the plaintiff will not be in a position to insure, and so expansion of liability will, at the very least, serve </w:t>
      </w:r>
      <w:r w:rsidRPr="750671CE">
        <w:rPr>
          <w:rFonts w:ascii="Times New Roman" w:eastAsia="Times New Roman" w:hAnsi="Times New Roman" w:cs="Times New Roman"/>
          <w:i/>
          <w:iCs/>
          <w:bdr w:val="none" w:sz="0" w:space="0" w:color="auto" w:frame="1"/>
          <w:lang w:eastAsia="en-US"/>
        </w:rPr>
        <w:t xml:space="preserve">respondeat </w:t>
      </w:r>
      <w:r w:rsidRPr="750671CE">
        <w:rPr>
          <w:rFonts w:ascii="Times New Roman" w:eastAsia="Times New Roman" w:hAnsi="Times New Roman" w:cs="Times New Roman"/>
          <w:i/>
          <w:iCs/>
          <w:lang w:eastAsia="en-US"/>
        </w:rPr>
        <w:t>superior</w:t>
      </w:r>
      <w:r w:rsidR="00B05F31">
        <w:rPr>
          <w:rFonts w:ascii="Times New Roman" w:eastAsia="Times New Roman" w:hAnsi="Times New Roman" w:cs="Times New Roman"/>
          <w:lang w:eastAsia="en-US"/>
        </w:rPr>
        <w:t>’</w:t>
      </w:r>
      <w:r w:rsidRPr="000163BF">
        <w:rPr>
          <w:rFonts w:ascii="Times New Roman" w:eastAsia="Times New Roman" w:hAnsi="Times New Roman" w:cs="Times New Roman"/>
          <w:lang w:eastAsia="en-US"/>
        </w:rPr>
        <w:t>s loss spreading function. . . . But the fact that the defendant is better able to afford damages is not alone sufficient to justify legal responsibility . . . , and this overarching principle must be taken into account in deciding whether to expand the reach of </w:t>
      </w:r>
      <w:r w:rsidRPr="750671CE">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w:t>
      </w:r>
    </w:p>
    <w:p w14:paraId="23DFAF90"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575EE068" w14:textId="1B16583C" w:rsidR="00C85B70" w:rsidRPr="008473A8"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0163BF">
        <w:rPr>
          <w:rFonts w:ascii="Times New Roman" w:eastAsia="Times New Roman" w:hAnsi="Times New Roman" w:cs="Times New Roman"/>
          <w:lang w:eastAsia="en-US"/>
        </w:rPr>
        <w:t>A policy analysis thus is not sufficient to justify this proposed expansion of vicarious liability. This is not surprising since </w:t>
      </w:r>
      <w:r w:rsidRPr="750671CE">
        <w:rPr>
          <w:rFonts w:ascii="Times New Roman" w:eastAsia="Times New Roman" w:hAnsi="Times New Roman" w:cs="Times New Roman"/>
          <w:i/>
          <w:iCs/>
          <w:bdr w:val="none" w:sz="0" w:space="0" w:color="auto" w:frame="1"/>
          <w:lang w:eastAsia="en-US"/>
        </w:rPr>
        <w:t>respondeat superior</w:t>
      </w:r>
      <w:r w:rsidRPr="000163BF">
        <w:rPr>
          <w:rFonts w:ascii="Times New Roman" w:eastAsia="Times New Roman" w:hAnsi="Times New Roman" w:cs="Times New Roman"/>
          <w:lang w:eastAsia="en-US"/>
        </w:rPr>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rPr>
          <w:rFonts w:ascii="Times New Roman" w:eastAsia="Times New Roman" w:hAnsi="Times New Roman" w:cs="Times New Roman"/>
          <w:lang w:eastAsia="en-US"/>
        </w:rPr>
        <w:t>a</w:t>
      </w:r>
      <w:r w:rsidRPr="000163BF">
        <w:rPr>
          <w:rFonts w:ascii="Times New Roman" w:eastAsia="Times New Roman" w:hAnsi="Times New Roman" w:cs="Times New Roman"/>
          <w:lang w:eastAsia="en-US"/>
        </w:rPr>
        <w:t xml:space="preserve"> doctrine that would create such drastically different consequences for the actions of the drunken boatswain in </w:t>
      </w:r>
      <w:r w:rsidRPr="750671CE">
        <w:rPr>
          <w:rFonts w:ascii="Times New Roman" w:eastAsia="Times New Roman" w:hAnsi="Times New Roman" w:cs="Times New Roman"/>
          <w:i/>
          <w:iCs/>
          <w:bdr w:val="none" w:sz="0" w:space="0" w:color="auto" w:frame="1"/>
          <w:lang w:eastAsia="en-US"/>
        </w:rPr>
        <w:t>Nelson</w:t>
      </w:r>
      <w:r w:rsidRPr="000163BF">
        <w:rPr>
          <w:rFonts w:ascii="Times New Roman" w:eastAsia="Times New Roman" w:hAnsi="Times New Roman" w:cs="Times New Roman"/>
          <w:lang w:eastAsia="en-US"/>
        </w:rPr>
        <w:t xml:space="preserve"> and those of the drunken seaman here reflects a wholly unrealistic attitude toward the risks characteristically attendant upon the operation of a ship. We concur in the statement of Mr. Justice Rutledge in a case involving violence injuring a fellow-worker, in this </w:t>
      </w:r>
      <w:r w:rsidRPr="008473A8">
        <w:rPr>
          <w:rFonts w:ascii="Times New Roman" w:eastAsia="Times New Roman" w:hAnsi="Times New Roman" w:cs="Times New Roman"/>
          <w:lang w:eastAsia="en-US"/>
        </w:rPr>
        <w:t>instance in the context of workmen</w:t>
      </w:r>
      <w:r w:rsidR="00B05F31">
        <w:rPr>
          <w:rFonts w:ascii="Times New Roman" w:eastAsia="Times New Roman" w:hAnsi="Times New Roman" w:cs="Times New Roman"/>
          <w:lang w:eastAsia="en-US"/>
        </w:rPr>
        <w:t>’</w:t>
      </w:r>
      <w:r w:rsidRPr="008473A8">
        <w:rPr>
          <w:rFonts w:ascii="Times New Roman" w:eastAsia="Times New Roman" w:hAnsi="Times New Roman" w:cs="Times New Roman"/>
          <w:lang w:eastAsia="en-US"/>
        </w:rPr>
        <w:t>s compensation:</w:t>
      </w:r>
    </w:p>
    <w:p w14:paraId="6DD3DF5A" w14:textId="77777777" w:rsidR="00C85B70" w:rsidRPr="008473A8"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742C7D46" w14:textId="426C7432" w:rsidR="00C85B70" w:rsidRPr="008473A8" w:rsidRDefault="00C85B70" w:rsidP="00F94B7E">
      <w:pPr>
        <w:shd w:val="clear" w:color="auto" w:fill="FFFFFF" w:themeFill="background1"/>
        <w:spacing w:line="288" w:lineRule="atLeast"/>
        <w:ind w:left="720" w:right="720"/>
        <w:jc w:val="both"/>
        <w:textAlignment w:val="baseline"/>
        <w:rPr>
          <w:rFonts w:ascii="Times New Roman" w:eastAsia="Times New Roman" w:hAnsi="Times New Roman" w:cs="Times New Roman"/>
          <w:lang w:eastAsia="en-US"/>
        </w:rPr>
      </w:pPr>
      <w:r w:rsidRPr="008473A8">
        <w:rPr>
          <w:rFonts w:ascii="Times New Roman" w:eastAsia="Times New Roman" w:hAnsi="Times New Roman" w:cs="Times New Roman"/>
          <w:lang w:eastAsia="en-US"/>
        </w:rPr>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F94B7E">
        <w:rPr>
          <w:rFonts w:ascii="Times New Roman" w:eastAsia="Times New Roman,Cambria" w:hAnsi="Times New Roman" w:cs="Times New Roman"/>
          <w:bdr w:val="none" w:sz="0" w:space="0" w:color="auto" w:frame="1"/>
          <w:lang w:eastAsia="en-US"/>
        </w:rPr>
        <w:t>In bringing men together, work brings these qualities together, causes frictions between them, creates occasions for lapses into carelessness, and for fun-making and emotional flare-up.</w:t>
      </w:r>
      <w:r w:rsidRPr="008473A8">
        <w:rPr>
          <w:rFonts w:ascii="Times New Roman" w:eastAsia="Times New Roman" w:hAnsi="Times New Roman" w:cs="Times New Roman"/>
          <w:bdr w:val="none" w:sz="0" w:space="0" w:color="auto" w:frame="1"/>
          <w:lang w:eastAsia="en-US"/>
        </w:rPr>
        <w:t> </w:t>
      </w:r>
      <w:r w:rsidR="008473A8" w:rsidRPr="00F94B7E">
        <w:rPr>
          <w:rFonts w:ascii="Times New Roman" w:eastAsia="Times New Roman,Cambria" w:hAnsi="Times New Roman" w:cs="Times New Roman"/>
          <w:bdr w:val="none" w:sz="0" w:space="0" w:color="auto" w:frame="1"/>
          <w:lang w:eastAsia="en-US"/>
        </w:rPr>
        <w:t xml:space="preserve">. . . </w:t>
      </w:r>
      <w:r w:rsidRPr="00F94B7E">
        <w:rPr>
          <w:rFonts w:ascii="Times New Roman" w:eastAsia="Times New Roman,Cambria" w:hAnsi="Times New Roman" w:cs="Times New Roman"/>
          <w:bdr w:val="none" w:sz="0" w:space="0" w:color="auto" w:frame="1"/>
          <w:lang w:eastAsia="en-US"/>
        </w:rPr>
        <w:t>These expressions of human nature are incidents inseparable from working together.</w:t>
      </w:r>
      <w:r w:rsidRPr="008473A8">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They involve risks of injury and these risks are inherent in the working environment.</w:t>
      </w:r>
    </w:p>
    <w:p w14:paraId="69CED0C0" w14:textId="3874C4C1" w:rsidR="00C85B70" w:rsidRPr="008473A8" w:rsidRDefault="00C85B70" w:rsidP="750671CE">
      <w:pPr>
        <w:rPr>
          <w:rFonts w:ascii="Times New Roman" w:eastAsia="Times New Roman" w:hAnsi="Times New Roman" w:cs="Times New Roman"/>
          <w:lang w:eastAsia="en-US"/>
        </w:rPr>
      </w:pPr>
      <w:r w:rsidRPr="008473A8">
        <w:rPr>
          <w:rFonts w:ascii="Times New Roman" w:eastAsia="Times New Roman" w:hAnsi="Times New Roman" w:cs="Times New Roman"/>
          <w:bdr w:val="none" w:sz="0" w:space="0" w:color="auto" w:frame="1"/>
          <w:shd w:val="clear" w:color="auto" w:fill="FFFFFF"/>
          <w:lang w:eastAsia="en-US"/>
        </w:rPr>
        <w:br/>
        <w:t>. . .</w:t>
      </w:r>
      <w:r w:rsidRPr="008473A8">
        <w:rPr>
          <w:rFonts w:ascii="Times New Roman" w:eastAsia="Times New Roman" w:hAnsi="Times New Roman" w:cs="Times New Roman"/>
          <w:bdr w:val="none" w:sz="0" w:space="0" w:color="auto" w:frame="1"/>
          <w:shd w:val="clear" w:color="auto" w:fill="FFFFFF"/>
          <w:lang w:eastAsia="en-US"/>
        </w:rPr>
        <w:br/>
      </w:r>
    </w:p>
    <w:p w14:paraId="3E2B4C5D" w14:textId="729B1A3B" w:rsidR="00C85B70" w:rsidRPr="00F94B7E" w:rsidRDefault="00C85B70" w:rsidP="750671CE">
      <w:pPr>
        <w:shd w:val="clear" w:color="auto" w:fill="FFFFFF" w:themeFill="background1"/>
        <w:ind w:firstLine="720"/>
        <w:textAlignment w:val="baseline"/>
        <w:rPr>
          <w:rFonts w:ascii="Times New Roman" w:eastAsia="Times New Roman,Cambria" w:hAnsi="Times New Roman" w:cs="Times New Roman"/>
          <w:lang w:eastAsia="en-US"/>
        </w:rPr>
      </w:pPr>
      <w:r w:rsidRPr="005B147F">
        <w:rPr>
          <w:rFonts w:ascii="Times New Roman" w:eastAsia="Times New Roman" w:hAnsi="Times New Roman" w:cs="Times New Roman"/>
          <w:lang w:eastAsia="en-US"/>
        </w:rPr>
        <w:t>Put another way, Lane</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conduct was not so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unforeseeable</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as to make it unfair to charge the Government with responsibility. We agree with a leading treatise that</w:t>
      </w:r>
      <w:r w:rsidRPr="00121DBE">
        <w:rPr>
          <w:rFonts w:ascii="Times New Roman" w:eastAsia="Times New Roman" w:hAnsi="Times New Roman" w:cs="Times New Roman"/>
          <w:i/>
          <w:iCs/>
          <w:bdr w:val="none" w:sz="0" w:space="0" w:color="auto" w:frame="1"/>
          <w:lang w:eastAsia="en-US"/>
        </w:rPr>
        <w:t> </w:t>
      </w:r>
      <w:r w:rsidR="00592D8C" w:rsidRPr="00DB5930">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what is reasonably foreseeable in this context [of </w:t>
      </w:r>
      <w:r w:rsidRPr="005B147F">
        <w:rPr>
          <w:rFonts w:ascii="Times New Roman" w:eastAsia="Times New Roman" w:hAnsi="Times New Roman" w:cs="Times New Roman"/>
          <w:i/>
          <w:iCs/>
          <w:bdr w:val="none" w:sz="0" w:space="0" w:color="auto" w:frame="1"/>
          <w:lang w:eastAsia="en-US"/>
        </w:rPr>
        <w:t>respondeat superior</w:t>
      </w:r>
      <w:r w:rsidRPr="005B147F">
        <w:rPr>
          <w:rFonts w:ascii="Times New Roman" w:eastAsia="Times New Roman" w:hAnsi="Times New Roman" w:cs="Times New Roman"/>
          <w:lang w:eastAsia="en-US"/>
        </w:rPr>
        <w:t xml:space="preserve">] </w:t>
      </w:r>
      <w:r w:rsidR="008473A8" w:rsidRPr="005B147F">
        <w:rPr>
          <w:rFonts w:ascii="Times New Roman" w:eastAsia="Times New Roman" w:hAnsi="Times New Roman" w:cs="Times New Roman"/>
          <w:lang w:eastAsia="en-US"/>
        </w:rPr>
        <w:t>. . .</w:t>
      </w:r>
      <w:r w:rsidRPr="005B147F">
        <w:rPr>
          <w:rFonts w:ascii="Times New Roman" w:eastAsia="Times New Roman" w:hAnsi="Times New Roman" w:cs="Times New Roman"/>
          <w:lang w:eastAsia="en-US"/>
        </w:rPr>
        <w:t xml:space="preserve"> is quite a different thing from the foreseeably unreasonable risk of harm that spells negligence </w:t>
      </w:r>
      <w:r w:rsidR="008473A8" w:rsidRPr="005B147F">
        <w:rPr>
          <w:rFonts w:ascii="Times New Roman" w:eastAsia="Times New Roman" w:hAnsi="Times New Roman" w:cs="Times New Roman"/>
          <w:lang w:eastAsia="en-US"/>
        </w:rPr>
        <w:t xml:space="preserve">. . </w:t>
      </w:r>
      <w:r w:rsidRPr="005B147F">
        <w:rPr>
          <w:rFonts w:ascii="Times New Roman" w:eastAsia="Times New Roman" w:hAnsi="Times New Roman" w:cs="Times New Roman"/>
          <w:lang w:eastAsia="en-US"/>
        </w:rPr>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s compensation than to the test for negligence. The employer should be held to expect risks, to the public also, </w:t>
      </w:r>
      <w:r w:rsidRPr="005B147F">
        <w:rPr>
          <w:rFonts w:ascii="Times New Roman" w:eastAsia="Times New Roman" w:hAnsi="Times New Roman" w:cs="Times New Roman"/>
          <w:bdr w:val="none" w:sz="0" w:space="0" w:color="auto" w:frame="1"/>
          <w:lang w:eastAsia="en-US"/>
        </w:rPr>
        <w:t>which</w:t>
      </w:r>
      <w:r w:rsidRPr="005B147F">
        <w:rPr>
          <w:rFonts w:ascii="Times New Roman" w:eastAsia="Times New Roman" w:hAnsi="Times New Roman" w:cs="Times New Roman"/>
          <w:lang w:eastAsia="en-US"/>
        </w:rPr>
        <w:t xml:space="preserve"> arise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out of and in the course of</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his employment of labor.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2 </w:t>
      </w:r>
      <w:r w:rsidRPr="00F94B7E">
        <w:rPr>
          <w:rFonts w:ascii="Times New Roman" w:eastAsia="Times New Roman" w:hAnsi="Times New Roman" w:cs="Times New Roman"/>
          <w:smallCaps/>
          <w:lang w:eastAsia="en-US"/>
        </w:rPr>
        <w:t>Harper &amp; James, The Law of Torts</w:t>
      </w:r>
      <w:r w:rsidRPr="005B147F">
        <w:rPr>
          <w:rFonts w:ascii="Times New Roman" w:eastAsia="Times New Roman" w:hAnsi="Times New Roman" w:cs="Times New Roman"/>
          <w:lang w:eastAsia="en-US"/>
        </w:rPr>
        <w:t xml:space="preserve"> 1377-78 (1956). . . . Here it was foreseeable that crew members crossing the drydock might do damage, negligently or even intentionally, such as pushing a Bushey employee or kicking property into the water. </w:t>
      </w:r>
      <w:r w:rsidRPr="00F94B7E">
        <w:rPr>
          <w:rFonts w:ascii="Times New Roman" w:eastAsia="Times New Roman,Cambria" w:hAnsi="Times New Roman" w:cs="Times New Roman"/>
          <w:bdr w:val="none" w:sz="0" w:space="0" w:color="auto" w:frame="1"/>
          <w:lang w:eastAsia="en-US"/>
        </w:rPr>
        <w:t>Moreover, the proclivity of seamen to find solace for solitude by copious resort to the bottle while ashore has been noted in opinions too numerous to warrant citation.</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Once all this is granted, it is immaterial that Lane</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s precise action was not to be foreseen. . . . </w:t>
      </w:r>
    </w:p>
    <w:p w14:paraId="1E1D53DE" w14:textId="77777777" w:rsidR="00C85B70" w:rsidRPr="005B147F" w:rsidRDefault="00C85B70" w:rsidP="000163BF">
      <w:pPr>
        <w:shd w:val="clear" w:color="auto" w:fill="FFFFFF"/>
        <w:ind w:firstLine="720"/>
        <w:textAlignment w:val="baseline"/>
        <w:rPr>
          <w:rFonts w:ascii="Times New Roman" w:hAnsi="Times New Roman" w:cs="Times New Roman"/>
          <w:lang w:eastAsia="en-US"/>
        </w:rPr>
      </w:pPr>
    </w:p>
    <w:p w14:paraId="66273B72" w14:textId="115C7758" w:rsidR="00C85B70" w:rsidRPr="00F94B7E" w:rsidRDefault="00C85B70" w:rsidP="750671CE">
      <w:pPr>
        <w:shd w:val="clear" w:color="auto" w:fill="FFFFFF" w:themeFill="background1"/>
        <w:ind w:firstLine="720"/>
        <w:textAlignment w:val="baseline"/>
        <w:rPr>
          <w:rFonts w:ascii="Times New Roman" w:eastAsia="Times New Roman,Cambria" w:hAnsi="Times New Roman" w:cs="Times New Roman"/>
          <w:lang w:eastAsia="en-US"/>
        </w:rPr>
      </w:pPr>
      <w:r w:rsidRPr="00F94B7E">
        <w:rPr>
          <w:rFonts w:ascii="Times New Roman" w:eastAsia="Times New Roman,Cambria" w:hAnsi="Times New Roman" w:cs="Times New Roman"/>
          <w:bdr w:val="none" w:sz="0" w:space="0" w:color="auto" w:frame="1"/>
          <w:lang w:eastAsia="en-US"/>
        </w:rPr>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enterprise</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 do not reach into areas where the servant does not create risks different from those attendant on the activities of the community in general. . . . We agree with the district judge that if the seaman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upon returning to the drydock, recognized the Bushey security guard as his wife</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s lover and shot him,</w:t>
      </w:r>
      <w:r w:rsidR="00B05F31" w:rsidRPr="00F94B7E">
        <w:rPr>
          <w:rFonts w:ascii="Times New Roman" w:eastAsia="Times New Roman,Cambria" w:hAnsi="Times New Roman" w:cs="Times New Roman"/>
          <w:bdr w:val="none" w:sz="0" w:space="0" w:color="auto" w:frame="1"/>
          <w:lang w:eastAsia="en-US"/>
        </w:rPr>
        <w:t>”</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 . . vicarious liability would not follow; the incident would have related to the seaman</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s domestic life, not to his seafaring activity . . . , and it would have been the most unlikely happenstance that the confrontation with the paramour occurred on a drydock rather</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it is all a question [of expediency,] * * * of fair judgment, always keeping in mind the fact that we endeavor to make a rule in each case that will be practical and in keeping with the general understanding of mankind.</w:t>
      </w:r>
      <w:r w:rsidR="00B05F31" w:rsidRPr="00F94B7E">
        <w:rPr>
          <w:rFonts w:ascii="Times New Roman" w:eastAsia="Times New Roman,Cambria" w:hAnsi="Times New Roman" w:cs="Times New Roman"/>
          <w:bdr w:val="none" w:sz="0" w:space="0" w:color="auto" w:frame="1"/>
          <w:lang w:eastAsia="en-US"/>
        </w:rPr>
        <w:t>”</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ＭＳ ゴシック" w:hAnsi="Times New Roman" w:cs="Times New Roman"/>
          <w:i/>
          <w:iCs/>
          <w:bdr w:val="none" w:sz="0" w:space="0" w:color="auto" w:frame="1"/>
          <w:lang w:eastAsia="en-US"/>
        </w:rPr>
        <w:t>Palsgraf v. Long Island R.R. Co.</w:t>
      </w:r>
      <w:r w:rsidRPr="00F94B7E">
        <w:rPr>
          <w:rFonts w:ascii="Times New Roman" w:eastAsia="Times New Roman,ＭＳ ゴシック" w:hAnsi="Times New Roman" w:cs="Times New Roman"/>
          <w:bdr w:val="none" w:sz="0" w:space="0" w:color="auto" w:frame="1"/>
          <w:lang w:eastAsia="en-US"/>
        </w:rPr>
        <w:t>, 162 N.E. 99, 104 (N.Y. 1928)</w:t>
      </w:r>
      <w:r w:rsidRPr="005B147F">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(dissenting opinion).</w:t>
      </w:r>
    </w:p>
    <w:p w14:paraId="0A206F6A" w14:textId="77777777" w:rsidR="00C85B70" w:rsidRPr="000163BF" w:rsidRDefault="00C85B70" w:rsidP="00C85B70">
      <w:pPr>
        <w:shd w:val="clear" w:color="auto" w:fill="FFFFFF"/>
        <w:spacing w:line="288" w:lineRule="atLeast"/>
        <w:ind w:firstLine="720"/>
        <w:textAlignment w:val="baseline"/>
        <w:rPr>
          <w:rFonts w:ascii="Times New Roman" w:eastAsia="Times New Roman" w:hAnsi="Times New Roman" w:cs="Times New Roman"/>
          <w:lang w:eastAsia="en-US"/>
        </w:rPr>
      </w:pPr>
    </w:p>
    <w:p w14:paraId="195EF7AC" w14:textId="434A3E8C" w:rsidR="00C85B70" w:rsidRPr="000163BF" w:rsidRDefault="00C85B70" w:rsidP="00F94B7E">
      <w:pPr>
        <w:shd w:val="clear" w:color="auto" w:fill="FFFFFF" w:themeFill="background1"/>
        <w:spacing w:line="288" w:lineRule="atLeast"/>
        <w:textAlignment w:val="baseline"/>
        <w:rPr>
          <w:rFonts w:ascii="Times New Roman" w:eastAsia="Times New Roman" w:hAnsi="Times New Roman" w:cs="Times New Roman"/>
          <w:lang w:eastAsia="en-US"/>
        </w:rPr>
      </w:pPr>
      <w:r w:rsidRPr="750671CE">
        <w:rPr>
          <w:rFonts w:ascii="Times New Roman,Cambria" w:eastAsia="Times New Roman,Cambria" w:hAnsi="Times New Roman,Cambria" w:cs="Times New Roman,Cambria"/>
          <w:bdr w:val="none" w:sz="0" w:space="0" w:color="auto" w:frame="1"/>
          <w:lang w:eastAsia="en-US"/>
        </w:rPr>
        <w:t>. . .</w:t>
      </w:r>
    </w:p>
    <w:p w14:paraId="6B5043DE" w14:textId="77777777" w:rsidR="00C85B70" w:rsidRPr="000163BF" w:rsidRDefault="750671CE" w:rsidP="750671CE">
      <w:pPr>
        <w:shd w:val="clear" w:color="auto" w:fill="FFFFFF" w:themeFill="background1"/>
        <w:spacing w:before="240" w:line="288" w:lineRule="atLeast"/>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Affirmed.</w:t>
      </w:r>
    </w:p>
    <w:p w14:paraId="0148994F" w14:textId="77777777" w:rsidR="00C85B70" w:rsidRPr="000163BF" w:rsidRDefault="00C85B70" w:rsidP="00C85B70">
      <w:pPr>
        <w:widowControl w:val="0"/>
        <w:overflowPunct w:val="0"/>
        <w:autoSpaceDE w:val="0"/>
        <w:autoSpaceDN w:val="0"/>
        <w:adjustRightInd w:val="0"/>
        <w:spacing w:line="264" w:lineRule="auto"/>
        <w:rPr>
          <w:rFonts w:ascii="Times New Roman" w:eastAsiaTheme="minorHAnsi" w:hAnsi="Times New Roman" w:cs="Times New Roman"/>
          <w:b/>
          <w:lang w:eastAsia="en-US"/>
        </w:rPr>
      </w:pPr>
    </w:p>
    <w:p w14:paraId="592E1057" w14:textId="37073AD8" w:rsidR="000163BF" w:rsidRDefault="000163BF">
      <w:pPr>
        <w:rPr>
          <w:rFonts w:ascii="Times New Roman" w:eastAsiaTheme="minorHAnsi" w:hAnsi="Times New Roman" w:cs="Times New Roman"/>
          <w:b/>
          <w:lang w:eastAsia="en-US"/>
        </w:rPr>
      </w:pPr>
      <w:r>
        <w:rPr>
          <w:rFonts w:ascii="Times New Roman" w:eastAsiaTheme="minorHAnsi" w:hAnsi="Times New Roman" w:cs="Times New Roman"/>
          <w:b/>
          <w:lang w:eastAsia="en-US"/>
        </w:rPr>
        <w:br w:type="page"/>
      </w:r>
    </w:p>
    <w:p w14:paraId="5735ACA0" w14:textId="77777777" w:rsidR="00C85B70" w:rsidRPr="005B147F" w:rsidRDefault="00C85B70" w:rsidP="002502CC">
      <w:pPr>
        <w:pStyle w:val="Heading4"/>
      </w:pPr>
      <w:bookmarkStart w:id="885" w:name="_Toc364636256"/>
      <w:bookmarkStart w:id="886" w:name="_Toc518323513"/>
      <w:r w:rsidRPr="005B147F">
        <w:t>Notes</w:t>
      </w:r>
      <w:bookmarkEnd w:id="885"/>
      <w:bookmarkEnd w:id="886"/>
    </w:p>
    <w:p w14:paraId="412C6552" w14:textId="77777777" w:rsidR="00C85B70" w:rsidRPr="00121DBE"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9E47FC1" w14:textId="77777777" w:rsidR="005468ED" w:rsidRPr="00DB5930" w:rsidRDefault="005468ED"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5F37C38B" w14:textId="124E571B" w:rsidR="00C85B70" w:rsidRPr="00F94B7E" w:rsidRDefault="750671CE" w:rsidP="00F94B7E">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Why respondeat superior?</w:t>
      </w:r>
      <w:r w:rsidRPr="00F94B7E">
        <w:rPr>
          <w:rFonts w:ascii="Times New Roman" w:eastAsia="Times New Roman,Cambria" w:hAnsi="Times New Roman" w:cs="Times New Roman"/>
          <w:lang w:eastAsia="en-US"/>
        </w:rPr>
        <w:t xml:space="preserve">  The </w:t>
      </w:r>
      <w:r w:rsidRPr="00F94B7E">
        <w:rPr>
          <w:rFonts w:ascii="Times New Roman" w:eastAsia="Times New Roman,Cambria" w:hAnsi="Times New Roman" w:cs="Times New Roman"/>
          <w:i/>
          <w:iCs/>
          <w:lang w:eastAsia="en-US"/>
        </w:rPr>
        <w:t>Ira Bushey</w:t>
      </w:r>
      <w:r w:rsidRPr="00F94B7E">
        <w:rPr>
          <w:rFonts w:ascii="Times New Roman" w:eastAsia="Times New Roman,Cambria" w:hAnsi="Times New Roman" w:cs="Times New Roman"/>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he or she did anything unreasonable or otherwise tortious.   </w:t>
      </w:r>
    </w:p>
    <w:p w14:paraId="795593A5" w14:textId="77777777" w:rsidR="00C85B70" w:rsidRPr="005B147F"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30E0D36" w14:textId="1071C7BD" w:rsidR="00C85B70" w:rsidRPr="00F94B7E" w:rsidRDefault="750671CE" w:rsidP="750671CE">
      <w:pPr>
        <w:widowControl w:val="0"/>
        <w:overflowPunct w:val="0"/>
        <w:autoSpaceDE w:val="0"/>
        <w:autoSpaceDN w:val="0"/>
        <w:adjustRightInd w:val="0"/>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Observe also that employers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vicarious liability does not vitiate employee liability: Ira Bushey &amp; Sons could have sued Seaman Lane instead of, or in addition to, his employer.  Similarly, the United States (as Lane</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own employees can have negative effects on workplace morale.  Employers typically decide that it is better simply to bear the burden of the damages they incur from their employees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conduct.    </w:t>
      </w:r>
    </w:p>
    <w:p w14:paraId="2D1DBC97" w14:textId="77777777" w:rsidR="00C85B70" w:rsidRPr="005B147F"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8D8BCE0" w14:textId="77777777" w:rsidR="00C85B70" w:rsidRPr="00121DBE"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5DD2DD47" w14:textId="4B7B88EC" w:rsidR="00C85B70" w:rsidRPr="005B147F" w:rsidRDefault="750671CE" w:rsidP="00F94B7E">
      <w:pPr>
        <w:pStyle w:val="ListParagraph"/>
        <w:widowControl w:val="0"/>
        <w:numPr>
          <w:ilvl w:val="0"/>
          <w:numId w:val="31"/>
        </w:numPr>
        <w:overflowPunct w:val="0"/>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Cambria" w:hAnsi="Times New Roman" w:cs="Times New Roman"/>
          <w:i/>
          <w:iCs/>
          <w:lang w:eastAsia="en-US"/>
        </w:rPr>
        <w:t xml:space="preserve">The Restatement </w:t>
      </w:r>
      <w:r w:rsidR="00291FE7">
        <w:rPr>
          <w:rFonts w:ascii="Times New Roman" w:eastAsia="Times New Roman,Cambria" w:hAnsi="Times New Roman" w:cs="Times New Roman"/>
          <w:i/>
          <w:iCs/>
          <w:lang w:eastAsia="en-US"/>
        </w:rPr>
        <w:t>a</w:t>
      </w:r>
      <w:r w:rsidRPr="00F94B7E">
        <w:rPr>
          <w:rFonts w:ascii="Times New Roman" w:eastAsia="Times New Roman,Cambria" w:hAnsi="Times New Roman" w:cs="Times New Roman"/>
          <w:i/>
          <w:iCs/>
          <w:lang w:eastAsia="en-US"/>
        </w:rPr>
        <w:t>pproach</w:t>
      </w:r>
      <w:r w:rsidRPr="00F94B7E">
        <w:rPr>
          <w:rFonts w:ascii="Times New Roman" w:eastAsia="Times New Roman,Cambria" w:hAnsi="Times New Roman" w:cs="Times New Roman"/>
          <w:lang w:eastAsia="en-US"/>
        </w:rPr>
        <w:t>. Judge Friendly focuses on one piece of the Restatement test for the scope of employment</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the requirement that the conduct of the servant be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actuated, at least in part, by a purpose to serve the master.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Section 228(1) of </w:t>
      </w:r>
      <w:r w:rsidR="008473A8" w:rsidRPr="00F94B7E">
        <w:rPr>
          <w:rFonts w:ascii="Times New Roman" w:eastAsia="Times New Roman,Cambria" w:hAnsi="Times New Roman" w:cs="Times New Roman"/>
          <w:i/>
          <w:lang w:eastAsia="en-US"/>
        </w:rPr>
        <w:t>T</w:t>
      </w:r>
      <w:r w:rsidRPr="00F94B7E">
        <w:rPr>
          <w:rFonts w:ascii="Times New Roman" w:eastAsia="Times New Roman,Cambria" w:hAnsi="Times New Roman" w:cs="Times New Roman"/>
          <w:i/>
          <w:lang w:eastAsia="en-US"/>
        </w:rPr>
        <w:t>he Restatement (Second) of Agency</w:t>
      </w:r>
      <w:r w:rsidRPr="00F94B7E">
        <w:rPr>
          <w:rFonts w:ascii="Times New Roman" w:eastAsia="Times New Roman,Cambria" w:hAnsi="Times New Roman" w:cs="Times New Roman"/>
          <w:lang w:eastAsia="en-US"/>
        </w:rPr>
        <w:t xml:space="preserve"> further provides that conduct is within the scope of employment only if</w:t>
      </w:r>
      <w:r w:rsidRPr="005B147F">
        <w:rPr>
          <w:rFonts w:ascii="Times New Roman" w:eastAsia="Times New Roman" w:hAnsi="Times New Roman" w:cs="Times New Roman"/>
          <w:lang w:eastAsia="en-US"/>
        </w:rPr>
        <w:t xml:space="preserve"> </w:t>
      </w:r>
      <w:r w:rsidR="00B05F31" w:rsidRPr="00121DBE">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it is of the kind he is employed to perform</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and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it occurs substantially within the authorized time and space limits.</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In cases of intentional violence by one servant against another, such violence is only within the scope of employment if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the use of force is not unexpectable by the master.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w:t>
      </w:r>
      <w:r w:rsidRPr="005B147F">
        <w:rPr>
          <w:rFonts w:ascii="Times New Roman" w:eastAsia="Times New Roman" w:hAnsi="Times New Roman" w:cs="Times New Roman"/>
          <w:smallCaps/>
          <w:lang w:eastAsia="en-US"/>
        </w:rPr>
        <w:t>Restatement (Second) of Agency</w:t>
      </w:r>
      <w:r w:rsidRPr="005B147F">
        <w:rPr>
          <w:rFonts w:ascii="Times New Roman" w:eastAsia="Times New Roman" w:hAnsi="Times New Roman" w:cs="Times New Roman"/>
          <w:lang w:eastAsia="en-US"/>
        </w:rPr>
        <w:t xml:space="preserve"> § 228(1) (1958).</w:t>
      </w:r>
    </w:p>
    <w:p w14:paraId="7D7FC8F4" w14:textId="77777777" w:rsidR="00C85B70" w:rsidRPr="005B147F"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2A4D2284" w14:textId="77777777" w:rsidR="00C85B70" w:rsidRPr="005B147F"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6C31EEC1" w14:textId="34F510E8" w:rsidR="00C85B70" w:rsidRPr="00F94B7E" w:rsidRDefault="750671CE" w:rsidP="00F94B7E">
      <w:pPr>
        <w:pStyle w:val="ListParagraph"/>
        <w:widowControl w:val="0"/>
        <w:numPr>
          <w:ilvl w:val="0"/>
          <w:numId w:val="31"/>
        </w:numPr>
        <w:overflowPunct w:val="0"/>
        <w:autoSpaceDE w:val="0"/>
        <w:autoSpaceDN w:val="0"/>
        <w:adjustRightInd w:val="0"/>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back-story to </w:t>
      </w:r>
      <w:r w:rsidRPr="00F94B7E">
        <w:rPr>
          <w:rFonts w:ascii="Times New Roman" w:eastAsia="Times New Roman,Cambria" w:hAnsi="Times New Roman" w:cs="Times New Roman"/>
          <w:lang w:eastAsia="en-US"/>
        </w:rPr>
        <w:t xml:space="preserve">Ira Bushey.  In the district court opinion, District Judge Jack B. Weinstein took a different approach than Judge Friendly: instead of rejecting law and economics in his decision, Judge Weinstein used a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law and economics analysis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to impose liability on the United States. </w:t>
      </w:r>
      <w:r w:rsidRPr="00F94B7E">
        <w:rPr>
          <w:rFonts w:ascii="Times New Roman" w:eastAsia="Times New Roman,Cambria" w:hAnsi="Times New Roman" w:cs="Times New Roman"/>
          <w:smallCaps/>
          <w:lang w:eastAsia="en-US"/>
        </w:rPr>
        <w:t>David M. Dorsen, Henry Friendly, Greatest Judge of His Era</w:t>
      </w:r>
      <w:r w:rsidRPr="00F94B7E">
        <w:rPr>
          <w:rFonts w:ascii="Times New Roman" w:eastAsia="Times New Roman,Cambria" w:hAnsi="Times New Roman" w:cs="Times New Roman"/>
          <w:lang w:eastAsia="en-US"/>
        </w:rPr>
        <w:t xml:space="preserve"> 264 (2012). Citing </w:t>
      </w:r>
      <w:r w:rsidR="00F31881">
        <w:rPr>
          <w:rFonts w:ascii="Times New Roman" w:eastAsia="Times New Roman,Cambria" w:hAnsi="Times New Roman" w:cs="Times New Roman"/>
          <w:lang w:eastAsia="en-US"/>
        </w:rPr>
        <w:t>then-Professor</w:t>
      </w:r>
      <w:r w:rsidR="00F31881"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lang w:eastAsia="en-US"/>
        </w:rPr>
        <w:t xml:space="preserve">Guido Calabresi, Judge Weinstein held that liability should be imposed on the employer because the employer can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obtain insurance more cheaply than those who may be injured.</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Ira S. Bushey &amp; Sons, Inc. v. United States</w:t>
      </w:r>
      <w:r w:rsidRPr="00F94B7E">
        <w:rPr>
          <w:rFonts w:ascii="Times New Roman" w:eastAsia="Times New Roman,Cambria" w:hAnsi="Times New Roman" w:cs="Times New Roman"/>
          <w:lang w:eastAsia="en-US"/>
        </w:rPr>
        <w:t xml:space="preserve">, 276 F. Supp. 518, 530 (E.D.N.Y. 1967). </w:t>
      </w:r>
    </w:p>
    <w:p w14:paraId="52A142EB" w14:textId="77777777" w:rsidR="00C85B70" w:rsidRPr="005B147F"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0F91254A" w14:textId="3C9030FE" w:rsidR="00C85B70" w:rsidRPr="005B147F" w:rsidRDefault="750671CE" w:rsidP="750671CE">
      <w:pPr>
        <w:widowControl w:val="0"/>
        <w:overflowPunct w:val="0"/>
        <w:autoSpaceDE w:val="0"/>
        <w:autoSpaceDN w:val="0"/>
        <w:adjustRightInd w:val="0"/>
        <w:ind w:firstLine="720"/>
        <w:rPr>
          <w:rFonts w:ascii="Times New Roman" w:eastAsia="Times New Roman" w:hAnsi="Times New Roman" w:cs="Times New Roman"/>
          <w:color w:val="333333"/>
          <w:lang w:eastAsia="en-US"/>
        </w:rPr>
      </w:pPr>
      <w:r w:rsidRPr="00F94B7E">
        <w:rPr>
          <w:rFonts w:ascii="Times New Roman" w:eastAsia="Times New Roman,Cambria" w:hAnsi="Times New Roman" w:cs="Times New Roman"/>
          <w:lang w:eastAsia="en-US"/>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5B147F">
        <w:rPr>
          <w:rFonts w:ascii="Times New Roman" w:eastAsia="Times New Roman" w:hAnsi="Times New Roman" w:cs="Times New Roman"/>
          <w:color w:val="333333"/>
          <w:lang w:eastAsia="en-US"/>
        </w:rPr>
        <w:t xml:space="preserve"> All that remained of the substance of the law clerk</w:t>
      </w:r>
      <w:r w:rsidR="00B05F31" w:rsidRPr="005B147F">
        <w:rPr>
          <w:rFonts w:ascii="Times New Roman" w:eastAsia="Times New Roman" w:hAnsi="Times New Roman" w:cs="Times New Roman"/>
          <w:color w:val="333333"/>
          <w:lang w:eastAsia="en-US"/>
        </w:rPr>
        <w:t>’</w:t>
      </w:r>
      <w:r w:rsidRPr="00121DBE">
        <w:rPr>
          <w:rFonts w:ascii="Times New Roman" w:eastAsia="Times New Roman" w:hAnsi="Times New Roman" w:cs="Times New Roman"/>
          <w:color w:val="333333"/>
          <w:lang w:eastAsia="en-US"/>
        </w:rPr>
        <w:t>s draft was the opinion</w:t>
      </w:r>
      <w:r w:rsidR="00B05F31" w:rsidRPr="00DB5930">
        <w:rPr>
          <w:rFonts w:ascii="Times New Roman" w:eastAsia="Times New Roman" w:hAnsi="Times New Roman" w:cs="Times New Roman"/>
          <w:color w:val="333333"/>
          <w:lang w:eastAsia="en-US"/>
        </w:rPr>
        <w:t>’</w:t>
      </w:r>
      <w:r w:rsidRPr="005B147F">
        <w:rPr>
          <w:rFonts w:ascii="Times New Roman" w:eastAsia="Times New Roman" w:hAnsi="Times New Roman" w:cs="Times New Roman"/>
          <w:color w:val="333333"/>
          <w:lang w:eastAsia="en-US"/>
        </w:rPr>
        <w:t xml:space="preserve">s dismissive discussion of the economic approach the draft had taken.   </w:t>
      </w:r>
    </w:p>
    <w:p w14:paraId="4E503B48" w14:textId="77777777" w:rsidR="00C85B70" w:rsidRPr="005B147F" w:rsidRDefault="00C85B70" w:rsidP="00C85B70">
      <w:pPr>
        <w:widowControl w:val="0"/>
        <w:overflowPunct w:val="0"/>
        <w:autoSpaceDE w:val="0"/>
        <w:autoSpaceDN w:val="0"/>
        <w:adjustRightInd w:val="0"/>
        <w:spacing w:line="264" w:lineRule="auto"/>
        <w:ind w:left="720"/>
        <w:contextualSpacing/>
        <w:rPr>
          <w:rFonts w:ascii="Times New Roman" w:eastAsia="Times New Roman" w:hAnsi="Times New Roman" w:cs="Times New Roman"/>
          <w:color w:val="333333"/>
          <w:lang w:eastAsia="en-US"/>
        </w:rPr>
      </w:pPr>
    </w:p>
    <w:p w14:paraId="76FF2A38" w14:textId="68D35CD9" w:rsidR="00C85B70" w:rsidRPr="00F94B7E" w:rsidRDefault="750671CE" w:rsidP="750671CE">
      <w:pPr>
        <w:widowControl w:val="0"/>
        <w:overflowPunct w:val="0"/>
        <w:autoSpaceDE w:val="0"/>
        <w:autoSpaceDN w:val="0"/>
        <w:adjustRightInd w:val="0"/>
        <w:ind w:firstLine="720"/>
        <w:rPr>
          <w:rFonts w:ascii="Times New Roman" w:eastAsia="Times New Roman,Cambria" w:hAnsi="Times New Roman" w:cs="Times New Roman"/>
          <w:lang w:eastAsia="en-US"/>
        </w:rPr>
      </w:pPr>
      <w:r w:rsidRPr="005B147F">
        <w:rPr>
          <w:rFonts w:ascii="Times New Roman" w:eastAsia="Times New Roman" w:hAnsi="Times New Roman" w:cs="Times New Roman"/>
          <w:lang w:eastAsia="en-US"/>
        </w:rPr>
        <w:t>When later asked about Judge Friendly</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opinion, Calabresi remarked,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[The] irony is that Friendly got it right and Bruce [Ackerman] got it wrong. I cite the case as a great judge</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s response to academic theory on the basis of his own experience and intuition.</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smallCaps/>
          <w:lang w:eastAsia="en-US"/>
        </w:rPr>
        <w:t xml:space="preserve"> Dorsen, Henry Friendly, </w:t>
      </w:r>
      <w:r w:rsidRPr="00F94B7E">
        <w:rPr>
          <w:rFonts w:ascii="Times New Roman" w:eastAsia="Times New Roman,Cambria" w:hAnsi="Times New Roman" w:cs="Times New Roman"/>
          <w:lang w:eastAsia="en-US"/>
        </w:rPr>
        <w:t xml:space="preserve">at 266.  Is that right?  </w:t>
      </w:r>
      <w:r w:rsidRPr="005B147F">
        <w:rPr>
          <w:rFonts w:ascii="Times New Roman" w:eastAsia="Times New Roman" w:hAnsi="Times New Roman" w:cs="Times New Roman"/>
          <w:lang w:eastAsia="en-US"/>
        </w:rPr>
        <w:t xml:space="preserve">What is the basis on which our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deeply rooted sentiments,</w:t>
      </w:r>
      <w:r w:rsidR="00B05F31" w:rsidRPr="00121DBE">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 xml:space="preserve"> as Friendly describes them, lead us to decide that the costs in question are characteristic of being an employer of seamen rather th</w:t>
      </w:r>
      <w:r w:rsidRPr="005B147F">
        <w:rPr>
          <w:rFonts w:ascii="Times New Roman" w:eastAsia="Times New Roman" w:hAnsi="Times New Roman" w:cs="Times New Roman"/>
          <w:lang w:eastAsia="en-US"/>
        </w:rPr>
        <w:t>an characteristic of being a dry dock?</w:t>
      </w:r>
    </w:p>
    <w:p w14:paraId="3603AA38" w14:textId="77777777" w:rsidR="00C85B70" w:rsidRDefault="00C85B70" w:rsidP="00482DB1">
      <w:pPr>
        <w:widowControl w:val="0"/>
        <w:overflowPunct w:val="0"/>
        <w:autoSpaceDE w:val="0"/>
        <w:autoSpaceDN w:val="0"/>
        <w:adjustRightInd w:val="0"/>
        <w:rPr>
          <w:rFonts w:ascii="Times New Roman" w:eastAsiaTheme="minorHAnsi" w:hAnsi="Times New Roman" w:cs="Times New Roman"/>
          <w:b/>
          <w:lang w:eastAsia="en-US"/>
        </w:rPr>
      </w:pPr>
    </w:p>
    <w:p w14:paraId="7E0601FA" w14:textId="77777777" w:rsidR="005468ED" w:rsidRPr="00482DB1" w:rsidRDefault="005468ED" w:rsidP="00482DB1">
      <w:pPr>
        <w:widowControl w:val="0"/>
        <w:overflowPunct w:val="0"/>
        <w:autoSpaceDE w:val="0"/>
        <w:autoSpaceDN w:val="0"/>
        <w:adjustRightInd w:val="0"/>
        <w:rPr>
          <w:rFonts w:ascii="Times New Roman" w:eastAsiaTheme="minorHAnsi" w:hAnsi="Times New Roman" w:cs="Times New Roman"/>
          <w:b/>
          <w:lang w:eastAsia="en-US"/>
        </w:rPr>
      </w:pPr>
    </w:p>
    <w:p w14:paraId="45A5F432" w14:textId="64E34601" w:rsidR="00C85B70" w:rsidRPr="00F94B7E" w:rsidRDefault="750671CE" w:rsidP="00F94B7E">
      <w:pPr>
        <w:pStyle w:val="ListParagraph"/>
        <w:widowControl w:val="0"/>
        <w:numPr>
          <w:ilvl w:val="0"/>
          <w:numId w:val="31"/>
        </w:numPr>
        <w:overflowPunct w:val="0"/>
        <w:autoSpaceDE w:val="0"/>
        <w:autoSpaceDN w:val="0"/>
        <w:adjustRightInd w:val="0"/>
        <w:ind w:left="-90" w:firstLine="45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Vicarious liability and tort theory</w:t>
      </w:r>
      <w:r w:rsidRPr="00F94B7E">
        <w:rPr>
          <w:rFonts w:ascii="Times New Roman" w:eastAsia="Times New Roman,Cambria" w:hAnsi="Times New Roman" w:cs="Times New Roman"/>
          <w:lang w:eastAsia="en-US"/>
        </w:rPr>
        <w:t xml:space="preserve">.  Vicarious liability is pervasive.  As one recent commentator puts it, </w:t>
      </w:r>
      <w:r w:rsidR="00B05F31" w:rsidRPr="00F94B7E">
        <w:rPr>
          <w:rFonts w:ascii="Times New Roman" w:eastAsia="Times New Roman,Cambria" w:hAnsi="Times New Roman" w:cs="Times New Roman"/>
          <w:lang w:eastAsia="en-US"/>
        </w:rPr>
        <w:t>“</w:t>
      </w:r>
      <w:r w:rsidRPr="005B147F">
        <w:rPr>
          <w:rFonts w:ascii="Times New Roman" w:eastAsia="Times New Roman" w:hAnsi="Times New Roman" w:cs="Times New Roman"/>
          <w:lang w:eastAsia="en-US"/>
        </w:rPr>
        <w:t>most tort suits are filed against businesses, and most businesses . . . are sued for the acts of their</w:t>
      </w:r>
      <w:r w:rsidRPr="00121DBE">
        <w:rPr>
          <w:rFonts w:ascii="Times New Roman" w:eastAsia="Times New Roman" w:hAnsi="Times New Roman" w:cs="Times New Roman"/>
          <w:lang w:eastAsia="en-US"/>
        </w:rPr>
        <w:t xml:space="preserve"> employees.</w:t>
      </w:r>
      <w:r w:rsidR="00B05F31" w:rsidRPr="00DB5930">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 xml:space="preserve">See </w:t>
      </w:r>
      <w:r w:rsidRPr="00F94B7E">
        <w:rPr>
          <w:rFonts w:ascii="Times New Roman" w:eastAsia="Times New Roman,Cambria" w:hAnsi="Times New Roman" w:cs="Times New Roman"/>
          <w:lang w:eastAsia="en-US"/>
        </w:rPr>
        <w:t xml:space="preserve">Alan Calnan, </w:t>
      </w:r>
      <w:r w:rsidRPr="00F94B7E">
        <w:rPr>
          <w:rFonts w:ascii="Times New Roman" w:eastAsia="Times New Roman,Cambria" w:hAnsi="Times New Roman" w:cs="Times New Roman"/>
          <w:i/>
          <w:lang w:eastAsia="en-US"/>
        </w:rPr>
        <w:t>The Distorted Reality of Civil Recourse Theory</w:t>
      </w:r>
      <w:r w:rsidRPr="00F94B7E">
        <w:rPr>
          <w:rFonts w:ascii="Times New Roman" w:eastAsia="Times New Roman,Cambria" w:hAnsi="Times New Roman" w:cs="Times New Roman"/>
          <w:lang w:eastAsia="en-US"/>
        </w:rPr>
        <w:t xml:space="preserve">, 60 </w:t>
      </w:r>
      <w:r w:rsidRPr="00F94B7E">
        <w:rPr>
          <w:rFonts w:ascii="Times New Roman" w:eastAsia="Times New Roman,Cambria" w:hAnsi="Times New Roman" w:cs="Times New Roman"/>
          <w:iCs/>
          <w:smallCaps/>
          <w:lang w:eastAsia="en-US"/>
        </w:rPr>
        <w:t>Cleveland L. Rev</w:t>
      </w:r>
      <w:r w:rsidRPr="00F94B7E">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159, 181 (2012).</w:t>
      </w:r>
      <w:r w:rsidRPr="00F94B7E">
        <w:rPr>
          <w:rFonts w:ascii="Times New Roman" w:eastAsia="Times New Roman,Cambria" w:hAnsi="Times New Roman" w:cs="Times New Roman"/>
          <w:i/>
          <w:iCs/>
          <w:lang w:eastAsia="en-US"/>
        </w:rPr>
        <w:t xml:space="preserve"> </w:t>
      </w:r>
      <w:r w:rsidRPr="00F94B7E">
        <w:rPr>
          <w:rFonts w:ascii="Times New Roman" w:eastAsia="Times New Roman,Cambria" w:hAnsi="Times New Roman" w:cs="Times New Roman"/>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F94B7E">
        <w:rPr>
          <w:rFonts w:ascii="Times New Roman" w:eastAsia="Times New Roman,Cambria" w:hAnsi="Times New Roman" w:cs="Times New Roman"/>
          <w:i/>
          <w:iCs/>
          <w:lang w:eastAsia="en-US"/>
        </w:rPr>
        <w:t>respondeat superior</w:t>
      </w:r>
      <w:r w:rsidRPr="00F94B7E">
        <w:rPr>
          <w:rFonts w:ascii="Times New Roman" w:eastAsia="Times New Roman,Cambria" w:hAnsi="Times New Roman" w:cs="Times New Roman"/>
          <w:lang w:eastAsia="en-US"/>
        </w:rPr>
        <w:t xml:space="preserve"> case.  Every municipal liability case is.  Most cases arising out of economic activity seem to be vicarious liability cases, since so much economic activity is collective or group activity in one way or another.</w:t>
      </w:r>
    </w:p>
    <w:p w14:paraId="0A95F171" w14:textId="77777777" w:rsidR="00C85B70" w:rsidRPr="005B147F"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355C3645" w14:textId="17E4F2F4" w:rsidR="00C85B70" w:rsidRPr="00F94B7E" w:rsidRDefault="00C85B70" w:rsidP="750671CE">
      <w:pPr>
        <w:widowControl w:val="0"/>
        <w:overflowPunct w:val="0"/>
        <w:autoSpaceDE w:val="0"/>
        <w:autoSpaceDN w:val="0"/>
        <w:adjustRightInd w:val="0"/>
        <w:rPr>
          <w:rFonts w:ascii="Times New Roman" w:eastAsia="Times New Roman,Cambria" w:hAnsi="Times New Roman" w:cs="Times New Roman"/>
          <w:lang w:eastAsia="en-US"/>
        </w:rPr>
      </w:pPr>
      <w:r w:rsidRPr="00121DBE">
        <w:rPr>
          <w:rFonts w:ascii="Times New Roman" w:eastAsiaTheme="minorHAnsi" w:hAnsi="Times New Roman" w:cs="Times New Roman"/>
          <w:lang w:eastAsia="en-US"/>
        </w:rPr>
        <w:tab/>
      </w:r>
      <w:r w:rsidRPr="00F94B7E">
        <w:rPr>
          <w:rFonts w:ascii="Times New Roman" w:eastAsia="Times New Roman,Cambria" w:hAnsi="Times New Roman" w:cs="Times New Roman"/>
          <w:lang w:eastAsia="en-US"/>
        </w:rPr>
        <w:t>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not the defendant himself or herself</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will pay the damages, if any, we can only conclude that virtually all tort damages are paid by a party whom no one thinks has acted in a wrongful manner. Gary T. Schwartz, </w:t>
      </w:r>
      <w:r w:rsidRPr="00F94B7E">
        <w:rPr>
          <w:rFonts w:ascii="Times New Roman" w:eastAsia="Times New Roman,Cambria" w:hAnsi="Times New Roman" w:cs="Times New Roman"/>
          <w:i/>
          <w:iCs/>
          <w:lang w:eastAsia="en-US"/>
        </w:rPr>
        <w:t>The Hidden and Fundamental Issue of Employer Vicarious Liability</w:t>
      </w:r>
      <w:r w:rsidRPr="00F94B7E">
        <w:rPr>
          <w:rFonts w:ascii="Times New Roman" w:eastAsia="Times New Roman,Cambria" w:hAnsi="Times New Roman" w:cs="Times New Roman"/>
          <w:lang w:eastAsia="en-US"/>
        </w:rPr>
        <w:t xml:space="preserve">, 69 </w:t>
      </w:r>
      <w:r w:rsidRPr="00F94B7E">
        <w:rPr>
          <w:rFonts w:ascii="Times New Roman" w:eastAsia="Times New Roman,Cambria" w:hAnsi="Times New Roman" w:cs="Times New Roman"/>
          <w:smallCaps/>
          <w:lang w:eastAsia="en-US"/>
        </w:rPr>
        <w:t>S. Cal. L. Rev</w:t>
      </w:r>
      <w:r w:rsidRPr="00F94B7E">
        <w:rPr>
          <w:rFonts w:ascii="Times New Roman" w:eastAsia="Times New Roman,Cambria" w:hAnsi="Times New Roman" w:cs="Times New Roman"/>
          <w:lang w:eastAsia="en-US"/>
        </w:rPr>
        <w:t>. 1739, 1754 (1996).</w:t>
      </w:r>
    </w:p>
    <w:p w14:paraId="2D9AD414" w14:textId="77777777" w:rsidR="00C85B70" w:rsidRPr="005B147F"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27C6C308" w14:textId="77777777" w:rsidR="00C85B70" w:rsidRPr="00121DBE" w:rsidRDefault="00C85B70" w:rsidP="00C85B70">
      <w:pPr>
        <w:rPr>
          <w:rFonts w:ascii="Times New Roman" w:eastAsia="Times New Roman" w:hAnsi="Times New Roman" w:cs="Times New Roman"/>
          <w:bCs/>
          <w:lang w:eastAsia="en-US"/>
        </w:rPr>
      </w:pPr>
    </w:p>
    <w:p w14:paraId="0F34D37D" w14:textId="2546F1E1" w:rsidR="00C85B70" w:rsidRPr="00F94B7E" w:rsidRDefault="750671CE" w:rsidP="00F94B7E">
      <w:pPr>
        <w:pStyle w:val="ListParagraph"/>
        <w:numPr>
          <w:ilvl w:val="0"/>
          <w:numId w:val="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Vicarious liability in sexual abuse cases</w:t>
      </w:r>
      <w:r w:rsidRPr="00F94B7E">
        <w:rPr>
          <w:rFonts w:ascii="Times New Roman" w:eastAsia="Times New Roman" w:hAnsi="Times New Roman" w:cs="Times New Roman"/>
          <w:lang w:eastAsia="en-US"/>
        </w:rPr>
        <w:t xml:space="preserve">.  Professor Martha Chamallas argues that courts apply the doctrine of vicarious liability inconsistently in sex abuse cases: </w:t>
      </w:r>
    </w:p>
    <w:p w14:paraId="78A2241E" w14:textId="77777777" w:rsidR="00C85B70" w:rsidRPr="005B147F" w:rsidRDefault="00C85B70" w:rsidP="00482DB1">
      <w:pPr>
        <w:rPr>
          <w:rFonts w:ascii="Times New Roman" w:eastAsia="Times New Roman" w:hAnsi="Times New Roman" w:cs="Times New Roman"/>
          <w:bCs/>
          <w:lang w:eastAsia="en-US"/>
        </w:rPr>
      </w:pPr>
    </w:p>
    <w:p w14:paraId="7F509E90" w14:textId="0CC206F8" w:rsidR="00C85B70" w:rsidRPr="005B147F" w:rsidRDefault="750671CE" w:rsidP="00F94B7E">
      <w:pPr>
        <w:widowControl w:val="0"/>
        <w:autoSpaceDE w:val="0"/>
        <w:autoSpaceDN w:val="0"/>
        <w:adjustRightInd w:val="0"/>
        <w:spacing w:after="280"/>
        <w:ind w:left="720" w:right="720"/>
        <w:jc w:val="both"/>
        <w:rPr>
          <w:rFonts w:ascii="Times New Roman" w:eastAsia="Times New Roman" w:hAnsi="Times New Roman" w:cs="Times New Roman"/>
          <w:lang w:eastAsia="en-US"/>
        </w:rPr>
      </w:pPr>
      <w:r w:rsidRPr="00121DBE">
        <w:rPr>
          <w:rFonts w:ascii="Times New Roman" w:eastAsia="Times New Roman" w:hAnsi="Times New Roman" w:cs="Times New Roman"/>
          <w:lang w:eastAsia="en-US"/>
        </w:rPr>
        <w:t xml:space="preserve">[E]mployers are automatically liable for torts committed by their employees </w:t>
      </w:r>
      <w:r w:rsidR="00B05F31" w:rsidRPr="00DB5930">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in the course and scope of their employment.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 . .  In sexual abuse cases, however, the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course and scope of employment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test has been applied much more restrictively. Courts are far less likely to hold employers vicariously liable for sexual abuse committed by employees, even as compared to other cases of non-sexual, intentional torts. </w:t>
      </w:r>
    </w:p>
    <w:p w14:paraId="52DFEA54" w14:textId="3F160937" w:rsidR="00C85B70" w:rsidRPr="005B147F" w:rsidRDefault="750671CE" w:rsidP="005A5833">
      <w:pPr>
        <w:rPr>
          <w:rFonts w:ascii="Times New Roman" w:eastAsia="Times New Roman" w:hAnsi="Times New Roman" w:cs="Times New Roman"/>
          <w:lang w:eastAsia="en-US"/>
        </w:rPr>
      </w:pPr>
      <w:r w:rsidRPr="005B147F">
        <w:rPr>
          <w:rFonts w:ascii="Times New Roman" w:eastAsia="Times New Roman" w:hAnsi="Times New Roman" w:cs="Times New Roman"/>
          <w:lang w:eastAsia="en-US"/>
        </w:rPr>
        <w:t xml:space="preserve">Martha Chamallas, </w:t>
      </w:r>
      <w:r w:rsidRPr="005B147F">
        <w:rPr>
          <w:rFonts w:ascii="Times New Roman" w:eastAsia="Times New Roman" w:hAnsi="Times New Roman" w:cs="Times New Roman"/>
          <w:i/>
          <w:iCs/>
          <w:lang w:eastAsia="en-US"/>
        </w:rPr>
        <w:t>Vicarious Liability in Torts: The Sex Exception</w:t>
      </w:r>
      <w:r w:rsidRPr="005B147F">
        <w:rPr>
          <w:rFonts w:ascii="Times New Roman" w:eastAsia="Times New Roman" w:hAnsi="Times New Roman" w:cs="Times New Roman"/>
          <w:lang w:eastAsia="en-US"/>
        </w:rPr>
        <w:t xml:space="preserve">, 48 </w:t>
      </w:r>
      <w:r w:rsidRPr="005B147F">
        <w:rPr>
          <w:rFonts w:ascii="Times New Roman" w:eastAsia="Times New Roman" w:hAnsi="Times New Roman" w:cs="Times New Roman"/>
          <w:smallCaps/>
          <w:lang w:eastAsia="en-US"/>
        </w:rPr>
        <w:t>Val. U. L. Rev.</w:t>
      </w:r>
      <w:r w:rsidRPr="005B147F">
        <w:rPr>
          <w:rFonts w:ascii="Times New Roman" w:eastAsia="Times New Roman" w:hAnsi="Times New Roman" w:cs="Times New Roman"/>
          <w:lang w:eastAsia="en-US"/>
        </w:rPr>
        <w:t xml:space="preserve"> 133, 136 (2013).  For example, in </w:t>
      </w:r>
      <w:r w:rsidRPr="005B147F">
        <w:rPr>
          <w:rFonts w:ascii="Times New Roman" w:eastAsia="Times New Roman" w:hAnsi="Times New Roman" w:cs="Times New Roman"/>
          <w:i/>
          <w:iCs/>
          <w:lang w:eastAsia="en-US"/>
        </w:rPr>
        <w:t>Lisa M. v. Henry Mayo Newhall Mem</w:t>
      </w:r>
      <w:r w:rsidR="00B05F31" w:rsidRPr="005B147F">
        <w:rPr>
          <w:rFonts w:ascii="Times New Roman" w:eastAsia="Times New Roman" w:hAnsi="Times New Roman" w:cs="Times New Roman"/>
          <w:i/>
          <w:iCs/>
          <w:lang w:eastAsia="en-US"/>
        </w:rPr>
        <w:t>’</w:t>
      </w:r>
      <w:r w:rsidRPr="005B147F">
        <w:rPr>
          <w:rFonts w:ascii="Times New Roman" w:eastAsia="Times New Roman" w:hAnsi="Times New Roman" w:cs="Times New Roman"/>
          <w:i/>
          <w:iCs/>
          <w:lang w:eastAsia="en-US"/>
        </w:rPr>
        <w:t>l Hosp.</w:t>
      </w:r>
      <w:r w:rsidRPr="005B147F">
        <w:rPr>
          <w:rFonts w:ascii="Times New Roman" w:eastAsia="Times New Roman" w:hAnsi="Times New Roman" w:cs="Times New Roman"/>
          <w:lang w:eastAsia="en-US"/>
        </w:rPr>
        <w:t>, 907 P.2d 358 (Cal. 1995), the California Supreme Court refused to hold a hospital vicariously liable when its medical technician molested a nineteen-year-old pregnant woman during the performance an ultrasound. The court also refused to hold a school district liable for a teacher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molestation of a ninth grader during an extra-curricular activity sanctioned by school. </w:t>
      </w:r>
      <w:r w:rsidRPr="005B147F">
        <w:rPr>
          <w:rFonts w:ascii="Times New Roman" w:eastAsia="Times New Roman" w:hAnsi="Times New Roman" w:cs="Times New Roman"/>
          <w:i/>
          <w:iCs/>
          <w:lang w:eastAsia="en-US"/>
        </w:rPr>
        <w:t>John R. v. Oakland Unified Sch. Dist.</w:t>
      </w:r>
      <w:r w:rsidRPr="005B147F">
        <w:rPr>
          <w:rFonts w:ascii="Times New Roman" w:eastAsia="Times New Roman" w:hAnsi="Times New Roman" w:cs="Times New Roman"/>
          <w:lang w:eastAsia="en-US"/>
        </w:rPr>
        <w:t>, 769 P.2d 948 (Cal. 1989).</w:t>
      </w:r>
    </w:p>
    <w:p w14:paraId="732D87A2" w14:textId="77777777" w:rsidR="00C85B70" w:rsidRPr="005B147F" w:rsidRDefault="00C85B70" w:rsidP="00482DB1">
      <w:pPr>
        <w:ind w:right="720"/>
        <w:rPr>
          <w:rFonts w:ascii="Times New Roman" w:eastAsia="Times New Roman" w:hAnsi="Times New Roman" w:cs="Times New Roman"/>
          <w:bCs/>
          <w:lang w:eastAsia="en-US"/>
        </w:rPr>
      </w:pPr>
    </w:p>
    <w:p w14:paraId="34B93A01" w14:textId="77777777" w:rsidR="00C85B70" w:rsidRPr="005B147F" w:rsidRDefault="750671CE" w:rsidP="750671CE">
      <w:pPr>
        <w:ind w:firstLine="720"/>
        <w:rPr>
          <w:rFonts w:ascii="Times New Roman" w:eastAsia="Times New Roman" w:hAnsi="Times New Roman" w:cs="Times New Roman"/>
          <w:lang w:eastAsia="en-US"/>
        </w:rPr>
      </w:pPr>
      <w:r w:rsidRPr="005B147F">
        <w:rPr>
          <w:rFonts w:ascii="Times New Roman" w:eastAsia="Times New Roman" w:hAnsi="Times New Roman" w:cs="Times New Roman"/>
          <w:lang w:eastAsia="en-US"/>
        </w:rPr>
        <w:t xml:space="preserve">Chamallas argues that such cases reflect a misguided notion that sexual misconduct is unique and a tendency to fixate on the psychological state of the offender, while ignoring the significance of situational factors. Cases such as </w:t>
      </w:r>
      <w:r w:rsidRPr="005B147F">
        <w:rPr>
          <w:rFonts w:ascii="Times New Roman" w:eastAsia="Times New Roman" w:hAnsi="Times New Roman" w:cs="Times New Roman"/>
          <w:i/>
          <w:iCs/>
          <w:lang w:eastAsia="en-US"/>
        </w:rPr>
        <w:t xml:space="preserve">Lisa M. </w:t>
      </w:r>
      <w:r w:rsidRPr="005B147F">
        <w:rPr>
          <w:rFonts w:ascii="Times New Roman" w:eastAsia="Times New Roman" w:hAnsi="Times New Roman" w:cs="Times New Roman"/>
          <w:lang w:eastAsia="en-US"/>
        </w:rPr>
        <w:t xml:space="preserve">and </w:t>
      </w:r>
      <w:r w:rsidRPr="005B147F">
        <w:rPr>
          <w:rFonts w:ascii="Times New Roman" w:eastAsia="Times New Roman" w:hAnsi="Times New Roman" w:cs="Times New Roman"/>
          <w:i/>
          <w:iCs/>
          <w:lang w:eastAsia="en-US"/>
        </w:rPr>
        <w:t>John R.</w:t>
      </w:r>
      <w:r w:rsidRPr="005B147F">
        <w:rPr>
          <w:rFonts w:ascii="Times New Roman" w:eastAsia="Times New Roman" w:hAnsi="Times New Roman" w:cs="Times New Roman"/>
          <w:lang w:eastAsia="en-US"/>
        </w:rPr>
        <w:t xml:space="preserve">, Chamallas argues, frame the sex offender as an outsider, when, in significant part, he or she is part of the institution or enterprise. </w:t>
      </w:r>
    </w:p>
    <w:p w14:paraId="40F2FE6C" w14:textId="77777777" w:rsidR="00C85B70" w:rsidRPr="005B147F" w:rsidRDefault="00C85B70" w:rsidP="00482DB1">
      <w:pPr>
        <w:ind w:firstLine="720"/>
        <w:rPr>
          <w:rFonts w:ascii="Times New Roman" w:eastAsia="Times New Roman" w:hAnsi="Times New Roman" w:cs="Times New Roman"/>
          <w:bCs/>
          <w:lang w:eastAsia="en-US"/>
        </w:rPr>
      </w:pPr>
    </w:p>
    <w:p w14:paraId="451748B4" w14:textId="570EB2A1" w:rsidR="00C85B70" w:rsidRPr="00DB5930" w:rsidRDefault="750671CE" w:rsidP="750671CE">
      <w:pPr>
        <w:ind w:firstLine="720"/>
        <w:rPr>
          <w:rFonts w:ascii="Times New Roman" w:eastAsia="Times New Roman" w:hAnsi="Times New Roman" w:cs="Times New Roman"/>
          <w:lang w:eastAsia="en-US"/>
        </w:rPr>
      </w:pPr>
      <w:r w:rsidRPr="005B147F">
        <w:rPr>
          <w:rFonts w:ascii="Times New Roman" w:eastAsia="Times New Roman" w:hAnsi="Times New Roman" w:cs="Times New Roman"/>
          <w:lang w:eastAsia="en-US"/>
        </w:rPr>
        <w:t>Chamallas recommends a different approach to sex abuse cases, inspired by the Canadian Supreme Court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decision in </w:t>
      </w:r>
      <w:r w:rsidRPr="005B147F">
        <w:rPr>
          <w:rFonts w:ascii="Times New Roman" w:eastAsia="Times New Roman" w:hAnsi="Times New Roman" w:cs="Times New Roman"/>
          <w:i/>
          <w:iCs/>
          <w:lang w:eastAsia="en-US"/>
        </w:rPr>
        <w:t>Bazley v. Curry</w:t>
      </w:r>
      <w:r w:rsidRPr="005B147F">
        <w:rPr>
          <w:rFonts w:ascii="Times New Roman" w:eastAsia="Times New Roman" w:hAnsi="Times New Roman" w:cs="Times New Roman"/>
          <w:lang w:eastAsia="en-US"/>
        </w:rPr>
        <w:t xml:space="preserve">, [1999] 2.S.C.R. 534 (Can. B.C.). In </w:t>
      </w:r>
      <w:r w:rsidRPr="005B147F">
        <w:rPr>
          <w:rFonts w:ascii="Times New Roman" w:eastAsia="Times New Roman" w:hAnsi="Times New Roman" w:cs="Times New Roman"/>
          <w:i/>
          <w:iCs/>
          <w:lang w:eastAsia="en-US"/>
        </w:rPr>
        <w:t>Bazley</w:t>
      </w:r>
      <w:r w:rsidRPr="005B147F">
        <w:rPr>
          <w:rFonts w:ascii="Times New Roman" w:eastAsia="Times New Roman" w:hAnsi="Times New Roman" w:cs="Times New Roman"/>
          <w:lang w:eastAsia="en-US"/>
        </w:rPr>
        <w:t>, the court held liable a non-profit organization—which operated treatment facilities for emotionally disturbed children—for its employee</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abuse of children under its care. The court based its ruling on the finding that the abuse constituted a risk characteristic of the enterprise. And thus, Chamallas proposes the following rule: </w:t>
      </w:r>
      <w:r w:rsidR="00B05F31" w:rsidRPr="005B147F">
        <w:rPr>
          <w:rFonts w:ascii="Times New Roman" w:eastAsia="Times New Roman" w:hAnsi="Times New Roman" w:cs="Times New Roman"/>
          <w:lang w:eastAsia="en-US"/>
        </w:rPr>
        <w:t>“</w:t>
      </w:r>
      <w:r w:rsidR="00F31881" w:rsidRPr="00F94B7E">
        <w:rPr>
          <w:rFonts w:ascii="Times New Roman" w:eastAsia="Times New Roman" w:hAnsi="Times New Roman" w:cs="Times New Roman"/>
          <w:i/>
          <w:lang w:eastAsia="en-US"/>
        </w:rPr>
        <w:t>V</w:t>
      </w:r>
      <w:r w:rsidRPr="00F94B7E">
        <w:rPr>
          <w:rFonts w:ascii="Times New Roman" w:eastAsia="Times New Roman" w:hAnsi="Times New Roman" w:cs="Times New Roman"/>
          <w:i/>
          <w:lang w:eastAsia="en-US"/>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Chamallas, </w:t>
      </w:r>
      <w:r w:rsidRPr="005B147F">
        <w:rPr>
          <w:rFonts w:ascii="Times New Roman" w:eastAsia="Times New Roman" w:hAnsi="Times New Roman" w:cs="Times New Roman"/>
          <w:i/>
          <w:iCs/>
          <w:lang w:eastAsia="en-US"/>
        </w:rPr>
        <w:t>supra</w:t>
      </w:r>
      <w:r w:rsidRPr="005B147F">
        <w:rPr>
          <w:rFonts w:ascii="Times New Roman" w:eastAsia="Times New Roman" w:hAnsi="Times New Roman" w:cs="Times New Roman"/>
          <w:lang w:eastAsia="en-US"/>
        </w:rPr>
        <w:t>, at 187</w:t>
      </w:r>
      <w:r w:rsidR="00F31881">
        <w:rPr>
          <w:rFonts w:ascii="Times New Roman" w:eastAsia="Times New Roman" w:hAnsi="Times New Roman" w:cs="Times New Roman"/>
          <w:lang w:eastAsia="en-US"/>
        </w:rPr>
        <w:t xml:space="preserve"> (emphasis in original)</w:t>
      </w:r>
      <w:r w:rsidRPr="005B147F">
        <w:rPr>
          <w:rFonts w:ascii="Times New Roman" w:eastAsia="Times New Roman" w:hAnsi="Times New Roman" w:cs="Times New Roman"/>
          <w:lang w:eastAsia="en-US"/>
        </w:rPr>
        <w:t xml:space="preserve">. For a counterargument skeptical of the claim that sex cases have been treated differently in the doctrine, see John Goldberg, </w:t>
      </w:r>
      <w:r w:rsidRPr="00F94B7E">
        <w:rPr>
          <w:rFonts w:ascii="Times New Roman" w:eastAsia="Times New Roman,Cambria" w:hAnsi="Times New Roman" w:cs="Times New Roman"/>
          <w:i/>
          <w:iCs/>
          <w:lang w:eastAsia="en-US"/>
        </w:rPr>
        <w:t>When is Sexual Abuse Within the Scope of Employment?</w:t>
      </w:r>
      <w:r w:rsidRPr="005B147F">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J</w:t>
      </w:r>
      <w:r w:rsidR="008473A8" w:rsidRPr="00F94B7E">
        <w:rPr>
          <w:rFonts w:ascii="Times New Roman" w:eastAsia="Times New Roman" w:hAnsi="Times New Roman" w:cs="Times New Roman"/>
          <w:smallCaps/>
          <w:lang w:eastAsia="en-US"/>
        </w:rPr>
        <w:t>otwell</w:t>
      </w:r>
      <w:r w:rsidRPr="00121DBE">
        <w:rPr>
          <w:rFonts w:ascii="Times New Roman" w:eastAsia="Times New Roman" w:hAnsi="Times New Roman" w:cs="Times New Roman"/>
          <w:lang w:eastAsia="en-US"/>
        </w:rPr>
        <w:t xml:space="preserve"> (November 21, 2014), http://torts.jotwell.com/when-is-sexual-abuse-within-the-scope-of-employment/.</w:t>
      </w:r>
    </w:p>
    <w:p w14:paraId="294D0892" w14:textId="77777777" w:rsidR="00C85B70" w:rsidRPr="00482DB1" w:rsidRDefault="00C85B70" w:rsidP="00482DB1">
      <w:pPr>
        <w:widowControl w:val="0"/>
        <w:overflowPunct w:val="0"/>
        <w:autoSpaceDE w:val="0"/>
        <w:autoSpaceDN w:val="0"/>
        <w:adjustRightInd w:val="0"/>
        <w:rPr>
          <w:rFonts w:ascii="Times New Roman" w:eastAsiaTheme="minorHAnsi" w:hAnsi="Times New Roman" w:cs="Times New Roman"/>
          <w:lang w:eastAsia="en-US"/>
        </w:rPr>
      </w:pPr>
    </w:p>
    <w:p w14:paraId="0B4E8117" w14:textId="77777777" w:rsidR="00C85B70" w:rsidRPr="00C85B70" w:rsidRDefault="00C85B70" w:rsidP="00C85B70">
      <w:pPr>
        <w:spacing w:line="264" w:lineRule="auto"/>
        <w:rPr>
          <w:rFonts w:ascii="Times New Roman" w:eastAsia="Times New Roman" w:hAnsi="Times New Roman" w:cs="Times New Roman"/>
          <w:b/>
          <w:i/>
          <w:lang w:eastAsia="en-US"/>
        </w:rPr>
      </w:pPr>
    </w:p>
    <w:p w14:paraId="5DBAFDBC" w14:textId="77777777" w:rsidR="00C85B70" w:rsidRPr="00C85B70" w:rsidRDefault="00C85B70" w:rsidP="00C85B70">
      <w:pPr>
        <w:spacing w:line="264" w:lineRule="auto"/>
        <w:rPr>
          <w:rFonts w:ascii="Times New Roman" w:eastAsia="Times New Roman" w:hAnsi="Times New Roman" w:cs="Times New Roman"/>
          <w:b/>
          <w:i/>
          <w:lang w:eastAsia="en-US"/>
        </w:rPr>
      </w:pPr>
    </w:p>
    <w:p w14:paraId="69A4FFD8" w14:textId="77777777" w:rsidR="00C85B70" w:rsidRPr="00C85B70" w:rsidRDefault="00C85B70" w:rsidP="750671CE">
      <w:pPr>
        <w:pStyle w:val="Heading2"/>
        <w:rPr>
          <w:lang w:eastAsia="en-US"/>
        </w:rPr>
      </w:pPr>
      <w:bookmarkStart w:id="887" w:name="_Toc364636257"/>
      <w:bookmarkStart w:id="888" w:name="_Toc518323514"/>
      <w:r w:rsidRPr="00C85B70">
        <w:rPr>
          <w:lang w:eastAsia="en-US"/>
        </w:rPr>
        <w:t>B.  Abnormally Dangerous Activities</w:t>
      </w:r>
      <w:bookmarkEnd w:id="887"/>
      <w:bookmarkEnd w:id="888"/>
    </w:p>
    <w:p w14:paraId="79F7E68B" w14:textId="77777777" w:rsidR="00C85B70" w:rsidRPr="00C85B70" w:rsidRDefault="00C85B70" w:rsidP="00C85B70">
      <w:pPr>
        <w:spacing w:line="288" w:lineRule="atLeast"/>
        <w:rPr>
          <w:rFonts w:ascii="Times New Roman" w:eastAsia="Times New Roman" w:hAnsi="Times New Roman" w:cs="Times New Roman"/>
          <w:b/>
          <w:u w:val="single"/>
          <w:lang w:eastAsia="en-US"/>
        </w:rPr>
      </w:pPr>
    </w:p>
    <w:p w14:paraId="365463F9" w14:textId="77777777" w:rsidR="00C85B70" w:rsidRPr="00C85B70" w:rsidRDefault="00C85B70" w:rsidP="00C85B70">
      <w:pPr>
        <w:spacing w:line="288" w:lineRule="atLeast"/>
        <w:ind w:firstLine="720"/>
        <w:rPr>
          <w:rFonts w:ascii="Times New Roman" w:eastAsia="Times New Roman" w:hAnsi="Times New Roman" w:cs="Times New Roman"/>
          <w:b/>
          <w:u w:val="single"/>
          <w:lang w:eastAsia="en-US"/>
        </w:rPr>
      </w:pPr>
    </w:p>
    <w:p w14:paraId="402E3A8F" w14:textId="25ACCFFD" w:rsidR="00C85B70" w:rsidRPr="00C85B70" w:rsidRDefault="00C85B70" w:rsidP="750671CE">
      <w:pPr>
        <w:shd w:val="clear" w:color="auto" w:fill="FFFFFF" w:themeFill="background1"/>
        <w:spacing w:line="288" w:lineRule="atLeast"/>
        <w:textAlignment w:val="baseline"/>
        <w:outlineLvl w:val="0"/>
        <w:rPr>
          <w:rFonts w:ascii="Times New Roman" w:eastAsia="Times New Roman" w:hAnsi="Times New Roman" w:cs="Times New Roman"/>
          <w:b/>
          <w:bCs/>
          <w:lang w:eastAsia="en-US"/>
        </w:rPr>
      </w:pPr>
      <w:bookmarkStart w:id="889" w:name="_Toc518323515"/>
      <w:bookmarkStart w:id="890" w:name="_Toc267525096"/>
      <w:r w:rsidRPr="00973246">
        <w:rPr>
          <w:rStyle w:val="Heading3Char"/>
          <w:i/>
        </w:rPr>
        <w:t>Spano v. Perini Corp</w:t>
      </w:r>
      <w:bookmarkEnd w:id="889"/>
      <w:r w:rsidRPr="00973246">
        <w:rPr>
          <w:rFonts w:ascii="Times New Roman,Cambria" w:eastAsia="Times New Roman,Cambria" w:hAnsi="Times New Roman,Cambria" w:cs="Times New Roman,Cambria"/>
          <w:b/>
          <w:bCs/>
          <w:i/>
          <w:lang w:eastAsia="en-US"/>
        </w:rPr>
        <w:t>.</w:t>
      </w:r>
      <w:bookmarkEnd w:id="890"/>
      <w:r w:rsidR="00973246">
        <w:rPr>
          <w:rFonts w:ascii="Times New Roman,Cambria" w:eastAsia="Times New Roman,Cambria" w:hAnsi="Times New Roman,Cambria" w:cs="Times New Roman,Cambria"/>
          <w:b/>
          <w:bCs/>
          <w:lang w:eastAsia="en-US"/>
        </w:rPr>
        <w:t xml:space="preserve">, </w:t>
      </w:r>
      <w:r w:rsidRPr="750671CE">
        <w:rPr>
          <w:rFonts w:ascii="Times New Roman" w:eastAsia="Times New Roman" w:hAnsi="Times New Roman" w:cs="Times New Roman"/>
          <w:b/>
          <w:bCs/>
          <w:lang w:eastAsia="en-US"/>
        </w:rPr>
        <w:t>250 N.E.2d 31 (N.Y. 1969)</w:t>
      </w:r>
    </w:p>
    <w:p w14:paraId="4889548B" w14:textId="77777777" w:rsidR="00C85B70" w:rsidRPr="00C85B70" w:rsidRDefault="00C85B70" w:rsidP="00C85B70">
      <w:pPr>
        <w:widowControl w:val="0"/>
        <w:overflowPunct w:val="0"/>
        <w:autoSpaceDE w:val="0"/>
        <w:autoSpaceDN w:val="0"/>
        <w:adjustRightInd w:val="0"/>
        <w:spacing w:line="288" w:lineRule="atLeast"/>
        <w:ind w:firstLine="720"/>
        <w:rPr>
          <w:rFonts w:ascii="Times New Roman" w:eastAsia="Times New Roman" w:hAnsi="Times New Roman" w:cs="Times New Roman"/>
          <w:lang w:eastAsia="en-US"/>
        </w:rPr>
      </w:pPr>
    </w:p>
    <w:p w14:paraId="7E0919E3" w14:textId="0CEE1FCA" w:rsidR="00FB3872" w:rsidRPr="00F94B7E" w:rsidRDefault="750671CE" w:rsidP="750671CE">
      <w:pPr>
        <w:shd w:val="clear" w:color="auto" w:fill="FFFFFF" w:themeFill="background1"/>
        <w:spacing w:line="288" w:lineRule="atLeast"/>
        <w:textAlignment w:val="baseline"/>
        <w:rPr>
          <w:rFonts w:ascii="Times New Roman" w:eastAsia="Times New Roman,Cambria" w:hAnsi="Times New Roman" w:cs="Times New Roman"/>
          <w:b/>
          <w:bCs/>
          <w:lang w:eastAsia="en-US"/>
        </w:rPr>
      </w:pPr>
      <w:r w:rsidRPr="00F94B7E">
        <w:rPr>
          <w:rFonts w:ascii="Times New Roman" w:eastAsia="Times New Roman,Cambria" w:hAnsi="Times New Roman" w:cs="Times New Roman"/>
          <w:smallCaps/>
          <w:lang w:eastAsia="en-US"/>
        </w:rPr>
        <w:t>Fuld, C.J</w:t>
      </w:r>
      <w:r w:rsidRPr="00F94B7E">
        <w:rPr>
          <w:rFonts w:ascii="Times New Roman" w:eastAsia="Times New Roman,Cambria" w:hAnsi="Times New Roman" w:cs="Times New Roman"/>
          <w:b/>
          <w:bCs/>
          <w:lang w:eastAsia="en-US"/>
        </w:rPr>
        <w:t xml:space="preserve">. </w:t>
      </w:r>
    </w:p>
    <w:p w14:paraId="26462E4D" w14:textId="77777777" w:rsidR="00482DB1" w:rsidRPr="00482DB1" w:rsidRDefault="00482DB1" w:rsidP="00FB3872">
      <w:pPr>
        <w:shd w:val="clear" w:color="auto" w:fill="FFFFFF"/>
        <w:spacing w:line="288" w:lineRule="atLeast"/>
        <w:ind w:firstLine="720"/>
        <w:textAlignment w:val="baseline"/>
        <w:rPr>
          <w:rFonts w:ascii="Times New Roman" w:eastAsia="Times New Roman" w:hAnsi="Times New Roman" w:cs="Times New Roman"/>
          <w:lang w:eastAsia="en-US"/>
        </w:rPr>
      </w:pPr>
    </w:p>
    <w:p w14:paraId="577D351B" w14:textId="2FFF01E4"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750671CE">
        <w:rPr>
          <w:rFonts w:ascii="Times New Roman" w:eastAsia="Times New Roman" w:hAnsi="Times New Roman" w:cs="Times New Roman"/>
          <w:i/>
          <w:iCs/>
          <w:lang w:eastAsia="en-US"/>
        </w:rPr>
        <w:t>Booth v. Rome, Watertown and Ogdensburg Terminal Railroad</w:t>
      </w:r>
      <w:r w:rsidR="008473A8">
        <w:rPr>
          <w:rFonts w:ascii="Times New Roman" w:eastAsia="Times New Roman" w:hAnsi="Times New Roman" w:cs="Times New Roman"/>
          <w:iCs/>
          <w:lang w:eastAsia="en-US"/>
        </w:rPr>
        <w:t>,</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140 N.Y. 267</w:t>
      </w:r>
      <w:r w:rsidR="008473A8">
        <w:rPr>
          <w:rFonts w:ascii="Times New Roman" w:eastAsia="Times New Roman" w:hAnsi="Times New Roman" w:cs="Times New Roman"/>
          <w:lang w:eastAsia="en-US"/>
        </w:rPr>
        <w:t xml:space="preserve"> (1983)</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it has been the law of this State that proof of negligence was required unless the blast was accompanied by an actual physical invasion</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of the damaged property</w:t>
      </w:r>
      <w:r w:rsidR="008473A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 example, by rocks or other material being cast upon the premises. We are now asked to reconsider that rule.</w:t>
      </w:r>
    </w:p>
    <w:p w14:paraId="796B3A20"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1A1DE5B" w14:textId="7777777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plaintiff Spano is the owner of a garage in Brooklyn which was wrecked by a blast occurring on November 27, 1962.</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There was then in that garage, for repairs, an automobile owned by the plaintiff Davis which he also claims was damaged by the blasting. Each of the plaintiffs</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brought suit against the two defendants who, as joint venturers, were engaged in constructing a tunnel in the vicinity pursuant to a contract with the City of New York.</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 xml:space="preserve"> The two cases were tried together, without a jury, in the Civil Court of the City of New York, New York County, and judgments were rendered in favor of the plaintiffs. The judgments were reversed by the Appellate Term and the Appellate Division affirmed that order, granting leave to appeal to this court.</w:t>
      </w:r>
    </w:p>
    <w:p w14:paraId="59DBFEEE"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67CFE14D" w14:textId="64F84BA3"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undisputed that, on the day in question (November 27, 1962), the defendants</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contract with the city. At the close of the plaintiff Spano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case, when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482DB1" w:rsidRDefault="00C85B70" w:rsidP="00482DB1">
      <w:pPr>
        <w:shd w:val="clear" w:color="auto" w:fill="FFFFFF"/>
        <w:tabs>
          <w:tab w:val="left" w:pos="3011"/>
        </w:tabs>
        <w:textAlignment w:val="baseline"/>
        <w:rPr>
          <w:rFonts w:ascii="Times New Roman" w:eastAsia="Times New Roman" w:hAnsi="Times New Roman" w:cs="Times New Roman"/>
          <w:lang w:eastAsia="en-US"/>
        </w:rPr>
      </w:pPr>
    </w:p>
    <w:p w14:paraId="6F3938C3" w14:textId="7777777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appeal, a divided Appellate Term reversed that</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 xml:space="preserve">judgment, declaring that it deemed itself concluded by the established rule in this State requiring proof of negligence. . . . </w:t>
      </w:r>
    </w:p>
    <w:p w14:paraId="0143855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bdr w:val="none" w:sz="0" w:space="0" w:color="auto" w:frame="1"/>
          <w:lang w:eastAsia="en-US"/>
        </w:rPr>
      </w:pPr>
    </w:p>
    <w:p w14:paraId="165FB8EC" w14:textId="3684E495"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xml:space="preserve">In our view, the time has come for this court to make that </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announcement</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 xml:space="preserve"> and declare that</w:t>
      </w:r>
      <w:r w:rsidRPr="750671CE">
        <w:rPr>
          <w:rFonts w:ascii="Times New Roman,Cambria" w:eastAsia="Times New Roman,Cambria" w:hAnsi="Times New Roman,Cambria" w:cs="Times New Roman,Cambria"/>
          <w:b/>
          <w:bCs/>
          <w:i/>
          <w:iCs/>
          <w:bdr w:val="none" w:sz="0" w:space="0" w:color="auto" w:frame="1"/>
          <w:lang w:eastAsia="en-US"/>
        </w:rPr>
        <w:t> </w:t>
      </w:r>
      <w:r w:rsidRPr="00482DB1">
        <w:rPr>
          <w:rFonts w:ascii="Times New Roman" w:eastAsia="Times New Roman" w:hAnsi="Times New Roman" w:cs="Times New Roman"/>
          <w:lang w:eastAsia="en-US"/>
        </w:rPr>
        <w:t>one who engages in blasting must assume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responsibility, and be liable without fault, for any injury he causes to neighboring property.</w:t>
      </w:r>
    </w:p>
    <w:p w14:paraId="7145E670"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1A63E94" w14:textId="36A09D3B"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The concept of absolute liability in blasting cases is hardly a novel one. The overwhelming majority of American jurisdictions have adopted such a rule. </w:t>
      </w:r>
      <w:r w:rsidR="00F3188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See </w:t>
      </w:r>
      <w:r w:rsidRPr="00F94B7E">
        <w:rPr>
          <w:rFonts w:ascii="Times New Roman" w:eastAsia="Times New Roman" w:hAnsi="Times New Roman" w:cs="Times New Roman"/>
          <w:smallCaps/>
          <w:bdr w:val="none" w:sz="0" w:space="0" w:color="auto" w:frame="1"/>
          <w:lang w:eastAsia="en-US"/>
        </w:rPr>
        <w:t>Prosser, Torts</w:t>
      </w:r>
      <w:r w:rsidRPr="00482DB1">
        <w:rPr>
          <w:rFonts w:ascii="Times New Roman" w:eastAsia="Times New Roman" w:hAnsi="Times New Roman" w:cs="Times New Roman"/>
          <w:bdr w:val="none" w:sz="0" w:space="0" w:color="auto" w:frame="1"/>
          <w:lang w:eastAsia="en-US"/>
        </w:rPr>
        <w:t xml:space="preserve"> [2d ed.], § 59, p. 336;</w:t>
      </w:r>
      <w:r w:rsidR="008473A8">
        <w:rPr>
          <w:rFonts w:ascii="Times New Roman,Cambria" w:eastAsia="Times New Roman,Cambria" w:hAnsi="Times New Roman,Cambria" w:cs="Times New Roman,Cambria"/>
          <w:bdr w:val="none" w:sz="0" w:space="0" w:color="auto" w:frame="1"/>
          <w:lang w:eastAsia="en-US"/>
        </w:rPr>
        <w:t xml:space="preserve"> </w:t>
      </w:r>
      <w:r w:rsidRPr="00F94B7E">
        <w:rPr>
          <w:rFonts w:ascii="Times New Roman" w:eastAsia="Times New Roman" w:hAnsi="Times New Roman" w:cs="Times New Roman"/>
          <w:smallCaps/>
          <w:bdr w:val="none" w:sz="0" w:space="0" w:color="auto" w:frame="1"/>
          <w:lang w:eastAsia="en-US"/>
        </w:rPr>
        <w:t>Restatement</w:t>
      </w:r>
      <w:r w:rsidR="008473A8" w:rsidRPr="00F94B7E">
        <w:rPr>
          <w:rFonts w:ascii="Times New Roman" w:eastAsia="Times New Roman" w:hAnsi="Times New Roman" w:cs="Times New Roman"/>
          <w:smallCaps/>
          <w:bdr w:val="none" w:sz="0" w:space="0" w:color="auto" w:frame="1"/>
          <w:lang w:eastAsia="en-US"/>
        </w:rPr>
        <w:t xml:space="preserve"> (Third)</w:t>
      </w:r>
      <w:r w:rsidRPr="00F94B7E">
        <w:rPr>
          <w:rFonts w:ascii="Times New Roman" w:eastAsia="Times New Roman" w:hAnsi="Times New Roman" w:cs="Times New Roman"/>
          <w:smallCaps/>
          <w:bdr w:val="none" w:sz="0" w:space="0" w:color="auto" w:frame="1"/>
          <w:lang w:eastAsia="en-US"/>
        </w:rPr>
        <w:t xml:space="preserve"> Torts</w:t>
      </w:r>
      <w:r w:rsidRPr="00482DB1">
        <w:rPr>
          <w:rFonts w:ascii="Times New Roman" w:eastAsia="Times New Roman" w:hAnsi="Times New Roman" w:cs="Times New Roman"/>
          <w:bdr w:val="none" w:sz="0" w:space="0" w:color="auto" w:frame="1"/>
          <w:lang w:eastAsia="en-US"/>
        </w:rPr>
        <w:t>, §§ 519, 520, comment</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e</w:t>
      </w:r>
      <w:r w:rsidRPr="00482DB1">
        <w:rPr>
          <w:rFonts w:ascii="Times New Roman" w:eastAsia="Times New Roman" w:hAnsi="Times New Roman" w:cs="Times New Roman"/>
          <w:bdr w:val="none" w:sz="0" w:space="0" w:color="auto" w:frame="1"/>
          <w:lang w:eastAsia="en-US"/>
        </w:rPr>
        <w:t>; Ann.)</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Indeed, this court itself, several years ago, noted</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that a change in our law would </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conform to the more widely (indeed almost universally) approved doctrine that a blaster is absolutely liable for any damages he causes, with or without trespass</w:t>
      </w:r>
      <w:r w:rsidR="00D40707">
        <w:rPr>
          <w:rFonts w:ascii="Times New Roman" w:eastAsia="Times New Roman" w:hAnsi="Times New Roman" w:cs="Times New Roman"/>
          <w:bdr w:val="none" w:sz="0" w:space="0" w:color="auto" w:frame="1"/>
          <w:lang w:eastAsia="en-US"/>
        </w:rPr>
        <w:t>.</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w:t>
      </w:r>
    </w:p>
    <w:p w14:paraId="01BB7495"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F74302E" w14:textId="4C569C2E"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We need not rely solely, however, upon out-of-state decisions in order to attain our result.</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In . . .  </w:t>
      </w:r>
      <w:r w:rsidRPr="750671CE">
        <w:rPr>
          <w:rFonts w:ascii="Times New Roman" w:eastAsia="Times New Roman" w:hAnsi="Times New Roman" w:cs="Times New Roman"/>
          <w:i/>
          <w:iCs/>
          <w:bdr w:val="none" w:sz="0" w:space="0" w:color="auto" w:frame="1"/>
          <w:lang w:eastAsia="en-US"/>
        </w:rPr>
        <w:t>Hay v. Cohoes Co.</w:t>
      </w:r>
      <w:r w:rsidRPr="750671CE">
        <w:rPr>
          <w:rFonts w:ascii="Times New Roman" w:eastAsia="Times New Roman" w:hAnsi="Times New Roman" w:cs="Times New Roman"/>
          <w:bdr w:val="none" w:sz="0" w:space="0" w:color="auto" w:frame="1"/>
          <w:lang w:eastAsia="en-US"/>
        </w:rPr>
        <w:t>, 2 N.Y. 159</w:t>
      </w:r>
      <w:r w:rsidRPr="750671CE">
        <w:rPr>
          <w:rFonts w:ascii="Times New Roman" w:eastAsia="Times New Roman" w:hAnsi="Times New Roman" w:cs="Times New Roman"/>
          <w:i/>
          <w:iCs/>
          <w:bdr w:val="none" w:sz="0" w:space="0" w:color="auto" w:frame="1"/>
          <w:lang w:eastAsia="en-US"/>
        </w:rPr>
        <w:t xml:space="preserve"> . . . </w:t>
      </w:r>
      <w:r w:rsidRPr="00482DB1">
        <w:rPr>
          <w:rFonts w:ascii="Times New Roman" w:eastAsia="Times New Roman" w:hAnsi="Times New Roman" w:cs="Times New Roman"/>
          <w:bdr w:val="none" w:sz="0" w:space="0" w:color="auto" w:frame="1"/>
          <w:lang w:eastAsia="en-US"/>
        </w:rPr>
        <w:t>, for example, the defendant was engaged in blasting an excavation for a canal and the force of the blasts caused large quantities of earth and stones to be thrown against the plaintiff</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s house, knocking down his stoop</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and part of his chimney. The court held the defendant</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absolutely</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liable for the damage caused, stating</w:t>
      </w:r>
      <w:r w:rsidRPr="750671CE">
        <w:rPr>
          <w:rFonts w:ascii="Times New Roman,Cambria" w:eastAsia="Times New Roman,Cambria" w:hAnsi="Times New Roman,Cambria" w:cs="Times New Roman,Cambria"/>
          <w:bdr w:val="none" w:sz="0" w:space="0" w:color="auto" w:frame="1"/>
          <w:lang w:eastAsia="en-US"/>
        </w:rPr>
        <w:t xml:space="preserve">: </w:t>
      </w:r>
    </w:p>
    <w:p w14:paraId="77690317"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2A88AE9" w14:textId="4CF35E0A" w:rsidR="00C85B70" w:rsidRPr="00482DB1" w:rsidRDefault="00C85B70" w:rsidP="00F94B7E">
      <w:pPr>
        <w:shd w:val="clear" w:color="auto" w:fill="FFFFFF" w:themeFill="background1"/>
        <w:ind w:left="720" w:right="720"/>
        <w:jc w:val="both"/>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It is an elementary principle in reference to private rights, that every individual is entitled to the undisturbed possession</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and lawful enjoyment of his own property. The mode of enjoyment is necessarily limited by the rights of others</w:t>
      </w:r>
      <w:r w:rsidR="000C075A">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otherwise it might be made destructive of their rights altogether. Hence the maxim</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i/>
          <w:iCs/>
          <w:bdr w:val="none" w:sz="0" w:space="0" w:color="auto" w:frame="1"/>
          <w:lang w:eastAsia="en-US"/>
        </w:rPr>
        <w:t>sic utere tuo, &amp;c</w:t>
      </w:r>
      <w:r w:rsidRPr="00482DB1">
        <w:rPr>
          <w:rFonts w:ascii="Times New Roman" w:eastAsia="Times New Roman" w:hAnsi="Times New Roman" w:cs="Times New Roman"/>
          <w:lang w:eastAsia="en-US"/>
        </w:rPr>
        <w:t>. The defendants had the right to dig the canal. The plaintiff the right to the undisturbed possession of his property.</w:t>
      </w:r>
      <w:r w:rsidRPr="750671CE">
        <w:rPr>
          <w:rFonts w:ascii="Times New Roman,Cambria" w:eastAsia="Times New Roman,Cambria" w:hAnsi="Times New Roman,Cambria" w:cs="Times New Roman,Cambria"/>
          <w:lang w:eastAsia="en-US"/>
        </w:rPr>
        <w:t xml:space="preserve"> </w:t>
      </w:r>
      <w:r w:rsidRPr="00482DB1">
        <w:rPr>
          <w:rFonts w:ascii="Times New Roman" w:eastAsia="Times New Roman" w:hAnsi="Times New Roman" w:cs="Times New Roman"/>
          <w:lang w:eastAsia="en-US"/>
        </w:rPr>
        <w:t>If these rights conflict, the former must yield to the latter, as the more important of the two, since, upon grounds of public policy, it is better that one man should surrender a particular</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a lawful use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175E730E" w14:textId="2F382506" w:rsidR="00C85B70" w:rsidRPr="00482DB1" w:rsidRDefault="00C85B70" w:rsidP="750671CE">
      <w:pPr>
        <w:ind w:firstLine="720"/>
        <w:rPr>
          <w:rFonts w:ascii="Times New Roman" w:eastAsia="Times New Roman" w:hAnsi="Times New Roman" w:cs="Times New Roman"/>
          <w:lang w:eastAsia="en-US"/>
        </w:rPr>
      </w:pPr>
      <w:r w:rsidRPr="00482DB1">
        <w:rPr>
          <w:rFonts w:ascii="Times New Roman" w:eastAsia="Times New Roman" w:hAnsi="Times New Roman" w:cs="Times New Roman"/>
          <w:shd w:val="clear" w:color="auto" w:fill="FFFFFF"/>
          <w:lang w:eastAsia="en-US"/>
        </w:rPr>
        <w:t>Although the court in </w:t>
      </w:r>
      <w:r w:rsidRPr="750671CE">
        <w:rPr>
          <w:rFonts w:ascii="Times New Roman" w:eastAsia="Times New Roman" w:hAnsi="Times New Roman" w:cs="Times New Roman"/>
          <w:i/>
          <w:iCs/>
          <w:bdr w:val="none" w:sz="0" w:space="0" w:color="auto" w:frame="1"/>
          <w:lang w:eastAsia="en-US"/>
        </w:rPr>
        <w:t>Booth</w:t>
      </w:r>
      <w:r w:rsidRPr="00482DB1">
        <w:rPr>
          <w:rFonts w:ascii="Times New Roman" w:eastAsia="Times New Roman" w:hAnsi="Times New Roman" w:cs="Times New Roman"/>
          <w:shd w:val="clear" w:color="auto" w:fill="FFFFFF"/>
          <w:lang w:eastAsia="en-US"/>
        </w:rPr>
        <w:t> drew a distinction between a situation</w:t>
      </w:r>
      <w:r w:rsidR="00832826">
        <w:rPr>
          <w:rFonts w:ascii="Times New Roman" w:eastAsia="Times New Roman" w:hAnsi="Times New Roman" w:cs="Times New Roman"/>
          <w:lang w:eastAsia="en-US"/>
        </w:rPr>
        <w:t>—</w:t>
      </w:r>
      <w:r w:rsidRPr="00482DB1">
        <w:rPr>
          <w:rFonts w:ascii="Times New Roman" w:eastAsia="Times New Roman" w:hAnsi="Times New Roman" w:cs="Times New Roman"/>
          <w:shd w:val="clear" w:color="auto" w:fill="FFFFFF"/>
          <w:lang w:eastAsia="en-US"/>
        </w:rPr>
        <w:t>such as was presented in the </w:t>
      </w:r>
      <w:r w:rsidRPr="750671CE">
        <w:rPr>
          <w:rFonts w:ascii="Times New Roman" w:eastAsia="Times New Roman" w:hAnsi="Times New Roman" w:cs="Times New Roman"/>
          <w:i/>
          <w:iCs/>
          <w:bdr w:val="none" w:sz="0" w:space="0" w:color="auto" w:frame="1"/>
          <w:lang w:eastAsia="en-US"/>
        </w:rPr>
        <w:t>Hay</w:t>
      </w:r>
      <w:r w:rsidRPr="00482DB1">
        <w:rPr>
          <w:rFonts w:ascii="Times New Roman" w:eastAsia="Times New Roman" w:hAnsi="Times New Roman" w:cs="Times New Roman"/>
          <w:shd w:val="clear" w:color="auto" w:fill="FFFFFF"/>
          <w:lang w:eastAsia="en-US"/>
        </w:rPr>
        <w:t> case</w:t>
      </w:r>
      <w:r w:rsidR="000C075A">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 xml:space="preserve">where there was </w:t>
      </w:r>
      <w:r w:rsidR="00B05F3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a physical invasion</w:t>
      </w:r>
      <w:r w:rsidR="00B05F3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 xml:space="preserve"> of, or trespass on, the plaintiff</w:t>
      </w:r>
      <w:r w:rsidR="00B05F3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 xml:space="preserve">s property and one in which the damage was caused by </w:t>
      </w:r>
      <w:r w:rsidR="00B05F3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setting the air in motion, or in some other unexplained way</w:t>
      </w:r>
      <w:r w:rsidR="00B05F3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shd w:val="clear" w:color="auto" w:fill="FFFFFF"/>
          <w:lang w:eastAsia="en-US"/>
        </w:rPr>
        <w:t xml:space="preserve"> </w:t>
      </w:r>
      <w:r w:rsidR="00F31881">
        <w:rPr>
          <w:rFonts w:ascii="Times New Roman" w:eastAsia="Times New Roman" w:hAnsi="Times New Roman" w:cs="Times New Roman"/>
          <w:shd w:val="clear" w:color="auto" w:fill="FFFFFF"/>
          <w:lang w:eastAsia="en-US"/>
        </w:rPr>
        <w:t>(</w:t>
      </w:r>
      <w:r w:rsidRPr="00482DB1">
        <w:rPr>
          <w:rFonts w:ascii="Times New Roman" w:eastAsia="Times New Roman" w:hAnsi="Times New Roman" w:cs="Times New Roman"/>
          <w:lang w:eastAsia="en-US"/>
        </w:rPr>
        <w:t>140 N. Y., at 279, 280</w:t>
      </w:r>
      <w:r w:rsidR="00F31881">
        <w:rPr>
          <w:rFonts w:ascii="Times New Roman" w:eastAsia="Times New Roman" w:hAnsi="Times New Roman" w:cs="Times New Roman"/>
          <w:lang w:eastAsia="en-US"/>
        </w:rPr>
        <w:t>)</w:t>
      </w:r>
      <w:r w:rsidRPr="00482DB1">
        <w:rPr>
          <w:rFonts w:ascii="Times New Roman" w:eastAsia="Times New Roman" w:hAnsi="Times New Roman" w:cs="Times New Roman"/>
          <w:shd w:val="clear" w:color="auto" w:fill="FFFFFF"/>
          <w:lang w:eastAsia="en-US"/>
        </w:rPr>
        <w:t>, it is clear that the court, in the earlier cases, was not concerned with the particular manner by which the damage was caused but by the simple fact that any explosion in a built-up area was likely to cause damage. Thus,</w:t>
      </w:r>
      <w:r w:rsidRPr="00482DB1">
        <w:rPr>
          <w:rFonts w:ascii="Times New Roman" w:eastAsia="Times New Roman" w:hAnsi="Times New Roman" w:cs="Times New Roman"/>
          <w:bdr w:val="none" w:sz="0" w:space="0" w:color="auto" w:frame="1"/>
          <w:lang w:eastAsia="en-US"/>
        </w:rPr>
        <w:t xml:space="preserve"> in </w:t>
      </w:r>
      <w:r w:rsidRPr="750671CE">
        <w:rPr>
          <w:rFonts w:ascii="Times New Roman" w:eastAsia="Times New Roman" w:hAnsi="Times New Roman" w:cs="Times New Roman"/>
          <w:i/>
          <w:iCs/>
          <w:bdr w:val="none" w:sz="0" w:space="0" w:color="auto" w:frame="1"/>
          <w:lang w:eastAsia="en-US"/>
        </w:rPr>
        <w:t>Heeg</w:t>
      </w:r>
      <w:r w:rsidRPr="750671CE">
        <w:rPr>
          <w:rFonts w:ascii="Times New Roman,Cambria" w:eastAsia="Times New Roman,Cambria" w:hAnsi="Times New Roman,Cambria" w:cs="Times New Roman,Cambria"/>
          <w:i/>
          <w:iCs/>
          <w:bdr w:val="none" w:sz="0" w:space="0" w:color="auto" w:frame="1"/>
          <w:lang w:eastAsia="en-US"/>
        </w:rPr>
        <w:t> </w:t>
      </w:r>
      <w:r w:rsidRPr="00482DB1">
        <w:rPr>
          <w:rFonts w:ascii="Times New Roman" w:eastAsia="Times New Roman" w:hAnsi="Times New Roman" w:cs="Times New Roman"/>
          <w:bdr w:val="none" w:sz="0" w:space="0" w:color="auto" w:frame="1"/>
          <w:lang w:eastAsia="en-US"/>
        </w:rPr>
        <w:t>v.</w:t>
      </w:r>
      <w:r w:rsidRPr="750671CE">
        <w:rPr>
          <w:rFonts w:ascii="Times New Roman,Cambria" w:eastAsia="Times New Roman,Cambria" w:hAnsi="Times New Roman,Cambria" w:cs="Times New Roman,Cambria"/>
          <w:i/>
          <w:iCs/>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Licht</w:t>
      </w:r>
      <w:r w:rsidR="000C075A">
        <w:rPr>
          <w:rFonts w:ascii="Times New Roman" w:eastAsia="Times New Roman" w:hAnsi="Times New Roman" w:cs="Times New Roman"/>
          <w:iCs/>
          <w:bdr w:val="none" w:sz="0" w:space="0" w:color="auto" w:frame="1"/>
          <w:lang w:eastAsia="en-US"/>
        </w:rPr>
        <w:t>,</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80 N. Y. 579 . . . , the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court held that there should be absolute liability where the damage was caused by the accidental explosion of stored gunpowder, even in the absence of a physical trespass:</w:t>
      </w:r>
    </w:p>
    <w:p w14:paraId="1D70B0F0" w14:textId="0918F42F" w:rsidR="00C85B70" w:rsidRPr="00482DB1" w:rsidRDefault="00C85B70" w:rsidP="00F94B7E">
      <w:pPr>
        <w:shd w:val="clear" w:color="auto" w:fill="FFFFFF" w:themeFill="background1"/>
        <w:ind w:left="720" w:right="720" w:firstLine="720"/>
        <w:jc w:val="both"/>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br/>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The defendant had erected a building and stored materials therein, which from their character were</w:t>
      </w:r>
      <w:r w:rsidRPr="750671CE">
        <w:rPr>
          <w:rFonts w:ascii="Times New Roman,Cambria" w:eastAsia="Times New Roman,Cambria" w:hAnsi="Times New Roman,Cambria" w:cs="Times New Roman,Cambria"/>
          <w:bdr w:val="none" w:sz="0" w:space="0" w:color="auto" w:frame="1"/>
          <w:lang w:eastAsia="en-US"/>
        </w:rPr>
        <w:t> </w:t>
      </w:r>
      <w:r w:rsidRPr="00F94B7E">
        <w:rPr>
          <w:rFonts w:ascii="Times New Roman" w:eastAsia="Times New Roman" w:hAnsi="Times New Roman" w:cs="Times New Roman"/>
          <w:bCs/>
          <w:bdr w:val="none" w:sz="0" w:space="0" w:color="auto" w:frame="1"/>
          <w:lang w:eastAsia="en-US"/>
        </w:rPr>
        <w:t>liable</w:t>
      </w:r>
      <w:r w:rsidRPr="00482DB1">
        <w:rPr>
          <w:rFonts w:ascii="Times New Roman" w:eastAsia="Times New Roman" w:hAnsi="Times New Roman" w:cs="Times New Roman"/>
          <w:bdr w:val="none" w:sz="0" w:space="0" w:color="auto" w:frame="1"/>
          <w:lang w:eastAsia="en-US"/>
        </w:rPr>
        <w:t xml:space="preserve"> to and actually did explode, causing injury to the plaintiff. The fact that the explosion took place tends to establish that the magazine was dangerous and liable to cause damage to the property of persons residing in the vicinity.</w:t>
      </w:r>
      <w:r w:rsidRPr="750671CE">
        <w:rPr>
          <w:rFonts w:ascii="Times New Roman,Cambria" w:eastAsia="Times New Roman,Cambria" w:hAnsi="Times New Roman,Cambria" w:cs="Times New Roman,Cambria"/>
          <w:bdr w:val="none" w:sz="0" w:space="0" w:color="auto" w:frame="1"/>
          <w:lang w:eastAsia="en-US"/>
        </w:rPr>
        <w:t> </w:t>
      </w:r>
      <w:r w:rsidR="000C075A">
        <w:rPr>
          <w:rFonts w:ascii="Times New Roman" w:eastAsia="Times New Roman" w:hAnsi="Times New Roman" w:cs="Times New Roman"/>
          <w:lang w:eastAsia="en-US"/>
        </w:rPr>
        <w:t>. . .</w:t>
      </w:r>
      <w:r w:rsidRPr="00482DB1">
        <w:rPr>
          <w:rFonts w:ascii="Times New Roman" w:eastAsia="Times New Roman" w:hAnsi="Times New Roman" w:cs="Times New Roman"/>
          <w:lang w:eastAsia="en-US"/>
        </w:rPr>
        <w:t xml:space="preserve"> The fact that the magazine was liable to such a contingency, which could not be guarded against or averted by the greatest degree of care and vigilance, evinces its dangerous character, </w:t>
      </w:r>
      <w:r w:rsidR="000C075A">
        <w:rPr>
          <w:rFonts w:ascii="Times New Roman" w:eastAsia="Times New Roman" w:hAnsi="Times New Roman" w:cs="Times New Roman"/>
          <w:lang w:eastAsia="en-US"/>
        </w:rPr>
        <w:t>. . .</w:t>
      </w:r>
      <w:r w:rsidRPr="00482DB1">
        <w:rPr>
          <w:rFonts w:ascii="Times New Roman" w:eastAsia="Times New Roman" w:hAnsi="Times New Roman" w:cs="Times New Roman"/>
          <w:lang w:eastAsia="en-US"/>
        </w:rPr>
        <w:t xml:space="preserve"> In such a case, the rule which exonerates a party engaged in a lawful business, when free from negligence, has no application.</w:t>
      </w:r>
      <w:r w:rsidR="00B05F31">
        <w:rPr>
          <w:rFonts w:ascii="Times New Roman" w:eastAsia="Times New Roman" w:hAnsi="Times New Roman" w:cs="Times New Roman"/>
          <w:lang w:eastAsia="en-US"/>
        </w:rPr>
        <w:t>”</w:t>
      </w:r>
    </w:p>
    <w:p w14:paraId="07409A4B" w14:textId="77777777" w:rsidR="00C85B70" w:rsidRPr="00482DB1" w:rsidRDefault="00C85B70" w:rsidP="005468ED">
      <w:pPr>
        <w:shd w:val="clear" w:color="auto" w:fill="FFFFFF"/>
        <w:textAlignment w:val="baseline"/>
        <w:rPr>
          <w:rFonts w:ascii="Times New Roman" w:eastAsia="Times New Roman" w:hAnsi="Times New Roman" w:cs="Times New Roman"/>
          <w:lang w:eastAsia="en-US"/>
        </w:rPr>
      </w:pPr>
    </w:p>
    <w:p w14:paraId="49336CE6" w14:textId="2974EB79" w:rsidR="00C85B70" w:rsidRPr="00482DB1" w:rsidRDefault="00C85B70" w:rsidP="00F94B7E">
      <w:pPr>
        <w:shd w:val="clear" w:color="auto" w:fill="FFFFFF" w:themeFill="background1"/>
        <w:spacing w:after="100" w:afterAutospacing="1"/>
        <w:ind w:firstLine="720"/>
        <w:textAlignment w:val="baseline"/>
        <w:rPr>
          <w:rFonts w:ascii="Times New Roman" w:eastAsia="Times New Roman" w:hAnsi="Times New Roman" w:cs="Times New Roman"/>
          <w:lang w:eastAsia="en-US"/>
        </w:rPr>
      </w:pPr>
      <w:r w:rsidRPr="00F94B7E">
        <w:rPr>
          <w:rFonts w:ascii="Times New Roman" w:eastAsia="Times New Roman,Cambria" w:hAnsi="Times New Roman" w:cs="Times New Roman"/>
          <w:bdr w:val="none" w:sz="0" w:space="0" w:color="auto" w:frame="1"/>
          <w:lang w:eastAsia="en-US"/>
        </w:rPr>
        <w:t>Such reasoning should, we venture, have led to the conclusion that the</w:t>
      </w:r>
      <w:r w:rsidRPr="00F31881">
        <w:rPr>
          <w:rFonts w:ascii="Times New Roman" w:eastAsia="Times New Roman" w:hAnsi="Times New Roman" w:cs="Times New Roman"/>
          <w:bdr w:val="none" w:sz="0" w:space="0" w:color="auto" w:frame="1"/>
          <w:lang w:eastAsia="en-US"/>
        </w:rPr>
        <w:t> </w:t>
      </w:r>
      <w:r w:rsidRPr="00F94B7E">
        <w:rPr>
          <w:rFonts w:ascii="Times New Roman" w:eastAsia="Times New Roman,ＭＳ ゴシック" w:hAnsi="Times New Roman" w:cs="Times New Roman"/>
          <w:i/>
          <w:iCs/>
          <w:bdr w:val="none" w:sz="0" w:space="0" w:color="auto" w:frame="1"/>
          <w:lang w:eastAsia="en-US"/>
        </w:rPr>
        <w:t>intentional</w:t>
      </w:r>
      <w:r w:rsidRPr="00F31881">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setting off of explosives</w:t>
      </w:r>
      <w:r w:rsidR="000C075A"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that is, blasting</w:t>
      </w:r>
      <w:r w:rsidR="000C075A"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in an area in which it was likely to cause harm to neighboring property similarly results in absolute liability. However, the court in the</w:t>
      </w:r>
      <w:r w:rsidRPr="00F31881">
        <w:rPr>
          <w:rFonts w:ascii="Times New Roman" w:eastAsia="Times New Roman" w:hAnsi="Times New Roman" w:cs="Times New Roman"/>
          <w:bdr w:val="none" w:sz="0" w:space="0" w:color="auto" w:frame="1"/>
          <w:lang w:eastAsia="en-US"/>
        </w:rPr>
        <w:t> </w:t>
      </w:r>
      <w:r w:rsidRPr="00F94B7E">
        <w:rPr>
          <w:rFonts w:ascii="Times New Roman" w:eastAsia="Times New Roman,ＭＳ ゴシック" w:hAnsi="Times New Roman" w:cs="Times New Roman"/>
          <w:i/>
          <w:iCs/>
          <w:bdr w:val="none" w:sz="0" w:space="0" w:color="auto" w:frame="1"/>
          <w:lang w:eastAsia="en-US"/>
        </w:rPr>
        <w:t xml:space="preserve">Booth </w:t>
      </w:r>
      <w:r w:rsidRPr="00F94B7E">
        <w:rPr>
          <w:rFonts w:ascii="Times New Roman" w:eastAsia="Times New Roman,Cambria" w:hAnsi="Times New Roman" w:cs="Times New Roman"/>
          <w:bdr w:val="none" w:sz="0" w:space="0" w:color="auto" w:frame="1"/>
          <w:lang w:eastAsia="en-US"/>
        </w:rPr>
        <w:t>case rejected such an extension of the rule for</w:t>
      </w:r>
      <w:r w:rsidRPr="00F31881">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 xml:space="preserve">the reason that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[to] exclude the defendant from blasting to adapt</w:t>
      </w:r>
      <w:r w:rsidRPr="00F31881">
        <w:rPr>
          <w:rFonts w:ascii="Times New Roman" w:eastAsia="Times New Roman" w:hAnsi="Times New Roman" w:cs="Times New Roman"/>
          <w:bdr w:val="none" w:sz="0" w:space="0" w:color="auto" w:frame="1"/>
          <w:lang w:eastAsia="en-US"/>
        </w:rPr>
        <w:t> </w:t>
      </w:r>
      <w:r w:rsidRPr="00F94B7E">
        <w:rPr>
          <w:rFonts w:ascii="Times New Roman" w:eastAsia="Times New Roman,Cambria" w:hAnsi="Times New Roman" w:cs="Times New Roman"/>
          <w:bdr w:val="none" w:sz="0" w:space="0" w:color="auto" w:frame="1"/>
          <w:lang w:eastAsia="en-US"/>
        </w:rPr>
        <w:t>its lot to the contemplated uses, at the instance of the plaintiff, would not be a compromise between conflicting rights, but an extinguishment of the right of the one for the benefit of the other</w:t>
      </w:r>
      <w:r w:rsidR="000C075A" w:rsidRPr="00F94B7E">
        <w:rPr>
          <w:rFonts w:ascii="Times New Roman" w:eastAsia="Times New Roman,Cambria" w:hAnsi="Times New Roman" w:cs="Times New Roman"/>
          <w:bdr w:val="none" w:sz="0" w:space="0" w:color="auto" w:frame="1"/>
          <w:lang w:eastAsia="en-US"/>
        </w:rPr>
        <w:t>.</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 xml:space="preserve"> </w:t>
      </w:r>
      <w:r w:rsidRPr="00F31881">
        <w:rPr>
          <w:rFonts w:ascii="Times New Roman" w:eastAsia="Times New Roman" w:hAnsi="Times New Roman" w:cs="Times New Roman"/>
          <w:lang w:eastAsia="en-US"/>
        </w:rPr>
        <w:t>140 N. Y., at 281</w:t>
      </w:r>
      <w:r w:rsidRPr="00F94B7E">
        <w:rPr>
          <w:rFonts w:ascii="Times New Roman" w:eastAsia="Times New Roman,Cambria" w:hAnsi="Times New Roman" w:cs="Times New Roman"/>
          <w:bdr w:val="none" w:sz="0" w:space="0" w:color="auto" w:frame="1"/>
          <w:lang w:eastAsia="en-US"/>
        </w:rPr>
        <w:t xml:space="preserve">. The court expanded on this by stating, </w:t>
      </w:r>
      <w:r w:rsidR="00B05F31" w:rsidRPr="00F94B7E">
        <w:rPr>
          <w:rFonts w:ascii="Times New Roman" w:eastAsia="Times New Roman,Cambria" w:hAnsi="Times New Roman" w:cs="Times New Roman"/>
          <w:bdr w:val="none" w:sz="0" w:space="0" w:color="auto" w:frame="1"/>
          <w:lang w:eastAsia="en-US"/>
        </w:rPr>
        <w:t>“</w:t>
      </w:r>
      <w:r w:rsidRPr="00F94B7E">
        <w:rPr>
          <w:rFonts w:ascii="Times New Roman" w:eastAsia="Times New Roman,Cambria" w:hAnsi="Times New Roman" w:cs="Times New Roman"/>
          <w:bdr w:val="none" w:sz="0" w:space="0" w:color="auto" w:frame="1"/>
          <w:lang w:eastAsia="en-US"/>
        </w:rPr>
        <w:t>This sacrifice, we think, the law does not exact. Public policy is promoted by the building up of towns and cities and the improvement of property.</w:t>
      </w:r>
      <w:r w:rsidRPr="00F31881">
        <w:rPr>
          <w:rFonts w:ascii="Times New Roman" w:eastAsia="Times New Roman" w:hAnsi="Times New Roman" w:cs="Times New Roman"/>
          <w:bdr w:val="none" w:sz="0" w:space="0" w:color="auto" w:frame="1"/>
          <w:lang w:eastAsia="en-US"/>
        </w:rPr>
        <w:t> </w:t>
      </w:r>
      <w:r w:rsidRPr="00F31881">
        <w:rPr>
          <w:rFonts w:ascii="Times New Roman" w:eastAsia="Times New Roman" w:hAnsi="Times New Roman" w:cs="Times New Roman"/>
          <w:lang w:eastAsia="en-US"/>
        </w:rPr>
        <w:t>Any unnecessary restraint on freedom of action of a property owner hinders this.</w:t>
      </w:r>
      <w:r w:rsidR="00B05F31" w:rsidRPr="009D502A">
        <w:rPr>
          <w:rFonts w:ascii="Times New Roman" w:eastAsia="Times New Roman" w:hAnsi="Times New Roman" w:cs="Times New Roman"/>
          <w:lang w:eastAsia="en-US"/>
        </w:rPr>
        <w:t>”</w:t>
      </w:r>
    </w:p>
    <w:p w14:paraId="0368C4A5" w14:textId="1AF26AF6" w:rsidR="00C85B70" w:rsidRPr="00482DB1" w:rsidRDefault="00C85B70" w:rsidP="00F94B7E">
      <w:pPr>
        <w:shd w:val="clear" w:color="auto" w:fill="FFFFFF" w:themeFill="background1"/>
        <w:spacing w:before="100" w:beforeAutospacing="1" w:after="100" w:afterAutospacing="1"/>
        <w:ind w:firstLine="720"/>
        <w:textAlignment w:val="baseline"/>
        <w:rPr>
          <w:rFonts w:ascii="Times New Roman" w:eastAsia="Times New Roman" w:hAnsi="Times New Roman" w:cs="Times New Roman"/>
          <w:bdr w:val="none" w:sz="0" w:space="0" w:color="auto" w:frame="1"/>
          <w:lang w:eastAsia="en-US"/>
        </w:rPr>
      </w:pPr>
      <w:r w:rsidRPr="00482DB1">
        <w:rPr>
          <w:rFonts w:ascii="Times New Roman" w:eastAsia="Times New Roman" w:hAnsi="Times New Roman" w:cs="Times New Roman"/>
          <w:lang w:eastAsia="en-US"/>
        </w:rPr>
        <w:t>This rationale cannot withstand analysis. The plaintiff in </w:t>
      </w:r>
      <w:r w:rsidRPr="750671CE">
        <w:rPr>
          <w:rFonts w:ascii="Times New Roman,ＭＳ ゴシック" w:eastAsia="Times New Roman,ＭＳ ゴシック" w:hAnsi="Times New Roman,ＭＳ ゴシック" w:cs="Times New Roman,ＭＳ ゴシック"/>
          <w:i/>
          <w:iCs/>
          <w:bdr w:val="none" w:sz="0" w:space="0" w:color="auto" w:frame="1"/>
          <w:lang w:eastAsia="en-US"/>
        </w:rPr>
        <w:t>Booth</w:t>
      </w:r>
      <w:r w:rsidRPr="00482DB1">
        <w:rPr>
          <w:rFonts w:ascii="Times New Roman" w:eastAsia="Times New Roman" w:hAnsi="Times New Roman" w:cs="Times New Roman"/>
          <w:lang w:eastAsia="en-US"/>
        </w:rPr>
        <w:t xml:space="preserve"> was not seeking, as the court implied, to </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exclude the defendant from blasting</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 xml:space="preserve"> and thus prevent desirable improvements to the latter</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property. Rather, he was merely seeking compensation for the damage which was inflicted upon his own property as a result of that blasting. The question, in other words, was not </w:t>
      </w:r>
      <w:r w:rsidRPr="750671CE">
        <w:rPr>
          <w:rFonts w:ascii="Times New Roman,ＭＳ ゴシック" w:eastAsia="Times New Roman,ＭＳ ゴシック" w:hAnsi="Times New Roman,ＭＳ ゴシック" w:cs="Times New Roman,ＭＳ ゴシック"/>
          <w:i/>
          <w:iCs/>
          <w:bdr w:val="none" w:sz="0" w:space="0" w:color="auto" w:frame="1"/>
          <w:lang w:eastAsia="en-US"/>
        </w:rPr>
        <w:t>whether</w:t>
      </w:r>
      <w:r w:rsidRPr="00482DB1">
        <w:rPr>
          <w:rFonts w:ascii="Times New Roman" w:eastAsia="Times New Roman" w:hAnsi="Times New Roman" w:cs="Times New Roman"/>
          <w:lang w:eastAsia="en-US"/>
        </w:rPr>
        <w:t> it was lawful or proper to engage in blasting but </w:t>
      </w:r>
      <w:r w:rsidRPr="750671CE">
        <w:rPr>
          <w:rFonts w:ascii="Times New Roman,ＭＳ ゴシック" w:eastAsia="Times New Roman,ＭＳ ゴシック" w:hAnsi="Times New Roman,ＭＳ ゴシック" w:cs="Times New Roman,ＭＳ ゴシック"/>
          <w:i/>
          <w:iCs/>
          <w:bdr w:val="none" w:sz="0" w:space="0" w:color="auto" w:frame="1"/>
          <w:lang w:eastAsia="en-US"/>
        </w:rPr>
        <w:t>who</w:t>
      </w:r>
      <w:r w:rsidRPr="00482DB1">
        <w:rPr>
          <w:rFonts w:ascii="Times New Roman" w:eastAsia="Times New Roman" w:hAnsi="Times New Roman" w:cs="Times New Roman"/>
          <w:lang w:eastAsia="en-US"/>
        </w:rPr>
        <w:t> should bear the cost of any resulting damage</w:t>
      </w:r>
      <w:r w:rsidR="00832826">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the person who engaged in the dangerous activity or the innocent neighbor injured thereby. Viewed in such a light, it clearly appears that </w:t>
      </w:r>
      <w:r w:rsidRPr="750671CE">
        <w:rPr>
          <w:rFonts w:ascii="Times New Roman,ＭＳ ゴシック" w:eastAsia="Times New Roman,ＭＳ ゴシック" w:hAnsi="Times New Roman,ＭＳ ゴシック" w:cs="Times New Roman,ＭＳ ゴシック"/>
          <w:i/>
          <w:iCs/>
          <w:bdr w:val="none" w:sz="0" w:space="0" w:color="auto" w:frame="1"/>
          <w:lang w:eastAsia="en-US"/>
        </w:rPr>
        <w:t>Booth</w:t>
      </w:r>
      <w:r w:rsidRPr="00482DB1">
        <w:rPr>
          <w:rFonts w:ascii="Times New Roman" w:eastAsia="Times New Roman" w:hAnsi="Times New Roman" w:cs="Times New Roman"/>
          <w:lang w:eastAsia="en-US"/>
        </w:rPr>
        <w:t> was wrongly decided and should be forthrightly overruled.</w:t>
      </w:r>
    </w:p>
    <w:p w14:paraId="654CADDA" w14:textId="237B7D5E" w:rsidR="00C85B70" w:rsidRPr="00482DB1" w:rsidRDefault="00C85B70" w:rsidP="750671CE">
      <w:pPr>
        <w:ind w:firstLine="720"/>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In more recent cases, our court </w:t>
      </w:r>
      <w:r w:rsidRPr="00482DB1">
        <w:rPr>
          <w:rFonts w:ascii="Times New Roman" w:eastAsia="Times New Roman" w:hAnsi="Times New Roman" w:cs="Times New Roman"/>
          <w:shd w:val="clear" w:color="auto" w:fill="FFFFFF"/>
          <w:lang w:eastAsia="en-US"/>
        </w:rPr>
        <w:t>has already gone far toward mitigating the harsh effect of the rule laid down in the </w:t>
      </w:r>
      <w:r w:rsidRPr="750671CE">
        <w:rPr>
          <w:rFonts w:ascii="Times New Roman" w:eastAsia="Times New Roman" w:hAnsi="Times New Roman" w:cs="Times New Roman"/>
          <w:i/>
          <w:iCs/>
          <w:bdr w:val="none" w:sz="0" w:space="0" w:color="auto" w:frame="1"/>
          <w:shd w:val="clear" w:color="auto" w:fill="FFFFFF"/>
          <w:lang w:eastAsia="en-US"/>
        </w:rPr>
        <w:t>Booth</w:t>
      </w:r>
      <w:r w:rsidRPr="00482DB1">
        <w:rPr>
          <w:rFonts w:ascii="Times New Roman" w:eastAsia="Times New Roman" w:hAnsi="Times New Roman" w:cs="Times New Roman"/>
          <w:shd w:val="clear" w:color="auto" w:fill="FFFFFF"/>
          <w:lang w:eastAsia="en-US"/>
        </w:rPr>
        <w:t xml:space="preserve"> case. Thus, we have </w:t>
      </w:r>
      <w:r w:rsidRPr="00482DB1">
        <w:rPr>
          <w:rFonts w:ascii="Times New Roman" w:eastAsia="Times New Roman" w:hAnsi="Times New Roman" w:cs="Times New Roman"/>
          <w:bdr w:val="none" w:sz="0" w:space="0" w:color="auto" w:frame="1"/>
          <w:lang w:eastAsia="en-US"/>
        </w:rPr>
        <w:t>held that negligence can properly be</w:t>
      </w:r>
      <w:r w:rsidRPr="00482DB1">
        <w:rPr>
          <w:rFonts w:ascii="Times New Roman" w:eastAsia="Times New Roman" w:hAnsi="Times New Roman" w:cs="Times New Roman"/>
          <w:b/>
          <w:bCs/>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inferred from the mere fact that a blast has caused extensive damage, even where the plaintiff is unable to show </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the method of blasting or the strength of the charges or the character of the soil or rock.</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 . . But, even under this liberal interpretation . . . , it would still remain possible for a defendant who engages in blasting operations</w:t>
      </w:r>
      <w:r w:rsidR="007F3696">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which he realizes are likely to cause injury</w:t>
      </w:r>
      <w:r w:rsidR="007F3696">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79A8F2BC" w14:textId="538540A3"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 . . The principle thrust of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argument is directed not to the requisite standard of care to be used but, rather, to . . . the proof adduced on the issue of causation.</w:t>
      </w:r>
      <w:r w:rsidRPr="750671CE">
        <w:rPr>
          <w:rFonts w:ascii="Times New Roman,Cambria" w:eastAsia="Times New Roman,Cambria" w:hAnsi="Times New Roman,Cambria" w:cs="Times New Roman,Cambria"/>
          <w:lang w:eastAsia="en-US"/>
        </w:rPr>
        <w:t> </w:t>
      </w:r>
    </w:p>
    <w:p w14:paraId="6174FC59"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6001CB74" w14:textId="423F56C1"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 . . Although the evidence adduced by the plaintiffs on th[e] question [of causation] was entirely circumstantial, it may not be said that it was insufficient as a matter of law. The plaintiffs</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 xml:space="preserve"> principal</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witness was a contractor who had leased a portion of the premises from Spano.</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bdr w:val="none" w:sz="0" w:space="0" w:color="auto" w:frame="1"/>
          <w:lang w:eastAsia="en-US"/>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was cracked in the wall </w:t>
      </w:r>
      <w:r w:rsidR="007F3696">
        <w:rPr>
          <w:rFonts w:ascii="Times New Roman" w:eastAsia="Times New Roman" w:hAnsi="Times New Roman" w:cs="Times New Roman"/>
          <w:bdr w:val="none" w:sz="0" w:space="0" w:color="auto" w:frame="1"/>
          <w:lang w:eastAsia="en-US"/>
        </w:rPr>
        <w:t xml:space="preserve">. . . </w:t>
      </w:r>
      <w:r w:rsidRPr="00482DB1">
        <w:rPr>
          <w:rFonts w:ascii="Times New Roman" w:eastAsia="Times New Roman" w:hAnsi="Times New Roman" w:cs="Times New Roman"/>
          <w:bdr w:val="none" w:sz="0" w:space="0" w:color="auto" w:frame="1"/>
          <w:lang w:eastAsia="en-US"/>
        </w:rPr>
        <w:t>the window broke, and the cement floor all pop up.</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In addition,</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an insurance adjuster, an expert with wide experience in handling explosion claims, who inspected the damage to Davis</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s car, testified that the damage was evidently </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caused by a concussion of one form or another.</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The defendants</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expert attributed the damage to another cause</w:t>
      </w:r>
      <w:r w:rsidR="00832826">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poor maintenance and building deterioration</w:t>
      </w:r>
      <w:r w:rsidR="007F3696">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to consider the question whether, in fact, the blasting caused the damage. That being so, we must remit the case to the Appellate Division so that it may pass upon the weight of the evidence. . . . </w:t>
      </w:r>
    </w:p>
    <w:p w14:paraId="3FE71B4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00E291E" w14:textId="7777777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order appealed from should be reversed, with costs, and the matter remitted to the Appellate Division for further proceedings in accordance with</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this opinion.</w:t>
      </w:r>
    </w:p>
    <w:p w14:paraId="5A4C31D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82041E5" w14:textId="77777777" w:rsidR="00C85B70" w:rsidRPr="00482DB1" w:rsidRDefault="750671CE" w:rsidP="750671CE">
      <w:pPr>
        <w:shd w:val="clear" w:color="auto" w:fill="FFFFFF" w:themeFill="background1"/>
        <w:spacing w:before="100" w:beforeAutospacing="1" w:after="100" w:afterAutospacing="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Order reversed. . . .</w:t>
      </w:r>
    </w:p>
    <w:p w14:paraId="488CCAA7"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b/>
          <w:lang w:eastAsia="en-US"/>
        </w:rPr>
      </w:pPr>
    </w:p>
    <w:p w14:paraId="5C47480D" w14:textId="77777777" w:rsidR="00C85B70" w:rsidRPr="00C85B70" w:rsidRDefault="00C85B70" w:rsidP="002502CC">
      <w:pPr>
        <w:pStyle w:val="Heading4"/>
      </w:pPr>
      <w:bookmarkStart w:id="891" w:name="_Toc267525097"/>
      <w:bookmarkStart w:id="892" w:name="_Toc364636258"/>
      <w:bookmarkStart w:id="893" w:name="_Toc518323516"/>
      <w:r w:rsidRPr="00C85B70">
        <w:t>Notes</w:t>
      </w:r>
      <w:bookmarkEnd w:id="891"/>
      <w:bookmarkEnd w:id="892"/>
      <w:bookmarkEnd w:id="893"/>
    </w:p>
    <w:p w14:paraId="35A3FD54" w14:textId="29017BB6" w:rsidR="00C85B70" w:rsidRDefault="00C85B70" w:rsidP="00C85B70">
      <w:pPr>
        <w:shd w:val="clear" w:color="auto" w:fill="FFFFFF"/>
        <w:tabs>
          <w:tab w:val="left" w:pos="931"/>
        </w:tabs>
        <w:spacing w:line="288" w:lineRule="atLeast"/>
        <w:textAlignment w:val="baseline"/>
        <w:rPr>
          <w:rFonts w:ascii="Times New Roman" w:eastAsiaTheme="minorHAnsi" w:hAnsi="Times New Roman" w:cs="Times New Roman"/>
          <w:b/>
          <w:lang w:eastAsia="en-US"/>
        </w:rPr>
      </w:pPr>
    </w:p>
    <w:p w14:paraId="4E03B709" w14:textId="77777777" w:rsidR="005468ED" w:rsidRPr="00C85B70" w:rsidRDefault="005468ED" w:rsidP="00C85B70">
      <w:pPr>
        <w:shd w:val="clear" w:color="auto" w:fill="FFFFFF"/>
        <w:tabs>
          <w:tab w:val="left" w:pos="931"/>
        </w:tabs>
        <w:spacing w:line="288" w:lineRule="atLeast"/>
        <w:textAlignment w:val="baseline"/>
        <w:rPr>
          <w:rFonts w:ascii="Times New Roman" w:eastAsiaTheme="minorHAnsi" w:hAnsi="Times New Roman" w:cs="Times New Roman"/>
          <w:b/>
          <w:lang w:eastAsia="en-US"/>
        </w:rPr>
      </w:pPr>
    </w:p>
    <w:p w14:paraId="6F3A5ADA" w14:textId="1D02773F" w:rsidR="00C85B70" w:rsidRPr="00F94B7E" w:rsidRDefault="750671CE" w:rsidP="00F94B7E">
      <w:pPr>
        <w:pStyle w:val="ListParagraph"/>
        <w:numPr>
          <w:ilvl w:val="0"/>
          <w:numId w:val="32"/>
        </w:numPr>
        <w:shd w:val="clear" w:color="auto" w:fill="FFFFFF" w:themeFill="background1"/>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What is an abnormally dangerous activity?</w:t>
      </w:r>
      <w:r w:rsidRPr="00F94B7E">
        <w:rPr>
          <w:rFonts w:ascii="Times New Roman" w:eastAsia="Times New Roman" w:hAnsi="Times New Roman" w:cs="Times New Roman"/>
          <w:lang w:eastAsia="en-US"/>
        </w:rPr>
        <w:t xml:space="preserve"> As the </w:t>
      </w:r>
      <w:r w:rsidRPr="00F94B7E">
        <w:rPr>
          <w:rFonts w:ascii="Times New Roman" w:eastAsia="Times New Roman" w:hAnsi="Times New Roman" w:cs="Times New Roman"/>
          <w:i/>
          <w:iCs/>
          <w:lang w:eastAsia="en-US"/>
        </w:rPr>
        <w:t>Spano</w:t>
      </w:r>
      <w:r w:rsidRPr="00F94B7E">
        <w:rPr>
          <w:rFonts w:ascii="Times New Roman" w:eastAsia="Times New Roman" w:hAnsi="Times New Roman" w:cs="Times New Roman"/>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high-energy activities.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Dan B. Dobbs</w:t>
      </w:r>
      <w:r w:rsidR="00F31881">
        <w:rPr>
          <w:rFonts w:ascii="Times New Roman" w:eastAsia="Times New Roman" w:hAnsi="Times New Roman" w:cs="Times New Roman"/>
          <w:smallCaps/>
          <w:lang w:eastAsia="en-US"/>
        </w:rPr>
        <w:t>, Paul T. Hayden &amp; Ellen M.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w:t>
      </w:r>
      <w:r w:rsidRPr="00F94B7E">
        <w:rPr>
          <w:rFonts w:ascii="Times New Roman" w:eastAsia="Times New Roman" w:hAnsi="Times New Roman" w:cs="Times New Roman"/>
          <w:lang w:eastAsia="en-US"/>
        </w:rPr>
        <w:t xml:space="preserve">s § 443 (2d ed. 2014). Courts have ruled that the category encompasses gasoline explosions, </w:t>
      </w:r>
      <w:r w:rsidRPr="00F94B7E">
        <w:rPr>
          <w:rFonts w:ascii="Times New Roman" w:eastAsia="Times New Roman" w:hAnsi="Times New Roman" w:cs="Times New Roman"/>
          <w:i/>
          <w:iCs/>
          <w:lang w:eastAsia="en-US"/>
        </w:rPr>
        <w:t>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Steel Serv. Ctr, Inc. v. Gibbons</w:t>
      </w:r>
      <w:r w:rsidRPr="00F94B7E">
        <w:rPr>
          <w:rFonts w:ascii="Times New Roman" w:eastAsia="Times New Roman" w:hAnsi="Times New Roman" w:cs="Times New Roman"/>
          <w:lang w:eastAsia="en-US"/>
        </w:rPr>
        <w:t xml:space="preserve">, 319 N.W.2d 269 (Iowa 1982), and fireworks injuries, </w:t>
      </w:r>
      <w:r w:rsidRPr="00F94B7E">
        <w:rPr>
          <w:rFonts w:ascii="Times New Roman" w:eastAsia="Times New Roman" w:hAnsi="Times New Roman" w:cs="Times New Roman"/>
          <w:i/>
          <w:iCs/>
          <w:lang w:eastAsia="en-US"/>
        </w:rPr>
        <w:t>Klein v. Pyrodyne Corp.</w:t>
      </w:r>
      <w:r w:rsidRPr="00F94B7E">
        <w:rPr>
          <w:rFonts w:ascii="Times New Roman" w:eastAsia="Times New Roman" w:hAnsi="Times New Roman" w:cs="Times New Roman"/>
          <w:lang w:eastAsia="en-US"/>
        </w:rPr>
        <w:t xml:space="preserve">, 810 P.2d 917 (Wash. 1991). Courts, however, do not consider gasoline and related fuels to be abnormally dangerous when they are stored, </w:t>
      </w:r>
      <w:r w:rsidRPr="00F94B7E">
        <w:rPr>
          <w:rFonts w:ascii="Times New Roman" w:eastAsia="Times New Roman" w:hAnsi="Times New Roman" w:cs="Times New Roman"/>
          <w:i/>
          <w:iCs/>
          <w:lang w:eastAsia="en-US"/>
        </w:rPr>
        <w:t>McLane v. Nw. Nat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l Gas Co.</w:t>
      </w:r>
      <w:r w:rsidRPr="00F94B7E">
        <w:rPr>
          <w:rFonts w:ascii="Times New Roman" w:eastAsia="Times New Roman" w:hAnsi="Times New Roman" w:cs="Times New Roman"/>
          <w:lang w:eastAsia="en-US"/>
        </w:rPr>
        <w:t>, 467 P.2d 635 (Or. 1970)</w:t>
      </w:r>
      <w:r w:rsidR="00F3188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or used as fuels, </w:t>
      </w:r>
      <w:r w:rsidRPr="00F94B7E">
        <w:rPr>
          <w:rFonts w:ascii="Times New Roman" w:eastAsia="Times New Roman" w:hAnsi="Times New Roman" w:cs="Times New Roman"/>
          <w:i/>
          <w:iCs/>
          <w:lang w:eastAsia="en-US"/>
        </w:rPr>
        <w:t>Allison v. Ideal Laundry &amp; Cleaners</w:t>
      </w:r>
      <w:r w:rsidRPr="00F94B7E">
        <w:rPr>
          <w:rFonts w:ascii="Times New Roman" w:eastAsia="Times New Roman" w:hAnsi="Times New Roman" w:cs="Times New Roman"/>
          <w:lang w:eastAsia="en-US"/>
        </w:rPr>
        <w:t xml:space="preserve">, 55 S.E.2d 281 (S.C. 1949). Courts similarly do not consider electricity to be abnormally dangerous when it is transported over uninsulated or insulated powerlines. </w:t>
      </w:r>
      <w:r w:rsidRPr="00F94B7E">
        <w:rPr>
          <w:rFonts w:ascii="Times New Roman" w:eastAsia="Times New Roman" w:hAnsi="Times New Roman" w:cs="Times New Roman"/>
          <w:i/>
          <w:iCs/>
          <w:lang w:eastAsia="en-US"/>
        </w:rPr>
        <w:t>Kent v. Gulf States Utils. Co.</w:t>
      </w:r>
      <w:r w:rsidRPr="00F94B7E">
        <w:rPr>
          <w:rFonts w:ascii="Times New Roman" w:eastAsia="Times New Roman" w:hAnsi="Times New Roman" w:cs="Times New Roman"/>
          <w:lang w:eastAsia="en-US"/>
        </w:rPr>
        <w:t>, 418 So. 2d 493 (La. 1982).</w:t>
      </w:r>
    </w:p>
    <w:p w14:paraId="2CBC4725" w14:textId="77777777" w:rsidR="00C85B70" w:rsidRPr="00C85B70" w:rsidRDefault="00C85B70" w:rsidP="00482DB1">
      <w:pPr>
        <w:shd w:val="clear" w:color="auto" w:fill="FFFFFF"/>
        <w:textAlignment w:val="baseline"/>
        <w:rPr>
          <w:rFonts w:ascii="Times New Roman" w:eastAsia="Times New Roman" w:hAnsi="Times New Roman" w:cs="Times New Roman"/>
          <w:color w:val="333333"/>
          <w:lang w:eastAsia="en-US"/>
        </w:rPr>
      </w:pPr>
    </w:p>
    <w:p w14:paraId="4E022A49" w14:textId="7777777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Courts have held that using toxic materials to kill pests may be an abnormally dangerous activity.  </w:t>
      </w:r>
      <w:r w:rsidRPr="750671CE">
        <w:rPr>
          <w:rFonts w:ascii="Times New Roman" w:eastAsia="Times New Roman" w:hAnsi="Times New Roman" w:cs="Times New Roman"/>
          <w:i/>
          <w:iCs/>
          <w:lang w:eastAsia="en-US"/>
        </w:rPr>
        <w:t>Luthringer v. Moore</w:t>
      </w:r>
      <w:r w:rsidRPr="750671CE">
        <w:rPr>
          <w:rFonts w:ascii="Times New Roman" w:eastAsia="Times New Roman" w:hAnsi="Times New Roman" w:cs="Times New Roman"/>
          <w:lang w:eastAsia="en-US"/>
        </w:rPr>
        <w:t xml:space="preserve">, 190 P.2d 1 (Cal. 1948).  The same is true with using toxic substances to protect crops.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Loe v. Lenhardt</w:t>
      </w:r>
      <w:r w:rsidRPr="750671CE">
        <w:rPr>
          <w:rFonts w:ascii="Times New Roman" w:eastAsia="Times New Roman" w:hAnsi="Times New Roman" w:cs="Times New Roman"/>
          <w:lang w:eastAsia="en-US"/>
        </w:rPr>
        <w:t xml:space="preserve">, 362 P.2d 312 (Or. 1961).  At least one court has held that storing radioactive material may be considered an abnormally dangerous activity.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In re Hanford Nuclear Reservation Litigation</w:t>
      </w:r>
      <w:r w:rsidRPr="750671CE">
        <w:rPr>
          <w:rFonts w:ascii="Times New Roman" w:eastAsia="Times New Roman" w:hAnsi="Times New Roman" w:cs="Times New Roman"/>
          <w:lang w:eastAsia="en-US"/>
        </w:rPr>
        <w:t>, 534 F.3d 986 (9</w:t>
      </w:r>
      <w:r w:rsidRPr="00F94B7E">
        <w:rPr>
          <w:rFonts w:ascii="Times New Roman" w:eastAsia="Times New Roman" w:hAnsi="Times New Roman" w:cs="Times New Roman"/>
          <w:lang w:eastAsia="en-US"/>
        </w:rPr>
        <w:t>th</w:t>
      </w:r>
      <w:r w:rsidRPr="750671CE">
        <w:rPr>
          <w:rFonts w:ascii="Times New Roman" w:eastAsia="Times New Roman" w:hAnsi="Times New Roman" w:cs="Times New Roman"/>
          <w:lang w:eastAsia="en-US"/>
        </w:rPr>
        <w:t xml:space="preserve"> Cir. 2008) (amended opinion).</w:t>
      </w:r>
    </w:p>
    <w:p w14:paraId="441D162D"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AE88627" w14:textId="09CEBCAB" w:rsidR="00C85B70" w:rsidRPr="00C85B70" w:rsidRDefault="750671CE" w:rsidP="750671CE">
      <w:pPr>
        <w:shd w:val="clear" w:color="auto" w:fill="FFFFFF" w:themeFill="background1"/>
        <w:ind w:firstLine="720"/>
        <w:textAlignment w:val="baseline"/>
        <w:rPr>
          <w:rFonts w:ascii="Times New Roman" w:eastAsia="Times New Roman" w:hAnsi="Times New Roman" w:cs="Times New Roman"/>
          <w:color w:val="333333"/>
          <w:lang w:eastAsia="en-US"/>
        </w:rPr>
      </w:pPr>
      <w:r w:rsidRPr="750671CE">
        <w:rPr>
          <w:rFonts w:ascii="Times New Roman" w:eastAsia="Times New Roman" w:hAnsi="Times New Roman" w:cs="Times New Roman"/>
          <w:lang w:eastAsia="en-US"/>
        </w:rPr>
        <w:t xml:space="preserve">A number of recent academic articles have argued that hydraulic fracturing (or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fracking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should be considered an abnormally dangerous activity. </w:t>
      </w:r>
      <w:r w:rsidRPr="750671CE">
        <w:rPr>
          <w:rFonts w:ascii="Times New Roman" w:eastAsia="Times New Roman" w:hAnsi="Times New Roman" w:cs="Times New Roman"/>
          <w:i/>
          <w:iCs/>
          <w:lang w:eastAsia="en-US"/>
        </w:rPr>
        <w:t>See, e.g.,</w:t>
      </w:r>
      <w:r w:rsidRPr="750671CE">
        <w:rPr>
          <w:rFonts w:ascii="Times New Roman" w:eastAsia="Times New Roman" w:hAnsi="Times New Roman" w:cs="Times New Roman"/>
          <w:lang w:eastAsia="en-US"/>
        </w:rPr>
        <w:t xml:space="preserve"> Leonard S. Rubin, </w:t>
      </w:r>
      <w:r w:rsidRPr="750671CE">
        <w:rPr>
          <w:rFonts w:ascii="Times New Roman" w:eastAsia="Times New Roman" w:hAnsi="Times New Roman" w:cs="Times New Roman"/>
          <w:i/>
          <w:iCs/>
          <w:lang w:eastAsia="en-US"/>
        </w:rPr>
        <w:t>Frack to the Future: Considering a Strict Liability Standard for Hydraulic Fracturing Activities</w:t>
      </w:r>
      <w:r w:rsidRPr="750671CE">
        <w:rPr>
          <w:rFonts w:ascii="Times New Roman" w:eastAsia="Times New Roman" w:hAnsi="Times New Roman" w:cs="Times New Roman"/>
          <w:lang w:eastAsia="en-US"/>
        </w:rPr>
        <w:t xml:space="preserve">, 3 </w:t>
      </w:r>
      <w:r w:rsidRPr="750671CE">
        <w:rPr>
          <w:rFonts w:ascii="Times New Roman" w:eastAsia="Times New Roman" w:hAnsi="Times New Roman" w:cs="Times New Roman"/>
          <w:smallCaps/>
          <w:lang w:eastAsia="en-US"/>
        </w:rPr>
        <w:t>Geo. Wash. J. Energy &amp; Env</w:t>
      </w:r>
      <w:r w:rsidR="007F3696">
        <w:rPr>
          <w:rFonts w:ascii="Times New Roman" w:eastAsia="Times New Roman" w:hAnsi="Times New Roman" w:cs="Times New Roman"/>
          <w:smallCaps/>
          <w:lang w:eastAsia="en-US"/>
        </w:rPr>
        <w:t>iro.</w:t>
      </w:r>
      <w:r w:rsidRPr="750671CE">
        <w:rPr>
          <w:rFonts w:ascii="Times New Roman" w:eastAsia="Times New Roman" w:hAnsi="Times New Roman" w:cs="Times New Roman"/>
          <w:smallCaps/>
          <w:lang w:eastAsia="en-US"/>
        </w:rPr>
        <w:t xml:space="preserve">. L. </w:t>
      </w:r>
      <w:r w:rsidRPr="750671CE">
        <w:rPr>
          <w:rFonts w:ascii="Times New Roman" w:eastAsia="Times New Roman" w:hAnsi="Times New Roman" w:cs="Times New Roman"/>
          <w:lang w:eastAsia="en-US"/>
        </w:rPr>
        <w:t xml:space="preserve">117 (2012).  Some have blamed fracking for explosions, groundwater contamination, and even flammable tap water. </w:t>
      </w:r>
      <w:r w:rsidRPr="750671CE">
        <w:rPr>
          <w:rFonts w:ascii="Times New Roman" w:eastAsia="Times New Roman" w:hAnsi="Times New Roman" w:cs="Times New Roman"/>
          <w:i/>
          <w:iCs/>
          <w:lang w:eastAsia="en-US"/>
        </w:rPr>
        <w:t>See, e.g.,</w:t>
      </w:r>
      <w:r w:rsidRPr="750671CE">
        <w:rPr>
          <w:rFonts w:ascii="Times New Roman" w:eastAsia="Times New Roman" w:hAnsi="Times New Roman" w:cs="Times New Roman"/>
          <w:lang w:eastAsia="en-US"/>
        </w:rPr>
        <w:t xml:space="preserve"> Abrahm Lustgarten, </w:t>
      </w:r>
      <w:r w:rsidRPr="750671CE">
        <w:rPr>
          <w:rFonts w:ascii="Times New Roman" w:eastAsia="Times New Roman" w:hAnsi="Times New Roman" w:cs="Times New Roman"/>
          <w:i/>
          <w:iCs/>
          <w:lang w:eastAsia="en-US"/>
        </w:rPr>
        <w:t>Does Natural Gas Drilling Make Water Burn?</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Sci. Am.</w:t>
      </w:r>
      <w:r w:rsidR="00EF71A1">
        <w:rPr>
          <w:rFonts w:ascii="Times New Roman" w:eastAsia="Times New Roman" w:hAnsi="Times New Roman" w:cs="Times New Roman"/>
          <w:lang w:eastAsia="en-US"/>
        </w:rPr>
        <w:t xml:space="preserve"> Apr. 27, 2009</w:t>
      </w:r>
      <w:r w:rsidRPr="750671CE">
        <w:rPr>
          <w:rFonts w:ascii="Times New Roman" w:eastAsia="Times New Roman" w:hAnsi="Times New Roman" w:cs="Times New Roman"/>
          <w:lang w:eastAsia="en-US"/>
        </w:rPr>
        <w:t xml:space="preserve">. </w:t>
      </w:r>
      <w:r w:rsidR="00EF71A1">
        <w:rPr>
          <w:rFonts w:ascii="Times New Roman" w:eastAsia="Times New Roman" w:hAnsi="Times New Roman" w:cs="Times New Roman"/>
          <w:lang w:eastAsia="en-US"/>
        </w:rPr>
        <w:t xml:space="preserve"> The courts have been less enthusiastic.  </w:t>
      </w:r>
      <w:r w:rsidRPr="750671CE">
        <w:rPr>
          <w:rFonts w:ascii="Times New Roman" w:eastAsia="Times New Roman" w:hAnsi="Times New Roman" w:cs="Times New Roman"/>
          <w:lang w:eastAsia="en-US"/>
        </w:rPr>
        <w:t xml:space="preserve">Kansas has explicitly refused to categorize fracking as abnormally dangerous, </w:t>
      </w:r>
      <w:r w:rsidRPr="750671CE">
        <w:rPr>
          <w:rFonts w:ascii="Times New Roman" w:eastAsia="Times New Roman" w:hAnsi="Times New Roman" w:cs="Times New Roman"/>
          <w:i/>
          <w:iCs/>
          <w:lang w:eastAsia="en-US"/>
        </w:rPr>
        <w:t>Williams v. Amoco Prod. Co.,</w:t>
      </w:r>
      <w:r w:rsidRPr="750671CE">
        <w:rPr>
          <w:rFonts w:ascii="Times New Roman" w:eastAsia="Times New Roman" w:hAnsi="Times New Roman" w:cs="Times New Roman"/>
          <w:lang w:eastAsia="en-US"/>
        </w:rPr>
        <w:t xml:space="preserve"> 734 P.2d 1113 (Kan. 1987). </w:t>
      </w:r>
      <w:r w:rsidR="00EF71A1">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Wyoming has held </w:t>
      </w:r>
      <w:r w:rsidRPr="750671CE">
        <w:rPr>
          <w:rFonts w:ascii="Times New Roman" w:eastAsia="Times New Roman" w:hAnsi="Times New Roman" w:cs="Times New Roman"/>
          <w:i/>
          <w:iCs/>
          <w:lang w:eastAsia="en-US"/>
        </w:rPr>
        <w:t xml:space="preserve">all </w:t>
      </w:r>
      <w:r w:rsidRPr="750671CE">
        <w:rPr>
          <w:rFonts w:ascii="Times New Roman" w:eastAsia="Times New Roman" w:hAnsi="Times New Roman" w:cs="Times New Roman"/>
          <w:lang w:eastAsia="en-US"/>
        </w:rPr>
        <w:t xml:space="preserve">oil and gas drilling to be abnormally dangerous, </w:t>
      </w:r>
      <w:r w:rsidRPr="750671CE">
        <w:rPr>
          <w:rFonts w:ascii="Times New Roman" w:eastAsia="Times New Roman" w:hAnsi="Times New Roman" w:cs="Times New Roman"/>
          <w:i/>
          <w:iCs/>
          <w:lang w:eastAsia="en-US"/>
        </w:rPr>
        <w:t>Hull v. Chevron, U.S.A., Inc.</w:t>
      </w:r>
      <w:r w:rsidRPr="750671CE">
        <w:rPr>
          <w:rFonts w:ascii="Times New Roman" w:eastAsia="Times New Roman" w:hAnsi="Times New Roman" w:cs="Times New Roman"/>
          <w:lang w:eastAsia="en-US"/>
        </w:rPr>
        <w:t>, 812 F</w:t>
      </w:r>
      <w:r w:rsidR="00EF71A1">
        <w:rPr>
          <w:rFonts w:ascii="Times New Roman" w:eastAsia="Times New Roman" w:hAnsi="Times New Roman" w:cs="Times New Roman"/>
          <w:lang w:eastAsia="en-US"/>
        </w:rPr>
        <w:t>.2d 584, 589 (10th Cir. 1987). But as of the summer of 2017, n</w:t>
      </w:r>
      <w:r w:rsidRPr="750671CE">
        <w:rPr>
          <w:rFonts w:ascii="Times New Roman" w:eastAsia="Times New Roman" w:hAnsi="Times New Roman" w:cs="Times New Roman"/>
          <w:lang w:eastAsia="en-US"/>
        </w:rPr>
        <w:t xml:space="preserve">o state </w:t>
      </w:r>
      <w:r w:rsidR="00EF71A1">
        <w:rPr>
          <w:rFonts w:ascii="Times New Roman" w:eastAsia="Times New Roman" w:hAnsi="Times New Roman" w:cs="Times New Roman"/>
          <w:lang w:eastAsia="en-US"/>
        </w:rPr>
        <w:t>had</w:t>
      </w:r>
      <w:r w:rsidRPr="750671CE">
        <w:rPr>
          <w:rFonts w:ascii="Times New Roman" w:eastAsia="Times New Roman" w:hAnsi="Times New Roman" w:cs="Times New Roman"/>
          <w:lang w:eastAsia="en-US"/>
        </w:rPr>
        <w:t xml:space="preserve"> applied the doctrine to fracking </w:t>
      </w:r>
      <w:r w:rsidRPr="750671CE">
        <w:rPr>
          <w:rFonts w:ascii="Times New Roman" w:eastAsia="Times New Roman" w:hAnsi="Times New Roman" w:cs="Times New Roman"/>
          <w:i/>
          <w:iCs/>
          <w:lang w:eastAsia="en-US"/>
        </w:rPr>
        <w:t>in particular</w:t>
      </w:r>
      <w:r w:rsidRPr="750671CE">
        <w:rPr>
          <w:rFonts w:ascii="Times New Roman" w:eastAsia="Times New Roman" w:hAnsi="Times New Roman" w:cs="Times New Roman"/>
          <w:lang w:eastAsia="en-US"/>
        </w:rPr>
        <w:t xml:space="preserve">. </w:t>
      </w:r>
      <w:r w:rsidR="00C85B70">
        <w:br/>
      </w:r>
    </w:p>
    <w:p w14:paraId="356F5CC9" w14:textId="77777777" w:rsidR="00C85B70" w:rsidRPr="00C85B70" w:rsidRDefault="00C85B70" w:rsidP="00C85B70">
      <w:pPr>
        <w:shd w:val="clear" w:color="auto" w:fill="FFFFFF"/>
        <w:spacing w:line="288" w:lineRule="atLeast"/>
        <w:textAlignment w:val="baseline"/>
        <w:rPr>
          <w:rFonts w:ascii="Times New Roman" w:eastAsiaTheme="minorHAnsi" w:hAnsi="Times New Roman" w:cs="Times New Roman"/>
          <w:lang w:eastAsia="en-US"/>
        </w:rPr>
      </w:pPr>
    </w:p>
    <w:p w14:paraId="0C4763F7" w14:textId="6A6C2ACE" w:rsidR="00C85B70" w:rsidRPr="00F94B7E" w:rsidRDefault="750671CE" w:rsidP="00F94B7E">
      <w:pPr>
        <w:pStyle w:val="ListParagraph"/>
        <w:numPr>
          <w:ilvl w:val="0"/>
          <w:numId w:val="32"/>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The Restatements.</w:t>
      </w:r>
      <w:r w:rsidRPr="00F94B7E">
        <w:rPr>
          <w:rFonts w:ascii="Times New Roman" w:eastAsia="Times New Roman,Cambria" w:hAnsi="Times New Roman" w:cs="Times New Roman"/>
          <w:lang w:eastAsia="en-US"/>
        </w:rPr>
        <w:t xml:space="preserve">  Both the Restatement (Second) and (Third) of Torts impose strict liability on abnormally dangerous activities. </w:t>
      </w:r>
      <w:r w:rsidRPr="00F31881">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lang w:eastAsia="en-US"/>
        </w:rPr>
        <w:t xml:space="preserve">The two Restatements, however, have different definitions of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abnormally dangerous activities.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Restatement (Third) classifies an activity as abnormally dangerous if </w:t>
      </w:r>
      <w:r w:rsidR="00B05F31" w:rsidRPr="00F94B7E">
        <w:rPr>
          <w:rFonts w:ascii="Times New Roman" w:eastAsia="Times New Roman,Cambria" w:hAnsi="Times New Roman" w:cs="Times New Roman"/>
          <w:lang w:eastAsia="en-US"/>
        </w:rPr>
        <w:t>“</w:t>
      </w:r>
      <w:r w:rsidRPr="00F31881">
        <w:rPr>
          <w:rFonts w:ascii="Times New Roman" w:eastAsia="Times New Roman" w:hAnsi="Times New Roman" w:cs="Times New Roman"/>
          <w:lang w:eastAsia="en-US"/>
        </w:rPr>
        <w:t>(1) the activity creates a foreseeable and highly significant risk of physical harm e</w:t>
      </w:r>
      <w:r w:rsidRPr="009D502A">
        <w:rPr>
          <w:rFonts w:ascii="Times New Roman" w:eastAsia="Times New Roman" w:hAnsi="Times New Roman" w:cs="Times New Roman"/>
          <w:lang w:eastAsia="en-US"/>
        </w:rPr>
        <w:t>ven when reasonable care is exercised by all actors; and (2) the activity is not one of common usage.</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smallCaps/>
          <w:lang w:eastAsia="en-US"/>
        </w:rPr>
        <w:t>Restatement (Third) of Torts: Liab. for Physical &amp; Emotional Harm</w:t>
      </w:r>
      <w:r w:rsidRPr="00F94B7E">
        <w:rPr>
          <w:rFonts w:ascii="Times New Roman" w:eastAsia="Times New Roman,Cambria" w:hAnsi="Times New Roman" w:cs="Times New Roman"/>
          <w:lang w:eastAsia="en-US"/>
        </w:rPr>
        <w:t xml:space="preserve"> § 20(b)(1)-(2) (2010). By contrast, the Restatement (Second) laid out a series of factors to be considered in classifying an activity as abnormally dangerous.  Those factors include: </w:t>
      </w:r>
      <w:r w:rsidRPr="00F31881">
        <w:rPr>
          <w:rFonts w:ascii="Times New Roman" w:eastAsia="Times New Roman" w:hAnsi="Times New Roman" w:cs="Times New Roman"/>
          <w:lang w:eastAsia="en-US"/>
        </w:rPr>
        <w:t xml:space="preserve">(a) a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high degree of risk of some harm</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to others; (b) a likelihood that such harm would be great;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(c) an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inability to eliminate the risk by the exercise of reasonable care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(d)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extent to which the activity is not a matter of common usage</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lang w:eastAsia="en-US"/>
        </w:rPr>
        <w:t xml:space="preserve">(e) the </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inappropriateness</w:t>
      </w:r>
      <w:r w:rsidR="00B05F31" w:rsidRPr="00F31881">
        <w:rPr>
          <w:rFonts w:ascii="Times New Roman" w:eastAsia="Times New Roman" w:hAnsi="Times New Roman" w:cs="Times New Roman"/>
          <w:lang w:eastAsia="en-US"/>
        </w:rPr>
        <w:t>”</w:t>
      </w:r>
      <w:r w:rsidRPr="00F31881">
        <w:rPr>
          <w:rFonts w:ascii="Times New Roman" w:eastAsia="Times New Roman" w:hAnsi="Times New Roman" w:cs="Times New Roman"/>
          <w:lang w:eastAsia="en-US"/>
        </w:rPr>
        <w:t xml:space="preserve"> of the setting in which the activity takes place; and (f) the extent to which the activity</w:t>
      </w:r>
      <w:r w:rsidR="00B05F31" w:rsidRPr="009D502A">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 xml:space="preserve">s dangerousness outweighs its </w:t>
      </w:r>
      <w:r w:rsidR="00B05F31" w:rsidRPr="00EA551D">
        <w:rPr>
          <w:rFonts w:ascii="Times New Roman" w:eastAsia="Times New Roman" w:hAnsi="Times New Roman" w:cs="Times New Roman"/>
          <w:lang w:eastAsia="en-US"/>
        </w:rPr>
        <w:t>“</w:t>
      </w:r>
      <w:r w:rsidRPr="00EA551D">
        <w:rPr>
          <w:rFonts w:ascii="Times New Roman" w:eastAsia="Times New Roman" w:hAnsi="Times New Roman" w:cs="Times New Roman"/>
          <w:lang w:eastAsia="en-US"/>
        </w:rPr>
        <w:t>value to the community.</w:t>
      </w:r>
      <w:r w:rsidR="00B05F31" w:rsidRPr="00EA551D">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 xml:space="preserve">  </w:t>
      </w:r>
      <w:r w:rsidRPr="00F31881">
        <w:rPr>
          <w:rFonts w:ascii="Times New Roman" w:eastAsia="Times New Roman" w:hAnsi="Times New Roman" w:cs="Times New Roman"/>
          <w:smallCaps/>
          <w:lang w:eastAsia="en-US"/>
        </w:rPr>
        <w:t>Restatement (Second) of Torts</w:t>
      </w:r>
      <w:r w:rsidRPr="00F31881">
        <w:rPr>
          <w:rFonts w:ascii="Times New Roman" w:eastAsia="Times New Roman" w:hAnsi="Times New Roman" w:cs="Times New Roman"/>
          <w:lang w:eastAsia="en-US"/>
        </w:rPr>
        <w:t xml:space="preserve"> § 520 (1977).</w:t>
      </w:r>
    </w:p>
    <w:p w14:paraId="29D29F26" w14:textId="77777777" w:rsidR="00C85B70" w:rsidRPr="00C65DA8" w:rsidRDefault="00C85B70" w:rsidP="00C85B70">
      <w:pPr>
        <w:spacing w:line="288" w:lineRule="atLeast"/>
        <w:rPr>
          <w:rFonts w:ascii="Times New Roman" w:hAnsi="Times New Roman" w:cs="Times New Roman"/>
          <w:lang w:eastAsia="en-US"/>
        </w:rPr>
      </w:pPr>
    </w:p>
    <w:p w14:paraId="103032EC" w14:textId="77777777" w:rsidR="00C85B70" w:rsidRPr="009E54E4" w:rsidRDefault="00C85B70" w:rsidP="00C85B70">
      <w:pPr>
        <w:spacing w:line="288" w:lineRule="atLeast"/>
        <w:rPr>
          <w:rFonts w:ascii="Times New Roman" w:hAnsi="Times New Roman" w:cs="Times New Roman"/>
          <w:lang w:eastAsia="en-US"/>
        </w:rPr>
      </w:pPr>
    </w:p>
    <w:p w14:paraId="241E5177" w14:textId="4079ABE4" w:rsidR="00C85B70" w:rsidRPr="00F94B7E" w:rsidRDefault="750671CE" w:rsidP="00F94B7E">
      <w:pPr>
        <w:pStyle w:val="ListParagraph"/>
        <w:numPr>
          <w:ilvl w:val="0"/>
          <w:numId w:val="32"/>
        </w:numPr>
        <w:shd w:val="clear" w:color="auto" w:fill="FFFFFF" w:themeFill="background1"/>
        <w:ind w:left="0" w:firstLine="360"/>
        <w:textAlignment w:val="baseline"/>
        <w:outlineLvl w:val="0"/>
        <w:rPr>
          <w:rFonts w:ascii="Times New Roman" w:eastAsia="Times New Roman,Cambria" w:hAnsi="Times New Roman" w:cs="Times New Roman"/>
          <w:lang w:eastAsia="en-US"/>
        </w:rPr>
      </w:pPr>
      <w:r w:rsidRPr="00C65DA8">
        <w:rPr>
          <w:rFonts w:ascii="Times New Roman" w:eastAsia="Times New Roman" w:hAnsi="Times New Roman" w:cs="Times New Roman"/>
          <w:i/>
          <w:iCs/>
          <w:lang w:eastAsia="en-US"/>
        </w:rPr>
        <w:t>The case of the cannibal minks</w:t>
      </w:r>
      <w:r w:rsidRPr="00C65DA8">
        <w:rPr>
          <w:rFonts w:ascii="Times New Roman" w:eastAsia="Times New Roman" w:hAnsi="Times New Roman" w:cs="Times New Roman"/>
          <w:lang w:eastAsia="en-US"/>
        </w:rPr>
        <w:t xml:space="preserve">. In 1942, the Utah Supreme Court decided </w:t>
      </w:r>
      <w:r w:rsidRPr="00F94B7E">
        <w:rPr>
          <w:rFonts w:ascii="Times New Roman" w:eastAsia="Times New Roman,Cambria" w:hAnsi="Times New Roman" w:cs="Times New Roman"/>
          <w:i/>
          <w:iCs/>
          <w:lang w:eastAsia="en-US"/>
        </w:rPr>
        <w:t>Madsen v. East Jordan Irrigation Co.</w:t>
      </w:r>
      <w:r w:rsidRPr="00F94B7E">
        <w:rPr>
          <w:rFonts w:ascii="Times New Roman" w:eastAsia="Times New Roman,Cambria" w:hAnsi="Times New Roman" w:cs="Times New Roman"/>
          <w:lang w:eastAsia="en-US"/>
        </w:rPr>
        <w:t>, 125 P.2d 794 (Utah 1942)</w:t>
      </w:r>
      <w:r w:rsidRPr="00F94B7E">
        <w:rPr>
          <w:rFonts w:ascii="Times New Roman" w:eastAsia="Times New Roman,Cambria" w:hAnsi="Times New Roman" w:cs="Times New Roman"/>
          <w:smallCaps/>
          <w:lang w:eastAsia="en-US"/>
        </w:rPr>
        <w:t xml:space="preserve">. </w:t>
      </w:r>
      <w:r w:rsidRPr="00F94B7E">
        <w:rPr>
          <w:rFonts w:ascii="Times New Roman" w:eastAsia="Times New Roman,Cambria" w:hAnsi="Times New Roman" w:cs="Times New Roman"/>
          <w:lang w:eastAsia="en-US"/>
        </w:rPr>
        <w:t xml:space="preserve">The case arose when the defendant, in repairing its canal,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blasted with explosives, causing vibrations and noises which frightened the mother mink and caused 108 of them to kill 230 of their </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kittens.</w:t>
      </w:r>
      <w:r w:rsidR="00F31881">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C85B70" w:rsidRDefault="00C85B70" w:rsidP="00C85B70">
      <w:pPr>
        <w:rPr>
          <w:rFonts w:ascii="Times New Roman" w:eastAsia="Times New Roman" w:hAnsi="Times New Roman" w:cs="Times New Roman"/>
          <w:lang w:eastAsia="en-US"/>
        </w:rPr>
      </w:pPr>
    </w:p>
    <w:p w14:paraId="2E42C1CD" w14:textId="12C9ADE7" w:rsidR="00C85B70" w:rsidRPr="00482DB1"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[H]e who fires explosives is not liable for every occurrence following the explosion which has a semblance of connection to it. Jake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horse might become so excited that he would run next door and kick a few ribs out of 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distinguished from mental in character. The famous Squib case does not mitigate what has been said</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482DB1" w:rsidRDefault="00C85B70" w:rsidP="00482DB1">
      <w:pPr>
        <w:ind w:left="720" w:right="720"/>
        <w:rPr>
          <w:rFonts w:ascii="Times New Roman" w:hAnsi="Times New Roman" w:cs="Times New Roman"/>
          <w:lang w:eastAsia="en-US"/>
        </w:rPr>
      </w:pPr>
    </w:p>
    <w:p w14:paraId="092F3C61" w14:textId="61F68F69" w:rsidR="00C85B70" w:rsidRPr="00482DB1"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Madsen</w:t>
      </w:r>
      <w:r w:rsidRPr="750671CE">
        <w:rPr>
          <w:rFonts w:ascii="Times New Roman" w:eastAsia="Times New Roman" w:hAnsi="Times New Roman" w:cs="Times New Roman"/>
          <w:lang w:eastAsia="en-US"/>
        </w:rPr>
        <w:t xml:space="preserve">, 125 P.2d at 795.  Does the question of the relative risk reduction capacity of the parties help to explain the outcome in </w:t>
      </w:r>
      <w:r w:rsidRPr="750671CE">
        <w:rPr>
          <w:rFonts w:ascii="Times New Roman" w:eastAsia="Times New Roman" w:hAnsi="Times New Roman" w:cs="Times New Roman"/>
          <w:i/>
          <w:iCs/>
          <w:lang w:eastAsia="en-US"/>
        </w:rPr>
        <w:t>Madsen</w:t>
      </w:r>
      <w:r w:rsidRPr="750671CE">
        <w:rPr>
          <w:rFonts w:ascii="Times New Roman" w:eastAsia="Times New Roman" w:hAnsi="Times New Roman" w:cs="Times New Roman"/>
          <w:lang w:eastAsia="en-US"/>
        </w:rPr>
        <w:t xml:space="preserve">?  If </w:t>
      </w:r>
      <w:r w:rsidRPr="750671CE">
        <w:rPr>
          <w:rFonts w:ascii="Times New Roman" w:eastAsia="Times New Roman" w:hAnsi="Times New Roman" w:cs="Times New Roman"/>
          <w:i/>
          <w:iCs/>
          <w:lang w:eastAsia="en-US"/>
        </w:rPr>
        <w:t>Madsen</w:t>
      </w:r>
      <w:r w:rsidRPr="750671CE">
        <w:rPr>
          <w:rFonts w:ascii="Times New Roman" w:eastAsia="Times New Roman" w:hAnsi="Times New Roman" w:cs="Times New Roman"/>
          <w:lang w:eastAsia="en-US"/>
        </w:rPr>
        <w:t xml:space="preserve"> is correctly decided, is </w:t>
      </w:r>
      <w:r w:rsidRPr="750671CE">
        <w:rPr>
          <w:rFonts w:ascii="Times New Roman" w:eastAsia="Times New Roman" w:hAnsi="Times New Roman" w:cs="Times New Roman"/>
          <w:i/>
          <w:iCs/>
          <w:lang w:eastAsia="en-US"/>
        </w:rPr>
        <w:t>Spano</w:t>
      </w:r>
      <w:r w:rsidRPr="750671CE">
        <w:rPr>
          <w:rFonts w:ascii="Times New Roman" w:eastAsia="Times New Roman" w:hAnsi="Times New Roman" w:cs="Times New Roman"/>
          <w:lang w:eastAsia="en-US"/>
        </w:rPr>
        <w:t>?  Isn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 the </w:t>
      </w:r>
      <w:r w:rsidRPr="750671CE">
        <w:rPr>
          <w:rFonts w:ascii="Times New Roman" w:eastAsia="Times New Roman" w:hAnsi="Times New Roman" w:cs="Times New Roman"/>
          <w:i/>
          <w:iCs/>
          <w:lang w:eastAsia="en-US"/>
        </w:rPr>
        <w:t>Spano v. Perini Corp.</w:t>
      </w:r>
      <w:r w:rsidRPr="750671CE">
        <w:rPr>
          <w:rFonts w:ascii="Times New Roman" w:eastAsia="Times New Roman" w:hAnsi="Times New Roman" w:cs="Times New Roman"/>
          <w:lang w:eastAsia="en-US"/>
        </w:rPr>
        <w:t xml:space="preserve"> garage the equivalent of the cannibal mink in </w:t>
      </w:r>
      <w:r w:rsidRPr="750671CE">
        <w:rPr>
          <w:rFonts w:ascii="Times New Roman" w:eastAsia="Times New Roman" w:hAnsi="Times New Roman" w:cs="Times New Roman"/>
          <w:i/>
          <w:iCs/>
          <w:lang w:eastAsia="en-US"/>
        </w:rPr>
        <w:t>Madsen</w:t>
      </w:r>
      <w:r w:rsidRPr="750671CE">
        <w:rPr>
          <w:rFonts w:ascii="Times New Roman" w:eastAsia="Times New Roman" w:hAnsi="Times New Roman" w:cs="Times New Roman"/>
          <w:lang w:eastAsia="en-US"/>
        </w:rPr>
        <w:t>?  When a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property is damaged by percussive force and vibrations is it as likely</w:t>
      </w:r>
      <w:r w:rsidR="00F3188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as it is in cases of physical impact</w:t>
      </w:r>
      <w:r w:rsidR="00F3188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that the defendant blaster was better positioned to reduce the risks than the plaintiff property owner?</w:t>
      </w:r>
    </w:p>
    <w:p w14:paraId="742C0D35" w14:textId="77777777" w:rsidR="00C85B70" w:rsidRPr="00C85B70" w:rsidRDefault="750671CE" w:rsidP="750671CE">
      <w:pPr>
        <w:spacing w:line="288" w:lineRule="atLeast"/>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w:t>
      </w:r>
    </w:p>
    <w:p w14:paraId="59039E64" w14:textId="77777777" w:rsidR="00C85B70" w:rsidRPr="00C85B70" w:rsidRDefault="00C85B70" w:rsidP="00C85B70">
      <w:pPr>
        <w:spacing w:line="288" w:lineRule="atLeast"/>
        <w:rPr>
          <w:rFonts w:ascii="Times New Roman" w:hAnsi="Times New Roman" w:cs="Times New Roman"/>
          <w:lang w:eastAsia="en-US"/>
        </w:rPr>
      </w:pPr>
    </w:p>
    <w:p w14:paraId="7AE05125" w14:textId="3247A9B4" w:rsidR="00C85B70" w:rsidRPr="00F94B7E" w:rsidRDefault="00C85B70" w:rsidP="00F94B7E">
      <w:pPr>
        <w:pStyle w:val="ListParagraph"/>
        <w:numPr>
          <w:ilvl w:val="0"/>
          <w:numId w:val="3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notice principle</w:t>
      </w:r>
      <w:r w:rsidRPr="00F94B7E">
        <w:rPr>
          <w:rFonts w:ascii="Times New Roman" w:eastAsia="Times New Roman" w:hAnsi="Times New Roman" w:cs="Times New Roman"/>
          <w:lang w:eastAsia="en-US"/>
        </w:rPr>
        <w:t xml:space="preserve">.  Contrast </w:t>
      </w:r>
      <w:r w:rsidRPr="00F94B7E">
        <w:rPr>
          <w:rFonts w:ascii="Times New Roman" w:eastAsia="Times New Roman" w:hAnsi="Times New Roman" w:cs="Times New Roman"/>
          <w:i/>
          <w:iCs/>
          <w:lang w:eastAsia="en-US"/>
        </w:rPr>
        <w:t>Madsen</w:t>
      </w:r>
      <w:r w:rsidRPr="00F94B7E">
        <w:rPr>
          <w:rFonts w:ascii="Times New Roman" w:eastAsia="Times New Roman" w:hAnsi="Times New Roman" w:cs="Times New Roman"/>
          <w:lang w:eastAsia="en-US"/>
        </w:rPr>
        <w:t xml:space="preserve"> with </w:t>
      </w:r>
      <w:r w:rsidRPr="00F94B7E">
        <w:rPr>
          <w:rFonts w:ascii="Times New Roman" w:eastAsia="Times New Roman" w:hAnsi="Times New Roman" w:cs="Times New Roman"/>
          <w:i/>
          <w:iCs/>
          <w:lang w:eastAsia="en-US"/>
        </w:rPr>
        <w:t>Wadsworth v. Marshall</w:t>
      </w:r>
      <w:r w:rsidRPr="00F94B7E">
        <w:rPr>
          <w:rFonts w:ascii="Times New Roman" w:eastAsia="Times New Roman" w:hAnsi="Times New Roman" w:cs="Times New Roman"/>
          <w:lang w:eastAsia="en-US"/>
        </w:rPr>
        <w:t xml:space="preserve">, 34 A. 30 (Me. 1896). In </w:t>
      </w:r>
      <w:r w:rsidRPr="00F94B7E">
        <w:rPr>
          <w:rFonts w:ascii="Times New Roman" w:eastAsia="Times New Roman" w:hAnsi="Times New Roman" w:cs="Times New Roman"/>
          <w:i/>
          <w:iCs/>
          <w:lang w:eastAsia="en-US"/>
        </w:rPr>
        <w:t>Wadsworth</w:t>
      </w:r>
      <w:r w:rsidRPr="00F94B7E">
        <w:rPr>
          <w:rFonts w:ascii="Times New Roman" w:eastAsia="Times New Roman" w:hAnsi="Times New Roman" w:cs="Times New Roman"/>
          <w:lang w:eastAsia="en-US"/>
        </w:rPr>
        <w:t>, a blast from the defendant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mine frightened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horse, thereby injuring the plaintiff. A state statute required </w:t>
      </w:r>
      <w:r w:rsidR="006E4ED4" w:rsidRPr="00F94B7E">
        <w:rPr>
          <w:rFonts w:ascii="Times New Roman" w:eastAsia="Times New Roman" w:hAnsi="Times New Roman" w:cs="Times New Roman"/>
          <w:lang w:eastAsia="en-US"/>
        </w:rPr>
        <w:t xml:space="preserve">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persons</w:t>
      </w:r>
      <w:r w:rsidR="006E4ED4" w:rsidRPr="00F94B7E">
        <w:rPr>
          <w:rFonts w:ascii="Times New Roman" w:eastAsia="Times New Roman" w:hAnsi="Times New Roman" w:cs="Times New Roman"/>
          <w:lang w:eastAsia="en-US"/>
        </w:rPr>
        <w:t xml:space="preserve"> engaged in blasting .</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w:t>
      </w:r>
      <w:r w:rsidR="00F31881">
        <w:rPr>
          <w:rFonts w:ascii="Times New Roman" w:eastAsia="Times New Roman" w:hAnsi="Times New Roman" w:cs="Times New Roman"/>
          <w:lang w:eastAsia="en-US"/>
        </w:rPr>
        <w:t> </w:t>
      </w:r>
      <w:r w:rsidR="006E4ED4"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give . . . notice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to parties that were in close proximity to the blasting, but the defendant failed to do so. Because the defendant failed to abide by the statute, the court held the defendant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shd w:val="clear" w:color="auto" w:fill="FFFFFF"/>
          <w:lang w:eastAsia="en-US"/>
        </w:rPr>
        <w:t>liable for the consequences of his negligence, if no negligence of the plaintiff contributed to the injury. If it did, plaintiff cannot recover. The established doctrine of contributory negligence, as a defense, applies to this class of actions.</w:t>
      </w:r>
      <w:r w:rsidR="00B05F31">
        <w:rPr>
          <w:rFonts w:ascii="Times New Roman" w:eastAsia="Times New Roman" w:hAnsi="Times New Roman" w:cs="Times New Roman"/>
          <w:shd w:val="clear" w:color="auto" w:fill="FFFFFF"/>
          <w:lang w:eastAsia="en-US"/>
        </w:rPr>
        <w:t>”</w:t>
      </w:r>
      <w:r w:rsidRPr="00F94B7E">
        <w:rPr>
          <w:rFonts w:ascii="Times New Roman" w:eastAsia="Times New Roman" w:hAnsi="Times New Roman" w:cs="Times New Roman"/>
          <w:shd w:val="clear" w:color="auto" w:fill="FFFFFF"/>
          <w:lang w:eastAsia="en-US"/>
        </w:rPr>
        <w:t xml:space="preserve"> </w:t>
      </w:r>
      <w:r w:rsidRPr="00F94B7E">
        <w:rPr>
          <w:rFonts w:ascii="Times New Roman" w:eastAsia="Times New Roman" w:hAnsi="Times New Roman" w:cs="Times New Roman"/>
          <w:i/>
          <w:iCs/>
          <w:shd w:val="clear" w:color="auto" w:fill="FFFFFF"/>
          <w:lang w:eastAsia="en-US"/>
        </w:rPr>
        <w:t xml:space="preserve">Id. </w:t>
      </w:r>
      <w:r w:rsidRPr="00F94B7E">
        <w:rPr>
          <w:rFonts w:ascii="Times New Roman" w:eastAsia="Times New Roman" w:hAnsi="Times New Roman" w:cs="Times New Roman"/>
          <w:shd w:val="clear" w:color="auto" w:fill="FFFFFF"/>
          <w:lang w:eastAsia="en-US"/>
        </w:rPr>
        <w:t>at 32.</w:t>
      </w:r>
    </w:p>
    <w:p w14:paraId="0A95EB16" w14:textId="77777777" w:rsidR="00C85B70" w:rsidRPr="00C85B70" w:rsidRDefault="00C85B70" w:rsidP="00C85B70">
      <w:pPr>
        <w:spacing w:line="288" w:lineRule="atLeast"/>
        <w:rPr>
          <w:rFonts w:ascii="Times New Roman" w:hAnsi="Times New Roman" w:cs="Times New Roman"/>
          <w:lang w:eastAsia="en-US"/>
        </w:rPr>
      </w:pPr>
    </w:p>
    <w:p w14:paraId="68F31DE7" w14:textId="77777777" w:rsidR="00C85B70" w:rsidRPr="00C85B70" w:rsidRDefault="00C85B70" w:rsidP="00C85B70">
      <w:pPr>
        <w:spacing w:line="288" w:lineRule="atLeast"/>
        <w:rPr>
          <w:rFonts w:ascii="Times New Roman" w:eastAsia="Times New Roman" w:hAnsi="Times New Roman" w:cs="Times New Roman"/>
          <w:color w:val="252525"/>
          <w:lang w:eastAsia="en-US"/>
        </w:rPr>
      </w:pPr>
    </w:p>
    <w:p w14:paraId="0EE6B26F" w14:textId="02462B1F" w:rsidR="00C85B70" w:rsidRPr="009D502A" w:rsidRDefault="00C85B70" w:rsidP="750671CE">
      <w:pPr>
        <w:shd w:val="clear" w:color="auto" w:fill="FFFFFF" w:themeFill="background1"/>
        <w:spacing w:line="288" w:lineRule="atLeast"/>
        <w:textAlignment w:val="baseline"/>
        <w:outlineLvl w:val="0"/>
        <w:rPr>
          <w:rFonts w:ascii="Times New Roman" w:eastAsia="Times New Roman" w:hAnsi="Times New Roman" w:cs="Times New Roman"/>
          <w:b/>
          <w:bCs/>
          <w:lang w:eastAsia="en-US"/>
        </w:rPr>
      </w:pPr>
      <w:bookmarkStart w:id="894" w:name="_Toc518323517"/>
      <w:bookmarkStart w:id="895" w:name="_Toc267525098"/>
      <w:r w:rsidRPr="00973246">
        <w:rPr>
          <w:rStyle w:val="Heading3Char"/>
          <w:i/>
        </w:rPr>
        <w:t>Indiana Harbor Belt R</w:t>
      </w:r>
      <w:r w:rsidR="00DD0C81" w:rsidRPr="00973246">
        <w:rPr>
          <w:rStyle w:val="Heading3Char"/>
          <w:i/>
        </w:rPr>
        <w:t>.R.</w:t>
      </w:r>
      <w:r w:rsidRPr="00973246">
        <w:rPr>
          <w:rStyle w:val="Heading3Char"/>
          <w:i/>
        </w:rPr>
        <w:t xml:space="preserve"> v. American Cyanamid Co</w:t>
      </w:r>
      <w:bookmarkEnd w:id="894"/>
      <w:r w:rsidRPr="00973246">
        <w:rPr>
          <w:rFonts w:ascii="Times New Roman" w:eastAsia="Times New Roman,Cambria" w:hAnsi="Times New Roman" w:cs="Times New Roman"/>
          <w:b/>
          <w:bCs/>
          <w:i/>
          <w:lang w:eastAsia="en-US"/>
        </w:rPr>
        <w:t>.</w:t>
      </w:r>
      <w:bookmarkEnd w:id="895"/>
      <w:r w:rsidR="00FB3872" w:rsidRPr="00F94B7E">
        <w:rPr>
          <w:rFonts w:ascii="Times New Roman" w:eastAsia="Times New Roman,Cambria" w:hAnsi="Times New Roman" w:cs="Times New Roman"/>
          <w:b/>
          <w:bCs/>
          <w:lang w:eastAsia="en-US"/>
        </w:rPr>
        <w:t xml:space="preserve">, </w:t>
      </w:r>
      <w:r w:rsidRPr="00F31881">
        <w:rPr>
          <w:rFonts w:ascii="Times New Roman" w:eastAsia="Times New Roman" w:hAnsi="Times New Roman" w:cs="Times New Roman"/>
          <w:b/>
          <w:bCs/>
          <w:lang w:eastAsia="en-US"/>
        </w:rPr>
        <w:t>916 F.2d 1174 (7</w:t>
      </w:r>
      <w:r w:rsidRPr="00F94B7E">
        <w:rPr>
          <w:rFonts w:ascii="Times New Roman" w:eastAsia="Times New Roman" w:hAnsi="Times New Roman" w:cs="Times New Roman"/>
          <w:b/>
          <w:bCs/>
          <w:lang w:eastAsia="en-US"/>
        </w:rPr>
        <w:t>th</w:t>
      </w:r>
      <w:r w:rsidRPr="00F31881">
        <w:rPr>
          <w:rFonts w:ascii="Times New Roman" w:eastAsia="Times New Roman" w:hAnsi="Times New Roman" w:cs="Times New Roman"/>
          <w:b/>
          <w:bCs/>
          <w:lang w:eastAsia="en-US"/>
        </w:rPr>
        <w:t xml:space="preserve"> </w:t>
      </w:r>
      <w:r w:rsidRPr="009D502A">
        <w:rPr>
          <w:rFonts w:ascii="Times New Roman" w:eastAsia="Times New Roman" w:hAnsi="Times New Roman" w:cs="Times New Roman"/>
          <w:b/>
          <w:bCs/>
          <w:lang w:eastAsia="en-US"/>
        </w:rPr>
        <w:t>Cir. 1990)</w:t>
      </w:r>
    </w:p>
    <w:p w14:paraId="43580A37" w14:textId="77777777" w:rsidR="00C85B70" w:rsidRPr="00C85B70" w:rsidRDefault="00C85B70" w:rsidP="00C85B70">
      <w:pPr>
        <w:spacing w:line="288" w:lineRule="atLeast"/>
        <w:ind w:firstLine="720"/>
        <w:rPr>
          <w:rFonts w:ascii="Times New Roman" w:eastAsia="Times New Roman" w:hAnsi="Times New Roman" w:cs="Times New Roman"/>
          <w:lang w:eastAsia="en-US"/>
        </w:rPr>
      </w:pPr>
    </w:p>
    <w:p w14:paraId="71495634" w14:textId="75BBBE1D" w:rsidR="00FB3872" w:rsidRPr="00F94B7E" w:rsidRDefault="750671CE" w:rsidP="750671CE">
      <w:pPr>
        <w:shd w:val="clear" w:color="auto" w:fill="FFFFFF" w:themeFill="background1"/>
        <w:spacing w:line="288" w:lineRule="atLeast"/>
        <w:textAlignment w:val="baseline"/>
        <w:rPr>
          <w:rFonts w:ascii="Times New Roman" w:eastAsia="Times New Roman,Cambria" w:hAnsi="Times New Roman" w:cs="Times New Roman"/>
          <w:b/>
          <w:bCs/>
          <w:lang w:eastAsia="en-US"/>
        </w:rPr>
      </w:pPr>
      <w:r w:rsidRPr="00F94B7E">
        <w:rPr>
          <w:rFonts w:ascii="Times New Roman" w:eastAsia="Times New Roman,Cambria" w:hAnsi="Times New Roman" w:cs="Times New Roman"/>
          <w:smallCaps/>
          <w:lang w:eastAsia="en-US"/>
        </w:rPr>
        <w:t>Posner, J</w:t>
      </w:r>
      <w:r w:rsidRPr="00F94B7E">
        <w:rPr>
          <w:rFonts w:ascii="Times New Roman" w:eastAsia="Times New Roman,Cambria" w:hAnsi="Times New Roman" w:cs="Times New Roman"/>
          <w:b/>
          <w:bCs/>
          <w:lang w:eastAsia="en-US"/>
        </w:rPr>
        <w:t xml:space="preserve">. </w:t>
      </w:r>
    </w:p>
    <w:p w14:paraId="49AA45D7" w14:textId="77777777" w:rsidR="00FB3872" w:rsidRDefault="00FB3872" w:rsidP="00C85B70">
      <w:pPr>
        <w:shd w:val="clear" w:color="auto" w:fill="FFFFFF"/>
        <w:spacing w:line="288" w:lineRule="atLeast"/>
        <w:textAlignment w:val="baseline"/>
        <w:rPr>
          <w:rFonts w:ascii="Times New Roman" w:eastAsiaTheme="minorHAnsi" w:hAnsi="Times New Roman" w:cs="Times New Roman"/>
          <w:b/>
          <w:lang w:eastAsia="en-US"/>
        </w:rPr>
      </w:pPr>
    </w:p>
    <w:p w14:paraId="238CBB2C" w14:textId="2E8EDE6B"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siding. The car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ultimate destination was a 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323EECA" w14:textId="632BF472"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car arrived in the Blue Island yard on the morning of January 9, 1979. Several hours after it arrived, employees of the switching line noticed fluid gushing from the bottom outlet of the car. The lid on the outlet was broken. After two hours, the line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supervisor of equipment was able to stop the leak by closing a shut-off valve controlled from the top of the car. No one was sure at the time just how</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F8AA5CA" w14:textId="284DB413"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One count of the two-count complaint charges Cyanamid with having maintained the leased tank car negligently.</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s motion to dismiss the strict liability count . . . the switching line moved for summary judgment on that count</w:t>
      </w:r>
      <w:r w:rsidR="00FC7912">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 xml:space="preserve"> and won.</w:t>
      </w:r>
      <w:r w:rsidRPr="750671CE">
        <w:rPr>
          <w:rFonts w:ascii="Times New Roman,Cambria" w:eastAsia="Times New Roman,Cambria" w:hAnsi="Times New Roman,Cambria" w:cs="Times New Roman,Cambria"/>
          <w:bdr w:val="none" w:sz="0" w:space="0" w:color="auto" w:frame="1"/>
          <w:lang w:eastAsia="en-US"/>
        </w:rPr>
        <w:t xml:space="preserve"> . . .</w:t>
      </w:r>
      <w:r w:rsidRPr="00482DB1">
        <w:rPr>
          <w:rFonts w:ascii="Times New Roman" w:eastAsia="Times New Roman" w:hAnsi="Times New Roman" w:cs="Times New Roman"/>
          <w:bdr w:val="none" w:sz="0" w:space="0" w:color="auto" w:frame="1"/>
          <w:lang w:eastAsia="en-US"/>
        </w:rPr>
        <w:t xml:space="preserve"> [The district judge then awarded the switching line plaintiff $981.022.75 in damages and dismissed the plaintiff</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s negligence claim with prejudice.  </w:t>
      </w:r>
      <w:r w:rsidRPr="00482DB1">
        <w:rPr>
          <w:rFonts w:ascii="Times New Roman" w:eastAsia="Times New Roman" w:hAnsi="Times New Roman" w:cs="Times New Roman"/>
          <w:lang w:eastAsia="en-US"/>
        </w:rPr>
        <w:t>Cyanamid appealed the entry of judgment on the abnormally dangerous strict liability claim and the switching line cross-appealed, challenging the dismissal of the negligence count.]</w:t>
      </w:r>
    </w:p>
    <w:p w14:paraId="5506E8BC"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051B508A" w14:textId="77777777"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question whether the shipper of a hazardous chemical by rail should be strictly liable for the consequences of a spill or other accident to the shipment en route is a novel one in Illinois . . . .</w:t>
      </w:r>
    </w:p>
    <w:p w14:paraId="03ED6241"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4DEF9DB" w14:textId="77777777"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key provision is</w:t>
      </w:r>
      <w:r w:rsidRPr="750671CE">
        <w:rPr>
          <w:rFonts w:ascii="Times New Roman,Cambria" w:eastAsia="Times New Roman,Cambria" w:hAnsi="Times New Roman,Cambria" w:cs="Times New Roman,Cambria"/>
          <w:lang w:eastAsia="en-US"/>
        </w:rPr>
        <w:t> </w:t>
      </w:r>
      <w:r w:rsidRPr="750671CE">
        <w:rPr>
          <w:rFonts w:ascii="Times New Roman,ＭＳ ゴシック" w:eastAsia="Times New Roman,ＭＳ ゴシック" w:hAnsi="Times New Roman,ＭＳ ゴシック" w:cs="Times New Roman,ＭＳ ゴシック"/>
          <w:bdr w:val="none" w:sz="0" w:space="0" w:color="auto" w:frame="1"/>
          <w:lang w:eastAsia="en-US"/>
        </w:rPr>
        <w:t xml:space="preserve">section 520 [of the </w:t>
      </w:r>
      <w:r w:rsidRPr="00F94B7E">
        <w:rPr>
          <w:rFonts w:ascii="Times New Roman,ＭＳ ゴシック" w:eastAsia="Times New Roman,ＭＳ ゴシック" w:hAnsi="Times New Roman,ＭＳ ゴシック" w:cs="Times New Roman,ＭＳ ゴシック"/>
          <w:i/>
          <w:bdr w:val="none" w:sz="0" w:space="0" w:color="auto" w:frame="1"/>
          <w:lang w:eastAsia="en-US"/>
        </w:rPr>
        <w:t>Restatement (Second) of Torts</w:t>
      </w:r>
      <w:r w:rsidRPr="750671CE">
        <w:rPr>
          <w:rFonts w:ascii="Times New Roman,ＭＳ ゴシック" w:eastAsia="Times New Roman,ＭＳ ゴシック" w:hAnsi="Times New Roman,ＭＳ ゴシック" w:cs="Times New Roman,ＭＳ ゴシック"/>
          <w:bdr w:val="none" w:sz="0" w:space="0" w:color="auto" w:frame="1"/>
          <w:lang w:eastAsia="en-US"/>
        </w:rPr>
        <w:t>]</w:t>
      </w:r>
      <w:r w:rsidRPr="00482DB1">
        <w:rPr>
          <w:rFonts w:ascii="Times New Roman" w:eastAsia="Times New Roman" w:hAnsi="Times New Roman" w:cs="Times New Roman"/>
          <w:lang w:eastAsia="en-US"/>
        </w:rPr>
        <w:t>, which sets forth six factors to be considered in deciding whether an activity is abnormally dangerous and the actor therefore strictly liable.</w:t>
      </w:r>
    </w:p>
    <w:p w14:paraId="392420C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A0A1A15" w14:textId="0F6C5406"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roots of</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ＭＳ ゴシック" w:eastAsia="Times New Roman,ＭＳ ゴシック" w:hAnsi="Times New Roman,ＭＳ ゴシック" w:cs="Times New Roman,ＭＳ ゴシック"/>
          <w:bdr w:val="none" w:sz="0" w:space="0" w:color="auto" w:frame="1"/>
          <w:lang w:eastAsia="en-US"/>
        </w:rPr>
        <w:t>section 520</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are in nineteenth-century cases. The most famous one is</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Rylands v. Fletcher</w:t>
      </w:r>
      <w:r w:rsidRPr="00482DB1">
        <w:rPr>
          <w:rFonts w:ascii="Times New Roman" w:eastAsia="Times New Roman" w:hAnsi="Times New Roman" w:cs="Times New Roman"/>
          <w:bdr w:val="none" w:sz="0" w:space="0" w:color="auto" w:frame="1"/>
          <w:lang w:eastAsia="en-US"/>
        </w:rPr>
        <w:t>, . . . but a more illuminating one in the present context is</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Guille v. Swan</w:t>
      </w:r>
      <w:r w:rsidRPr="750671CE">
        <w:rPr>
          <w:rFonts w:ascii="Times New Roman,ＭＳ ゴシック" w:eastAsia="Times New Roman,ＭＳ ゴシック" w:hAnsi="Times New Roman,ＭＳ ゴシック" w:cs="Times New Roman,ＭＳ ゴシック"/>
          <w:bdr w:val="none" w:sz="0" w:space="0" w:color="auto" w:frame="1"/>
          <w:lang w:eastAsia="en-US"/>
        </w:rPr>
        <w:t xml:space="preserve">. . . . In </w:t>
      </w:r>
      <w:r w:rsidRPr="750671CE">
        <w:rPr>
          <w:rFonts w:ascii="Times New Roman,ＭＳ ゴシック" w:eastAsia="Times New Roman,ＭＳ ゴシック" w:hAnsi="Times New Roman,ＭＳ ゴシック" w:cs="Times New Roman,ＭＳ ゴシック"/>
          <w:i/>
          <w:iCs/>
          <w:bdr w:val="none" w:sz="0" w:space="0" w:color="auto" w:frame="1"/>
          <w:lang w:eastAsia="en-US"/>
        </w:rPr>
        <w:t>Guille</w:t>
      </w:r>
      <w:r w:rsidRPr="750671CE">
        <w:rPr>
          <w:rFonts w:ascii="Times New Roman,ＭＳ ゴシック" w:eastAsia="Times New Roman,ＭＳ ゴシック" w:hAnsi="Times New Roman,ＭＳ ゴシック" w:cs="Times New Roman,ＭＳ ゴシック"/>
          <w:bdr w:val="none" w:sz="0" w:space="0" w:color="auto" w:frame="1"/>
          <w:lang w:eastAsia="en-US"/>
        </w:rPr>
        <w:t xml:space="preserve">, </w:t>
      </w:r>
      <w:r w:rsidR="002F1E71">
        <w:rPr>
          <w:rFonts w:ascii="Times New Roman" w:eastAsia="Times New Roman" w:hAnsi="Times New Roman" w:cs="Times New Roman"/>
          <w:bdr w:val="none" w:sz="0" w:space="0" w:color="auto" w:frame="1"/>
          <w:lang w:eastAsia="en-US"/>
        </w:rPr>
        <w:t>a</w:t>
      </w:r>
      <w:r w:rsidRPr="00482DB1">
        <w:rPr>
          <w:rFonts w:ascii="Times New Roman" w:eastAsia="Times New Roman" w:hAnsi="Times New Roman" w:cs="Times New Roman"/>
          <w:bdr w:val="none" w:sz="0" w:space="0" w:color="auto" w:frame="1"/>
          <w:lang w:eastAsia="en-US"/>
        </w:rPr>
        <w:t xml:space="preserve"> man took off in a hot-air balloon and landed, without intending to, in a vegetable garden in New York City. A crowd that</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had been anxiously watching his involuntary descent trampled the vegetables in their endeavor to rescue him when he landed.</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lang w:eastAsia="en-US"/>
        </w:rPr>
        <w:t>The owner of the garden sued the balloonist for the resulting damage, and won. Yet the balloonist had not been careless. In the then</w:t>
      </w:r>
      <w:r w:rsidR="00A823CB">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state of ballooning it was impossible to make a pinpoint landing.</w:t>
      </w:r>
    </w:p>
    <w:p w14:paraId="30975C6A"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39C11E9B" w14:textId="49E01CAE"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i/>
          <w:iCs/>
          <w:bdr w:val="none" w:sz="0" w:space="0" w:color="auto" w:frame="1"/>
          <w:lang w:eastAsia="en-US"/>
        </w:rPr>
        <w:t>Guille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is a paradigmatic case for strict liability.</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(a) The risk</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0EC29F8" w14:textId="1B757D34"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These are, of course, the six factors in</w:t>
      </w:r>
      <w:r w:rsidRPr="750671CE">
        <w:rPr>
          <w:rFonts w:ascii="Times New Roman,Cambria" w:eastAsia="Times New Roman,Cambria" w:hAnsi="Times New Roman,Cambria" w:cs="Times New Roman,Cambria"/>
          <w:lang w:eastAsia="en-US"/>
        </w:rPr>
        <w:t> </w:t>
      </w:r>
      <w:r w:rsidRPr="750671CE">
        <w:rPr>
          <w:rFonts w:ascii="Times New Roman,ＭＳ ゴシック" w:eastAsia="Times New Roman,ＭＳ ゴシック" w:hAnsi="Times New Roman,ＭＳ ゴシック" w:cs="Times New Roman,ＭＳ ゴシック"/>
          <w:bdr w:val="none" w:sz="0" w:space="0" w:color="auto" w:frame="1"/>
          <w:lang w:eastAsia="en-US"/>
        </w:rPr>
        <w:t>section 520</w:t>
      </w:r>
      <w:r w:rsidRPr="00482DB1">
        <w:rPr>
          <w:rFonts w:ascii="Times New Roman" w:eastAsia="Times New Roman" w:hAnsi="Times New Roman" w:cs="Times New Roman"/>
          <w:lang w:eastAsia="en-US"/>
        </w:rPr>
        <w:t>.</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bdr w:val="none" w:sz="0" w:space="0" w:color="auto" w:frame="1"/>
          <w:lang w:eastAsia="en-US"/>
        </w:rPr>
        <w:t>They are related to each other in that each is a different facet of</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750671CE">
        <w:rPr>
          <w:rFonts w:ascii="Times New Roman,Cambria" w:eastAsia="Times New Roman,Cambria" w:hAnsi="Times New Roman,Cambria" w:cs="Times New Roman,Cambria"/>
          <w:bdr w:val="none" w:sz="0" w:space="0" w:color="auto" w:frame="1"/>
          <w:lang w:eastAsia="en-US"/>
        </w:rPr>
        <w:t xml:space="preserve"> . . .</w:t>
      </w:r>
      <w:r w:rsidRPr="00482DB1">
        <w:rPr>
          <w:rFonts w:ascii="Times New Roman" w:eastAsia="Times New Roman" w:hAnsi="Times New Roman" w:cs="Times New Roman"/>
          <w:lang w:eastAsia="en-US"/>
        </w:rPr>
        <w:t xml:space="preserve"> The baseline common law regime of tort liability is negligence.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bdr w:val="none" w:sz="0" w:space="0" w:color="auto" w:frame="1"/>
          <w:lang w:eastAsia="en-US"/>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 .  Shavell,</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Strict Liability versus Negligence</w:t>
      </w:r>
      <w:r w:rsidRPr="00482DB1">
        <w:rPr>
          <w:rFonts w:ascii="Times New Roman" w:eastAsia="Times New Roman" w:hAnsi="Times New Roman" w:cs="Times New Roman"/>
          <w:bdr w:val="none" w:sz="0" w:space="0" w:color="auto" w:frame="1"/>
          <w:lang w:eastAsia="en-US"/>
        </w:rPr>
        <w:t xml:space="preserve">, 9 </w:t>
      </w:r>
      <w:r w:rsidRPr="00F94B7E">
        <w:rPr>
          <w:rFonts w:ascii="Times New Roman" w:eastAsia="Times New Roman" w:hAnsi="Times New Roman" w:cs="Times New Roman"/>
          <w:smallCaps/>
          <w:bdr w:val="none" w:sz="0" w:space="0" w:color="auto" w:frame="1"/>
          <w:lang w:eastAsia="en-US"/>
        </w:rPr>
        <w:t>J. Legal Stud.</w:t>
      </w:r>
      <w:r w:rsidRPr="00482DB1">
        <w:rPr>
          <w:rFonts w:ascii="Times New Roman" w:eastAsia="Times New Roman" w:hAnsi="Times New Roman" w:cs="Times New Roman"/>
          <w:bdr w:val="none" w:sz="0" w:space="0" w:color="auto" w:frame="1"/>
          <w:lang w:eastAsia="en-US"/>
        </w:rPr>
        <w:t xml:space="preserve"> 1 (1980).</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By making the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actor strictly liable</w:t>
      </w:r>
      <w:r w:rsidR="00F30F68">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by denying him in other words an excuse based on his inability to avoid accidents by being more careful</w:t>
      </w:r>
      <w:r w:rsidR="00F30F68">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482DB1">
        <w:rPr>
          <w:rFonts w:ascii="Times New Roman" w:eastAsia="Times New Roman" w:hAnsi="Times New Roman" w:cs="Times New Roman"/>
          <w:lang w:eastAsia="en-US"/>
        </w:rPr>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3034B064" w14:textId="0F102D0F"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The largest class of cases in which strict liability has been imposed under the standard codified in the </w:t>
      </w:r>
      <w:r w:rsidRPr="00F94B7E">
        <w:rPr>
          <w:rFonts w:ascii="Times New Roman" w:eastAsia="Times New Roman" w:hAnsi="Times New Roman" w:cs="Times New Roman"/>
          <w:i/>
          <w:bdr w:val="none" w:sz="0" w:space="0" w:color="auto" w:frame="1"/>
          <w:lang w:eastAsia="en-US"/>
        </w:rPr>
        <w:t>Second Restatement of Torts</w:t>
      </w:r>
      <w:r w:rsidRPr="00482DB1">
        <w:rPr>
          <w:rFonts w:ascii="Times New Roman" w:eastAsia="Times New Roman" w:hAnsi="Times New Roman" w:cs="Times New Roman"/>
          <w:bdr w:val="none" w:sz="0" w:space="0" w:color="auto" w:frame="1"/>
          <w:lang w:eastAsia="en-US"/>
        </w:rPr>
        <w:t xml:space="preserve"> involves the use of dynamite and other explosives for demolition in residential or urban areas. </w:t>
      </w:r>
      <w:r w:rsidRPr="00F94B7E">
        <w:rPr>
          <w:rFonts w:ascii="Times New Roman" w:eastAsia="Times New Roman" w:hAnsi="Times New Roman" w:cs="Times New Roman"/>
          <w:smallCaps/>
          <w:bdr w:val="none" w:sz="0" w:space="0" w:color="auto" w:frame="1"/>
          <w:lang w:eastAsia="en-US"/>
        </w:rPr>
        <w:t>Restatement</w:t>
      </w:r>
      <w:r w:rsidRPr="00482DB1">
        <w:rPr>
          <w:rFonts w:ascii="Times New Roman" w:eastAsia="Times New Roman" w:hAnsi="Times New Roman" w:cs="Times New Roman"/>
          <w:bdr w:val="none" w:sz="0" w:space="0" w:color="auto" w:frame="1"/>
          <w:lang w:eastAsia="en-US"/>
        </w:rPr>
        <w:t>,</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supra</w:t>
      </w:r>
      <w:r w:rsidRPr="00482DB1">
        <w:rPr>
          <w:rFonts w:ascii="Times New Roman" w:eastAsia="Times New Roman" w:hAnsi="Times New Roman" w:cs="Times New Roman"/>
          <w:bdr w:val="none" w:sz="0" w:space="0" w:color="auto" w:frame="1"/>
          <w:lang w:eastAsia="en-US"/>
        </w:rPr>
        <w:t>, § 519, cmt</w:t>
      </w:r>
      <w:r w:rsidR="00F30F68">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lang w:eastAsia="en-US"/>
        </w:rPr>
        <w:t>Blasting is not a commonplace activity</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like driving a car, or so superior to substitute methods of demolition that the imposition of liability is unlikely to have any effect except to raise the activity</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costs.</w:t>
      </w:r>
    </w:p>
    <w:p w14:paraId="705FB18F"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22BB4DC" w14:textId="0308ABA6"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Against this background we turn to the particulars of acrylonitrile. [W]</w:t>
      </w:r>
      <w:r w:rsidRPr="00482DB1">
        <w:rPr>
          <w:rFonts w:ascii="Times New Roman" w:eastAsia="Times New Roman" w:hAnsi="Times New Roman" w:cs="Times New Roman"/>
          <w:bdr w:val="none" w:sz="0" w:space="0" w:color="auto" w:frame="1"/>
          <w:lang w:eastAsia="en-US"/>
        </w:rPr>
        <w:t>e have been given no reason . . . for believing that a negligence regime is not perfectly adequate to remedy and deter, at reasonable cost, the accidental spillage of acrylonitrile from rail cars. . . . [A]lthough acrylonitrile is flammable even</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at relatively low temperatures, and toxic, it is not so corrosive or otherwise destructive that it will eat through or otherwise damage or weaken a tank car</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s valves although they are maintained with due (which essentially means, with average) care. No one suggests, therefore, that the leak in this case was caused by the</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inherent</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properties of acrylonitrile.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lang w:eastAsia="en-US"/>
        </w:rPr>
        <w:t>It was caused by carelessness</w:t>
      </w:r>
      <w:r w:rsidR="00D311CD">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29576A8D" w14:textId="484733F9"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 xml:space="preserve">It is true that the district court purported to find as a fact that there is an inevitable risk of derailment or other calamity in transporting </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large quantities of anything.</w:t>
      </w:r>
      <w:r w:rsidR="00B05F31">
        <w:rPr>
          <w:rFonts w:ascii="Times New Roman" w:eastAsia="Times New Roman" w:hAnsi="Times New Roman" w:cs="Times New Roman"/>
          <w:bdr w:val="none" w:sz="0" w:space="0" w:color="auto" w:frame="1"/>
          <w:lang w:eastAsia="en-US"/>
        </w:rPr>
        <w:t>”</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 . This is</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not a finding of fact, but a truism: anything can happen. The question is, how likely is this type of accident if the actor uses due care?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lang w:eastAsia="en-US"/>
        </w:rPr>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devastating</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 xml:space="preserve"> effects on the chemical industry if the district court</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 xml:space="preserve">by being careful is an argument </w:t>
      </w:r>
      <w:r w:rsidRPr="750671CE">
        <w:rPr>
          <w:rFonts w:ascii="Times New Roman" w:eastAsia="Times New Roman" w:hAnsi="Times New Roman" w:cs="Times New Roman"/>
          <w:i/>
          <w:iCs/>
          <w:bdr w:val="none" w:sz="0" w:space="0" w:color="auto" w:frame="1"/>
          <w:lang w:eastAsia="en-US"/>
        </w:rPr>
        <w:t>against</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strict liability.</w:t>
      </w:r>
      <w:r w:rsidR="005A5833">
        <w:rPr>
          <w:rFonts w:ascii="Times New Roman" w:eastAsia="Times New Roman" w:hAnsi="Times New Roman" w:cs="Times New Roman"/>
          <w:lang w:eastAsia="en-US"/>
        </w:rPr>
        <w:t xml:space="preserve"> . . .</w:t>
      </w:r>
    </w:p>
    <w:p w14:paraId="015037A4"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7D73316B" w14:textId="6C37449A"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district judge and the plaintiff</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lawyer make much of the fact that the spill occurred in a densely inhabited metropolitan area. Only 4,000 gallons spilled; what if all 20,000 had done so? Isn</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t</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largest railroad hubs. In 1983, the latest date for which we have figures, Chicago</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and certainly not demonstrated by the plaintiff</w:t>
      </w:r>
      <w:r w:rsidR="00D311CD">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are not subject to strict liability for the carriage of materials that make the transportation of them abnormally dangerous, because a common carrier cannot refuse service to a shipper of a lawful commodity.</w:t>
      </w:r>
      <w:r w:rsidRPr="750671CE">
        <w:rPr>
          <w:rFonts w:ascii="Times New Roman,Cambria" w:eastAsia="Times New Roman,Cambria" w:hAnsi="Times New Roman,Cambria" w:cs="Times New Roman,Cambria"/>
          <w:lang w:eastAsia="en-US"/>
        </w:rPr>
        <w:t> </w:t>
      </w:r>
      <w:r w:rsidRPr="00F94B7E">
        <w:rPr>
          <w:rFonts w:ascii="Times New Roman" w:eastAsia="Times New Roman" w:hAnsi="Times New Roman" w:cs="Times New Roman"/>
          <w:smallCaps/>
          <w:bdr w:val="none" w:sz="0" w:space="0" w:color="auto" w:frame="1"/>
          <w:lang w:eastAsia="en-US"/>
        </w:rPr>
        <w:t>Restatement</w:t>
      </w:r>
      <w:r w:rsidRPr="00482DB1">
        <w:rPr>
          <w:rFonts w:ascii="Times New Roman" w:eastAsia="Times New Roman" w:hAnsi="Times New Roman" w:cs="Times New Roman"/>
          <w:bdr w:val="none" w:sz="0" w:space="0" w:color="auto" w:frame="1"/>
          <w:lang w:eastAsia="en-US"/>
        </w:rPr>
        <w:t>,</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supra</w:t>
      </w:r>
      <w:r w:rsidRPr="00482DB1">
        <w:rPr>
          <w:rFonts w:ascii="Times New Roman" w:eastAsia="Times New Roman" w:hAnsi="Times New Roman" w:cs="Times New Roman"/>
          <w:bdr w:val="none" w:sz="0" w:space="0" w:color="auto" w:frame="1"/>
          <w:lang w:eastAsia="en-US"/>
        </w:rPr>
        <w:t xml:space="preserve">, § 521. Two courts, however, have rejected the common carrier exception. . . . </w:t>
      </w:r>
      <w:r w:rsidRPr="00482DB1">
        <w:rPr>
          <w:rFonts w:ascii="Times New Roman" w:eastAsia="Times New Roman" w:hAnsi="Times New Roman" w:cs="Times New Roman"/>
          <w:lang w:eastAsia="en-US"/>
        </w:rPr>
        <w:t>If it were rejected in Illinois, this would weaken still further the case for imposing strict liability on shippers whose goods pass through the densely inhabited portions of the state.</w:t>
      </w:r>
    </w:p>
    <w:p w14:paraId="5A79F7AD" w14:textId="517F19D5"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difference between shipper and carrier points to a deep flaw in the plaintiff</w:t>
      </w:r>
      <w:r w:rsidR="00B05F31">
        <w:rPr>
          <w:rFonts w:ascii="Times New Roman" w:eastAsia="Times New Roman" w:hAnsi="Times New Roman" w:cs="Times New Roman"/>
          <w:bdr w:val="none" w:sz="0" w:space="0" w:color="auto" w:frame="1"/>
          <w:lang w:eastAsia="en-US"/>
        </w:rPr>
        <w:t>’</w:t>
      </w:r>
      <w:r w:rsidRPr="00482DB1">
        <w:rPr>
          <w:rFonts w:ascii="Times New Roman" w:eastAsia="Times New Roman" w:hAnsi="Times New Roman" w:cs="Times New Roman"/>
          <w:bdr w:val="none" w:sz="0" w:space="0" w:color="auto" w:frame="1"/>
          <w:lang w:eastAsia="en-US"/>
        </w:rPr>
        <w:t xml:space="preserve">s case. Unlike </w:t>
      </w:r>
      <w:r w:rsidRPr="750671CE">
        <w:rPr>
          <w:rFonts w:ascii="Times New Roman" w:eastAsia="Times New Roman" w:hAnsi="Times New Roman" w:cs="Times New Roman"/>
          <w:i/>
          <w:iCs/>
          <w:bdr w:val="none" w:sz="0" w:space="0" w:color="auto" w:frame="1"/>
          <w:lang w:eastAsia="en-US"/>
        </w:rPr>
        <w:t>Guille</w:t>
      </w:r>
      <w:r w:rsidRPr="00482DB1">
        <w:rPr>
          <w:rFonts w:ascii="Times New Roman" w:eastAsia="Times New Roman" w:hAnsi="Times New Roman" w:cs="Times New Roman"/>
          <w:bdr w:val="none" w:sz="0" w:space="0" w:color="auto" w:frame="1"/>
          <w:lang w:eastAsia="en-US"/>
        </w:rPr>
        <w:t xml:space="preserve"> . . . and unlike the storage cases, beginning with</w:t>
      </w:r>
      <w:r w:rsidRPr="750671CE">
        <w:rPr>
          <w:rFonts w:ascii="Times New Roman,Cambria" w:eastAsia="Times New Roman,Cambria" w:hAnsi="Times New Roman,Cambria" w:cs="Times New Roman,Cambria"/>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Rylands</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itself, here it is not the actors</w:t>
      </w:r>
      <w:r w:rsidR="00D311CD">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that is, the transporters of acrylonitrile and other chemicals</w:t>
      </w:r>
      <w:r w:rsidR="00D311CD">
        <w:rPr>
          <w:rFonts w:ascii="Times New Roman" w:eastAsia="Times New Roman" w:hAnsi="Times New Roman" w:cs="Times New Roman"/>
          <w:lang w:eastAsia="en-US"/>
        </w:rPr>
        <w:t>—</w:t>
      </w:r>
      <w:r w:rsidRPr="00482DB1">
        <w:rPr>
          <w:rFonts w:ascii="Times New Roman" w:eastAsia="Times New Roman" w:hAnsi="Times New Roman" w:cs="Times New Roman"/>
          <w:bdr w:val="none" w:sz="0" w:space="0" w:color="auto" w:frame="1"/>
          <w:lang w:eastAsia="en-US"/>
        </w:rPr>
        <w:t>but the manufacturers, who are sought to be held strictly liable. . . . A shipper can . . .  designate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the route of his shipment if he likes,</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 .  but is it realistic to suppose that shippers will become students of railroading in order to lay out the safest route by which to ship their goods?</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lang w:eastAsia="en-US"/>
        </w:rPr>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AA1CD60" w14:textId="5B6535CA"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bdr w:val="none" w:sz="0" w:space="0" w:color="auto" w:frame="1"/>
          <w:lang w:eastAsia="en-US"/>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 . . </w:t>
      </w:r>
      <w:r w:rsidR="00F31881">
        <w:rPr>
          <w:rFonts w:ascii="Times New Roman" w:eastAsia="Times New Roman" w:hAnsi="Times New Roman" w:cs="Times New Roman"/>
          <w:bdr w:val="none" w:sz="0" w:space="0" w:color="auto" w:frame="1"/>
          <w:lang w:eastAsia="en-US"/>
        </w:rPr>
        <w:t xml:space="preserve"> </w:t>
      </w:r>
      <w:r w:rsidRPr="00482DB1">
        <w:rPr>
          <w:rFonts w:ascii="Times New Roman" w:eastAsia="Times New Roman" w:hAnsi="Times New Roman" w:cs="Times New Roman"/>
          <w:bdr w:val="none" w:sz="0" w:space="0" w:color="auto" w:frame="1"/>
          <w:lang w:eastAsia="en-US"/>
        </w:rPr>
        <w:t>Natural gas is both flammable and poisonous, but the operation of a natural gas well is not an ultrahazardous activity.</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 .  [T]he manufacturer of a product is not considered to be engaged in an abnormally dangerous activity merely because the product becomes dangerous when it is handled or used in some way after it leaves his premises, even if the danger is foreseeable.</w:t>
      </w:r>
      <w:r w:rsidRPr="750671CE">
        <w:rPr>
          <w:rFonts w:ascii="Times New Roman,Cambria" w:eastAsia="Times New Roman,Cambria" w:hAnsi="Times New Roman,Cambria" w:cs="Times New Roman,Cambria"/>
          <w:bdr w:val="none" w:sz="0" w:space="0" w:color="auto" w:frame="1"/>
          <w:lang w:eastAsia="en-US"/>
        </w:rPr>
        <w:t> </w:t>
      </w:r>
      <w:r w:rsidRPr="00482DB1">
        <w:rPr>
          <w:rFonts w:ascii="Times New Roman" w:eastAsia="Times New Roman" w:hAnsi="Times New Roman" w:cs="Times New Roman"/>
          <w:bdr w:val="none" w:sz="0" w:space="0" w:color="auto" w:frame="1"/>
          <w:lang w:eastAsia="en-US"/>
        </w:rPr>
        <w:t xml:space="preserve">. . . </w:t>
      </w:r>
      <w:r w:rsidRPr="00482DB1">
        <w:rPr>
          <w:rFonts w:ascii="Times New Roman" w:eastAsia="Times New Roman" w:hAnsi="Times New Roman" w:cs="Times New Roman"/>
          <w:lang w:eastAsia="en-US"/>
        </w:rPr>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BC8C826" w14:textId="18550DD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perhaps quixotically</w:t>
      </w:r>
      <w:r w:rsidR="00D311CD">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incentives to relocate the activity to nonpopulated areas, or to reduce the scale of the activity, or to switch to transporting acrylonitrile by road rather than by rail. . . . It is no more</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Hare.</w:t>
      </w:r>
    </w:p>
    <w:p w14:paraId="70B33537" w14:textId="77777777" w:rsidR="00C85B70" w:rsidRPr="00482DB1" w:rsidRDefault="00C85B70" w:rsidP="00482DB1">
      <w:pPr>
        <w:shd w:val="clear" w:color="auto" w:fill="FFFFFF"/>
        <w:textAlignment w:val="baseline"/>
        <w:rPr>
          <w:rFonts w:ascii="Times New Roman" w:eastAsia="Times New Roman" w:hAnsi="Times New Roman" w:cs="Times New Roman"/>
          <w:lang w:eastAsia="en-US"/>
        </w:rPr>
      </w:pPr>
    </w:p>
    <w:p w14:paraId="260D6FE6" w14:textId="2EC0A0CF" w:rsidR="00C85B70" w:rsidRPr="00482DB1" w:rsidRDefault="00C85B70" w:rsidP="750671CE">
      <w:pPr>
        <w:shd w:val="clear" w:color="auto" w:fill="FFFFFF" w:themeFill="background1"/>
        <w:ind w:firstLine="720"/>
        <w:textAlignment w:val="baseline"/>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The briefs hew closely to the Restatement, whose approach to the issue of strict liability is mainly</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i/>
          <w:iCs/>
          <w:bdr w:val="none" w:sz="0" w:space="0" w:color="auto" w:frame="1"/>
          <w:lang w:eastAsia="en-US"/>
        </w:rPr>
        <w:t>allocative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rather than</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i/>
          <w:iCs/>
          <w:bdr w:val="none" w:sz="0" w:space="0" w:color="auto" w:frame="1"/>
          <w:lang w:eastAsia="en-US"/>
        </w:rPr>
        <w:t>distributive</w:t>
      </w:r>
      <w:r w:rsidRPr="00482DB1">
        <w:rPr>
          <w:rFonts w:ascii="Times New Roman" w:eastAsia="Times New Roman" w:hAnsi="Times New Roman" w:cs="Times New Roman"/>
          <w:lang w:eastAsia="en-US"/>
        </w:rPr>
        <w:t>. By this we mean that the emphasis is on picking a liability regime</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(negligence or strict liability) that will control the particular class of accidents in question most effectively, rather than on finding the deepest pocket and placing liability there. At argument, however, the plaintiff</w:t>
      </w:r>
      <w:r w:rsidR="00B05F31">
        <w:rPr>
          <w:rFonts w:ascii="Times New Roman" w:eastAsia="Times New Roman" w:hAnsi="Times New Roman" w:cs="Times New Roman"/>
          <w:lang w:eastAsia="en-US"/>
        </w:rPr>
        <w:t>’</w:t>
      </w:r>
      <w:r w:rsidRPr="00482DB1">
        <w:rPr>
          <w:rFonts w:ascii="Times New Roman" w:eastAsia="Times New Roman" w:hAnsi="Times New Roman" w:cs="Times New Roman"/>
          <w:lang w:eastAsia="en-US"/>
        </w:rPr>
        <w:t>s lawyer invoked distributive considerations by pointing out that Cyanamid is a huge firm and the Indiana Harbor Belt Railroad a fifty-mile-long switching line that almost went broke in the winter of 1979, when the accident occurred. Well, so what?</w:t>
      </w:r>
      <w:r w:rsidRPr="750671CE">
        <w:rPr>
          <w:rFonts w:ascii="Times New Roman,Cambria" w:eastAsia="Times New Roman,Cambria" w:hAnsi="Times New Roman,Cambria" w:cs="Times New Roman,Cambria"/>
          <w:lang w:eastAsia="en-US"/>
        </w:rPr>
        <w:t> </w:t>
      </w:r>
      <w:r w:rsidRPr="00482DB1">
        <w:rPr>
          <w:rFonts w:ascii="Times New Roman" w:eastAsia="Times New Roman" w:hAnsi="Times New Roman" w:cs="Times New Roman"/>
          <w:lang w:eastAsia="en-US"/>
        </w:rPr>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C4A99F4" w14:textId="4764E097" w:rsidR="00C85B70" w:rsidRPr="00482DB1" w:rsidRDefault="750671CE" w:rsidP="750671CE">
      <w:pPr>
        <w:shd w:val="clear" w:color="auto" w:fill="FFFFFF" w:themeFill="background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judgment is reversed . . . and the case remanded for further proceedings, consistent with this opinion, on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claim for negligence.</w:t>
      </w:r>
    </w:p>
    <w:p w14:paraId="7500F031"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400B7DBD" w14:textId="12009DC4" w:rsidR="00C85B70" w:rsidRPr="00482DB1" w:rsidRDefault="005A5833" w:rsidP="750671CE">
      <w:pPr>
        <w:shd w:val="clear" w:color="auto" w:fill="FFFFFF" w:themeFill="background1"/>
        <w:ind w:firstLine="720"/>
        <w:textAlignment w:val="baseline"/>
        <w:rPr>
          <w:rFonts w:ascii="Times New Roman" w:eastAsia="Times New Roman" w:hAnsi="Times New Roman" w:cs="Times New Roman"/>
          <w:lang w:eastAsia="en-US"/>
        </w:rPr>
      </w:pPr>
      <w:r>
        <w:rPr>
          <w:rFonts w:ascii="Times New Roman" w:eastAsia="Times New Roman" w:hAnsi="Times New Roman" w:cs="Times New Roman"/>
          <w:lang w:eastAsia="en-US"/>
        </w:rPr>
        <w:t>Reversed and remanded, with directions.</w:t>
      </w:r>
    </w:p>
    <w:p w14:paraId="13E391E8" w14:textId="77777777" w:rsidR="00C85B70" w:rsidRPr="00482DB1" w:rsidRDefault="00C85B70" w:rsidP="00482DB1">
      <w:pPr>
        <w:shd w:val="clear" w:color="auto" w:fill="FFFFFF"/>
        <w:ind w:firstLine="720"/>
        <w:textAlignment w:val="baseline"/>
        <w:rPr>
          <w:rFonts w:ascii="Times New Roman" w:eastAsia="Times New Roman" w:hAnsi="Times New Roman" w:cs="Times New Roman"/>
          <w:lang w:eastAsia="en-US"/>
        </w:rPr>
      </w:pPr>
    </w:p>
    <w:p w14:paraId="1C612762" w14:textId="77777777" w:rsidR="00C85B70" w:rsidRPr="00C85B70" w:rsidRDefault="00C85B70" w:rsidP="00C85B70">
      <w:pPr>
        <w:shd w:val="clear" w:color="auto" w:fill="FFFFFF"/>
        <w:spacing w:line="288" w:lineRule="atLeast"/>
        <w:ind w:firstLine="720"/>
        <w:textAlignment w:val="baseline"/>
        <w:rPr>
          <w:rFonts w:ascii="Times New Roman" w:eastAsia="Times New Roman" w:hAnsi="Times New Roman" w:cs="Times New Roman"/>
          <w:color w:val="333333"/>
          <w:lang w:eastAsia="en-US"/>
        </w:rPr>
      </w:pPr>
    </w:p>
    <w:p w14:paraId="5630939F" w14:textId="2583D844" w:rsidR="00C85B70" w:rsidRPr="00C85B70" w:rsidRDefault="00C85B70" w:rsidP="002502CC">
      <w:pPr>
        <w:pStyle w:val="Heading4"/>
      </w:pPr>
      <w:bookmarkStart w:id="896" w:name="_Toc267525099"/>
      <w:bookmarkStart w:id="897" w:name="_Toc364636259"/>
      <w:bookmarkStart w:id="898" w:name="_Toc518323518"/>
      <w:r w:rsidRPr="00C85B70">
        <w:t>Note</w:t>
      </w:r>
      <w:bookmarkEnd w:id="896"/>
      <w:r w:rsidR="00482DB1">
        <w:t>s</w:t>
      </w:r>
      <w:bookmarkEnd w:id="897"/>
      <w:bookmarkEnd w:id="898"/>
    </w:p>
    <w:p w14:paraId="209C1D5F" w14:textId="77777777" w:rsidR="00C85B70" w:rsidRDefault="00C85B70" w:rsidP="00C85B70">
      <w:pPr>
        <w:spacing w:line="288" w:lineRule="atLeast"/>
        <w:rPr>
          <w:rFonts w:ascii="Times New Roman" w:eastAsia="Times New Roman" w:hAnsi="Times New Roman" w:cs="Times New Roman"/>
          <w:color w:val="333333"/>
          <w:lang w:eastAsia="en-US"/>
        </w:rPr>
      </w:pPr>
    </w:p>
    <w:p w14:paraId="00D543AD" w14:textId="77777777" w:rsidR="00910387" w:rsidRPr="00C85B70" w:rsidRDefault="00910387" w:rsidP="00C85B70">
      <w:pPr>
        <w:spacing w:line="288" w:lineRule="atLeast"/>
        <w:rPr>
          <w:rFonts w:ascii="Times New Roman" w:eastAsia="Times New Roman" w:hAnsi="Times New Roman" w:cs="Times New Roman"/>
          <w:color w:val="333333"/>
          <w:lang w:eastAsia="en-US"/>
        </w:rPr>
      </w:pPr>
    </w:p>
    <w:p w14:paraId="201F7A7D" w14:textId="72FB22CF" w:rsidR="00C85B70" w:rsidRPr="00F94B7E" w:rsidRDefault="750671CE" w:rsidP="00F94B7E">
      <w:pPr>
        <w:pStyle w:val="ListParagraph"/>
        <w:numPr>
          <w:ilvl w:val="0"/>
          <w:numId w:val="33"/>
        </w:numPr>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Commentary on </w:t>
      </w:r>
      <w:r w:rsidRPr="00291FE7">
        <w:rPr>
          <w:rFonts w:ascii="Times New Roman" w:eastAsia="Times New Roman" w:hAnsi="Times New Roman" w:cs="Times New Roman"/>
          <w:iCs/>
          <w:lang w:eastAsia="en-US"/>
        </w:rPr>
        <w:t>Indiana Harbor Belt Railroad</w:t>
      </w:r>
      <w:r w:rsidRPr="00F94B7E">
        <w:rPr>
          <w:rFonts w:ascii="Times New Roman" w:eastAsia="Times New Roman" w:hAnsi="Times New Roman" w:cs="Times New Roman"/>
          <w:lang w:eastAsia="en-US"/>
        </w:rPr>
        <w:t>.  A number of scholars have weighed in on Judge Posner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According to Professor David Rosenberg, Judge Posner took an unnecessarily narrow view of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potential benefits. Instead of recognizing that strict liability could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reduce the frequency and amount of risky activity,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Judge Posner only focused on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ability to end dangerous activities, thus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dismissing strict liability</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potential benefits.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David Rosenberg, </w:t>
      </w:r>
      <w:r w:rsidRPr="00F94B7E">
        <w:rPr>
          <w:rFonts w:ascii="Times New Roman" w:eastAsia="Times New Roman" w:hAnsi="Times New Roman" w:cs="Times New Roman"/>
          <w:i/>
          <w:iCs/>
          <w:lang w:eastAsia="en-US"/>
        </w:rPr>
        <w:t>The Judicial Posner on Negligence Versus Strict Liability:</w:t>
      </w:r>
      <w:r w:rsidRPr="00F94B7E">
        <w:rPr>
          <w:rFonts w:ascii="Times New Roman" w:eastAsia="Times New Roman" w:hAnsi="Times New Roman" w:cs="Times New Roman"/>
          <w:lang w:eastAsia="en-US"/>
        </w:rPr>
        <w:t xml:space="preserve"> Indiana Harbor Belt R</w:t>
      </w:r>
      <w:r w:rsidR="00D311CD">
        <w:rPr>
          <w:rFonts w:ascii="Times New Roman" w:eastAsia="Times New Roman" w:hAnsi="Times New Roman" w:cs="Times New Roman"/>
          <w:lang w:eastAsia="en-US"/>
        </w:rPr>
        <w:t>ailroad</w:t>
      </w:r>
      <w:r w:rsidRPr="00F94B7E">
        <w:rPr>
          <w:rFonts w:ascii="Times New Roman" w:eastAsia="Times New Roman" w:hAnsi="Times New Roman" w:cs="Times New Roman"/>
          <w:lang w:eastAsia="en-US"/>
        </w:rPr>
        <w:t xml:space="preserve"> Co. v. American Cyanamid Co., 120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1210, 1216 (2007). </w:t>
      </w:r>
    </w:p>
    <w:p w14:paraId="72AAD0FE" w14:textId="77777777" w:rsidR="00C85B70" w:rsidRPr="00482DB1" w:rsidRDefault="00C85B70" w:rsidP="00482DB1">
      <w:pPr>
        <w:tabs>
          <w:tab w:val="left" w:pos="2007"/>
        </w:tabs>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b/>
      </w:r>
    </w:p>
    <w:p w14:paraId="1E209A56" w14:textId="4ACCA30D" w:rsidR="00C85B70" w:rsidRPr="00482DB1" w:rsidRDefault="00C85B70" w:rsidP="750671CE">
      <w:pPr>
        <w:tabs>
          <w:tab w:val="left" w:pos="720"/>
        </w:tabs>
        <w:rPr>
          <w:rFonts w:ascii="Times New Roman" w:eastAsia="Times New Roman" w:hAnsi="Times New Roman" w:cs="Times New Roman"/>
          <w:lang w:eastAsia="en-US"/>
        </w:rPr>
      </w:pPr>
      <w:r w:rsidRPr="00482DB1">
        <w:rPr>
          <w:rFonts w:ascii="Times New Roman" w:eastAsia="Times New Roman" w:hAnsi="Times New Roman" w:cs="Times New Roman"/>
          <w:lang w:eastAsia="en-US"/>
        </w:rPr>
        <w:tab/>
        <w:t xml:space="preserve">According to Professor Alan Sykes, Judge Posner could have held that the appellant, Indiana Harbor Belt Railroad, assumed the risk by accepting shipments from the appellee, American Cyanamid Company. Alan O. Sykes, </w:t>
      </w:r>
      <w:r w:rsidRPr="750671CE">
        <w:rPr>
          <w:rFonts w:ascii="Times New Roman" w:eastAsia="Times New Roman" w:hAnsi="Times New Roman" w:cs="Times New Roman"/>
          <w:i/>
          <w:iCs/>
          <w:lang w:eastAsia="en-US"/>
        </w:rPr>
        <w:t xml:space="preserve">Strict Liability Versus Negligence in </w:t>
      </w:r>
      <w:r w:rsidRPr="00482DB1">
        <w:rPr>
          <w:rFonts w:ascii="Times New Roman" w:eastAsia="Times New Roman" w:hAnsi="Times New Roman" w:cs="Times New Roman"/>
          <w:lang w:eastAsia="en-US"/>
        </w:rPr>
        <w:t xml:space="preserve">Indiana Harbor, 74 </w:t>
      </w:r>
      <w:r w:rsidRPr="00482DB1">
        <w:rPr>
          <w:rFonts w:ascii="Times New Roman" w:eastAsia="Times New Roman" w:hAnsi="Times New Roman" w:cs="Times New Roman"/>
          <w:smallCaps/>
          <w:lang w:eastAsia="en-US"/>
        </w:rPr>
        <w:t>U. Chi. L. Rev</w:t>
      </w:r>
      <w:r w:rsidRPr="00482DB1">
        <w:rPr>
          <w:rFonts w:ascii="Times New Roman" w:eastAsia="Times New Roman" w:hAnsi="Times New Roman" w:cs="Times New Roman"/>
          <w:lang w:eastAsia="en-US"/>
        </w:rPr>
        <w:t xml:space="preserve">. 1911, 1928-29 (2007). According to the Restatement (Second) of Torts, assumption of risk is a defense against liability arising from abnormally dangerous activities. </w:t>
      </w:r>
      <w:r w:rsidRPr="750671CE">
        <w:rPr>
          <w:rFonts w:ascii="Times New Roman" w:eastAsia="Times New Roman" w:hAnsi="Times New Roman" w:cs="Times New Roman"/>
          <w:smallCaps/>
          <w:lang w:eastAsia="en-US"/>
        </w:rPr>
        <w:t>Restatement (Second) of Torts</w:t>
      </w:r>
      <w:r w:rsidRPr="750671CE">
        <w:rPr>
          <w:rFonts w:ascii="Times New Roman" w:eastAsia="Times New Roman" w:hAnsi="Times New Roman" w:cs="Times New Roman"/>
          <w:lang w:eastAsia="en-US"/>
        </w:rPr>
        <w:t xml:space="preserve"> § 523 (1977). According to Professor Sykes, such an approach would have been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simpler way to dispose of the case than the questionable analysis of the Restatement factors to which Judge Posner devoted most of his opinion.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6E4ED4" w:rsidRPr="00F94B7E">
        <w:rPr>
          <w:rFonts w:ascii="Times New Roman" w:eastAsia="Times New Roman" w:hAnsi="Times New Roman" w:cs="Times New Roman"/>
          <w:i/>
          <w:lang w:eastAsia="en-US"/>
        </w:rPr>
        <w:t>Id</w:t>
      </w:r>
      <w:r w:rsidR="006E4ED4" w:rsidRPr="00482DB1">
        <w:rPr>
          <w:rFonts w:ascii="Times New Roman" w:eastAsia="Times New Roman" w:hAnsi="Times New Roman" w:cs="Times New Roman"/>
          <w:lang w:eastAsia="en-US"/>
        </w:rPr>
        <w:t>. at</w:t>
      </w:r>
      <w:r w:rsidRPr="00482DB1">
        <w:rPr>
          <w:rFonts w:ascii="Times New Roman" w:eastAsia="Times New Roman" w:hAnsi="Times New Roman" w:cs="Times New Roman"/>
          <w:lang w:eastAsia="en-US"/>
        </w:rPr>
        <w:t xml:space="preserve"> 1929. </w:t>
      </w:r>
      <w:r w:rsidRPr="750671CE">
        <w:rPr>
          <w:rFonts w:ascii="Times New Roman" w:eastAsia="Times New Roman" w:hAnsi="Times New Roman" w:cs="Times New Roman"/>
          <w:lang w:eastAsia="en-US"/>
        </w:rPr>
        <w:t xml:space="preserve"> </w:t>
      </w:r>
    </w:p>
    <w:p w14:paraId="63CD84AC" w14:textId="77777777" w:rsidR="00C85B70" w:rsidRPr="00482DB1" w:rsidRDefault="00C85B70" w:rsidP="00482DB1">
      <w:pPr>
        <w:rPr>
          <w:rFonts w:ascii="Times New Roman" w:eastAsia="Times New Roman" w:hAnsi="Times New Roman" w:cs="Times New Roman"/>
          <w:lang w:eastAsia="en-US"/>
        </w:rPr>
      </w:pPr>
    </w:p>
    <w:p w14:paraId="5E67937F" w14:textId="77777777" w:rsidR="00C85B70" w:rsidRPr="00482DB1"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According to Professor Klass, </w:t>
      </w:r>
      <w:r w:rsidRPr="750671CE">
        <w:rPr>
          <w:rFonts w:ascii="Times New Roman" w:eastAsia="Times New Roman" w:hAnsi="Times New Roman" w:cs="Times New Roman"/>
          <w:i/>
          <w:iCs/>
          <w:lang w:eastAsia="en-US"/>
        </w:rPr>
        <w:t>Indiana Harbor Belt Railroad</w:t>
      </w:r>
      <w:r w:rsidRPr="750671CE">
        <w:rPr>
          <w:rFonts w:ascii="Times New Roman" w:eastAsia="Times New Roman" w:hAnsi="Times New Roman" w:cs="Times New Roman"/>
          <w:lang w:eastAsia="en-US"/>
        </w:rPr>
        <w:t xml:space="preserve"> establishes an insurmountable standard for plaintiffs pleading strict liability in the Seventh Circuit: </w:t>
      </w:r>
    </w:p>
    <w:p w14:paraId="4692673F" w14:textId="77777777" w:rsidR="00C85B70" w:rsidRPr="00482DB1" w:rsidRDefault="00C85B70" w:rsidP="00482DB1">
      <w:pPr>
        <w:ind w:firstLine="720"/>
        <w:rPr>
          <w:rFonts w:ascii="Times New Roman" w:eastAsia="Times New Roman" w:hAnsi="Times New Roman" w:cs="Times New Roman"/>
          <w:lang w:eastAsia="en-US"/>
        </w:rPr>
      </w:pPr>
    </w:p>
    <w:p w14:paraId="798FBC3E" w14:textId="2773580F" w:rsidR="00C85B70" w:rsidRPr="00482DB1"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By [</w:t>
      </w:r>
      <w:r w:rsidRPr="750671CE">
        <w:rPr>
          <w:rFonts w:ascii="Times New Roman" w:eastAsia="Times New Roman" w:hAnsi="Times New Roman" w:cs="Times New Roman"/>
          <w:i/>
          <w:iCs/>
          <w:lang w:eastAsia="en-US"/>
        </w:rPr>
        <w:t>Indiana Harbor Belt Railroad</w:t>
      </w:r>
      <w:r w:rsidRPr="750671CE">
        <w:rPr>
          <w:rFonts w:ascii="Times New Roman" w:eastAsia="Times New Roman" w:hAnsi="Times New Roman" w:cs="Times New Roman"/>
          <w:lang w:eastAsia="en-US"/>
        </w:rPr>
        <w:t>], the Seventh Circuit . . . set out a very narrow role for strict liability in modern tort law</w:t>
      </w:r>
      <w:r w:rsidR="00FC791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482DB1" w:rsidRDefault="00C85B70" w:rsidP="00482DB1">
      <w:pPr>
        <w:ind w:right="720"/>
        <w:rPr>
          <w:rFonts w:ascii="Times New Roman" w:eastAsia="Times New Roman" w:hAnsi="Times New Roman" w:cs="Times New Roman"/>
          <w:lang w:eastAsia="en-US"/>
        </w:rPr>
      </w:pPr>
    </w:p>
    <w:p w14:paraId="12888A7B" w14:textId="77777777" w:rsidR="00C85B70" w:rsidRPr="00482DB1" w:rsidRDefault="750671CE" w:rsidP="005A5833">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Alexandra B. Klass, </w:t>
      </w:r>
      <w:r w:rsidRPr="750671CE">
        <w:rPr>
          <w:rFonts w:ascii="Times New Roman" w:eastAsia="Times New Roman" w:hAnsi="Times New Roman" w:cs="Times New Roman"/>
          <w:i/>
          <w:iCs/>
          <w:lang w:eastAsia="en-US"/>
        </w:rPr>
        <w:t>From Reservoirs to Remediation: The Impact of CERCLA on Common Law Strict Liability Environmental Claims</w:t>
      </w:r>
      <w:r w:rsidRPr="750671CE">
        <w:rPr>
          <w:rFonts w:ascii="Times New Roman" w:eastAsia="Times New Roman" w:hAnsi="Times New Roman" w:cs="Times New Roman"/>
          <w:lang w:eastAsia="en-US"/>
        </w:rPr>
        <w:t xml:space="preserve">, 39 </w:t>
      </w:r>
      <w:r w:rsidRPr="750671CE">
        <w:rPr>
          <w:rFonts w:ascii="Times New Roman" w:eastAsia="Times New Roman" w:hAnsi="Times New Roman" w:cs="Times New Roman"/>
          <w:smallCaps/>
          <w:lang w:eastAsia="en-US"/>
        </w:rPr>
        <w:t>Wake Forest L. Rev</w:t>
      </w:r>
      <w:r w:rsidRPr="750671CE">
        <w:rPr>
          <w:rFonts w:ascii="Times New Roman" w:eastAsia="Times New Roman" w:hAnsi="Times New Roman" w:cs="Times New Roman"/>
          <w:lang w:eastAsia="en-US"/>
        </w:rPr>
        <w:t>. 903, 960 (2004).</w:t>
      </w:r>
    </w:p>
    <w:p w14:paraId="1B3539BF" w14:textId="77777777" w:rsidR="00C85B70" w:rsidRDefault="00C85B70" w:rsidP="005A5833">
      <w:pPr>
        <w:rPr>
          <w:rFonts w:ascii="Times New Roman" w:eastAsia="Times New Roman" w:hAnsi="Times New Roman" w:cs="Times New Roman"/>
          <w:lang w:eastAsia="en-US"/>
        </w:rPr>
      </w:pPr>
    </w:p>
    <w:p w14:paraId="1091F3CE" w14:textId="77777777" w:rsidR="00910387" w:rsidRPr="00482DB1" w:rsidRDefault="00910387" w:rsidP="005A5833">
      <w:pPr>
        <w:rPr>
          <w:rFonts w:ascii="Times New Roman" w:eastAsia="Times New Roman" w:hAnsi="Times New Roman" w:cs="Times New Roman"/>
          <w:lang w:eastAsia="en-US"/>
        </w:rPr>
      </w:pPr>
    </w:p>
    <w:p w14:paraId="63F51C8A" w14:textId="76C0D654" w:rsidR="00C85B70" w:rsidRPr="00F94B7E" w:rsidRDefault="750671CE" w:rsidP="00F94B7E">
      <w:pPr>
        <w:pStyle w:val="ListParagraph"/>
        <w:numPr>
          <w:ilvl w:val="0"/>
          <w:numId w:val="3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shale revolution.</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The transformation in the American natural gas industry and the boom in the oil and gas business in places like North Dakota has arguably made </w:t>
      </w:r>
      <w:r w:rsidRPr="00F94B7E">
        <w:rPr>
          <w:rFonts w:ascii="Times New Roman" w:eastAsia="Times New Roman" w:hAnsi="Times New Roman" w:cs="Times New Roman"/>
          <w:i/>
          <w:iCs/>
          <w:lang w:eastAsia="en-US"/>
        </w:rPr>
        <w:t>Indiana Harbor Belt Railroad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holding more significant than ever.</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482DB1" w:rsidRDefault="00C85B70" w:rsidP="005A5833">
      <w:pPr>
        <w:rPr>
          <w:rFonts w:ascii="Times New Roman" w:eastAsia="Times New Roman" w:hAnsi="Times New Roman" w:cs="Times New Roman"/>
          <w:lang w:eastAsia="en-US"/>
        </w:rPr>
      </w:pPr>
    </w:p>
    <w:p w14:paraId="4AD30C37" w14:textId="5EEB46A1" w:rsidR="00C85B70" w:rsidRPr="00482DB1" w:rsidRDefault="750671CE" w:rsidP="005A5833">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increase in rail shipping, however, has led to a spate of accidents.  In July 2013</w:t>
      </w:r>
      <w:r w:rsidR="00F3188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rPr>
          <w:rFonts w:ascii="Times New Roman" w:eastAsia="Times New Roman" w:hAnsi="Times New Roman" w:cs="Times New Roman"/>
          <w:lang w:eastAsia="en-US"/>
        </w:rPr>
        <w:t xml:space="preserve"> Dakota</w:t>
      </w:r>
      <w:r w:rsidRPr="750671CE">
        <w:rPr>
          <w:rFonts w:ascii="Times New Roman" w:eastAsia="Times New Roman" w:hAnsi="Times New Roman" w:cs="Times New Roman"/>
          <w:lang w:eastAsia="en-US"/>
        </w:rPr>
        <w:t xml:space="preserve">. Although no one was hurt in the explosion, experts believe that the explosion was relatively harmless only because of luck; had the train exploded near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more populated town,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people would have been injured. In January and February 2014</w:t>
      </w:r>
      <w:r w:rsidR="00F3188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two derailments took place in Pennsylvania, one in the remote western part of the state, the other in densely populated Philadelphia.  At the end of April</w:t>
      </w:r>
      <w:r w:rsidR="00F31881">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2014, an oil train derailed and burst into flames near Lynchburg, Virginia, spilling 30,000 gallons of crude oil into the James River.</w:t>
      </w:r>
    </w:p>
    <w:p w14:paraId="1D8882E2" w14:textId="77777777" w:rsidR="00C85B70" w:rsidRPr="00482DB1" w:rsidRDefault="00C85B70" w:rsidP="005A5833">
      <w:pPr>
        <w:ind w:firstLine="720"/>
        <w:rPr>
          <w:rFonts w:ascii="Times New Roman" w:eastAsia="Times New Roman" w:hAnsi="Times New Roman" w:cs="Times New Roman"/>
          <w:lang w:eastAsia="en-US"/>
        </w:rPr>
      </w:pPr>
    </w:p>
    <w:p w14:paraId="1911D6F8" w14:textId="30E5E979" w:rsidR="00C85B70" w:rsidRPr="00482DB1" w:rsidRDefault="750671CE" w:rsidP="005A5833">
      <w:pPr>
        <w:ind w:firstLine="720"/>
        <w:rPr>
          <w:rFonts w:ascii="Times New Roman" w:eastAsia="Times New Roman" w:hAnsi="Times New Roman" w:cs="Times New Roman"/>
          <w:i/>
          <w:iCs/>
          <w:lang w:eastAsia="en-US"/>
        </w:rPr>
      </w:pPr>
      <w:r w:rsidRPr="750671CE">
        <w:rPr>
          <w:rFonts w:ascii="Times New Roman" w:eastAsia="Times New Roman" w:hAnsi="Times New Roman" w:cs="Times New Roman"/>
          <w:lang w:eastAsia="en-US"/>
        </w:rPr>
        <w:t xml:space="preserve">The U.S. Department of Transportation has called the transporting of crude oil by rail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imminent hazard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the public.  Jad Mouwad,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U.S. issues Safety Alert for Oil Trains,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New York Times</w:t>
      </w:r>
      <w:r w:rsidRPr="750671CE">
        <w:rPr>
          <w:rFonts w:ascii="Times New Roman" w:eastAsia="Times New Roman" w:hAnsi="Times New Roman" w:cs="Times New Roman"/>
          <w:lang w:eastAsia="en-US"/>
        </w:rPr>
        <w:t xml:space="preserve">, May 7, 2014.  According to the Association of American Railroads, however,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99.9977% of rail hazmat shipments . . . reach their destination without a spill.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the last decade, the Association contends,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pipelines have spilled 474,441 barrels of oil,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rail cars have only spilled 2,268 barrels of oil. Bryan Walsh, </w:t>
      </w:r>
      <w:r w:rsidRPr="750671CE">
        <w:rPr>
          <w:rFonts w:ascii="Times New Roman" w:eastAsia="Times New Roman" w:hAnsi="Times New Roman" w:cs="Times New Roman"/>
          <w:i/>
          <w:iCs/>
          <w:lang w:eastAsia="en-US"/>
        </w:rPr>
        <w:t>North Dakota Derailment Shows Dark Side of America</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s Oil Boom</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Time</w:t>
      </w:r>
      <w:r w:rsidRPr="750671CE">
        <w:rPr>
          <w:rFonts w:ascii="Times New Roman" w:eastAsia="Times New Roman" w:hAnsi="Times New Roman" w:cs="Times New Roman"/>
          <w:lang w:eastAsia="en-US"/>
        </w:rPr>
        <w:t xml:space="preserve">, Dec. 31, 2013, </w:t>
      </w:r>
      <w:r w:rsidRPr="750671CE">
        <w:rPr>
          <w:rFonts w:ascii="Times New Roman" w:eastAsia="Times New Roman" w:hAnsi="Times New Roman" w:cs="Times New Roman"/>
          <w:i/>
          <w:iCs/>
          <w:lang w:eastAsia="en-US"/>
        </w:rPr>
        <w:t xml:space="preserve">available at </w:t>
      </w:r>
      <w:r w:rsidRPr="750671CE">
        <w:rPr>
          <w:rFonts w:ascii="Times New Roman" w:eastAsia="Times New Roman" w:hAnsi="Times New Roman" w:cs="Times New Roman"/>
          <w:lang w:eastAsia="en-US"/>
        </w:rPr>
        <w:t>http://science.time.com/2013/12/31/north-dakota-rail-accident-and-oil-shipping-danger/.</w:t>
      </w:r>
      <w:r w:rsidRPr="750671CE">
        <w:rPr>
          <w:rFonts w:ascii="Times New Roman" w:eastAsia="Times New Roman" w:hAnsi="Times New Roman" w:cs="Times New Roman"/>
          <w:i/>
          <w:iCs/>
          <w:lang w:eastAsia="en-US"/>
        </w:rPr>
        <w:t xml:space="preserve">  </w:t>
      </w:r>
    </w:p>
    <w:p w14:paraId="5C70AAC7" w14:textId="77777777" w:rsidR="00C85B70" w:rsidRPr="00482DB1" w:rsidRDefault="00C85B70" w:rsidP="005A5833">
      <w:pPr>
        <w:ind w:firstLine="720"/>
        <w:rPr>
          <w:rFonts w:ascii="Times New Roman" w:eastAsia="Times New Roman" w:hAnsi="Times New Roman" w:cs="Times New Roman"/>
          <w:i/>
          <w:lang w:eastAsia="en-US"/>
        </w:rPr>
      </w:pPr>
    </w:p>
    <w:p w14:paraId="69548775" w14:textId="2FE0C7FE" w:rsidR="00C85B70" w:rsidRPr="00482DB1" w:rsidRDefault="750671CE" w:rsidP="005A5833">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Should an increase in shipments of dangerous chemicals on the nation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railroads change the way we think about Judge Posner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Pr="750671CE">
        <w:rPr>
          <w:rFonts w:ascii="Times New Roman" w:eastAsia="Times New Roman" w:hAnsi="Times New Roman" w:cs="Times New Roman"/>
          <w:i/>
          <w:iCs/>
          <w:lang w:eastAsia="en-US"/>
        </w:rPr>
        <w:t xml:space="preserve">Indiana Harbor Belt Railroad </w:t>
      </w:r>
      <w:r w:rsidRPr="750671CE">
        <w:rPr>
          <w:rFonts w:ascii="Times New Roman" w:eastAsia="Times New Roman" w:hAnsi="Times New Roman" w:cs="Times New Roman"/>
          <w:lang w:eastAsia="en-US"/>
        </w:rPr>
        <w:t>opinion?</w:t>
      </w:r>
    </w:p>
    <w:p w14:paraId="5C31210C" w14:textId="71B3E118" w:rsidR="00973246" w:rsidRDefault="00973246">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63CDA2BF" w14:textId="77777777" w:rsidR="00C85B70" w:rsidRPr="00C85B70" w:rsidRDefault="00C85B70" w:rsidP="750671CE">
      <w:pPr>
        <w:pStyle w:val="Heading2"/>
        <w:rPr>
          <w:lang w:eastAsia="en-US"/>
        </w:rPr>
      </w:pPr>
      <w:bookmarkStart w:id="899" w:name="_Toc364636260"/>
      <w:bookmarkStart w:id="900" w:name="_Toc518323519"/>
      <w:r w:rsidRPr="00C85B70">
        <w:rPr>
          <w:lang w:eastAsia="en-US"/>
        </w:rPr>
        <w:t>C.  Nuisance</w:t>
      </w:r>
      <w:bookmarkEnd w:id="899"/>
      <w:bookmarkEnd w:id="900"/>
      <w:r w:rsidRPr="00C85B70">
        <w:rPr>
          <w:lang w:eastAsia="en-US"/>
        </w:rPr>
        <w:t xml:space="preserve"> </w:t>
      </w:r>
    </w:p>
    <w:p w14:paraId="62E96DF9" w14:textId="77777777" w:rsidR="00C85B70" w:rsidRPr="00C85B70" w:rsidRDefault="00C85B70" w:rsidP="00C85B70">
      <w:pPr>
        <w:spacing w:line="264" w:lineRule="auto"/>
        <w:rPr>
          <w:rFonts w:ascii="Times New Roman" w:eastAsia="Times New Roman" w:hAnsi="Times New Roman" w:cs="Times New Roman"/>
          <w:i/>
          <w:lang w:eastAsia="en-US"/>
        </w:rPr>
      </w:pPr>
    </w:p>
    <w:p w14:paraId="302CDB93"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777777" w:rsidR="00C85B70" w:rsidRPr="00C85B70" w:rsidRDefault="00C85B70" w:rsidP="00F94B7E">
      <w:pPr>
        <w:spacing w:line="264" w:lineRule="auto"/>
        <w:rPr>
          <w:rFonts w:ascii="Times New Roman" w:eastAsia="Times New Roman" w:hAnsi="Times New Roman" w:cs="Times New Roman"/>
          <w:lang w:eastAsia="en-US"/>
        </w:rPr>
      </w:pPr>
    </w:p>
    <w:p w14:paraId="73D9EDC7"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0A83E74E" w14:textId="77777777" w:rsidR="00C85B70" w:rsidRPr="00E3500C" w:rsidRDefault="00C85B70" w:rsidP="00322687">
      <w:pPr>
        <w:pStyle w:val="Heading3"/>
      </w:pPr>
      <w:bookmarkStart w:id="901" w:name="_Toc364636261"/>
      <w:bookmarkStart w:id="902" w:name="_Toc518323520"/>
      <w:r w:rsidRPr="00511C4B">
        <w:t>1.  Private Nuisance</w:t>
      </w:r>
      <w:bookmarkEnd w:id="901"/>
      <w:bookmarkEnd w:id="902"/>
    </w:p>
    <w:p w14:paraId="014D4021"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0BA1EC96" w14:textId="77777777" w:rsidR="00C85B70" w:rsidRPr="00C85B70" w:rsidRDefault="00C85B70" w:rsidP="00C85B70">
      <w:pPr>
        <w:spacing w:line="264" w:lineRule="auto"/>
        <w:ind w:firstLine="720"/>
        <w:rPr>
          <w:rFonts w:ascii="Times New Roman" w:eastAsia="Times New Roman" w:hAnsi="Times New Roman" w:cs="Times New Roman"/>
          <w:lang w:eastAsia="en-US"/>
        </w:rPr>
      </w:pPr>
    </w:p>
    <w:p w14:paraId="7144E96B" w14:textId="011AFBA8" w:rsidR="00C85B70" w:rsidRPr="00C85B70" w:rsidRDefault="00C85B70" w:rsidP="750671CE">
      <w:pPr>
        <w:shd w:val="clear" w:color="auto" w:fill="FFFFFF" w:themeFill="background1"/>
        <w:spacing w:line="264" w:lineRule="auto"/>
        <w:textAlignment w:val="baseline"/>
        <w:outlineLvl w:val="0"/>
        <w:rPr>
          <w:rFonts w:ascii="Times New Roman,Cambria" w:eastAsia="Times New Roman,Cambria" w:hAnsi="Times New Roman,Cambria" w:cs="Times New Roman,Cambria"/>
          <w:b/>
          <w:bCs/>
          <w:lang w:eastAsia="en-US"/>
        </w:rPr>
      </w:pPr>
      <w:bookmarkStart w:id="903" w:name="_Toc518323521"/>
      <w:bookmarkStart w:id="904" w:name="_Toc272975131"/>
      <w:r w:rsidRPr="00482DB1">
        <w:rPr>
          <w:rStyle w:val="Heading4Char"/>
        </w:rPr>
        <w:t>Fontainebleau Hotel Corp. v. Forty-Five Twenty-Five, Inc</w:t>
      </w:r>
      <w:bookmarkEnd w:id="903"/>
      <w:r w:rsidRPr="750671CE">
        <w:rPr>
          <w:rFonts w:ascii="Times New Roman,Cambria" w:eastAsia="Times New Roman,Cambria" w:hAnsi="Times New Roman,Cambria" w:cs="Times New Roman,Cambria"/>
          <w:lang w:eastAsia="en-US"/>
        </w:rPr>
        <w:t>.</w:t>
      </w:r>
      <w:bookmarkEnd w:id="904"/>
      <w:r w:rsidR="00FB3872" w:rsidRPr="750671CE">
        <w:rPr>
          <w:rFonts w:ascii="Times New Roman,Cambria" w:eastAsia="Times New Roman,Cambria" w:hAnsi="Times New Roman,Cambria" w:cs="Times New Roman,Cambria"/>
          <w:lang w:eastAsia="en-US"/>
        </w:rPr>
        <w:t>,</w:t>
      </w:r>
      <w:r w:rsidR="00FB3872" w:rsidRPr="750671CE">
        <w:rPr>
          <w:rFonts w:ascii="Times New Roman,Cambria" w:eastAsia="Times New Roman,Cambria" w:hAnsi="Times New Roman,Cambria" w:cs="Times New Roman,Cambria"/>
          <w:b/>
          <w:bCs/>
          <w:lang w:eastAsia="en-US"/>
        </w:rPr>
        <w:t xml:space="preserve"> </w:t>
      </w:r>
      <w:r w:rsidRPr="750671CE">
        <w:rPr>
          <w:rFonts w:ascii="Times New Roman,Cambria" w:eastAsia="Times New Roman,Cambria" w:hAnsi="Times New Roman,Cambria" w:cs="Times New Roman,Cambria"/>
          <w:b/>
          <w:bCs/>
          <w:lang w:eastAsia="en-US"/>
        </w:rPr>
        <w:t>114 So. 2d 357 (Fla. App. 1959)</w:t>
      </w:r>
    </w:p>
    <w:p w14:paraId="7BBBAE4B" w14:textId="77777777" w:rsidR="00C85B70" w:rsidRPr="00C85B70" w:rsidRDefault="00C85B70" w:rsidP="00C85B70">
      <w:pPr>
        <w:widowControl w:val="0"/>
        <w:overflowPunct w:val="0"/>
        <w:autoSpaceDE w:val="0"/>
        <w:autoSpaceDN w:val="0"/>
        <w:adjustRightInd w:val="0"/>
        <w:spacing w:line="264" w:lineRule="auto"/>
        <w:ind w:firstLine="720"/>
        <w:rPr>
          <w:rFonts w:ascii="Times New Roman" w:eastAsia="Times New Roman" w:hAnsi="Times New Roman" w:cs="Times New Roman"/>
          <w:lang w:eastAsia="en-US"/>
        </w:rPr>
      </w:pPr>
    </w:p>
    <w:p w14:paraId="425F0C2F" w14:textId="77777777" w:rsidR="0090276A" w:rsidRPr="00DB5930" w:rsidRDefault="00C85B70" w:rsidP="00F94B7E">
      <w:pPr>
        <w:rPr>
          <w:rFonts w:ascii="Times New Roman" w:eastAsia="Times New Roman" w:hAnsi="Times New Roman" w:cs="Times New Roman"/>
          <w:lang w:eastAsia="en-US"/>
        </w:rPr>
      </w:pPr>
      <w:r w:rsidRPr="00F94B7E">
        <w:rPr>
          <w:rFonts w:ascii="Times New Roman" w:eastAsia="Times New Roman,Cambria" w:hAnsi="Times New Roman" w:cs="Times New Roman"/>
          <w:smallCaps/>
          <w:lang w:eastAsia="en-US"/>
        </w:rPr>
        <w:t>Per Curiam.</w:t>
      </w:r>
      <w:r w:rsidRPr="005B147F">
        <w:rPr>
          <w:rFonts w:ascii="Times New Roman" w:eastAsiaTheme="minorHAnsi" w:hAnsi="Times New Roman" w:cs="Times New Roman"/>
          <w:b/>
          <w:lang w:eastAsia="en-US"/>
        </w:rPr>
        <w:tab/>
      </w:r>
      <w:r w:rsidRPr="00121DBE">
        <w:rPr>
          <w:rFonts w:ascii="Times New Roman" w:eastAsia="Times New Roman" w:hAnsi="Times New Roman" w:cs="Times New Roman"/>
          <w:lang w:eastAsia="en-US"/>
        </w:rPr>
        <w:t xml:space="preserve"> </w:t>
      </w:r>
    </w:p>
    <w:p w14:paraId="6A1A8055" w14:textId="0AAB90A4" w:rsidR="00C85B70" w:rsidRPr="00C85B70" w:rsidRDefault="00C85B70" w:rsidP="00F94B7E">
      <w:pPr>
        <w:spacing w:before="100" w:beforeAutospacing="1" w:after="100" w:afterAutospacing="1"/>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property, rather than the south side, was actuated by malice and ill will on the part of the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president toward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president . . . . It was also alleged that the construction would interfere with the easements of light and air enjoyed by plaintiff and its predecessors in title for more than twenty years [which is the length of Florida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rule of property rights by so-called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adverse possession,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or possession by claim of right].</w:t>
      </w:r>
      <w:r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lang w:eastAsia="en-US"/>
        </w:rPr>
        <w:t xml:space="preserve">. . . </w:t>
      </w:r>
    </w:p>
    <w:p w14:paraId="24F41E3C" w14:textId="030180E8"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C85B70" w:rsidRDefault="750671CE" w:rsidP="00F94B7E">
      <w:pPr>
        <w:spacing w:before="100" w:beforeAutospacing="1" w:after="100" w:afterAutospacing="1"/>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is indeed a novel application of the maxim </w:t>
      </w:r>
      <w:r w:rsidRPr="750671CE">
        <w:rPr>
          <w:rFonts w:ascii="Times New Roman" w:eastAsia="Times New Roman" w:hAnsi="Times New Roman" w:cs="Times New Roman"/>
          <w:i/>
          <w:iCs/>
          <w:lang w:eastAsia="en-US"/>
        </w:rPr>
        <w:t>sic utere tuo ut alienum non laedas</w:t>
      </w:r>
      <w:r w:rsidRPr="750671CE">
        <w:rPr>
          <w:rFonts w:ascii="Times New Roman" w:eastAsia="Times New Roman" w:hAnsi="Times New Roman" w:cs="Times New Roman"/>
          <w:lang w:eastAsia="en-US"/>
        </w:rPr>
        <w:t xml:space="preserve">. This maxim does not mean that one must never use his own property in such a way as to do any injury to his neighbor. . . . It means only that one must use his property so as not to injure the lawful rights of another. . . . </w:t>
      </w:r>
    </w:p>
    <w:p w14:paraId="5B2115BF" w14:textId="25B8BEC1"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No American decision has been cited, and independent research has revealed none, in which it has been held that</w:t>
      </w:r>
      <w:r w:rsidR="00FC791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 the absence of some contractual or statutory obligation</w:t>
      </w:r>
      <w:r w:rsidR="0090276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ancient lights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has been unanimously repudiated in this country. . . . </w:t>
      </w:r>
    </w:p>
    <w:p w14:paraId="1F4C1BF4"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C944B0">
        <w:rPr>
          <w:rFonts w:ascii="Times New Roman" w:eastAsia="Times New Roman" w:hAnsi="Times New Roman" w:cs="Times New Roman"/>
          <w:iCs/>
          <w:lang w:eastAsia="en-US"/>
        </w:rPr>
        <w:t>maxim</w:t>
      </w:r>
      <w:r w:rsidRPr="750671CE">
        <w:rPr>
          <w:rFonts w:ascii="Times New Roman" w:eastAsia="Times New Roman" w:hAnsi="Times New Roman" w:cs="Times New Roman"/>
          <w:i/>
          <w:iCs/>
          <w:lang w:eastAsia="en-US"/>
        </w:rPr>
        <w:t xml:space="preserve"> sic utere tuo ut alienum non laedas</w:t>
      </w:r>
      <w:r w:rsidRPr="750671CE">
        <w:rPr>
          <w:rFonts w:ascii="Times New Roman" w:eastAsia="Times New Roman" w:hAnsi="Times New Roman" w:cs="Times New Roman"/>
          <w:lang w:eastAsia="en-US"/>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and the custom followed in this state since its inception</w:t>
      </w:r>
      <w:r w:rsidR="009D502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Reversed with directions. </w:t>
      </w:r>
    </w:p>
    <w:p w14:paraId="38B66789" w14:textId="77777777" w:rsidR="00C85B70" w:rsidRPr="00C85B70" w:rsidRDefault="00C85B70" w:rsidP="00FB3872">
      <w:pPr>
        <w:shd w:val="clear" w:color="auto" w:fill="FFFFFF"/>
        <w:spacing w:line="288" w:lineRule="atLeast"/>
        <w:textAlignment w:val="baseline"/>
        <w:outlineLvl w:val="1"/>
        <w:rPr>
          <w:rFonts w:ascii="Times New Roman" w:eastAsiaTheme="minorHAnsi" w:hAnsi="Times New Roman" w:cs="Times New Roman"/>
          <w:b/>
          <w:i/>
          <w:lang w:eastAsia="en-US"/>
        </w:rPr>
      </w:pPr>
      <w:bookmarkStart w:id="905" w:name="_Toc272975132"/>
    </w:p>
    <w:p w14:paraId="48AED78C" w14:textId="77777777" w:rsidR="00C85B70" w:rsidRPr="00C85B70" w:rsidRDefault="00C85B70" w:rsidP="00CB223A">
      <w:pPr>
        <w:pStyle w:val="Heading5"/>
      </w:pPr>
      <w:bookmarkStart w:id="906" w:name="_Toc364636262"/>
      <w:bookmarkStart w:id="907" w:name="_Toc518323522"/>
      <w:r w:rsidRPr="00C85B70">
        <w:t>Notes</w:t>
      </w:r>
      <w:bookmarkEnd w:id="905"/>
      <w:bookmarkEnd w:id="906"/>
      <w:bookmarkEnd w:id="907"/>
    </w:p>
    <w:p w14:paraId="768FFB76" w14:textId="77777777" w:rsidR="00C85B70" w:rsidRDefault="00C85B70" w:rsidP="00C85B70">
      <w:pPr>
        <w:shd w:val="clear" w:color="auto" w:fill="FFFFFF"/>
        <w:spacing w:line="288" w:lineRule="atLeast"/>
        <w:textAlignment w:val="baseline"/>
        <w:rPr>
          <w:rFonts w:ascii="Times New Roman" w:eastAsiaTheme="minorHAnsi" w:hAnsi="Times New Roman" w:cs="Times New Roman"/>
          <w:b/>
          <w:u w:val="single"/>
          <w:lang w:eastAsia="en-US"/>
        </w:rPr>
      </w:pPr>
    </w:p>
    <w:p w14:paraId="4BE1916C" w14:textId="77777777" w:rsidR="00910387" w:rsidRPr="00C85B70" w:rsidRDefault="00910387" w:rsidP="00C85B70">
      <w:pPr>
        <w:shd w:val="clear" w:color="auto" w:fill="FFFFFF"/>
        <w:spacing w:line="288" w:lineRule="atLeast"/>
        <w:textAlignment w:val="baseline"/>
        <w:rPr>
          <w:rFonts w:ascii="Times New Roman" w:eastAsiaTheme="minorHAnsi" w:hAnsi="Times New Roman" w:cs="Times New Roman"/>
          <w:b/>
          <w:u w:val="single"/>
          <w:lang w:eastAsia="en-US"/>
        </w:rPr>
      </w:pPr>
    </w:p>
    <w:p w14:paraId="0CAEC366" w14:textId="64716B82" w:rsidR="00C85B70" w:rsidRPr="00F94B7E" w:rsidRDefault="750671CE" w:rsidP="00F94B7E">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doctrine of ancient lights.  </w:t>
      </w:r>
      <w:r w:rsidRPr="00F94B7E">
        <w:rPr>
          <w:rFonts w:ascii="Times New Roman" w:eastAsia="Times New Roman,Cambria" w:hAnsi="Times New Roman" w:cs="Times New Roman"/>
          <w:lang w:eastAsia="en-US"/>
        </w:rPr>
        <w:t xml:space="preserve">According to William Blackstone, the ancient lights doctrine prohibits one from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erect[ing] a house or other building . . . [that] obstructs [others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ancient lights and windows.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3 </w:t>
      </w:r>
      <w:r w:rsidRPr="00F94B7E">
        <w:rPr>
          <w:rFonts w:ascii="Times New Roman" w:eastAsia="Times New Roman,Cambria" w:hAnsi="Times New Roman" w:cs="Times New Roman"/>
          <w:smallCaps/>
          <w:lang w:eastAsia="en-US"/>
        </w:rPr>
        <w:t>William Blackstone, Commentaries on the Laws of England</w:t>
      </w:r>
      <w:r w:rsidRPr="00F94B7E">
        <w:rPr>
          <w:rFonts w:ascii="Times New Roman" w:eastAsia="Times New Roman,Cambria" w:hAnsi="Times New Roman" w:cs="Times New Roman"/>
          <w:lang w:eastAsia="en-US"/>
        </w:rPr>
        <w:t xml:space="preserve"> 216-17. In England, the ancient lights doctrine enabled landowners to enforce their right to light by bringing a nuisance claim against alleged tortfeasors.</w:t>
      </w:r>
    </w:p>
    <w:p w14:paraId="278AD854" w14:textId="77777777" w:rsidR="00C85B70" w:rsidRPr="005B147F" w:rsidRDefault="00C85B70" w:rsidP="00C85B70">
      <w:pPr>
        <w:rPr>
          <w:rFonts w:ascii="Times New Roman" w:eastAsiaTheme="minorHAnsi" w:hAnsi="Times New Roman" w:cs="Times New Roman"/>
          <w:lang w:eastAsia="en-US"/>
        </w:rPr>
      </w:pPr>
    </w:p>
    <w:p w14:paraId="1499D1CE" w14:textId="19C0E086" w:rsidR="00C85B70" w:rsidRPr="00F94B7E" w:rsidRDefault="750671CE" w:rsidP="750671CE">
      <w:pPr>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xml:space="preserve">In contrast to English courts, American courts have refused to apply the doctrine of ancient lights. Why has American jurisprudence diverged from English jurisprudence? According to </w:t>
      </w:r>
      <w:r w:rsidR="00C222B7" w:rsidRPr="00F94B7E">
        <w:rPr>
          <w:rFonts w:ascii="Times New Roman" w:eastAsia="Times New Roman,Cambria" w:hAnsi="Times New Roman" w:cs="Times New Roman"/>
          <w:lang w:eastAsia="en-US"/>
        </w:rPr>
        <w:t>one court</w:t>
      </w:r>
      <w:r w:rsidRPr="00F94B7E">
        <w:rPr>
          <w:rFonts w:ascii="Times New Roman" w:eastAsia="Times New Roman,Cambria" w:hAnsi="Times New Roman" w:cs="Times New Roman"/>
          <w:lang w:eastAsia="en-US"/>
        </w:rPr>
        <w:t>, American</w:t>
      </w:r>
      <w:r w:rsidR="00C222B7" w:rsidRPr="00F94B7E">
        <w:rPr>
          <w:rFonts w:ascii="Times New Roman" w:eastAsia="Times New Roman,Cambria" w:hAnsi="Times New Roman" w:cs="Times New Roman"/>
          <w:lang w:eastAsia="en-US"/>
        </w:rPr>
        <w:t xml:space="preserve"> judges </w:t>
      </w:r>
      <w:r w:rsidRPr="00F94B7E">
        <w:rPr>
          <w:rFonts w:ascii="Times New Roman" w:eastAsia="Times New Roman,Cambria" w:hAnsi="Times New Roman" w:cs="Times New Roman"/>
          <w:lang w:eastAsia="en-US"/>
        </w:rPr>
        <w:t xml:space="preserve">have rejected the ancient lights doctrine to encourage economic development. </w:t>
      </w:r>
      <w:r w:rsidRPr="00F94B7E">
        <w:rPr>
          <w:rFonts w:ascii="Times New Roman" w:eastAsia="Times New Roman,Cambria" w:hAnsi="Times New Roman" w:cs="Times New Roman"/>
          <w:i/>
          <w:iCs/>
          <w:lang w:eastAsia="en-US"/>
        </w:rPr>
        <w:t>See Parker v. Foote</w:t>
      </w:r>
      <w:r w:rsidRPr="00F94B7E">
        <w:rPr>
          <w:rFonts w:ascii="Times New Roman" w:eastAsia="Times New Roman,Cambria" w:hAnsi="Times New Roman" w:cs="Times New Roman"/>
          <w:lang w:eastAsia="en-US"/>
        </w:rPr>
        <w:t>, 19 Wend. 309, 318 (N</w:t>
      </w:r>
      <w:r w:rsidR="0090276A"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Y. Sup. Ct. 1838) (noting that the doctrine could not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be applied in growing cities and villages of this country without working the most mischievous consequences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see also</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Klein v. Gehrung</w:t>
      </w:r>
      <w:r w:rsidRPr="00F94B7E">
        <w:rPr>
          <w:rFonts w:ascii="Times New Roman" w:eastAsia="Times New Roman,Cambria" w:hAnsi="Times New Roman" w:cs="Times New Roman"/>
          <w:lang w:eastAsia="en-US"/>
        </w:rPr>
        <w:t>, 25 Tex. Supp. 232, 238 (1860)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The doctrine of ancient lights is not much relished in this country, owing to the rapid changes and improvements in our cities and villages.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p>
    <w:p w14:paraId="6C1283A8" w14:textId="77777777" w:rsidR="00C85B70" w:rsidRPr="005B147F" w:rsidRDefault="00C85B70" w:rsidP="00C85B70">
      <w:pPr>
        <w:rPr>
          <w:rFonts w:ascii="Times New Roman" w:eastAsiaTheme="minorHAnsi" w:hAnsi="Times New Roman" w:cs="Times New Roman"/>
          <w:lang w:eastAsia="en-US"/>
        </w:rPr>
      </w:pPr>
    </w:p>
    <w:p w14:paraId="1D51AA3C" w14:textId="77777777" w:rsidR="00C85B70" w:rsidRPr="00121DBE" w:rsidRDefault="00C85B70" w:rsidP="00C85B70">
      <w:pPr>
        <w:rPr>
          <w:rFonts w:ascii="Times New Roman" w:eastAsiaTheme="minorHAnsi" w:hAnsi="Times New Roman" w:cs="Times New Roman"/>
          <w:lang w:eastAsia="en-US"/>
        </w:rPr>
      </w:pPr>
    </w:p>
    <w:p w14:paraId="60FC9058" w14:textId="17723E56" w:rsidR="00C85B70" w:rsidRPr="00F94B7E" w:rsidRDefault="750671CE" w:rsidP="00F94B7E">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A malice exception? </w:t>
      </w:r>
      <w:r w:rsidRPr="00F94B7E">
        <w:rPr>
          <w:rFonts w:ascii="Times New Roman" w:eastAsia="Times New Roman,Cambria" w:hAnsi="Times New Roman" w:cs="Times New Roman"/>
          <w:lang w:eastAsia="en-US"/>
        </w:rPr>
        <w:t xml:space="preserve"> Although American courts have repudiated the doctrine of ancient lights, malice is one of the few exceptions that some courts recognize to the ancient lights doctrine in the United States. Daniel B. Kelly, </w:t>
      </w:r>
      <w:r w:rsidRPr="00F94B7E">
        <w:rPr>
          <w:rFonts w:ascii="Times New Roman" w:eastAsia="Times New Roman,Cambria" w:hAnsi="Times New Roman" w:cs="Times New Roman"/>
          <w:i/>
          <w:iCs/>
          <w:lang w:eastAsia="en-US"/>
        </w:rPr>
        <w:t>Strategic Spillovers</w:t>
      </w:r>
      <w:r w:rsidRPr="00F94B7E">
        <w:rPr>
          <w:rFonts w:ascii="Times New Roman" w:eastAsia="Times New Roman,Cambria" w:hAnsi="Times New Roman" w:cs="Times New Roman"/>
          <w:lang w:eastAsia="en-US"/>
        </w:rPr>
        <w:t xml:space="preserve">, 111 </w:t>
      </w:r>
      <w:r w:rsidRPr="00F94B7E">
        <w:rPr>
          <w:rFonts w:ascii="Times New Roman" w:eastAsia="Times New Roman,Cambria" w:hAnsi="Times New Roman" w:cs="Times New Roman"/>
          <w:smallCaps/>
          <w:lang w:eastAsia="en-US"/>
        </w:rPr>
        <w:t>Colum. L. Rev.</w:t>
      </w:r>
      <w:r w:rsidRPr="00F94B7E">
        <w:rPr>
          <w:rFonts w:ascii="Times New Roman" w:eastAsia="Times New Roman,Cambria" w:hAnsi="Times New Roman" w:cs="Times New Roman"/>
          <w:lang w:eastAsia="en-US"/>
        </w:rPr>
        <w:t xml:space="preserve"> 1641, 1667-68 (2011). Thus, courts regularly prohibit a defendant from building a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spite wall</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or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spite fence</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if the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structure interferes with a neighbor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access to light, air, or a view if the [defendant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motivation is . . . malicious.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i/>
          <w:iCs/>
          <w:lang w:eastAsia="en-US"/>
        </w:rPr>
        <w:t>Id.</w:t>
      </w:r>
      <w:r w:rsidRPr="00F94B7E">
        <w:rPr>
          <w:rFonts w:ascii="Times New Roman" w:eastAsia="Times New Roman,Cambria" w:hAnsi="Times New Roman" w:cs="Times New Roman"/>
          <w:lang w:eastAsia="en-US"/>
        </w:rPr>
        <w:t xml:space="preserve"> at 1668.  Courts that recognize the malice rule typically require plaintiffs to show that malice was the sole, if not predominant, motivation for the defendants</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actions. </w:t>
      </w:r>
      <w:r w:rsidRPr="00F94B7E">
        <w:rPr>
          <w:rFonts w:ascii="Times New Roman" w:eastAsia="Times New Roman,Cambria" w:hAnsi="Times New Roman" w:cs="Times New Roman"/>
          <w:i/>
          <w:iCs/>
          <w:lang w:eastAsia="en-US"/>
        </w:rPr>
        <w:t>Wilson v. Handley</w:t>
      </w:r>
      <w:r w:rsidRPr="00F94B7E">
        <w:rPr>
          <w:rFonts w:ascii="Times New Roman" w:eastAsia="Times New Roman,Cambria" w:hAnsi="Times New Roman" w:cs="Times New Roman"/>
          <w:lang w:eastAsia="en-US"/>
        </w:rPr>
        <w:t xml:space="preserve">, 119 Cal. Rptr. 2d 263 (Ct. App. 2002). </w:t>
      </w:r>
    </w:p>
    <w:p w14:paraId="543A63EC" w14:textId="77777777" w:rsidR="00C85B70" w:rsidRPr="005B147F" w:rsidRDefault="00C85B70" w:rsidP="00C85B70">
      <w:pPr>
        <w:rPr>
          <w:rFonts w:ascii="Times New Roman" w:eastAsiaTheme="minorHAnsi" w:hAnsi="Times New Roman" w:cs="Times New Roman"/>
          <w:lang w:eastAsia="en-US"/>
        </w:rPr>
      </w:pPr>
    </w:p>
    <w:p w14:paraId="5F183A69" w14:textId="77777777" w:rsidR="00C85B70" w:rsidRPr="00F94B7E" w:rsidRDefault="00C85B70" w:rsidP="750671CE">
      <w:pPr>
        <w:rPr>
          <w:rFonts w:ascii="Times New Roman" w:eastAsia="Times New Roman,Cambria" w:hAnsi="Times New Roman" w:cs="Times New Roman"/>
          <w:lang w:eastAsia="en-US"/>
        </w:rPr>
      </w:pPr>
      <w:r w:rsidRPr="005B147F">
        <w:rPr>
          <w:rFonts w:ascii="Times New Roman" w:eastAsiaTheme="minorHAnsi" w:hAnsi="Times New Roman" w:cs="Times New Roman"/>
          <w:lang w:eastAsia="en-US"/>
        </w:rPr>
        <w:tab/>
      </w:r>
      <w:r w:rsidRPr="00F94B7E">
        <w:rPr>
          <w:rFonts w:ascii="Times New Roman" w:eastAsia="Times New Roman,Cambria" w:hAnsi="Times New Roman" w:cs="Times New Roman"/>
          <w:lang w:eastAsia="en-US"/>
        </w:rPr>
        <w:t xml:space="preserve">Why does the Florida court in the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xml:space="preserve"> case reject the malice rule and permit the spite wall?  </w:t>
      </w:r>
    </w:p>
    <w:p w14:paraId="3F85BAA4" w14:textId="77777777" w:rsidR="00C85B70" w:rsidRPr="00C85B70" w:rsidRDefault="00C85B70" w:rsidP="00C85B70">
      <w:pPr>
        <w:rPr>
          <w:rFonts w:ascii="Times New Roman" w:eastAsiaTheme="minorHAnsi" w:hAnsi="Times New Roman" w:cs="Times New Roman"/>
          <w:lang w:eastAsia="en-US"/>
        </w:rPr>
      </w:pPr>
    </w:p>
    <w:p w14:paraId="08560005" w14:textId="77777777" w:rsidR="00C85B70" w:rsidRPr="00C85B70" w:rsidRDefault="00C85B70" w:rsidP="00C85B70">
      <w:pPr>
        <w:rPr>
          <w:rFonts w:ascii="Times New Roman" w:eastAsiaTheme="minorHAnsi" w:hAnsi="Times New Roman" w:cs="Times New Roman"/>
          <w:lang w:eastAsia="en-US"/>
        </w:rPr>
      </w:pPr>
    </w:p>
    <w:p w14:paraId="664B7C82" w14:textId="435FA1DF" w:rsidR="00C85B70" w:rsidRPr="00F94B7E" w:rsidRDefault="750671CE" w:rsidP="00F94B7E">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 xml:space="preserve">The </w:t>
      </w:r>
      <w:r w:rsidR="005A5833" w:rsidRPr="00F94B7E">
        <w:rPr>
          <w:rFonts w:ascii="Times New Roman" w:eastAsia="Times New Roman,Cambria" w:hAnsi="Times New Roman" w:cs="Times New Roman"/>
          <w:i/>
          <w:iCs/>
          <w:lang w:eastAsia="en-US"/>
        </w:rPr>
        <w:t>e</w:t>
      </w:r>
      <w:r w:rsidRPr="00F94B7E">
        <w:rPr>
          <w:rFonts w:ascii="Times New Roman" w:eastAsia="Times New Roman,Cambria" w:hAnsi="Times New Roman" w:cs="Times New Roman"/>
          <w:i/>
          <w:iCs/>
          <w:lang w:eastAsia="en-US"/>
        </w:rPr>
        <w:t xml:space="preserve">pic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 xml:space="preserve">attle </w:t>
      </w:r>
      <w:r w:rsidR="005A5833" w:rsidRPr="00F94B7E">
        <w:rPr>
          <w:rFonts w:ascii="Times New Roman" w:eastAsia="Times New Roman,Cambria" w:hAnsi="Times New Roman" w:cs="Times New Roman"/>
          <w:i/>
          <w:iCs/>
          <w:lang w:eastAsia="en-US"/>
        </w:rPr>
        <w:t>b</w:t>
      </w:r>
      <w:r w:rsidRPr="00F94B7E">
        <w:rPr>
          <w:rFonts w:ascii="Times New Roman" w:eastAsia="Times New Roman,Cambria" w:hAnsi="Times New Roman" w:cs="Times New Roman"/>
          <w:i/>
          <w:iCs/>
          <w:lang w:eastAsia="en-US"/>
        </w:rPr>
        <w:t>etween the Fontainebleau and the Eden Roc</w:t>
      </w:r>
      <w:r w:rsidRPr="00F94B7E">
        <w:rPr>
          <w:rFonts w:ascii="Times New Roman" w:eastAsia="Times New Roman,Cambria" w:hAnsi="Times New Roman" w:cs="Times New Roman"/>
          <w:lang w:eastAsia="en-US"/>
        </w:rPr>
        <w:t xml:space="preserve">.  The spite wall in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pictured below, was built by the angered owner of the Fontainebleau Hotel when his business partner defected to a competitor and built a new hotel</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the Eden Roc</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3F1E460E" w14:textId="46D1C1ED" w:rsidR="00EF768F" w:rsidRPr="005B147F" w:rsidRDefault="00EF768F">
      <w:pPr>
        <w:rPr>
          <w:rFonts w:ascii="Times New Roman" w:eastAsiaTheme="minorHAnsi" w:hAnsi="Times New Roman" w:cs="Times New Roman"/>
          <w:lang w:eastAsia="en-US"/>
        </w:rPr>
      </w:pPr>
    </w:p>
    <w:p w14:paraId="52FA5250" w14:textId="7AEBB226" w:rsidR="00C85B70" w:rsidRPr="00F94B7E" w:rsidRDefault="750671CE" w:rsidP="750671CE">
      <w:pPr>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C85B70" w:rsidRDefault="00C85B70" w:rsidP="00C85B70">
      <w:pPr>
        <w:rPr>
          <w:rFonts w:ascii="Times New Roman" w:eastAsiaTheme="minorHAnsi" w:hAnsi="Times New Roman" w:cs="Times New Roman"/>
          <w:lang w:eastAsia="en-US"/>
        </w:rPr>
      </w:pPr>
    </w:p>
    <w:p w14:paraId="45781651" w14:textId="28DC7E83" w:rsidR="00C85B70" w:rsidRPr="00C85B70" w:rsidRDefault="00C85B70" w:rsidP="00C85B70">
      <w:pPr>
        <w:rPr>
          <w:rFonts w:ascii="Times New Roman" w:eastAsiaTheme="minorHAnsi" w:hAnsi="Times New Roman" w:cs="Times New Roman"/>
          <w:lang w:eastAsia="en-US"/>
        </w:rPr>
      </w:pPr>
    </w:p>
    <w:p w14:paraId="2AFCEAEF" w14:textId="77777777" w:rsidR="00C85B70" w:rsidRPr="00C85B70" w:rsidRDefault="00C85B70" w:rsidP="00C85B70">
      <w:pPr>
        <w:rPr>
          <w:rFonts w:ascii="Times New Roman" w:eastAsiaTheme="minorHAnsi" w:hAnsi="Times New Roman" w:cs="Times New Roman"/>
          <w:lang w:eastAsia="en-US"/>
        </w:rPr>
      </w:pPr>
      <w:r w:rsidRPr="00C85B70">
        <w:rPr>
          <w:rFonts w:ascii="Times" w:eastAsia="Times New Roman" w:hAnsi="Times" w:cs="Times New Roman"/>
          <w:noProof/>
          <w:sz w:val="20"/>
          <w:szCs w:val="20"/>
          <w:lang w:eastAsia="en-US"/>
        </w:rPr>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43CD8D91" w14:textId="77777777" w:rsidR="00C85B70" w:rsidRPr="00F94B7E" w:rsidRDefault="750671CE" w:rsidP="750671CE">
      <w:pPr>
        <w:rPr>
          <w:rFonts w:ascii="Times New Roman" w:eastAsia="Times New Roman,Cambria" w:hAnsi="Times New Roman" w:cs="Times New Roman"/>
          <w:sz w:val="20"/>
          <w:szCs w:val="20"/>
          <w:lang w:eastAsia="en-US"/>
        </w:rPr>
      </w:pPr>
      <w:r w:rsidRPr="005B147F">
        <w:rPr>
          <w:rFonts w:ascii="Times New Roman" w:eastAsia="Times New Roman" w:hAnsi="Times New Roman" w:cs="Times New Roman"/>
          <w:sz w:val="20"/>
          <w:szCs w:val="20"/>
          <w:lang w:eastAsia="en-US"/>
        </w:rPr>
        <w:t xml:space="preserve">Florida State Photographic Collection, </w:t>
      </w:r>
      <w:r w:rsidRPr="005B147F">
        <w:rPr>
          <w:rFonts w:ascii="Times New Roman" w:eastAsia="Times New Roman" w:hAnsi="Times New Roman" w:cs="Times New Roman"/>
          <w:i/>
          <w:iCs/>
          <w:sz w:val="20"/>
          <w:szCs w:val="20"/>
          <w:lang w:eastAsia="en-US"/>
        </w:rPr>
        <w:t>Florida Memory</w:t>
      </w:r>
      <w:r w:rsidRPr="005B147F">
        <w:rPr>
          <w:rFonts w:ascii="Times New Roman" w:eastAsia="Times New Roman" w:hAnsi="Times New Roman" w:cs="Times New Roman"/>
          <w:sz w:val="20"/>
          <w:szCs w:val="20"/>
          <w:lang w:eastAsia="en-US"/>
        </w:rPr>
        <w:t>, http://floridamemory.com/items/show/80678</w:t>
      </w:r>
    </w:p>
    <w:p w14:paraId="3FBCDD1A" w14:textId="77777777" w:rsidR="00C85B70" w:rsidRPr="00C85B70" w:rsidRDefault="00C85B70" w:rsidP="00C85B70">
      <w:pPr>
        <w:rPr>
          <w:rFonts w:ascii="Times New Roman" w:eastAsiaTheme="minorHAnsi" w:hAnsi="Times New Roman" w:cs="Times New Roman"/>
          <w:lang w:eastAsia="en-US"/>
        </w:rPr>
      </w:pPr>
    </w:p>
    <w:p w14:paraId="4B7AF7BA" w14:textId="77777777" w:rsidR="00C85B70" w:rsidRPr="00C85B70" w:rsidRDefault="00C85B70" w:rsidP="00C85B70">
      <w:pPr>
        <w:rPr>
          <w:rFonts w:ascii="Times New Roman" w:eastAsiaTheme="minorHAnsi" w:hAnsi="Times New Roman" w:cs="Times New Roman"/>
          <w:lang w:eastAsia="en-US"/>
        </w:rPr>
      </w:pPr>
    </w:p>
    <w:p w14:paraId="477E66C6" w14:textId="77777777" w:rsidR="00C85B70" w:rsidRPr="00C85B70" w:rsidRDefault="00C85B70" w:rsidP="00C85B70">
      <w:pPr>
        <w:rPr>
          <w:rFonts w:ascii="Times New Roman" w:eastAsiaTheme="minorHAnsi" w:hAnsi="Times New Roman" w:cs="Times New Roman"/>
          <w:lang w:eastAsia="en-US"/>
        </w:rPr>
      </w:pPr>
    </w:p>
    <w:p w14:paraId="656D42D9" w14:textId="780979BC" w:rsidR="008D2819" w:rsidRDefault="008D2819">
      <w:pPr>
        <w:rPr>
          <w:rFonts w:ascii="Times New Roman" w:eastAsiaTheme="minorHAnsi" w:hAnsi="Times New Roman" w:cs="Times New Roman"/>
          <w:lang w:eastAsia="en-US"/>
        </w:rPr>
      </w:pPr>
    </w:p>
    <w:p w14:paraId="5739895A" w14:textId="42FC559D" w:rsidR="00C85B70" w:rsidRPr="00F94B7E" w:rsidRDefault="750671CE" w:rsidP="750671CE">
      <w:pPr>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xml:space="preserve">Here is another image, which makes the effects of the wall on the Eden Roc pool especially clear: </w:t>
      </w:r>
    </w:p>
    <w:p w14:paraId="692CE8CB" w14:textId="77777777" w:rsidR="00EF768F" w:rsidRPr="00C85B70" w:rsidRDefault="00EF768F" w:rsidP="00C85B70">
      <w:pPr>
        <w:rPr>
          <w:rFonts w:ascii="Times New Roman" w:eastAsiaTheme="minorHAnsi" w:hAnsi="Times New Roman" w:cs="Times New Roman"/>
          <w:lang w:eastAsia="en-US"/>
        </w:rPr>
      </w:pPr>
    </w:p>
    <w:p w14:paraId="55573037" w14:textId="77777777" w:rsidR="00C85B70" w:rsidRPr="00C85B70" w:rsidRDefault="00C85B70" w:rsidP="00C85B70">
      <w:pPr>
        <w:rPr>
          <w:rFonts w:ascii="Times New Roman" w:eastAsiaTheme="minorHAnsi" w:hAnsi="Times New Roman" w:cs="Times New Roman"/>
          <w:lang w:eastAsia="en-US"/>
        </w:rPr>
      </w:pPr>
      <w:r w:rsidRPr="00C85B70">
        <w:rPr>
          <w:rFonts w:ascii="Times New Roman" w:eastAsia="Times New Roman" w:hAnsi="Times New Roman" w:cs="Times New Roman"/>
          <w:noProof/>
          <w:lang w:eastAsia="en-US"/>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77777777" w:rsidR="00C85B70" w:rsidRPr="00C85B70" w:rsidRDefault="750671CE" w:rsidP="750671CE">
      <w:pPr>
        <w:rPr>
          <w:rFonts w:ascii="Times New Roman,Cambria" w:eastAsia="Times New Roman,Cambria" w:hAnsi="Times New Roman,Cambria" w:cs="Times New Roman,Cambria"/>
          <w:sz w:val="20"/>
          <w:szCs w:val="20"/>
          <w:lang w:eastAsia="en-US"/>
        </w:rPr>
      </w:pPr>
      <w:r w:rsidRPr="750671CE">
        <w:rPr>
          <w:rFonts w:ascii="Times New Roman" w:eastAsia="Times New Roman" w:hAnsi="Times New Roman" w:cs="Times New Roman"/>
          <w:sz w:val="20"/>
          <w:szCs w:val="20"/>
          <w:lang w:eastAsia="en-US"/>
        </w:rPr>
        <w:t xml:space="preserve">Florida State Photographic Collection, </w:t>
      </w:r>
      <w:r w:rsidRPr="750671CE">
        <w:rPr>
          <w:rFonts w:ascii="Times New Roman" w:eastAsia="Times New Roman" w:hAnsi="Times New Roman" w:cs="Times New Roman"/>
          <w:i/>
          <w:iCs/>
          <w:sz w:val="20"/>
          <w:szCs w:val="20"/>
          <w:lang w:eastAsia="en-US"/>
        </w:rPr>
        <w:t>Florida Memory</w:t>
      </w:r>
      <w:r w:rsidRPr="750671CE">
        <w:rPr>
          <w:rFonts w:ascii="Times New Roman" w:eastAsia="Times New Roman" w:hAnsi="Times New Roman" w:cs="Times New Roman"/>
          <w:sz w:val="20"/>
          <w:szCs w:val="20"/>
          <w:lang w:eastAsia="en-US"/>
        </w:rPr>
        <w:t>, http://floridamemory.com/items/show/156972</w:t>
      </w:r>
    </w:p>
    <w:p w14:paraId="42AE7A43" w14:textId="77777777" w:rsidR="00C85B70" w:rsidRPr="00C85B70" w:rsidRDefault="00C85B70" w:rsidP="00C85B70">
      <w:pPr>
        <w:rPr>
          <w:rFonts w:ascii="Times New Roman" w:eastAsiaTheme="minorHAnsi" w:hAnsi="Times New Roman" w:cs="Times New Roman"/>
          <w:lang w:eastAsia="en-US"/>
        </w:rPr>
      </w:pPr>
    </w:p>
    <w:p w14:paraId="3A95453D" w14:textId="1E901CEE" w:rsidR="00C85B70" w:rsidRPr="00F94B7E" w:rsidRDefault="750671CE" w:rsidP="750671CE">
      <w:pPr>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shine on the Eden Roc the year around.</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Herb Kelly, </w:t>
      </w:r>
      <w:r w:rsidRPr="00F94B7E">
        <w:rPr>
          <w:rFonts w:ascii="Times New Roman" w:eastAsia="Times New Roman,Cambria" w:hAnsi="Times New Roman" w:cs="Times New Roman"/>
          <w:i/>
          <w:iCs/>
          <w:lang w:eastAsia="en-US"/>
        </w:rPr>
        <w:t>Eden Roc to Start on Pool</w:t>
      </w:r>
      <w:r w:rsidRPr="00F94B7E">
        <w:rPr>
          <w:rFonts w:ascii="Times New Roman" w:eastAsia="Times New Roman,Cambria" w:hAnsi="Times New Roman" w:cs="Times New Roman"/>
          <w:lang w:eastAsia="en-US"/>
        </w:rPr>
        <w:t xml:space="preserve">, </w:t>
      </w:r>
      <w:r w:rsidRPr="00F94B7E">
        <w:rPr>
          <w:rFonts w:ascii="Times New Roman" w:eastAsia="Times New Roman,Cambria" w:hAnsi="Times New Roman" w:cs="Times New Roman"/>
          <w:smallCaps/>
          <w:lang w:eastAsia="en-US"/>
        </w:rPr>
        <w:t>Miami News</w:t>
      </w:r>
      <w:r w:rsidRPr="00F94B7E">
        <w:rPr>
          <w:rFonts w:ascii="Times New Roman" w:eastAsia="Times New Roman,Cambria" w:hAnsi="Times New Roman" w:cs="Times New Roman"/>
          <w:lang w:eastAsia="en-US"/>
        </w:rPr>
        <w:t xml:space="preserve">, June 28, 1960, </w:t>
      </w:r>
      <w:r w:rsidR="00A765F9" w:rsidRPr="00F94B7E">
        <w:rPr>
          <w:rFonts w:ascii="Times New Roman" w:eastAsia="Times New Roman,Cambria" w:hAnsi="Times New Roman" w:cs="Times New Roman"/>
          <w:lang w:eastAsia="en-US"/>
        </w:rPr>
        <w:t>at</w:t>
      </w:r>
      <w:r w:rsidRPr="00F94B7E">
        <w:rPr>
          <w:rFonts w:ascii="Times New Roman" w:eastAsia="Times New Roman,Cambria" w:hAnsi="Times New Roman" w:cs="Times New Roman"/>
          <w:lang w:eastAsia="en-US"/>
        </w:rPr>
        <w:t xml:space="preserve"> 28.  Today, the spite wall no longer blocks sunlight at the Eden Roc Hotel</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pool. In 2011, during a course of renovations, the Eden Roc constructed a twenty-one-story tower directly along the north face of the spite wall.</w:t>
      </w:r>
    </w:p>
    <w:p w14:paraId="0B8E1A64" w14:textId="77777777" w:rsidR="00C85B70" w:rsidRPr="00C85B70" w:rsidRDefault="00C85B70" w:rsidP="00C85B70">
      <w:pPr>
        <w:rPr>
          <w:rFonts w:ascii="Times New Roman" w:eastAsiaTheme="minorHAnsi" w:hAnsi="Times New Roman" w:cs="Times New Roman"/>
          <w:lang w:eastAsia="en-US"/>
        </w:rPr>
      </w:pPr>
    </w:p>
    <w:p w14:paraId="65973103" w14:textId="77777777" w:rsidR="00C85B70" w:rsidRPr="00C85B70" w:rsidRDefault="00C85B70" w:rsidP="00C85B70">
      <w:pPr>
        <w:rPr>
          <w:rFonts w:ascii="Times New Roman" w:eastAsiaTheme="minorHAnsi" w:hAnsi="Times New Roman" w:cs="Times New Roman"/>
          <w:lang w:eastAsia="en-US"/>
        </w:rPr>
      </w:pPr>
    </w:p>
    <w:p w14:paraId="74403340" w14:textId="19B2A537" w:rsidR="00C85B70" w:rsidRPr="00F94B7E" w:rsidRDefault="750671CE" w:rsidP="00F94B7E">
      <w:pPr>
        <w:pStyle w:val="ListParagraph"/>
        <w:numPr>
          <w:ilvl w:val="0"/>
          <w:numId w:val="34"/>
        </w:numPr>
        <w:ind w:left="0" w:firstLine="360"/>
        <w:rPr>
          <w:rFonts w:ascii="Times New Roman" w:eastAsia="Times New Roman,Cambria" w:hAnsi="Times New Roman" w:cs="Times New Roman"/>
          <w:lang w:eastAsia="en-US"/>
        </w:rPr>
      </w:pPr>
      <w:r w:rsidRPr="00F94B7E">
        <w:rPr>
          <w:rFonts w:ascii="Times New Roman" w:eastAsia="Times New Roman,Cambria" w:hAnsi="Times New Roman" w:cs="Times New Roman"/>
          <w:i/>
          <w:iCs/>
          <w:lang w:eastAsia="en-US"/>
        </w:rPr>
        <w:t>Reasonable interferences?</w:t>
      </w:r>
      <w:r w:rsidRPr="00F94B7E">
        <w:rPr>
          <w:rFonts w:ascii="Times New Roman" w:eastAsia="Times New Roman,Cambria" w:hAnsi="Times New Roman" w:cs="Times New Roman"/>
          <w:lang w:eastAsia="en-US"/>
        </w:rPr>
        <w:t xml:space="preserve">  The Florida court resolved the </w:t>
      </w:r>
      <w:r w:rsidRPr="00F94B7E">
        <w:rPr>
          <w:rFonts w:ascii="Times New Roman" w:eastAsia="Times New Roman,Cambria" w:hAnsi="Times New Roman" w:cs="Times New Roman"/>
          <w:i/>
          <w:iCs/>
          <w:lang w:eastAsia="en-US"/>
        </w:rPr>
        <w:t>Fontainebleau</w:t>
      </w:r>
      <w:r w:rsidRPr="00F94B7E">
        <w:rPr>
          <w:rFonts w:ascii="Times New Roman" w:eastAsia="Times New Roman,Cambria" w:hAnsi="Times New Roman" w:cs="Times New Roman"/>
          <w:lang w:eastAsia="en-US"/>
        </w:rPr>
        <w:t xml:space="preserve"> case by finding that the Eden Roc had no protectable interest in the light and air crossing over its neighbor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The case was thus concluded without taking into account the character of the interference with the Eden Roc</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property interests. Suppose, however, the court had concluded that the Eden Roc did have a protectable interest?  At this point</w:t>
      </w:r>
      <w:r w:rsidR="009D502A">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the question would be a classic nuisance question: does the defendant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infringement on the plaintiff</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s property interest constitute an actionable infringement?  </w:t>
      </w:r>
    </w:p>
    <w:p w14:paraId="06D76DCA" w14:textId="77777777" w:rsidR="00C85B70" w:rsidRPr="00F94B7E" w:rsidRDefault="750671CE" w:rsidP="750671CE">
      <w:pPr>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xml:space="preserve">In the law of private nuisance, </w:t>
      </w:r>
    </w:p>
    <w:p w14:paraId="119B91C9" w14:textId="77777777" w:rsidR="00C85B70" w:rsidRPr="005B147F" w:rsidRDefault="00C85B70" w:rsidP="00C85B70">
      <w:pPr>
        <w:ind w:firstLine="720"/>
        <w:rPr>
          <w:rFonts w:ascii="Times New Roman" w:eastAsiaTheme="minorHAnsi" w:hAnsi="Times New Roman" w:cs="Times New Roman"/>
          <w:lang w:eastAsia="en-US"/>
        </w:rPr>
      </w:pPr>
    </w:p>
    <w:p w14:paraId="183496BA" w14:textId="77777777" w:rsidR="00C85B70" w:rsidRPr="005B147F" w:rsidRDefault="750671CE" w:rsidP="00F94B7E">
      <w:pPr>
        <w:ind w:left="720" w:right="720"/>
        <w:jc w:val="both"/>
        <w:rPr>
          <w:rFonts w:ascii="Times New Roman" w:eastAsia="Times New Roman" w:hAnsi="Times New Roman" w:cs="Times New Roman"/>
          <w:color w:val="1C1C1C"/>
          <w:lang w:eastAsia="en-US"/>
        </w:rPr>
      </w:pPr>
      <w:r w:rsidRPr="00121DBE">
        <w:rPr>
          <w:rFonts w:ascii="Times New Roman" w:eastAsia="Times New Roman" w:hAnsi="Times New Roman" w:cs="Times New Roman"/>
          <w:color w:val="1C1C1C"/>
          <w:lang w:eastAsia="en-US"/>
        </w:rPr>
        <w:t>one is subject to liability for a private nuisance if his conduct is a legal cause of the invasion of the interest in the private use and enjoyment of land and such invasion is (1) intentional and unre</w:t>
      </w:r>
      <w:r w:rsidRPr="00DB5930">
        <w:rPr>
          <w:rFonts w:ascii="Times New Roman" w:eastAsia="Times New Roman" w:hAnsi="Times New Roman" w:cs="Times New Roman"/>
          <w:color w:val="1C1C1C"/>
          <w:lang w:eastAsia="en-US"/>
        </w:rPr>
        <w:t>asonable, (2) negligent or reckless, or (3) actionable under the rules governing liability for abnormally dangerous conditions or activities.</w:t>
      </w:r>
    </w:p>
    <w:p w14:paraId="348714B8" w14:textId="77777777" w:rsidR="00C85B70" w:rsidRPr="005B147F" w:rsidRDefault="00C85B70" w:rsidP="00C85B70">
      <w:pPr>
        <w:rPr>
          <w:rFonts w:ascii="Times New Roman" w:hAnsi="Times New Roman" w:cs="Times New Roman"/>
          <w:color w:val="1C1C1C"/>
          <w:lang w:eastAsia="en-US"/>
        </w:rPr>
      </w:pPr>
    </w:p>
    <w:p w14:paraId="3D32A4B2" w14:textId="7578DEC8" w:rsidR="00C85B70" w:rsidRPr="00F94B7E" w:rsidRDefault="750671CE" w:rsidP="750671CE">
      <w:pPr>
        <w:rPr>
          <w:rFonts w:ascii="Times New Roman" w:eastAsia="Times New Roman,Cambria" w:hAnsi="Times New Roman" w:cs="Times New Roman"/>
          <w:lang w:eastAsia="en-US"/>
        </w:rPr>
      </w:pPr>
      <w:r w:rsidRPr="005B147F">
        <w:rPr>
          <w:rFonts w:ascii="Times New Roman" w:eastAsia="Times New Roman" w:hAnsi="Times New Roman" w:cs="Times New Roman"/>
          <w:i/>
          <w:iCs/>
          <w:color w:val="1C1C1C"/>
          <w:lang w:eastAsia="en-US"/>
        </w:rPr>
        <w:t>Copart Industries, Inc. v. Consolidated Edison Co</w:t>
      </w:r>
      <w:r w:rsidRPr="005B147F">
        <w:rPr>
          <w:rFonts w:ascii="Times New Roman" w:eastAsia="Times New Roman" w:hAnsi="Times New Roman" w:cs="Times New Roman"/>
          <w:color w:val="1C1C1C"/>
          <w:lang w:eastAsia="en-US"/>
        </w:rPr>
        <w:t xml:space="preserve">., 362 N.E.2d 968, 971 (N.Y. 1977).  The view of the </w:t>
      </w:r>
      <w:r w:rsidR="009D502A">
        <w:rPr>
          <w:rFonts w:ascii="Times New Roman" w:eastAsia="Times New Roman" w:hAnsi="Times New Roman" w:cs="Times New Roman"/>
          <w:color w:val="1C1C1C"/>
          <w:lang w:eastAsia="en-US"/>
        </w:rPr>
        <w:t>S</w:t>
      </w:r>
      <w:r w:rsidRPr="005B147F">
        <w:rPr>
          <w:rFonts w:ascii="Times New Roman" w:eastAsia="Times New Roman" w:hAnsi="Times New Roman" w:cs="Times New Roman"/>
          <w:color w:val="1C1C1C"/>
          <w:lang w:eastAsia="en-US"/>
        </w:rPr>
        <w:t xml:space="preserve">econd Restatement is essentially identical.  See </w:t>
      </w:r>
      <w:r w:rsidRPr="00F94B7E">
        <w:rPr>
          <w:rFonts w:ascii="Times New Roman" w:eastAsia="Times New Roman,Cambria" w:hAnsi="Times New Roman" w:cs="Times New Roman"/>
          <w:smallCaps/>
          <w:lang w:eastAsia="en-US"/>
        </w:rPr>
        <w:t>Restatement (Second) of Torts</w:t>
      </w:r>
      <w:r w:rsidRPr="00F94B7E">
        <w:rPr>
          <w:rFonts w:ascii="Times New Roman" w:eastAsia="Times New Roman,Cambria" w:hAnsi="Times New Roman" w:cs="Times New Roman"/>
          <w:lang w:eastAsia="en-US"/>
        </w:rPr>
        <w:t xml:space="preserve"> § 822.  </w:t>
      </w:r>
    </w:p>
    <w:p w14:paraId="5AE50FF0" w14:textId="77777777" w:rsidR="00C85B70" w:rsidRPr="005B147F" w:rsidRDefault="00C85B70" w:rsidP="00C85B70">
      <w:pPr>
        <w:rPr>
          <w:rFonts w:ascii="Times New Roman" w:eastAsiaTheme="minorHAnsi" w:hAnsi="Times New Roman" w:cs="Times New Roman"/>
          <w:lang w:eastAsia="en-US"/>
        </w:rPr>
      </w:pPr>
    </w:p>
    <w:p w14:paraId="20A14AC6" w14:textId="39079A83" w:rsidR="00C85B70" w:rsidRPr="00F94B7E" w:rsidRDefault="750671CE" w:rsidP="750671CE">
      <w:pPr>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When is an invasion of private use and enjoyment of land unreasonable?  The Restatement takes the position that an intentional invasion of another</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interest in land is unreasonable if</w:t>
      </w:r>
      <w:r w:rsidRPr="005B147F">
        <w:rPr>
          <w:rFonts w:ascii="Times New Roman" w:eastAsia="Times New Roman" w:hAnsi="Times New Roman" w:cs="Times New Roman"/>
          <w:lang w:eastAsia="en-US"/>
        </w:rPr>
        <w:t xml:space="preserve"> (a) </w:t>
      </w:r>
      <w:r w:rsidR="00B05F31" w:rsidRPr="00121DBE">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the gravity of the harm outweighs the utility of the actor</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s conduct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or (b) </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the harm caused by the conduct is serious and the financial burden of compensating for this and similar harm to others would not make the continuation of the conduct not feasible.</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  </w:t>
      </w:r>
      <w:r w:rsidRPr="00F94B7E">
        <w:rPr>
          <w:rFonts w:ascii="Times New Roman" w:eastAsia="Times New Roman,Cambria" w:hAnsi="Times New Roman" w:cs="Times New Roman"/>
          <w:lang w:eastAsia="en-US"/>
        </w:rPr>
        <w:t xml:space="preserve">Restatement (Second) of Torts § 826.  </w:t>
      </w:r>
    </w:p>
    <w:p w14:paraId="66BE4693" w14:textId="77777777" w:rsidR="00C85B70" w:rsidRPr="005B147F" w:rsidRDefault="00C85B70" w:rsidP="00C85B70">
      <w:pPr>
        <w:ind w:firstLine="720"/>
        <w:rPr>
          <w:rFonts w:ascii="Times New Roman" w:eastAsiaTheme="minorHAnsi" w:hAnsi="Times New Roman" w:cs="Times New Roman"/>
          <w:lang w:eastAsia="en-US"/>
        </w:rPr>
      </w:pPr>
    </w:p>
    <w:p w14:paraId="2CA65B88" w14:textId="77777777" w:rsidR="00C85B70" w:rsidRPr="005B147F" w:rsidRDefault="750671CE" w:rsidP="750671CE">
      <w:pPr>
        <w:ind w:firstLine="720"/>
        <w:rPr>
          <w:rFonts w:ascii="Times New Roman" w:eastAsia="Times New Roman" w:hAnsi="Times New Roman" w:cs="Times New Roman"/>
          <w:lang w:eastAsia="en-US"/>
        </w:rPr>
      </w:pPr>
      <w:r w:rsidRPr="00F94B7E">
        <w:rPr>
          <w:rFonts w:ascii="Times New Roman" w:eastAsia="Times New Roman,Cambria" w:hAnsi="Times New Roman" w:cs="Times New Roman"/>
          <w:lang w:eastAsia="en-US"/>
        </w:rPr>
        <w:t xml:space="preserve">What part of this definition of private nuisance, if any, amounts to liability without fault?  </w:t>
      </w:r>
    </w:p>
    <w:p w14:paraId="051239FD" w14:textId="77777777" w:rsidR="00C85B70" w:rsidRPr="00121DBE" w:rsidRDefault="00C85B70" w:rsidP="00C85B70">
      <w:pPr>
        <w:rPr>
          <w:rFonts w:ascii="Times New Roman" w:eastAsiaTheme="minorHAnsi" w:hAnsi="Times New Roman" w:cs="Times New Roman"/>
          <w:lang w:eastAsia="en-US"/>
        </w:rPr>
      </w:pPr>
    </w:p>
    <w:p w14:paraId="13C6EAD5" w14:textId="77777777" w:rsidR="00C85B70" w:rsidRPr="005B147F" w:rsidRDefault="00C85B70" w:rsidP="00C85B70">
      <w:pPr>
        <w:shd w:val="clear" w:color="auto" w:fill="FFFFFF"/>
        <w:spacing w:line="264" w:lineRule="auto"/>
        <w:textAlignment w:val="baseline"/>
        <w:outlineLvl w:val="0"/>
        <w:rPr>
          <w:rFonts w:ascii="Times New Roman" w:eastAsiaTheme="minorHAnsi" w:hAnsi="Times New Roman" w:cs="Times New Roman"/>
          <w:b/>
          <w:lang w:eastAsia="en-US"/>
        </w:rPr>
      </w:pPr>
      <w:bookmarkStart w:id="908" w:name="_Toc272975133"/>
    </w:p>
    <w:p w14:paraId="14F71E81" w14:textId="4AA72351" w:rsidR="00C85B70" w:rsidRPr="00121DBE" w:rsidRDefault="00C85B70" w:rsidP="750671CE">
      <w:pPr>
        <w:shd w:val="clear" w:color="auto" w:fill="FFFFFF" w:themeFill="background1"/>
        <w:spacing w:line="264" w:lineRule="auto"/>
        <w:textAlignment w:val="baseline"/>
        <w:outlineLvl w:val="0"/>
        <w:rPr>
          <w:rFonts w:ascii="Times New Roman" w:eastAsia="Times New Roman" w:hAnsi="Times New Roman" w:cs="Times New Roman"/>
          <w:b/>
          <w:bCs/>
          <w:lang w:eastAsia="en-US"/>
        </w:rPr>
      </w:pPr>
      <w:bookmarkStart w:id="909" w:name="_Toc518323523"/>
      <w:r w:rsidRPr="005B147F">
        <w:rPr>
          <w:rStyle w:val="Heading4Char"/>
        </w:rPr>
        <w:t>Ensign v. Walls</w:t>
      </w:r>
      <w:bookmarkEnd w:id="908"/>
      <w:bookmarkEnd w:id="909"/>
      <w:r w:rsidR="00C816B1" w:rsidRPr="00F94B7E">
        <w:rPr>
          <w:rFonts w:ascii="Times New Roman" w:eastAsia="Times New Roman,Cambria" w:hAnsi="Times New Roman" w:cs="Times New Roman"/>
          <w:b/>
          <w:bCs/>
          <w:lang w:eastAsia="en-US"/>
        </w:rPr>
        <w:t xml:space="preserve">, </w:t>
      </w:r>
      <w:r w:rsidRPr="005B147F">
        <w:rPr>
          <w:rFonts w:ascii="Times New Roman" w:eastAsia="Times New Roman" w:hAnsi="Times New Roman" w:cs="Times New Roman"/>
          <w:b/>
          <w:bCs/>
          <w:lang w:eastAsia="en-US"/>
        </w:rPr>
        <w:t>34 N.W.2d 549 (Mich. 1948)</w:t>
      </w:r>
    </w:p>
    <w:p w14:paraId="675A00C5" w14:textId="00E45BA0" w:rsidR="00C85B70" w:rsidRPr="00F94B7E" w:rsidRDefault="750671CE" w:rsidP="750671CE">
      <w:pPr>
        <w:spacing w:before="100" w:beforeAutospacing="1" w:after="100" w:afterAutospacing="1"/>
        <w:rPr>
          <w:rFonts w:ascii="Times New Roman" w:eastAsia="Times New Roman,Cambria" w:hAnsi="Times New Roman" w:cs="Times New Roman"/>
          <w:b/>
          <w:bCs/>
          <w:lang w:eastAsia="en-US"/>
        </w:rPr>
      </w:pPr>
      <w:r w:rsidRPr="00F94B7E">
        <w:rPr>
          <w:rFonts w:ascii="Times New Roman" w:eastAsia="Times New Roman,Cambria" w:hAnsi="Times New Roman" w:cs="Times New Roman"/>
          <w:smallCaps/>
          <w:lang w:eastAsia="en-US"/>
        </w:rPr>
        <w:t>Carr, J</w:t>
      </w:r>
      <w:r w:rsidRPr="00F94B7E">
        <w:rPr>
          <w:rFonts w:ascii="Times New Roman" w:eastAsia="Times New Roman,Cambria" w:hAnsi="Times New Roman" w:cs="Times New Roman"/>
          <w:b/>
          <w:bCs/>
          <w:lang w:eastAsia="en-US"/>
        </w:rPr>
        <w:t xml:space="preserve">. </w:t>
      </w:r>
    </w:p>
    <w:p w14:paraId="02DC7178" w14:textId="540B4B40" w:rsidR="00C85B70" w:rsidRPr="005B147F" w:rsidRDefault="750671CE" w:rsidP="750671CE">
      <w:pPr>
        <w:spacing w:before="100" w:beforeAutospacing="1" w:after="100" w:afterAutospacing="1"/>
        <w:ind w:firstLine="720"/>
        <w:rPr>
          <w:rFonts w:ascii="Times New Roman" w:eastAsia="Times New Roman" w:hAnsi="Times New Roman" w:cs="Times New Roman"/>
          <w:lang w:eastAsia="en-US"/>
        </w:rPr>
      </w:pPr>
      <w:r w:rsidRPr="005B147F">
        <w:rPr>
          <w:rFonts w:ascii="Times New Roman" w:eastAsia="Times New Roman" w:hAnsi="Times New Roman" w:cs="Times New Roman"/>
          <w:lang w:eastAsia="en-US"/>
        </w:rPr>
        <w:t>Defendant herein has for some years past car</w:t>
      </w:r>
      <w:r w:rsidRPr="00121DBE">
        <w:rPr>
          <w:rFonts w:ascii="Times New Roman" w:eastAsia="Times New Roman" w:hAnsi="Times New Roman" w:cs="Times New Roman"/>
          <w:lang w:eastAsia="en-US"/>
        </w:rPr>
        <w:t>ried on at 13949 Dacosta Street, in the city of Detroit, the business of raising, breeding and boarding St. Bernard dogs. Plaintiffs are property owners and residents in the immediate neighborhood. Claiming that the business conducted by defendant constitu</w:t>
      </w:r>
      <w:r w:rsidRPr="00DB5930">
        <w:rPr>
          <w:rFonts w:ascii="Times New Roman" w:eastAsia="Times New Roman" w:hAnsi="Times New Roman" w:cs="Times New Roman"/>
          <w:lang w:eastAsia="en-US"/>
        </w:rPr>
        <w:t>ted a nuisance as to them and their property, plaintiffs brought suit for injunctive relief. The bill of complaint alleged that obnoxious odors came from defendant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5B147F">
        <w:rPr>
          <w:rFonts w:ascii="Times New Roman" w:eastAsia="Times New Roman" w:hAnsi="Times New Roman" w:cs="Times New Roman"/>
          <w:lang w:eastAsia="en-US"/>
        </w:rPr>
        <w:t>’</w:t>
      </w:r>
      <w:r w:rsidRPr="005B147F">
        <w:rPr>
          <w:rFonts w:ascii="Times New Roman" w:eastAsia="Times New Roman" w:hAnsi="Times New Roman" w:cs="Times New Roman"/>
          <w:lang w:eastAsia="en-US"/>
        </w:rPr>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C85B70" w:rsidRDefault="750671CE" w:rsidP="750671CE">
      <w:pPr>
        <w:spacing w:before="100" w:beforeAutospacing="1" w:after="100" w:afterAutospacing="1"/>
        <w:ind w:firstLine="720"/>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C85B70" w:rsidRDefault="750671CE" w:rsidP="750671C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C85B70" w:rsidRDefault="750671CE" w:rsidP="750671CE">
      <w:pPr>
        <w:spacing w:before="100" w:beforeAutospacing="1" w:after="100" w:afterAutospacing="1"/>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decree of the circuit is affirmed. Plaintiffs may have costs. </w:t>
      </w:r>
    </w:p>
    <w:p w14:paraId="00D6A12D" w14:textId="48612928" w:rsidR="00EF768F" w:rsidRDefault="00EF768F">
      <w:pPr>
        <w:rPr>
          <w:rFonts w:ascii="Times New Roman" w:eastAsia="Times New Roman" w:hAnsi="Times New Roman" w:cs="Times New Roman"/>
          <w:lang w:eastAsia="en-US"/>
        </w:rPr>
      </w:pPr>
    </w:p>
    <w:p w14:paraId="44F1ECE0" w14:textId="77777777" w:rsidR="00C85B70" w:rsidRPr="00C85B70" w:rsidRDefault="00C85B70" w:rsidP="00CB223A">
      <w:pPr>
        <w:pStyle w:val="Heading5"/>
      </w:pPr>
      <w:bookmarkStart w:id="910" w:name="_Toc272975134"/>
      <w:bookmarkStart w:id="911" w:name="_Toc364636263"/>
      <w:bookmarkStart w:id="912" w:name="_Toc518323524"/>
      <w:r w:rsidRPr="00C85B70">
        <w:t>Notes</w:t>
      </w:r>
      <w:bookmarkEnd w:id="910"/>
      <w:bookmarkEnd w:id="911"/>
      <w:bookmarkEnd w:id="912"/>
    </w:p>
    <w:p w14:paraId="101929B1" w14:textId="77777777" w:rsidR="00C85B70" w:rsidRDefault="00C85B70" w:rsidP="00C85B70">
      <w:pPr>
        <w:rPr>
          <w:rFonts w:ascii="Times New Roman" w:eastAsia="Times New Roman" w:hAnsi="Times New Roman" w:cs="Times New Roman"/>
          <w:color w:val="333333"/>
          <w:lang w:eastAsia="en-US"/>
        </w:rPr>
      </w:pPr>
    </w:p>
    <w:p w14:paraId="6580F4EE" w14:textId="77777777" w:rsidR="00910387" w:rsidRPr="00C85B70" w:rsidRDefault="00910387" w:rsidP="00C85B70">
      <w:pPr>
        <w:rPr>
          <w:rFonts w:ascii="Times New Roman" w:eastAsia="Times New Roman" w:hAnsi="Times New Roman" w:cs="Times New Roman"/>
          <w:color w:val="333333"/>
          <w:lang w:eastAsia="en-US"/>
        </w:rPr>
      </w:pPr>
    </w:p>
    <w:p w14:paraId="306121DA" w14:textId="2240E775" w:rsidR="00C85B70" w:rsidRPr="00F94B7E" w:rsidRDefault="750671CE" w:rsidP="00F94B7E">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logic of collective action</w:t>
      </w:r>
      <w:r w:rsidRPr="00F94B7E">
        <w:rPr>
          <w:rFonts w:ascii="Times New Roman" w:eastAsia="Times New Roman" w:hAnsi="Times New Roman" w:cs="Times New Roman"/>
          <w:lang w:eastAsia="en-US"/>
        </w:rPr>
        <w:t xml:space="preserve">.  Why did the court think it necessary to enjoin the defendant in </w:t>
      </w:r>
      <w:r w:rsidRPr="00F94B7E">
        <w:rPr>
          <w:rFonts w:ascii="Times New Roman" w:eastAsia="Times New Roman" w:hAnsi="Times New Roman" w:cs="Times New Roman"/>
          <w:i/>
          <w:iCs/>
          <w:lang w:eastAsia="en-US"/>
        </w:rPr>
        <w:t>Ensign v. Walls</w:t>
      </w:r>
      <w:r w:rsidRPr="00F94B7E">
        <w:rPr>
          <w:rFonts w:ascii="Times New Roman" w:eastAsia="Times New Roman" w:hAnsi="Times New Roman" w:cs="Times New Roman"/>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EF768F" w:rsidRDefault="00C85B70" w:rsidP="00C85B70">
      <w:pPr>
        <w:rPr>
          <w:rFonts w:ascii="Times New Roman" w:eastAsia="Times New Roman" w:hAnsi="Times New Roman" w:cs="Times New Roman"/>
          <w:lang w:eastAsia="en-US"/>
        </w:rPr>
      </w:pPr>
    </w:p>
    <w:p w14:paraId="088E97A4" w14:textId="2EFC464D" w:rsidR="00C85B70" w:rsidRPr="00EF768F"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property, located in the middle of the Google Earth image below, had been encroached on such that by the time of the litigation it was ringed by a circle of new homes</w:t>
      </w:r>
      <w:r w:rsidR="003F375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C85B70" w:rsidRDefault="00C85B70" w:rsidP="00C85B70">
      <w:pPr>
        <w:rPr>
          <w:rFonts w:ascii="Times New Roman" w:eastAsia="Times New Roman" w:hAnsi="Times New Roman" w:cs="Times New Roman"/>
          <w:color w:val="333333"/>
          <w:lang w:eastAsia="en-US"/>
        </w:rPr>
      </w:pPr>
      <w:r w:rsidRPr="00C85B70">
        <w:rPr>
          <w:rFonts w:ascii="Times New Roman" w:eastAsia="Times New Roman" w:hAnsi="Times New Roman" w:cs="Times New Roman"/>
          <w:noProof/>
          <w:lang w:eastAsia="en-US"/>
        </w:rPr>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
    <w:p w14:paraId="2722FE4B" w14:textId="77777777" w:rsidR="00C85B70" w:rsidRPr="00C85B70" w:rsidRDefault="750671CE" w:rsidP="750671CE">
      <w:pPr>
        <w:spacing w:line="264" w:lineRule="auto"/>
        <w:ind w:firstLine="720"/>
        <w:rPr>
          <w:rFonts w:ascii="Times New Roman" w:eastAsia="Times New Roman" w:hAnsi="Times New Roman" w:cs="Times New Roman"/>
          <w:i/>
          <w:iCs/>
          <w:color w:val="000000" w:themeColor="text1"/>
          <w:sz w:val="20"/>
          <w:szCs w:val="20"/>
          <w:lang w:eastAsia="en-US"/>
        </w:rPr>
      </w:pPr>
      <w:r w:rsidRPr="750671CE">
        <w:rPr>
          <w:rFonts w:ascii="Times New Roman" w:eastAsia="Times New Roman" w:hAnsi="Times New Roman" w:cs="Times New Roman"/>
          <w:i/>
          <w:iCs/>
          <w:color w:val="000000" w:themeColor="text1"/>
          <w:sz w:val="20"/>
          <w:szCs w:val="20"/>
          <w:lang w:eastAsia="en-US"/>
        </w:rPr>
        <w:t>Source: Google Satellite image of 13949 Dacosta Street, Detroit, Michigan 48223</w:t>
      </w:r>
    </w:p>
    <w:p w14:paraId="16068004" w14:textId="6DD45D3E" w:rsidR="00C85B70" w:rsidRPr="00EF768F" w:rsidRDefault="750671CE" w:rsidP="750671CE">
      <w:pPr>
        <w:spacing w:before="24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Imagine that the new homeowners ringing the defendant at 13949 Da</w:t>
      </w:r>
      <w:r w:rsidR="00C146ED">
        <w:rPr>
          <w:rFonts w:ascii="Times New Roman" w:eastAsia="Times New Roman" w:hAnsi="Times New Roman" w:cs="Times New Roman"/>
          <w:lang w:eastAsia="en-US"/>
        </w:rPr>
        <w:t>c</w:t>
      </w:r>
      <w:r w:rsidRPr="750671CE">
        <w:rPr>
          <w:rFonts w:ascii="Times New Roman" w:eastAsia="Times New Roman" w:hAnsi="Times New Roman" w:cs="Times New Roman"/>
          <w:lang w:eastAsia="en-US"/>
        </w:rPr>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rPr>
          <w:rFonts w:ascii="Times New Roman" w:eastAsia="Times New Roman" w:hAnsi="Times New Roman" w:cs="Times New Roman"/>
          <w:lang w:eastAsia="en-US"/>
        </w:rPr>
        <w:t>c</w:t>
      </w:r>
      <w:r w:rsidRPr="750671CE">
        <w:rPr>
          <w:rFonts w:ascii="Times New Roman" w:eastAsia="Times New Roman" w:hAnsi="Times New Roman" w:cs="Times New Roman"/>
          <w:lang w:eastAsia="en-US"/>
        </w:rPr>
        <w:t>osta owner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right to certain noxious uses will not take place. </w:t>
      </w:r>
      <w:r w:rsidRPr="750671CE">
        <w:rPr>
          <w:rFonts w:ascii="Times New Roman" w:eastAsia="Times New Roman" w:hAnsi="Times New Roman" w:cs="Times New Roman"/>
          <w:i/>
          <w:iCs/>
          <w:lang w:eastAsia="en-US"/>
        </w:rPr>
        <w:t xml:space="preserve"> See</w:t>
      </w:r>
      <w:r w:rsidR="009D502A">
        <w:rPr>
          <w:rFonts w:ascii="Times New Roman" w:eastAsia="Times New Roman" w:hAnsi="Times New Roman" w:cs="Times New Roman"/>
          <w:i/>
          <w:iCs/>
          <w:lang w:eastAsia="en-US"/>
        </w:rPr>
        <w:t xml:space="preserve"> generally</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Mancur Olson, The Logic of Collective Action</w:t>
      </w:r>
      <w:r w:rsidRPr="750671CE">
        <w:rPr>
          <w:rFonts w:ascii="Times New Roman" w:eastAsia="Times New Roman" w:hAnsi="Times New Roman" w:cs="Times New Roman"/>
          <w:lang w:eastAsia="en-US"/>
        </w:rPr>
        <w:t xml:space="preserve"> (1965). </w:t>
      </w:r>
    </w:p>
    <w:p w14:paraId="1269CE95" w14:textId="070A0B43" w:rsidR="00C85B70" w:rsidRPr="00EF768F" w:rsidRDefault="00C85B70" w:rsidP="750671CE">
      <w:pPr>
        <w:spacing w:before="240"/>
        <w:rPr>
          <w:rFonts w:ascii="Times New Roman" w:eastAsia="Times New Roman" w:hAnsi="Times New Roman" w:cs="Times New Roman"/>
          <w:lang w:eastAsia="en-US"/>
        </w:rPr>
      </w:pPr>
      <w:r w:rsidRPr="00C85B70">
        <w:rPr>
          <w:rFonts w:ascii="Times New Roman" w:eastAsia="Times New Roman" w:hAnsi="Times New Roman" w:cs="Times New Roman"/>
          <w:color w:val="333333"/>
          <w:lang w:eastAsia="en-US"/>
        </w:rPr>
        <w:tab/>
      </w:r>
      <w:r w:rsidRPr="00EF768F">
        <w:rPr>
          <w:rFonts w:ascii="Times New Roman" w:eastAsia="Times New Roman" w:hAnsi="Times New Roman" w:cs="Times New Roman"/>
          <w:lang w:eastAsia="en-US"/>
        </w:rPr>
        <w:t xml:space="preserve">Put in the terms adopted by Ronald Coase, which we first encountered in </w:t>
      </w:r>
      <w:r w:rsidR="00C146ED">
        <w:rPr>
          <w:rFonts w:ascii="Times New Roman" w:eastAsia="Times New Roman" w:hAnsi="Times New Roman" w:cs="Times New Roman"/>
          <w:lang w:eastAsia="en-US"/>
        </w:rPr>
        <w:t>C</w:t>
      </w:r>
      <w:r w:rsidRPr="00EF768F">
        <w:rPr>
          <w:rFonts w:ascii="Times New Roman" w:eastAsia="Times New Roman" w:hAnsi="Times New Roman" w:cs="Times New Roman"/>
          <w:lang w:eastAsia="en-US"/>
        </w:rPr>
        <w:t>hapter 2, the collective action problem here is a kind of transaction cost that is obstructing the allocation in the market of entitlements to their highest value users.  The court</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s injunction cuts through the failure of the market and imposes the socially optimal outcome.</w:t>
      </w:r>
    </w:p>
    <w:p w14:paraId="0026D54B" w14:textId="275EC702" w:rsidR="00C85B70" w:rsidRPr="00EF768F" w:rsidRDefault="00C85B70" w:rsidP="750671CE">
      <w:pPr>
        <w:spacing w:before="240"/>
        <w:rPr>
          <w:rFonts w:ascii="Times New Roman" w:eastAsia="Times New Roman" w:hAnsi="Times New Roman" w:cs="Times New Roman"/>
          <w:lang w:eastAsia="en-US"/>
        </w:rPr>
      </w:pPr>
      <w:r w:rsidRPr="00C85B70">
        <w:rPr>
          <w:rFonts w:ascii="Times New Roman" w:eastAsia="Times New Roman" w:hAnsi="Times New Roman" w:cs="Times New Roman"/>
          <w:color w:val="333333"/>
          <w:lang w:eastAsia="en-US"/>
        </w:rPr>
        <w:tab/>
      </w:r>
      <w:r w:rsidRPr="00EF768F">
        <w:rPr>
          <w:rFonts w:ascii="Times New Roman" w:eastAsia="Times New Roman" w:hAnsi="Times New Roman" w:cs="Times New Roman"/>
          <w:lang w:eastAsia="en-US"/>
        </w:rPr>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rPr>
          <w:rFonts w:ascii="Times New Roman" w:eastAsia="Times New Roman" w:hAnsi="Times New Roman" w:cs="Times New Roman"/>
          <w:lang w:eastAsia="en-US"/>
        </w:rPr>
        <w:t>c</w:t>
      </w:r>
      <w:r w:rsidRPr="00EF768F">
        <w:rPr>
          <w:rFonts w:ascii="Times New Roman" w:eastAsia="Times New Roman" w:hAnsi="Times New Roman" w:cs="Times New Roman"/>
          <w:lang w:eastAsia="en-US"/>
        </w:rPr>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EF768F" w:rsidRDefault="00C85B70" w:rsidP="750671CE">
      <w:pPr>
        <w:spacing w:before="240"/>
        <w:rPr>
          <w:rFonts w:ascii="Times New Roman" w:eastAsia="Times New Roman" w:hAnsi="Times New Roman" w:cs="Times New Roman"/>
          <w:i/>
          <w:iCs/>
          <w:lang w:eastAsia="en-US"/>
        </w:rPr>
      </w:pPr>
      <w:r w:rsidRPr="00EF768F">
        <w:rPr>
          <w:rFonts w:ascii="Times New Roman" w:eastAsia="Times New Roman" w:hAnsi="Times New Roman" w:cs="Times New Roman"/>
          <w:lang w:eastAsia="en-US"/>
        </w:rPr>
        <w:tab/>
        <w:t>Collective action problems here mean that a mistake by the court will not likely be remedied by the marketplace.</w:t>
      </w:r>
    </w:p>
    <w:p w14:paraId="331110B6" w14:textId="77777777" w:rsidR="00C85B70" w:rsidRDefault="00C85B70" w:rsidP="00F94B7E">
      <w:pPr>
        <w:rPr>
          <w:rFonts w:ascii="Times New Roman" w:eastAsia="Times New Roman" w:hAnsi="Times New Roman" w:cs="Times New Roman"/>
          <w:color w:val="000000"/>
          <w:lang w:eastAsia="en-US"/>
        </w:rPr>
      </w:pPr>
    </w:p>
    <w:p w14:paraId="10F22FBA" w14:textId="77777777" w:rsidR="00910387" w:rsidRPr="00C85B70" w:rsidRDefault="00910387" w:rsidP="00F94B7E">
      <w:pPr>
        <w:rPr>
          <w:rFonts w:ascii="Times New Roman" w:eastAsia="Times New Roman" w:hAnsi="Times New Roman" w:cs="Times New Roman"/>
          <w:color w:val="000000"/>
          <w:lang w:eastAsia="en-US"/>
        </w:rPr>
      </w:pPr>
    </w:p>
    <w:p w14:paraId="30BAEF82" w14:textId="0864ADDF" w:rsidR="00C85B70" w:rsidRPr="00F94B7E" w:rsidRDefault="750671CE" w:rsidP="00F94B7E">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Coming to the nuisance</w:t>
      </w:r>
      <w:r w:rsidRPr="00F94B7E">
        <w:rPr>
          <w:rFonts w:ascii="Times New Roman" w:eastAsia="Times New Roman" w:hAnsi="Times New Roman" w:cs="Times New Roman"/>
          <w:lang w:eastAsia="en-US"/>
        </w:rPr>
        <w:t xml:space="preserve">.  In nuisance cases, courts give priority in time significant weight. For example, defendants who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move[] hog production to an established residential neighborhood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are unlikely to escape liability. Similarly, a plaintiff who moves into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neighborhood of small factories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unlikely to bring a successful nuisance claim. </w:t>
      </w:r>
      <w:r w:rsidRPr="00F94B7E">
        <w:rPr>
          <w:rFonts w:ascii="Times New Roman" w:eastAsia="Times New Roman" w:hAnsi="Times New Roman" w:cs="Times New Roman"/>
          <w:smallCaps/>
          <w:lang w:eastAsia="en-US"/>
        </w:rPr>
        <w:t>Dobbs</w:t>
      </w:r>
      <w:r w:rsidR="009D502A">
        <w:rPr>
          <w:rFonts w:ascii="Times New Roman" w:eastAsia="Times New Roman" w:hAnsi="Times New Roman" w:cs="Times New Roman"/>
          <w:smallCaps/>
          <w:lang w:eastAsia="en-US"/>
        </w:rPr>
        <w:t>, Hayden &amp; Bublick</w:t>
      </w:r>
      <w:r w:rsidRPr="00F94B7E">
        <w:rPr>
          <w:rFonts w:ascii="Times New Roman" w:eastAsia="Times New Roman" w:hAnsi="Times New Roman" w:cs="Times New Roman"/>
          <w:smallCaps/>
          <w:lang w:eastAsia="en-US"/>
        </w:rPr>
        <w:t>, Dobbs</w:t>
      </w:r>
      <w:r w:rsidR="00B05F31">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Law of Torts</w:t>
      </w:r>
      <w:r w:rsidRPr="00F94B7E">
        <w:rPr>
          <w:rFonts w:ascii="Times New Roman" w:eastAsia="Times New Roman" w:hAnsi="Times New Roman" w:cs="Times New Roman"/>
          <w:lang w:eastAsia="en-US"/>
        </w:rPr>
        <w:t xml:space="preserve"> § 401 (2014). Priority in time, however, is not dispositive in nuisance cases.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840D (1979)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As </w:t>
      </w:r>
      <w:r w:rsidRPr="00F94B7E">
        <w:rPr>
          <w:rFonts w:ascii="Times New Roman" w:eastAsia="Times New Roman" w:hAnsi="Times New Roman" w:cs="Times New Roman"/>
          <w:i/>
          <w:iCs/>
          <w:lang w:eastAsia="en-US"/>
        </w:rPr>
        <w:t xml:space="preserve">Ensign v. Walls </w:t>
      </w:r>
      <w:r w:rsidRPr="00F94B7E">
        <w:rPr>
          <w:rFonts w:ascii="Times New Roman" w:eastAsia="Times New Roman" w:hAnsi="Times New Roman" w:cs="Times New Roman"/>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EF768F" w:rsidRDefault="750671CE" w:rsidP="750671CE">
      <w:pPr>
        <w:spacing w:before="24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failed to mitigate damages.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 the other hand, the rationale for remedies is that the existence of a first in time rule creates a race to develop lest the use of Parcel A preclude certain uses of neighboring Parcel B.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Robert C. Ellickson, </w:t>
      </w:r>
      <w:r w:rsidRPr="750671CE">
        <w:rPr>
          <w:rFonts w:ascii="Times New Roman" w:eastAsia="Times New Roman" w:hAnsi="Times New Roman" w:cs="Times New Roman"/>
          <w:i/>
          <w:iCs/>
          <w:lang w:eastAsia="en-US"/>
        </w:rPr>
        <w:t>Alternatives to Zoning: Covenants, Nuisance Rules, and Fines as Land Use Controls</w:t>
      </w:r>
      <w:r w:rsidRPr="750671CE">
        <w:rPr>
          <w:rFonts w:ascii="Times New Roman" w:eastAsia="Times New Roman" w:hAnsi="Times New Roman" w:cs="Times New Roman"/>
          <w:lang w:eastAsia="en-US"/>
        </w:rPr>
        <w:t xml:space="preserve">, 40 </w:t>
      </w:r>
      <w:r w:rsidRPr="750671CE">
        <w:rPr>
          <w:rFonts w:ascii="Times New Roman" w:eastAsia="Times New Roman" w:hAnsi="Times New Roman" w:cs="Times New Roman"/>
          <w:smallCaps/>
          <w:lang w:eastAsia="en-US"/>
        </w:rPr>
        <w:t>U. Chi. L. Rev</w:t>
      </w:r>
      <w:r w:rsidRPr="750671CE">
        <w:rPr>
          <w:rFonts w:ascii="Times New Roman" w:eastAsia="Times New Roman" w:hAnsi="Times New Roman" w:cs="Times New Roman"/>
          <w:lang w:eastAsia="en-US"/>
        </w:rPr>
        <w:t xml:space="preserve">. 681, 759 (1973). </w:t>
      </w:r>
    </w:p>
    <w:p w14:paraId="56E759E4" w14:textId="77777777" w:rsidR="00C85B70" w:rsidRPr="00EF768F" w:rsidRDefault="00C85B70" w:rsidP="00EF768F">
      <w:pPr>
        <w:rPr>
          <w:rFonts w:ascii="Times New Roman" w:eastAsia="Times New Roman" w:hAnsi="Times New Roman" w:cs="Times New Roman"/>
          <w:lang w:eastAsia="en-US"/>
        </w:rPr>
      </w:pPr>
    </w:p>
    <w:p w14:paraId="0470722C" w14:textId="77777777" w:rsidR="00C85B70" w:rsidRPr="00EF768F" w:rsidRDefault="00C85B70" w:rsidP="00EF768F">
      <w:pPr>
        <w:rPr>
          <w:rFonts w:ascii="Times New Roman" w:eastAsia="Times New Roman" w:hAnsi="Times New Roman" w:cs="Times New Roman"/>
          <w:lang w:eastAsia="en-US"/>
        </w:rPr>
      </w:pPr>
    </w:p>
    <w:p w14:paraId="68D8BC80" w14:textId="196EF578" w:rsidR="00C85B70" w:rsidRPr="00F94B7E" w:rsidRDefault="750671CE" w:rsidP="00F94B7E">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Social policy in a decentralized regime</w:t>
      </w:r>
      <w:r w:rsidRPr="00F94B7E">
        <w:rPr>
          <w:rFonts w:ascii="Times New Roman" w:eastAsia="Times New Roman" w:hAnsi="Times New Roman" w:cs="Times New Roman"/>
          <w:lang w:eastAsia="en-US"/>
        </w:rPr>
        <w:t>.  Subsequent events suggest that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solution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was tragically but unforeseeably short-sighted.  Not long after </w:t>
      </w:r>
      <w:r w:rsidRPr="00F94B7E">
        <w:rPr>
          <w:rFonts w:ascii="Times New Roman" w:eastAsia="Times New Roman" w:hAnsi="Times New Roman" w:cs="Times New Roman"/>
          <w:i/>
          <w:iCs/>
          <w:lang w:eastAsia="en-US"/>
        </w:rPr>
        <w:t xml:space="preserve">Ensign </w:t>
      </w:r>
      <w:r w:rsidRPr="00F94B7E">
        <w:rPr>
          <w:rFonts w:ascii="Times New Roman" w:eastAsia="Times New Roman" w:hAnsi="Times New Roman" w:cs="Times New Roman"/>
          <w:lang w:eastAsia="en-US"/>
        </w:rPr>
        <w:t xml:space="preserve">was decided, Congress authorized funds to build an interstate highway near Dacosta Street.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lang w:eastAsia="en-US"/>
        </w:rPr>
        <w:t xml:space="preserve">Federal-Aid Highway Act of 1956, 23 U.S.C. 48 (2012). Look back at the Google Maps image you visited above.  The interstate that resulted, known as I-96, passes within 200 feet of 13949 Dacosta Street.  The noise and smell from the kennel would soon have been completely overwhelmed by the noises and smells of massive eighteen-wheel trucks carrying the produce of industrial Detroit to the great American post war markets.  </w:t>
      </w:r>
    </w:p>
    <w:p w14:paraId="5DC47562" w14:textId="77777777" w:rsidR="00C85B70" w:rsidRPr="00EF768F" w:rsidRDefault="00C85B70" w:rsidP="00EF768F">
      <w:pPr>
        <w:rPr>
          <w:rFonts w:ascii="Times New Roman" w:eastAsia="Times New Roman" w:hAnsi="Times New Roman" w:cs="Times New Roman"/>
          <w:lang w:eastAsia="en-US"/>
        </w:rPr>
      </w:pPr>
    </w:p>
    <w:p w14:paraId="54D8063E" w14:textId="77777777" w:rsidR="00C85B70" w:rsidRPr="00C85B70" w:rsidRDefault="00C85B70" w:rsidP="00C85B70">
      <w:pPr>
        <w:spacing w:line="264" w:lineRule="auto"/>
        <w:rPr>
          <w:rFonts w:ascii="Times New Roman" w:eastAsia="Times New Roman" w:hAnsi="Times New Roman" w:cs="Times New Roman"/>
          <w:color w:val="000000"/>
          <w:lang w:eastAsia="en-US"/>
        </w:rPr>
      </w:pPr>
      <w:r w:rsidRPr="00C85B70">
        <w:rPr>
          <w:rFonts w:ascii="Times New Roman" w:eastAsia="Times New Roman" w:hAnsi="Times New Roman" w:cs="Times New Roman"/>
          <w:noProof/>
          <w:lang w:eastAsia="en-US"/>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335" t="16923" r="63339" b="26667"/>
                    <a:stretch/>
                  </pic:blipFill>
                  <pic:spPr bwMode="auto">
                    <a:xfrm>
                      <a:off x="0" y="0"/>
                      <a:ext cx="5837913" cy="4230488"/>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inline>
        </w:drawing>
      </w:r>
    </w:p>
    <w:p w14:paraId="7E7469F6" w14:textId="77777777" w:rsidR="00C85B70" w:rsidRPr="00C85B70" w:rsidRDefault="750671CE" w:rsidP="750671CE">
      <w:pPr>
        <w:spacing w:line="264" w:lineRule="auto"/>
        <w:rPr>
          <w:rFonts w:ascii="Times New Roman" w:eastAsia="Times New Roman" w:hAnsi="Times New Roman" w:cs="Times New Roman"/>
          <w:i/>
          <w:iCs/>
          <w:color w:val="000000" w:themeColor="text1"/>
          <w:sz w:val="20"/>
          <w:szCs w:val="20"/>
          <w:lang w:eastAsia="en-US"/>
        </w:rPr>
      </w:pPr>
      <w:r w:rsidRPr="750671CE">
        <w:rPr>
          <w:rFonts w:ascii="Times New Roman" w:eastAsia="Times New Roman" w:hAnsi="Times New Roman" w:cs="Times New Roman"/>
          <w:i/>
          <w:iCs/>
          <w:color w:val="000000" w:themeColor="text1"/>
          <w:sz w:val="20"/>
          <w:szCs w:val="20"/>
          <w:lang w:eastAsia="en-US"/>
        </w:rPr>
        <w:t>Google Maps image of 13949 Dacosta Street, Detroit, Michigan 48223</w:t>
      </w:r>
    </w:p>
    <w:p w14:paraId="531202B8"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4FF2C86"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C5C0F28" w14:textId="3CA8EFC9" w:rsidR="00C85B70" w:rsidRPr="00EF768F"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EF768F" w:rsidRDefault="00C85B70" w:rsidP="00EF768F">
      <w:pPr>
        <w:rPr>
          <w:rFonts w:ascii="Times New Roman" w:eastAsia="Times New Roman" w:hAnsi="Times New Roman" w:cs="Times New Roman"/>
          <w:lang w:eastAsia="en-US"/>
        </w:rPr>
      </w:pPr>
    </w:p>
    <w:p w14:paraId="0CDF24EA" w14:textId="77777777" w:rsidR="00C85B70" w:rsidRPr="00EF768F" w:rsidRDefault="00C85B70" w:rsidP="00EF768F">
      <w:pPr>
        <w:rPr>
          <w:rFonts w:ascii="Times New Roman" w:eastAsia="Times New Roman" w:hAnsi="Times New Roman" w:cs="Times New Roman"/>
          <w:lang w:eastAsia="en-US"/>
        </w:rPr>
      </w:pPr>
    </w:p>
    <w:p w14:paraId="6797CB4B" w14:textId="0742D0BD" w:rsidR="00C85B70" w:rsidRPr="00F94B7E" w:rsidRDefault="750671CE" w:rsidP="00F94B7E">
      <w:pPr>
        <w:pStyle w:val="ListParagraph"/>
        <w:numPr>
          <w:ilvl w:val="0"/>
          <w:numId w:val="35"/>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Doing market failure one better?</w:t>
      </w:r>
      <w:r w:rsidRPr="00F94B7E">
        <w:rPr>
          <w:rFonts w:ascii="Times New Roman" w:eastAsia="Times New Roman" w:hAnsi="Times New Roman" w:cs="Times New Roman"/>
          <w:lang w:eastAsia="en-US"/>
        </w:rPr>
        <w:t xml:space="preserve">  The great problem in cases like Da</w:t>
      </w:r>
      <w:r w:rsidR="009D502A">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that the court seems to be left with the obligation to make an extraordinarily all-things-considered judgment as to which use for 13949 Da</w:t>
      </w:r>
      <w:r w:rsidR="00C146ED">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66FC4579"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77023255"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2A51DEFE" w14:textId="5274BC78" w:rsidR="00EF768F" w:rsidRDefault="00EF768F">
      <w:pPr>
        <w:rPr>
          <w:rFonts w:ascii="Times New Roman" w:eastAsia="Times New Roman" w:hAnsi="Times New Roman" w:cs="Times New Roman"/>
          <w:lang w:eastAsia="en-US"/>
        </w:rPr>
      </w:pPr>
    </w:p>
    <w:p w14:paraId="713C2A26" w14:textId="77777777" w:rsidR="00C85B70" w:rsidRPr="00C85B70" w:rsidRDefault="00C85B70" w:rsidP="00C85B70">
      <w:pPr>
        <w:jc w:val="center"/>
        <w:rPr>
          <w:rFonts w:ascii="Times New Roman" w:eastAsia="Times New Roman" w:hAnsi="Times New Roman" w:cs="Times New Roman"/>
          <w:lang w:eastAsia="en-US"/>
        </w:rPr>
      </w:pPr>
    </w:p>
    <w:p w14:paraId="53B6B10A" w14:textId="0F1773BC" w:rsidR="00C85B70" w:rsidRPr="009D502A" w:rsidRDefault="00C85B70" w:rsidP="750671CE">
      <w:pPr>
        <w:shd w:val="clear" w:color="auto" w:fill="FFFFFF" w:themeFill="background1"/>
        <w:spacing w:line="264" w:lineRule="auto"/>
        <w:textAlignment w:val="baseline"/>
        <w:outlineLvl w:val="0"/>
        <w:rPr>
          <w:rFonts w:ascii="Times New Roman" w:eastAsia="Times New Roman" w:hAnsi="Times New Roman" w:cs="Times New Roman"/>
          <w:lang w:eastAsia="en-US"/>
        </w:rPr>
      </w:pPr>
      <w:bookmarkStart w:id="913" w:name="_Toc518323525"/>
      <w:bookmarkStart w:id="914" w:name="_Toc272975135"/>
      <w:r w:rsidRPr="009D502A">
        <w:rPr>
          <w:rStyle w:val="Heading4Char"/>
        </w:rPr>
        <w:t>Boomer v. Atlantic Cement Co</w:t>
      </w:r>
      <w:bookmarkEnd w:id="913"/>
      <w:r w:rsidRPr="00F94B7E">
        <w:rPr>
          <w:rFonts w:ascii="Times New Roman" w:eastAsia="Times New Roman,Cambria" w:hAnsi="Times New Roman" w:cs="Times New Roman"/>
          <w:lang w:eastAsia="en-US"/>
        </w:rPr>
        <w:t>.</w:t>
      </w:r>
      <w:bookmarkEnd w:id="914"/>
      <w:r w:rsidR="00C816B1" w:rsidRPr="00F94B7E">
        <w:rPr>
          <w:rFonts w:ascii="Times New Roman" w:eastAsia="Times New Roman,Cambria" w:hAnsi="Times New Roman" w:cs="Times New Roman"/>
          <w:lang w:eastAsia="en-US"/>
        </w:rPr>
        <w:t>,</w:t>
      </w:r>
      <w:r w:rsidR="00C816B1" w:rsidRPr="00F94B7E">
        <w:rPr>
          <w:rFonts w:ascii="Times New Roman" w:eastAsia="Times New Roman,Cambria" w:hAnsi="Times New Roman" w:cs="Times New Roman"/>
          <w:b/>
          <w:bCs/>
          <w:lang w:eastAsia="en-US"/>
        </w:rPr>
        <w:t xml:space="preserve"> </w:t>
      </w:r>
      <w:r w:rsidRPr="009D502A">
        <w:rPr>
          <w:rFonts w:ascii="Times New Roman" w:eastAsia="Times New Roman" w:hAnsi="Times New Roman" w:cs="Times New Roman"/>
          <w:b/>
          <w:bCs/>
          <w:lang w:eastAsia="en-US"/>
        </w:rPr>
        <w:t>257 N.E.2d 870 (N.Y. 1970)</w:t>
      </w:r>
    </w:p>
    <w:p w14:paraId="22B2BB01"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143CA010" w14:textId="77777777" w:rsidR="00B30899" w:rsidRPr="00EA551D" w:rsidRDefault="00C85B70" w:rsidP="750671CE">
      <w:pPr>
        <w:textAlignment w:val="baseline"/>
        <w:rPr>
          <w:rFonts w:ascii="Times New Roman" w:eastAsiaTheme="minorHAnsi" w:hAnsi="Times New Roman" w:cs="Times New Roman"/>
          <w:b/>
          <w:lang w:eastAsia="en-US"/>
        </w:rPr>
      </w:pPr>
      <w:r w:rsidRPr="00F94B7E">
        <w:rPr>
          <w:rFonts w:ascii="Times New Roman" w:eastAsia="Times New Roman,Cambria" w:hAnsi="Times New Roman" w:cs="Times New Roman"/>
          <w:smallCaps/>
          <w:lang w:eastAsia="en-US"/>
        </w:rPr>
        <w:t>Bergan, J</w:t>
      </w:r>
      <w:r w:rsidRPr="00F94B7E">
        <w:rPr>
          <w:rFonts w:ascii="Times New Roman" w:eastAsia="Times New Roman,Cambria" w:hAnsi="Times New Roman" w:cs="Times New Roman"/>
          <w:b/>
          <w:bCs/>
          <w:lang w:eastAsia="en-US"/>
        </w:rPr>
        <w:t>.</w:t>
      </w:r>
      <w:r w:rsidRPr="009D502A">
        <w:rPr>
          <w:rFonts w:ascii="Times New Roman" w:eastAsiaTheme="minorHAnsi" w:hAnsi="Times New Roman" w:cs="Times New Roman"/>
          <w:b/>
          <w:lang w:eastAsia="en-US"/>
        </w:rPr>
        <w:tab/>
      </w:r>
    </w:p>
    <w:p w14:paraId="319F2D98" w14:textId="77777777" w:rsidR="00B30899" w:rsidRDefault="00B30899" w:rsidP="750671CE">
      <w:pPr>
        <w:textAlignment w:val="baseline"/>
        <w:rPr>
          <w:rFonts w:ascii="Times New Roman" w:eastAsiaTheme="minorHAnsi" w:hAnsi="Times New Roman" w:cs="Times New Roman"/>
          <w:b/>
          <w:lang w:eastAsia="en-US"/>
        </w:rPr>
      </w:pPr>
    </w:p>
    <w:p w14:paraId="3DBCDE32" w14:textId="74D52FFF" w:rsidR="00C85B70" w:rsidRPr="00C816B1" w:rsidRDefault="00C85B70" w:rsidP="00F94B7E">
      <w:pPr>
        <w:ind w:firstLine="720"/>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C816B1" w:rsidRDefault="00C85B70" w:rsidP="00C85B70">
      <w:pPr>
        <w:ind w:firstLine="720"/>
        <w:textAlignment w:val="baseline"/>
        <w:rPr>
          <w:rFonts w:ascii="Times New Roman" w:eastAsia="Times New Roman" w:hAnsi="Times New Roman" w:cs="Times New Roman"/>
          <w:lang w:eastAsia="en-US"/>
        </w:rPr>
      </w:pPr>
    </w:p>
    <w:p w14:paraId="7F21DB85"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0BB28B78" w14:textId="19DDDB93"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C816B1" w:rsidRDefault="00C85B70" w:rsidP="00C85B70">
      <w:pPr>
        <w:textAlignment w:val="baseline"/>
        <w:rPr>
          <w:rFonts w:ascii="Times New Roman" w:eastAsia="Times New Roman" w:hAnsi="Times New Roman" w:cs="Times New Roman"/>
          <w:lang w:eastAsia="en-US"/>
        </w:rPr>
      </w:pPr>
    </w:p>
    <w:p w14:paraId="3684AB27"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EF768F" w:rsidRDefault="00C85B70" w:rsidP="00C85B70">
      <w:pPr>
        <w:ind w:firstLine="720"/>
        <w:textAlignment w:val="baseline"/>
        <w:rPr>
          <w:rFonts w:ascii="Times New Roman" w:eastAsia="Times New Roman" w:hAnsi="Times New Roman" w:cs="Times New Roman"/>
          <w:lang w:eastAsia="en-US"/>
        </w:rPr>
      </w:pPr>
    </w:p>
    <w:p w14:paraId="0D062765" w14:textId="7AA9A09C"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one of many</w:t>
      </w:r>
      <w:r w:rsidR="00B3089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 the Hudson River valley.</w:t>
      </w:r>
    </w:p>
    <w:p w14:paraId="4021F40E" w14:textId="77777777" w:rsidR="00C85B70" w:rsidRPr="00EF768F" w:rsidRDefault="00C85B70" w:rsidP="00C85B70">
      <w:pPr>
        <w:ind w:firstLine="720"/>
        <w:textAlignment w:val="baseline"/>
        <w:rPr>
          <w:rFonts w:ascii="Times New Roman" w:eastAsia="Times New Roman" w:hAnsi="Times New Roman" w:cs="Times New Roman"/>
          <w:lang w:eastAsia="en-US"/>
        </w:rPr>
      </w:pPr>
    </w:p>
    <w:p w14:paraId="719C96EC" w14:textId="70A5458C"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properties is, however, relatively small in comparison with the value of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operation and with the consequences of the injunction which plaintiffs seek.</w:t>
      </w:r>
    </w:p>
    <w:p w14:paraId="6107061B" w14:textId="77777777"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ground for the denial of injunction, notwithstanding the finding both that there is a nuisance and that plaintiffs have been damaged substantially, is the large disparity in economic consequences of the nuisance and of the injunction. This theory cannot, however, be 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4A91B4F8" w14:textId="77777777"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rule in New York has been that such a nuisance will be enjoined although marked disparity be shown in economic consequence between the effect of the injunction and the effect of the nuisance.</w:t>
      </w:r>
    </w:p>
    <w:p w14:paraId="52D85AD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1210421" w14:textId="31FEE562" w:rsidR="00C85B70" w:rsidRPr="00EF768F" w:rsidRDefault="00C85B70" w:rsidP="750671CE">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bdr w:val="none" w:sz="0" w:space="0" w:color="auto" w:frame="1"/>
          <w:lang w:eastAsia="en-US"/>
        </w:rPr>
        <w:t>The problem of disparity in economic consequence was sharply in focus in </w:t>
      </w:r>
      <w:r w:rsidRPr="750671CE">
        <w:rPr>
          <w:rFonts w:ascii="Times New Roman" w:eastAsia="Times New Roman" w:hAnsi="Times New Roman" w:cs="Times New Roman"/>
          <w:i/>
          <w:iCs/>
          <w:bdr w:val="none" w:sz="0" w:space="0" w:color="auto" w:frame="1"/>
          <w:lang w:eastAsia="en-US"/>
        </w:rPr>
        <w:t>Whalen v. Union Bag &amp; Paper Co</w:t>
      </w:r>
      <w:r w:rsidRPr="00EF768F">
        <w:rPr>
          <w:rFonts w:ascii="Times New Roman" w:eastAsia="Times New Roman" w:hAnsi="Times New Roman" w:cs="Times New Roman"/>
          <w:bdr w:val="none" w:sz="0" w:space="0" w:color="auto" w:frame="1"/>
          <w:lang w:eastAsia="en-US"/>
        </w:rPr>
        <w:t xml:space="preserve">. A pulp mill entailing an investment of more than a million dollars polluted a stream in which plaintiff, who owned a farm, was </w:t>
      </w:r>
      <w:r w:rsidR="00B05F31">
        <w:rPr>
          <w:rFonts w:ascii="Times New Roman" w:eastAsia="Times New Roman" w:hAnsi="Times New Roman" w:cs="Times New Roman"/>
          <w:bdr w:val="none" w:sz="0" w:space="0" w:color="auto" w:frame="1"/>
          <w:lang w:eastAsia="en-US"/>
        </w:rPr>
        <w:t>“</w:t>
      </w:r>
      <w:r w:rsidRPr="00EF768F">
        <w:rPr>
          <w:rFonts w:ascii="Times New Roman" w:eastAsia="Times New Roman" w:hAnsi="Times New Roman" w:cs="Times New Roman"/>
          <w:bdr w:val="none" w:sz="0" w:space="0" w:color="auto" w:frame="1"/>
          <w:lang w:eastAsia="en-US"/>
        </w:rPr>
        <w:t>a lower riparian owner.</w:t>
      </w:r>
      <w:r w:rsidR="00B05F31">
        <w:rPr>
          <w:rFonts w:ascii="Times New Roman" w:eastAsia="Times New Roman" w:hAnsi="Times New Roman" w:cs="Times New Roman"/>
          <w:bdr w:val="none" w:sz="0" w:space="0" w:color="auto" w:frame="1"/>
          <w:lang w:eastAsia="en-US"/>
        </w:rPr>
        <w:t>”</w:t>
      </w:r>
      <w:r w:rsidRPr="00EF768F">
        <w:rPr>
          <w:rFonts w:ascii="Times New Roman" w:eastAsia="Times New Roman" w:hAnsi="Times New Roman" w:cs="Times New Roman"/>
          <w:bdr w:val="none" w:sz="0" w:space="0" w:color="auto" w:frame="1"/>
          <w:lang w:eastAsia="en-US"/>
        </w:rPr>
        <w:t xml:space="preserve"> The economic loss to plaintiff from this pollution was small. </w:t>
      </w:r>
      <w:r w:rsidRPr="00EF768F">
        <w:rPr>
          <w:rFonts w:ascii="Times New Roman" w:eastAsia="Times New Roman" w:hAnsi="Times New Roman" w:cs="Times New Roman"/>
          <w:lang w:eastAsia="en-US"/>
        </w:rPr>
        <w:t xml:space="preserve">This court, reversing the Appellate Division, reinstated the injunction granted by the Special Term against the argument of the mill owner that in view of </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the slight advantage to plaintiff and the great loss that will be inflicted on defendant</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 xml:space="preserve"> an injunction should not be granted. </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Such a balancing of injuries cannot be justified by the circumstances of this case,</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 xml:space="preserve"> Judge Werner noted. He continued: </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Although the damage to the plaintiff may be slight as compared with the defendant</w:t>
      </w:r>
      <w:r w:rsidR="00B05F31">
        <w:rPr>
          <w:rFonts w:ascii="Times New Roman" w:eastAsia="Times New Roman" w:hAnsi="Times New Roman" w:cs="Times New Roman"/>
          <w:lang w:eastAsia="en-US"/>
        </w:rPr>
        <w:t>’</w:t>
      </w:r>
      <w:r w:rsidRPr="00EF768F">
        <w:rPr>
          <w:rFonts w:ascii="Times New Roman" w:eastAsia="Times New Roman" w:hAnsi="Times New Roman" w:cs="Times New Roman"/>
          <w:lang w:eastAsia="en-US"/>
        </w:rPr>
        <w:t>s expense of abating the condition that is not a good reason for refusing an injunction.</w:t>
      </w:r>
      <w:r w:rsidR="00B05F31">
        <w:rPr>
          <w:rFonts w:ascii="Times New Roman" w:eastAsia="Times New Roman" w:hAnsi="Times New Roman" w:cs="Times New Roman"/>
          <w:lang w:eastAsia="en-US"/>
        </w:rPr>
        <w:t>”</w:t>
      </w:r>
    </w:p>
    <w:p w14:paraId="7AA837A8"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226C27C9" w14:textId="3F3C2552" w:rsidR="00C85B70" w:rsidRPr="00EF768F" w:rsidRDefault="00C85B70" w:rsidP="750671CE">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bdr w:val="none" w:sz="0" w:space="0" w:color="auto" w:frame="1"/>
          <w:lang w:eastAsia="en-US"/>
        </w:rPr>
        <w:t xml:space="preserve">Thus the unconditional injunction granted at Special Term was reinstated. The rule laid down in that case, then, is that whenever the damage resulting from a nuisance is found not </w:t>
      </w:r>
      <w:r w:rsidR="00B05F31">
        <w:rPr>
          <w:rFonts w:ascii="Times New Roman" w:eastAsia="Times New Roman" w:hAnsi="Times New Roman" w:cs="Times New Roman"/>
          <w:bdr w:val="none" w:sz="0" w:space="0" w:color="auto" w:frame="1"/>
          <w:lang w:eastAsia="en-US"/>
        </w:rPr>
        <w:t>“</w:t>
      </w:r>
      <w:r w:rsidRPr="00EF768F">
        <w:rPr>
          <w:rFonts w:ascii="Times New Roman" w:eastAsia="Times New Roman" w:hAnsi="Times New Roman" w:cs="Times New Roman"/>
          <w:bdr w:val="none" w:sz="0" w:space="0" w:color="auto" w:frame="1"/>
          <w:lang w:eastAsia="en-US"/>
        </w:rPr>
        <w:t>unsubstantial,</w:t>
      </w:r>
      <w:r w:rsidR="00B05F31">
        <w:rPr>
          <w:rFonts w:ascii="Times New Roman" w:eastAsia="Times New Roman" w:hAnsi="Times New Roman" w:cs="Times New Roman"/>
          <w:bdr w:val="none" w:sz="0" w:space="0" w:color="auto" w:frame="1"/>
          <w:lang w:eastAsia="en-US"/>
        </w:rPr>
        <w:t>”</w:t>
      </w:r>
      <w:r w:rsidRPr="00EF768F">
        <w:rPr>
          <w:rFonts w:ascii="Times New Roman" w:eastAsia="Times New Roman" w:hAnsi="Times New Roman" w:cs="Times New Roman"/>
          <w:bdr w:val="none" w:sz="0" w:space="0" w:color="auto" w:frame="1"/>
          <w:lang w:eastAsia="en-US"/>
        </w:rPr>
        <w:t xml:space="preserve"> . . . injunction would follow. This states a rule that had been followed in this court with marked consistency. . . .</w:t>
      </w:r>
    </w:p>
    <w:p w14:paraId="2A3F185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194D482" w14:textId="77777777" w:rsidR="00C85B70" w:rsidRPr="00EF768F" w:rsidRDefault="00C85B70" w:rsidP="750671CE">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Although the court at Special Term and the Appellate Division held that injunction should be denied, it was found that plaintiffs </w:t>
      </w:r>
      <w:r w:rsidRPr="750671CE">
        <w:rPr>
          <w:rFonts w:ascii="Times New Roman" w:eastAsia="Times New Roman" w:hAnsi="Times New Roman" w:cs="Times New Roman"/>
          <w:bdr w:val="none" w:sz="0" w:space="0" w:color="auto" w:frame="1"/>
          <w:lang w:eastAsia="en-US"/>
        </w:rPr>
        <w:t>had</w:t>
      </w:r>
      <w:r w:rsidRPr="00EF768F">
        <w:rPr>
          <w:rFonts w:ascii="Times New Roman" w:eastAsia="Times New Roman" w:hAnsi="Times New Roman" w:cs="Times New Roman"/>
          <w:lang w:eastAsia="en-US"/>
        </w:rPr>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5FD88FAB" w14:textId="58837569"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EF768F" w:rsidRDefault="00C85B70" w:rsidP="00EF768F">
      <w:pPr>
        <w:tabs>
          <w:tab w:val="left" w:pos="2822"/>
        </w:tabs>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ab/>
      </w:r>
    </w:p>
    <w:p w14:paraId="06297817" w14:textId="77777777"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EF768F" w:rsidRDefault="00C85B70" w:rsidP="00EF768F">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 xml:space="preserve"> </w:t>
      </w:r>
    </w:p>
    <w:p w14:paraId="4FC0FC4B" w14:textId="1C78D348"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operations. . . . [T]he court chooses the latter alternative. . . .</w:t>
      </w:r>
    </w:p>
    <w:p w14:paraId="399BB512"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257E35A1" w14:textId="6E752344"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 grant the injunction unless defendant pays plaintiffs such permanent damages as may be fixed by the court seems to do justice between the contending parties. All of the attributions of economic loss to the properties on which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complaints are based will have been redressed.</w:t>
      </w:r>
    </w:p>
    <w:p w14:paraId="75DC1CE7"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184DCBB2" w14:textId="77777777"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4D08D1EB" w14:textId="77777777" w:rsidR="00C85B70" w:rsidRPr="00EF768F" w:rsidRDefault="00C85B70" w:rsidP="750671CE">
      <w:pPr>
        <w:ind w:firstLine="720"/>
        <w:textAlignment w:val="baseline"/>
        <w:rPr>
          <w:rFonts w:ascii="Times New Roman" w:eastAsia="Times New Roman" w:hAnsi="Times New Roman" w:cs="Times New Roman"/>
          <w:lang w:eastAsia="en-US"/>
        </w:rPr>
      </w:pPr>
      <w:r w:rsidRPr="00EF768F">
        <w:rPr>
          <w:rFonts w:ascii="Times New Roman" w:eastAsia="Times New Roman" w:hAnsi="Times New Roman" w:cs="Times New Roman"/>
          <w:lang w:eastAsia="en-US"/>
        </w:rPr>
        <w:t>It seems reasonable to think that the risk of being required to pay permanent damages to injured property owners by cement plant owners would itself be a reasonable effective spur to research for improved techniques to minimize nuisance</w:t>
      </w:r>
      <w:r w:rsidRPr="00EF768F">
        <w:rPr>
          <w:rFonts w:ascii="Times New Roman" w:eastAsia="Times New Roman" w:hAnsi="Times New Roman" w:cs="Times New Roman"/>
          <w:bdr w:val="none" w:sz="0" w:space="0" w:color="auto" w:frame="1"/>
          <w:lang w:eastAsia="en-US"/>
        </w:rPr>
        <w:t>. . . .</w:t>
      </w:r>
    </w:p>
    <w:p w14:paraId="6669FA9D" w14:textId="77777777" w:rsidR="00C85B70" w:rsidRPr="00EF768F" w:rsidRDefault="00C85B70" w:rsidP="00EF768F">
      <w:pPr>
        <w:ind w:firstLine="720"/>
        <w:textAlignment w:val="baseline"/>
        <w:rPr>
          <w:rFonts w:ascii="Times New Roman" w:eastAsia="Times New Roman" w:hAnsi="Times New Roman" w:cs="Times New Roman"/>
          <w:lang w:eastAsia="en-US"/>
        </w:rPr>
      </w:pPr>
    </w:p>
    <w:p w14:paraId="0AC03580" w14:textId="77777777" w:rsidR="00C85B70" w:rsidRPr="00EF768F"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Default="00C85B70" w:rsidP="00C816B1">
      <w:pPr>
        <w:shd w:val="clear" w:color="auto" w:fill="FFFFFF"/>
        <w:spacing w:line="288" w:lineRule="atLeast"/>
        <w:textAlignment w:val="baseline"/>
        <w:outlineLvl w:val="1"/>
        <w:rPr>
          <w:rFonts w:ascii="Times New Roman" w:eastAsiaTheme="minorHAnsi" w:hAnsi="Times New Roman" w:cs="Times New Roman"/>
          <w:b/>
          <w:u w:val="single"/>
          <w:lang w:eastAsia="en-US"/>
        </w:rPr>
      </w:pPr>
      <w:bookmarkStart w:id="915" w:name="_Toc272975136"/>
    </w:p>
    <w:p w14:paraId="15BC3113" w14:textId="77777777" w:rsidR="00C85B70" w:rsidRPr="00C85B70" w:rsidRDefault="00C85B70" w:rsidP="00CB223A">
      <w:pPr>
        <w:pStyle w:val="Heading5"/>
      </w:pPr>
      <w:bookmarkStart w:id="916" w:name="_Toc364636264"/>
      <w:bookmarkStart w:id="917" w:name="_Toc518323526"/>
      <w:r w:rsidRPr="00C85B70">
        <w:t>Notes</w:t>
      </w:r>
      <w:bookmarkEnd w:id="915"/>
      <w:bookmarkEnd w:id="916"/>
      <w:bookmarkEnd w:id="917"/>
    </w:p>
    <w:p w14:paraId="6FB3697C" w14:textId="77777777" w:rsidR="00C85B70" w:rsidRDefault="00C85B70" w:rsidP="00C85B70">
      <w:pPr>
        <w:tabs>
          <w:tab w:val="left" w:pos="456"/>
        </w:tabs>
        <w:rPr>
          <w:rFonts w:ascii="Times New Roman" w:eastAsia="Times New Roman" w:hAnsi="Times New Roman" w:cs="Times New Roman"/>
          <w:lang w:eastAsia="en-US"/>
        </w:rPr>
      </w:pPr>
    </w:p>
    <w:p w14:paraId="61414699" w14:textId="77777777" w:rsidR="00910387" w:rsidRPr="00C85B70" w:rsidRDefault="00910387" w:rsidP="00C85B70">
      <w:pPr>
        <w:tabs>
          <w:tab w:val="left" w:pos="456"/>
        </w:tabs>
        <w:rPr>
          <w:rFonts w:ascii="Times New Roman" w:eastAsia="Times New Roman" w:hAnsi="Times New Roman" w:cs="Times New Roman"/>
          <w:lang w:eastAsia="en-US"/>
        </w:rPr>
      </w:pPr>
    </w:p>
    <w:p w14:paraId="50E2B41B" w14:textId="09ABD6E1"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Collective action problems redux</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xml:space="preserve">, every plaintiff will thus have an incentive to hold out to extract as much value from the plant as possible.  The difference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however, is that the conditional injunction dischargeable by a payment of permanent damages allocates the entitlement to the plaintiffs</w:t>
      </w:r>
      <w:r w:rsidR="00B3089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allows the defendant to reacquire that entitlement</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if it chooses</w:t>
      </w:r>
      <w:r w:rsidR="009D502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at a price set by the court.  Unlike in </w:t>
      </w:r>
      <w:r w:rsidRPr="00F94B7E">
        <w:rPr>
          <w:rFonts w:ascii="Times New Roman" w:eastAsia="Times New Roman" w:hAnsi="Times New Roman" w:cs="Times New Roman"/>
          <w:i/>
          <w:iCs/>
          <w:lang w:eastAsia="en-US"/>
        </w:rPr>
        <w:t>Ensign</w:t>
      </w:r>
      <w:r w:rsidRPr="00F94B7E">
        <w:rPr>
          <w:rFonts w:ascii="Times New Roman" w:eastAsia="Times New Roman" w:hAnsi="Times New Roman" w:cs="Times New Roman"/>
          <w:lang w:eastAsia="en-US"/>
        </w:rPr>
        <w:t>,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initial allocation is not determinative of the allocation of the entitlement. Why?  Because the court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F94B7E">
        <w:rPr>
          <w:rFonts w:ascii="Times New Roman" w:eastAsia="Times New Roman" w:hAnsi="Times New Roman" w:cs="Times New Roman"/>
          <w:i/>
          <w:iCs/>
          <w:lang w:eastAsia="en-US"/>
        </w:rPr>
        <w:t>Property Rules, Liability Rules, and Inalienability: One View of the Cathedral</w:t>
      </w:r>
      <w:r w:rsidRPr="00F94B7E">
        <w:rPr>
          <w:rFonts w:ascii="Times New Roman" w:eastAsia="Times New Roman" w:hAnsi="Times New Roman" w:cs="Times New Roman"/>
          <w:lang w:eastAsia="en-US"/>
        </w:rPr>
        <w:t xml:space="preserve">, 85 </w:t>
      </w:r>
      <w:r w:rsidRPr="00F94B7E">
        <w:rPr>
          <w:rFonts w:ascii="Times New Roman" w:eastAsia="Times New Roman" w:hAnsi="Times New Roman" w:cs="Times New Roman"/>
          <w:smallCaps/>
          <w:lang w:eastAsia="en-US"/>
        </w:rPr>
        <w:t>Harv. L. Rev</w:t>
      </w:r>
      <w:r w:rsidRPr="00F94B7E">
        <w:rPr>
          <w:rFonts w:ascii="Times New Roman" w:eastAsia="Times New Roman" w:hAnsi="Times New Roman" w:cs="Times New Roman"/>
          <w:lang w:eastAsia="en-US"/>
        </w:rPr>
        <w:t xml:space="preserve">. 1089, 1106-07 (1972). </w:t>
      </w:r>
    </w:p>
    <w:p w14:paraId="2424459A" w14:textId="77777777" w:rsidR="00C85B70" w:rsidRDefault="00C85B70" w:rsidP="00C85B70">
      <w:pPr>
        <w:tabs>
          <w:tab w:val="left" w:pos="456"/>
        </w:tabs>
        <w:rPr>
          <w:rFonts w:ascii="Times New Roman" w:eastAsia="Times New Roman" w:hAnsi="Times New Roman" w:cs="Times New Roman"/>
          <w:lang w:eastAsia="en-US"/>
        </w:rPr>
      </w:pPr>
    </w:p>
    <w:p w14:paraId="40426B77" w14:textId="77777777" w:rsidR="00910387" w:rsidRPr="00C85B70" w:rsidRDefault="00910387" w:rsidP="00C85B70">
      <w:pPr>
        <w:tabs>
          <w:tab w:val="left" w:pos="456"/>
        </w:tabs>
        <w:rPr>
          <w:rFonts w:ascii="Times New Roman" w:eastAsia="Times New Roman" w:hAnsi="Times New Roman" w:cs="Times New Roman"/>
          <w:lang w:eastAsia="en-US"/>
        </w:rPr>
      </w:pPr>
    </w:p>
    <w:p w14:paraId="1E8EFDF6" w14:textId="205F3189"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secret logic of tort law?</w:t>
      </w:r>
      <w:r w:rsidRPr="00F94B7E">
        <w:rPr>
          <w:rFonts w:ascii="Times New Roman" w:eastAsia="Times New Roman" w:hAnsi="Times New Roman" w:cs="Times New Roman"/>
          <w:lang w:eastAsia="en-US"/>
        </w:rPr>
        <w:t xml:space="preserve">  Calabresi and Melamed take the analysis of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 step further.  The injunction in cases like Ensign, they say, allocates the entitlement in question to the plaintiffs and protects that entitlement with a </w:t>
      </w:r>
      <w:r w:rsidRPr="00F94B7E">
        <w:rPr>
          <w:rFonts w:ascii="Times New Roman" w:eastAsia="Times New Roman" w:hAnsi="Times New Roman" w:cs="Times New Roman"/>
          <w:i/>
          <w:iCs/>
          <w:lang w:eastAsia="en-US"/>
        </w:rPr>
        <w:t>property rule</w:t>
      </w:r>
      <w:r w:rsidRPr="00F94B7E">
        <w:rPr>
          <w:rFonts w:ascii="Times New Roman" w:eastAsia="Times New Roman" w:hAnsi="Times New Roman" w:cs="Times New Roman"/>
          <w:lang w:eastAsia="en-US"/>
        </w:rPr>
        <w:t xml:space="preserve">.  The damages remedy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also allocates the entitlement in question to the plaintiffs.  But it protects that entitlement with a different remedy, namely a </w:t>
      </w:r>
      <w:r w:rsidRPr="00F94B7E">
        <w:rPr>
          <w:rFonts w:ascii="Times New Roman" w:eastAsia="Times New Roman" w:hAnsi="Times New Roman" w:cs="Times New Roman"/>
          <w:i/>
          <w:iCs/>
          <w:lang w:eastAsia="en-US"/>
        </w:rPr>
        <w:t>liability rule</w:t>
      </w:r>
      <w:r w:rsidRPr="00F94B7E">
        <w:rPr>
          <w:rFonts w:ascii="Times New Roman" w:eastAsia="Times New Roman" w:hAnsi="Times New Roman" w:cs="Times New Roman"/>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C85B70" w:rsidRDefault="00C85B70" w:rsidP="00C85B70">
      <w:pPr>
        <w:tabs>
          <w:tab w:val="left" w:pos="456"/>
        </w:tabs>
        <w:rPr>
          <w:rFonts w:ascii="Times New Roman" w:eastAsia="Times New Roman" w:hAnsi="Times New Roman" w:cs="Times New Roman"/>
          <w:lang w:eastAsia="en-US"/>
        </w:rPr>
      </w:pPr>
    </w:p>
    <w:p w14:paraId="2E2570E5" w14:textId="77777777"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C85B70" w:rsidRDefault="00C85B70" w:rsidP="00C85B70">
      <w:pPr>
        <w:tabs>
          <w:tab w:val="left" w:pos="456"/>
        </w:tabs>
        <w:rPr>
          <w:rFonts w:ascii="Times New Roman" w:eastAsia="Times New Roman" w:hAnsi="Times New Roman" w:cs="Times New Roman"/>
          <w:lang w:eastAsia="en-US"/>
        </w:rPr>
      </w:pPr>
    </w:p>
    <w:p w14:paraId="6851AE7A" w14:textId="7EFC064B"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her consent, at the cost of having to pay damages after the fact.  We could of course protect plaintiffs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 adopt this approach.  In tort law</w:t>
      </w:r>
      <w:r w:rsidR="009D502A">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we allow people to impose risk and injury on others</w:t>
      </w:r>
      <w:r w:rsidR="009D502A">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so long as they are willing to pay for it.  </w:t>
      </w:r>
    </w:p>
    <w:p w14:paraId="209F650D" w14:textId="77777777" w:rsidR="00C85B70" w:rsidRPr="00C85B70" w:rsidRDefault="00C85B70" w:rsidP="00C85B70">
      <w:pPr>
        <w:tabs>
          <w:tab w:val="left" w:pos="456"/>
        </w:tabs>
        <w:rPr>
          <w:rFonts w:ascii="Times New Roman" w:eastAsia="Times New Roman" w:hAnsi="Times New Roman" w:cs="Times New Roman"/>
          <w:lang w:eastAsia="en-US"/>
        </w:rPr>
      </w:pPr>
    </w:p>
    <w:p w14:paraId="1DF45853" w14:textId="258A6DEC"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Calabresi and Melamed</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View of the Cathedral</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(to echo the title of their classic article) posits a logic for private law generally</w:t>
      </w:r>
      <w:r w:rsidR="00B30899">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for the law of contract, property, and tort.  In this logic, tort law</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liability rules substitute for the entitlements of property law when market failures prevent the law of contract from achieving the right social outcomes.  Tort law, in other words, allows actors like the cement plant in </w:t>
      </w:r>
      <w:r w:rsidRPr="750671CE">
        <w:rPr>
          <w:rFonts w:ascii="Times New Roman" w:eastAsia="Times New Roman" w:hAnsi="Times New Roman" w:cs="Times New Roman"/>
          <w:i/>
          <w:iCs/>
          <w:lang w:eastAsia="en-US"/>
        </w:rPr>
        <w:t>Boomer</w:t>
      </w:r>
      <w:r w:rsidRPr="00C85B70">
        <w:rPr>
          <w:rFonts w:ascii="Times New Roman" w:eastAsia="Times New Roman" w:hAnsi="Times New Roman" w:cs="Times New Roman"/>
          <w:lang w:eastAsia="en-US"/>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Default="00C85B70" w:rsidP="00C85B70">
      <w:pPr>
        <w:tabs>
          <w:tab w:val="left" w:pos="456"/>
        </w:tabs>
        <w:rPr>
          <w:rFonts w:ascii="Times New Roman" w:eastAsia="Times New Roman" w:hAnsi="Times New Roman" w:cs="Times New Roman"/>
          <w:lang w:eastAsia="en-US"/>
        </w:rPr>
      </w:pPr>
    </w:p>
    <w:p w14:paraId="4F218800" w14:textId="77777777" w:rsidR="00910387" w:rsidRPr="00C85B70" w:rsidRDefault="00910387" w:rsidP="00C85B70">
      <w:pPr>
        <w:tabs>
          <w:tab w:val="left" w:pos="456"/>
        </w:tabs>
        <w:rPr>
          <w:rFonts w:ascii="Times New Roman" w:eastAsia="Times New Roman" w:hAnsi="Times New Roman" w:cs="Times New Roman"/>
          <w:lang w:eastAsia="en-US"/>
        </w:rPr>
      </w:pPr>
    </w:p>
    <w:p w14:paraId="433ADF47" w14:textId="21B77790"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Tort and contract in </w:t>
      </w:r>
      <w:r w:rsidR="00EA551D">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the Cathedral.</w:t>
      </w:r>
      <w:r w:rsidR="00EA551D">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Some say that the Calabresi / Melamed view of tort reduces tort law to a sort of contract law substitute: one designed to recreate contract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i.e.,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C85B70" w:rsidRDefault="00C85B70" w:rsidP="00C85B70">
      <w:pPr>
        <w:tabs>
          <w:tab w:val="left" w:pos="456"/>
        </w:tabs>
        <w:rPr>
          <w:rFonts w:ascii="Times New Roman" w:eastAsia="Times New Roman" w:hAnsi="Times New Roman" w:cs="Times New Roman"/>
          <w:lang w:eastAsia="en-US"/>
        </w:rPr>
      </w:pPr>
    </w:p>
    <w:p w14:paraId="0F31A2DF" w14:textId="77777777" w:rsidR="00C85B70" w:rsidRPr="00C85B70" w:rsidRDefault="00C85B70" w:rsidP="00C85B70">
      <w:pPr>
        <w:tabs>
          <w:tab w:val="left" w:pos="456"/>
        </w:tabs>
        <w:rPr>
          <w:rFonts w:ascii="Times New Roman" w:eastAsia="Times New Roman" w:hAnsi="Times New Roman" w:cs="Times New Roman"/>
          <w:lang w:eastAsia="en-US"/>
        </w:rPr>
      </w:pPr>
    </w:p>
    <w:p w14:paraId="7E420ED0" w14:textId="40B5FF14"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Markets and inequality</w:t>
      </w:r>
      <w:r w:rsidRPr="00F94B7E">
        <w:rPr>
          <w:rFonts w:ascii="Times New Roman" w:eastAsia="Times New Roman" w:hAnsi="Times New Roman" w:cs="Times New Roman"/>
          <w:lang w:eastAsia="en-US"/>
        </w:rPr>
        <w:t xml:space="preserve">.  One critique of the </w:t>
      </w:r>
      <w:r w:rsidR="005A5833">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athedral is that market</w:t>
      </w:r>
      <w:r w:rsidR="00EA551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mimicking liability rules may reflect and reproduce economic inequality.  In the context of pollution, if liability rules are imposed, polluting defendants are incentivized to relocate to poorer neighborhoods where the damages to the neighbors will be less.  Somewhat more troublingly, it may sometimes be the case that the residents of poorer neighborhoods will accept lower monetary compensation for putting up with pollution.  Imagining for the moment that this is so, should we respect such deals?</w:t>
      </w:r>
    </w:p>
    <w:p w14:paraId="473F3E8B" w14:textId="77777777" w:rsidR="00C85B70" w:rsidRPr="00C85B70" w:rsidRDefault="00C85B70" w:rsidP="00C85B70">
      <w:pPr>
        <w:tabs>
          <w:tab w:val="left" w:pos="456"/>
        </w:tabs>
        <w:rPr>
          <w:rFonts w:ascii="Times New Roman" w:eastAsia="Times New Roman" w:hAnsi="Times New Roman" w:cs="Times New Roman"/>
          <w:lang w:eastAsia="en-US"/>
        </w:rPr>
      </w:pPr>
    </w:p>
    <w:p w14:paraId="604F336F" w14:textId="354DFF35"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Note further that even if the </w:t>
      </w:r>
      <w:r w:rsidR="005A5833">
        <w:rPr>
          <w:rFonts w:ascii="Times New Roman" w:eastAsia="Times New Roman" w:hAnsi="Times New Roman" w:cs="Times New Roman"/>
          <w:lang w:eastAsia="en-US"/>
        </w:rPr>
        <w:t>C</w:t>
      </w:r>
      <w:r w:rsidRPr="00C85B70">
        <w:rPr>
          <w:rFonts w:ascii="Times New Roman" w:eastAsia="Times New Roman" w:hAnsi="Times New Roman" w:cs="Times New Roman"/>
          <w:lang w:eastAsia="en-US"/>
        </w:rPr>
        <w:t>athedral</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liability rules reflect economic inequality in this way, they do so no more than ordinary tort law does.  As we will see in </w:t>
      </w:r>
      <w:r w:rsidR="00C21D6E">
        <w:rPr>
          <w:rFonts w:ascii="Times New Roman" w:eastAsia="Times New Roman" w:hAnsi="Times New Roman" w:cs="Times New Roman"/>
          <w:lang w:eastAsia="en-US"/>
        </w:rPr>
        <w:t>C</w:t>
      </w:r>
      <w:r w:rsidRPr="00C85B70">
        <w:rPr>
          <w:rFonts w:ascii="Times New Roman" w:eastAsia="Times New Roman" w:hAnsi="Times New Roman" w:cs="Times New Roman"/>
          <w:lang w:eastAsia="en-US"/>
        </w:rPr>
        <w:t>hapter 10, ordinary tort law takes correction of the status quo ante as its goal, without regard to the distributive justice or lack thereof o</w:t>
      </w:r>
      <w:r w:rsidR="005665BE">
        <w:rPr>
          <w:rFonts w:ascii="Times New Roman" w:eastAsia="Times New Roman" w:hAnsi="Times New Roman" w:cs="Times New Roman"/>
          <w:lang w:eastAsia="en-US"/>
        </w:rPr>
        <w:t>f the regime requiring repair.</w:t>
      </w:r>
    </w:p>
    <w:p w14:paraId="7C852BB5" w14:textId="707914C1"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Moreover, one should ask what the alternatives are.  The alternative to compulsory transactions is not that pollution will magically be </w:t>
      </w:r>
      <w:r w:rsidR="00DF6742">
        <w:rPr>
          <w:rFonts w:ascii="Times New Roman" w:eastAsia="Times New Roman" w:hAnsi="Times New Roman" w:cs="Times New Roman"/>
          <w:lang w:eastAsia="en-US"/>
        </w:rPr>
        <w:t>allocated</w:t>
      </w:r>
      <w:r w:rsidRPr="00C85B70">
        <w:rPr>
          <w:rFonts w:ascii="Times New Roman" w:eastAsia="Times New Roman" w:hAnsi="Times New Roman" w:cs="Times New Roman"/>
          <w:lang w:eastAsia="en-US"/>
        </w:rPr>
        <w:t xml:space="preserve"> </w:t>
      </w:r>
      <w:r w:rsidR="00DF6742">
        <w:rPr>
          <w:rFonts w:ascii="Times New Roman" w:eastAsia="Times New Roman" w:hAnsi="Times New Roman" w:cs="Times New Roman"/>
          <w:lang w:eastAsia="en-US"/>
        </w:rPr>
        <w:t>fairly</w:t>
      </w:r>
      <w:r w:rsidRPr="00C85B70">
        <w:rPr>
          <w:rFonts w:ascii="Times New Roman" w:eastAsia="Times New Roman" w:hAnsi="Times New Roman" w:cs="Times New Roman"/>
          <w:lang w:eastAsia="en-US"/>
        </w:rPr>
        <w:t xml:space="preserve"> among all members of society.  The alternative is that pollution siting will be a product of the po</w:t>
      </w:r>
      <w:r w:rsidR="00DF6742">
        <w:rPr>
          <w:rFonts w:ascii="Times New Roman" w:eastAsia="Times New Roman" w:hAnsi="Times New Roman" w:cs="Times New Roman"/>
          <w:lang w:eastAsia="en-US"/>
        </w:rPr>
        <w:t>litical process – a process that</w:t>
      </w:r>
      <w:r w:rsidRPr="00C85B70">
        <w:rPr>
          <w:rFonts w:ascii="Times New Roman" w:eastAsia="Times New Roman" w:hAnsi="Times New Roman" w:cs="Times New Roman"/>
          <w:lang w:eastAsia="en-US"/>
        </w:rPr>
        <w:t xml:space="preserve"> tends to privilege the wealthy and powerful.  Looking around America</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cities today, who can say that the pollution-causing facilities have been sited </w:t>
      </w:r>
      <w:r w:rsidR="00DF6742">
        <w:rPr>
          <w:rFonts w:ascii="Times New Roman" w:eastAsia="Times New Roman" w:hAnsi="Times New Roman" w:cs="Times New Roman"/>
          <w:lang w:eastAsia="en-US"/>
        </w:rPr>
        <w:t>fairly</w:t>
      </w:r>
      <w:r w:rsidRPr="00C85B70">
        <w:rPr>
          <w:rFonts w:ascii="Times New Roman" w:eastAsia="Times New Roman" w:hAnsi="Times New Roman" w:cs="Times New Roman"/>
          <w:lang w:eastAsia="en-US"/>
        </w:rPr>
        <w:t xml:space="preserve"> as between poor and wealthy neighborhoods?  At the very least, the Cathedral approach would provide compensation to those living in the affected areas</w:t>
      </w:r>
      <w:r w:rsidR="00C65DA8">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something the political proc</w:t>
      </w:r>
      <w:r w:rsidR="005665BE">
        <w:rPr>
          <w:rFonts w:ascii="Times New Roman" w:eastAsia="Times New Roman" w:hAnsi="Times New Roman" w:cs="Times New Roman"/>
          <w:lang w:eastAsia="en-US"/>
        </w:rPr>
        <w:t>ess can rarely say for itself.</w:t>
      </w:r>
    </w:p>
    <w:p w14:paraId="1BEAAED9" w14:textId="77777777" w:rsidR="00C85B70" w:rsidRPr="00C85B70" w:rsidRDefault="00C85B70" w:rsidP="00C85B70">
      <w:pPr>
        <w:tabs>
          <w:tab w:val="left" w:pos="456"/>
        </w:tabs>
        <w:rPr>
          <w:rFonts w:ascii="Times New Roman" w:eastAsia="Times New Roman" w:hAnsi="Times New Roman" w:cs="Times New Roman"/>
          <w:lang w:eastAsia="en-US"/>
        </w:rPr>
      </w:pPr>
    </w:p>
    <w:p w14:paraId="15428A7C" w14:textId="77777777" w:rsidR="00C85B70" w:rsidRPr="00C85B70" w:rsidRDefault="00C85B70" w:rsidP="00C85B70">
      <w:pPr>
        <w:tabs>
          <w:tab w:val="left" w:pos="456"/>
        </w:tabs>
        <w:rPr>
          <w:rFonts w:ascii="Times New Roman" w:eastAsia="Times New Roman" w:hAnsi="Times New Roman" w:cs="Times New Roman"/>
          <w:lang w:eastAsia="en-US"/>
        </w:rPr>
      </w:pPr>
    </w:p>
    <w:p w14:paraId="34C76DBF" w14:textId="7D103589"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A long history for the </w:t>
      </w:r>
      <w:r w:rsidR="005A5833">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athedral?</w:t>
      </w:r>
      <w:r w:rsidRPr="00F94B7E">
        <w:rPr>
          <w:rFonts w:ascii="Times New Roman" w:eastAsia="Times New Roman" w:hAnsi="Times New Roman" w:cs="Times New Roman"/>
          <w:lang w:eastAsia="en-US"/>
        </w:rPr>
        <w:t xml:space="preserve">  Although </w:t>
      </w:r>
      <w:r w:rsidRPr="00F94B7E">
        <w:rPr>
          <w:rFonts w:ascii="Times New Roman" w:eastAsia="Times New Roman" w:hAnsi="Times New Roman" w:cs="Times New Roman"/>
          <w:i/>
          <w:iCs/>
          <w:lang w:eastAsia="en-US"/>
        </w:rPr>
        <w:t xml:space="preserve">Boomer </w:t>
      </w:r>
      <w:r w:rsidRPr="00F94B7E">
        <w:rPr>
          <w:rFonts w:ascii="Times New Roman" w:eastAsia="Times New Roman" w:hAnsi="Times New Roman" w:cs="Times New Roman"/>
          <w:lang w:eastAsia="en-US"/>
        </w:rPr>
        <w:t xml:space="preserve">treats the doctrine of undue hardship as an innovation in New York tort law, Professor Douglas Laycock notes that the nuisance defense of undue hardship was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long established in New York and elsewhere.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Douglas Laycock, </w:t>
      </w:r>
      <w:r w:rsidRPr="00F94B7E">
        <w:rPr>
          <w:rFonts w:ascii="Times New Roman" w:eastAsia="Times New Roman" w:hAnsi="Times New Roman" w:cs="Times New Roman"/>
          <w:i/>
          <w:iCs/>
          <w:lang w:eastAsia="en-US"/>
        </w:rPr>
        <w:t xml:space="preserve">The Neglected Defense of Undue Hardship (and the Doctrinal Train Wreck in </w:t>
      </w:r>
      <w:r w:rsidRPr="00F94B7E">
        <w:rPr>
          <w:rFonts w:ascii="Times New Roman" w:eastAsia="Times New Roman" w:hAnsi="Times New Roman" w:cs="Times New Roman"/>
          <w:lang w:eastAsia="en-US"/>
        </w:rPr>
        <w:t>Boomer v. Atlantic Cement</w:t>
      </w:r>
      <w:r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lang w:eastAsia="en-US"/>
        </w:rPr>
        <w:t xml:space="preserve"> 1 (Univ. of Va. Law Sch. Pub. Law &amp; Legal Theory Research Paper Series No. 2012-27, 2012), http://ssrn.com/abstract=2040896;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Louise A. Halper, </w:t>
      </w:r>
      <w:r w:rsidRPr="00F94B7E">
        <w:rPr>
          <w:rFonts w:ascii="Times New Roman" w:eastAsia="Times New Roman" w:hAnsi="Times New Roman" w:cs="Times New Roman"/>
          <w:i/>
          <w:iCs/>
          <w:lang w:eastAsia="en-US"/>
        </w:rPr>
        <w:t>Nuisance, Courts and Markets in the New York Court of Appeals, 1850-1915</w:t>
      </w:r>
      <w:r w:rsidRPr="00F94B7E">
        <w:rPr>
          <w:rFonts w:ascii="Times New Roman" w:eastAsia="Times New Roman" w:hAnsi="Times New Roman" w:cs="Times New Roman"/>
          <w:lang w:eastAsia="en-US"/>
        </w:rPr>
        <w:t xml:space="preserve">, 54 </w:t>
      </w:r>
      <w:r w:rsidRPr="00F94B7E">
        <w:rPr>
          <w:rFonts w:ascii="Times New Roman" w:eastAsia="Times New Roman" w:hAnsi="Times New Roman" w:cs="Times New Roman"/>
          <w:smallCaps/>
          <w:lang w:eastAsia="en-US"/>
        </w:rPr>
        <w:t>Alb. L. Rev</w:t>
      </w:r>
      <w:r w:rsidRPr="00F94B7E">
        <w:rPr>
          <w:rFonts w:ascii="Times New Roman" w:eastAsia="Times New Roman" w:hAnsi="Times New Roman" w:cs="Times New Roman"/>
          <w:lang w:eastAsia="en-US"/>
        </w:rPr>
        <w:t xml:space="preserve">. 301 (1990) (noting that several New York cases that were not recognized in </w:t>
      </w:r>
      <w:r w:rsidRPr="00F94B7E">
        <w:rPr>
          <w:rFonts w:ascii="Times New Roman" w:eastAsia="Times New Roman" w:hAnsi="Times New Roman" w:cs="Times New Roman"/>
          <w:i/>
          <w:iCs/>
          <w:lang w:eastAsia="en-US"/>
        </w:rPr>
        <w:t>Boomer</w:t>
      </w:r>
      <w:r w:rsidRPr="00F94B7E">
        <w:rPr>
          <w:rFonts w:ascii="Times New Roman" w:eastAsia="Times New Roman" w:hAnsi="Times New Roman" w:cs="Times New Roman"/>
          <w:lang w:eastAsia="en-US"/>
        </w:rPr>
        <w:t xml:space="preserve"> balanced remedies at the hardship stage).   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F94B7E">
        <w:rPr>
          <w:rFonts w:ascii="Times New Roman" w:eastAsia="Times New Roman" w:hAnsi="Times New Roman" w:cs="Times New Roman"/>
          <w:i/>
          <w:iCs/>
          <w:lang w:eastAsia="en-US"/>
        </w:rPr>
        <w:t>E.g., Squaw Island Freight Terminal Co. v. City of Buffalo</w:t>
      </w:r>
      <w:r w:rsidRPr="00F94B7E">
        <w:rPr>
          <w:rFonts w:ascii="Times New Roman" w:eastAsia="Times New Roman" w:hAnsi="Times New Roman" w:cs="Times New Roman"/>
          <w:lang w:eastAsia="en-US"/>
        </w:rPr>
        <w:t>, 7 N.E.2d 10, 14 (N.Y.1937) (allowing the City of Buffalo to continue dumping sewage on the condition that it pay plaintiffs permanent damages for the injury caused by the sewage).</w:t>
      </w:r>
    </w:p>
    <w:p w14:paraId="61CA02CA" w14:textId="77777777" w:rsidR="00C85B70" w:rsidRPr="00C85B70" w:rsidRDefault="00C85B70" w:rsidP="00C85B70">
      <w:pPr>
        <w:tabs>
          <w:tab w:val="left" w:pos="456"/>
        </w:tabs>
        <w:rPr>
          <w:rFonts w:ascii="Times New Roman" w:eastAsia="Times New Roman" w:hAnsi="Times New Roman" w:cs="Times New Roman"/>
          <w:lang w:eastAsia="en-US"/>
        </w:rPr>
      </w:pPr>
    </w:p>
    <w:p w14:paraId="1DD9E763" w14:textId="77777777" w:rsidR="00C85B70" w:rsidRPr="00C85B70" w:rsidRDefault="00C85B70" w:rsidP="00C85B70">
      <w:pPr>
        <w:tabs>
          <w:tab w:val="left" w:pos="456"/>
        </w:tabs>
        <w:rPr>
          <w:rFonts w:ascii="Times New Roman" w:eastAsia="Times New Roman" w:hAnsi="Times New Roman" w:cs="Times New Roman"/>
          <w:lang w:eastAsia="en-US"/>
        </w:rPr>
      </w:pPr>
    </w:p>
    <w:p w14:paraId="4B8E78F0" w14:textId="71E2CB5E" w:rsidR="00C85B70" w:rsidRPr="00F94B7E" w:rsidRDefault="750671CE" w:rsidP="00F94B7E">
      <w:pPr>
        <w:pStyle w:val="ListParagraph"/>
        <w:numPr>
          <w:ilvl w:val="0"/>
          <w:numId w:val="3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Calabresi / Melamed 2x2 Matrix</w:t>
      </w:r>
      <w:r w:rsidRPr="00F94B7E">
        <w:rPr>
          <w:rFonts w:ascii="Times New Roman" w:eastAsia="Times New Roman" w:hAnsi="Times New Roman" w:cs="Times New Roman"/>
          <w:lang w:eastAsia="en-US"/>
        </w:rPr>
        <w:t>.  The three cases we have read so far in this section can be summarized on the matrix below, with entitlements running down the left column and remedies running across the top row:</w:t>
      </w:r>
    </w:p>
    <w:p w14:paraId="33C25CF7" w14:textId="77777777" w:rsidR="00C85B70" w:rsidRPr="00C85B70" w:rsidRDefault="00C85B70" w:rsidP="00C85B70">
      <w:pPr>
        <w:rPr>
          <w:rFonts w:ascii="Times New Roman" w:eastAsia="Times New Roman" w:hAnsi="Times New Roman" w:cs="Times New Roman"/>
          <w:lang w:eastAsia="en-US"/>
        </w:rPr>
      </w:pPr>
    </w:p>
    <w:p w14:paraId="42753809" w14:textId="77777777" w:rsidR="00C85B70" w:rsidRPr="00C85B70" w:rsidRDefault="00C85B70" w:rsidP="00C85B70">
      <w:pPr>
        <w:rPr>
          <w:rFonts w:ascii="Times New Roman" w:eastAsia="Times New Roman" w:hAnsi="Times New Roman" w:cs="Times New Roman"/>
          <w:lang w:eastAsia="en-US"/>
        </w:rPr>
      </w:pPr>
    </w:p>
    <w:p w14:paraId="25F395FA" w14:textId="77777777" w:rsidR="00C85B70" w:rsidRPr="00C85B70" w:rsidRDefault="00C85B70" w:rsidP="00C85B70">
      <w:pPr>
        <w:ind w:left="2880" w:firstLine="720"/>
        <w:contextualSpacing/>
        <w:rPr>
          <w:rFonts w:ascii="Times New Roman" w:hAnsi="Times New Roman" w:cs="Times New Roman"/>
          <w:b/>
          <w:lang w:eastAsia="en-US"/>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B30899" w14:paraId="4535739C" w14:textId="77777777" w:rsidTr="00F94B7E">
        <w:tc>
          <w:tcPr>
            <w:tcW w:w="2707" w:type="dxa"/>
          </w:tcPr>
          <w:p w14:paraId="0CCD5018" w14:textId="77777777" w:rsidR="00C85B70" w:rsidRPr="00F94B7E" w:rsidRDefault="00C85B70" w:rsidP="00C85B70">
            <w:pPr>
              <w:contextualSpacing/>
              <w:rPr>
                <w:rFonts w:ascii="Times New Roman" w:hAnsi="Times New Roman" w:cs="Times New Roman"/>
                <w:lang w:eastAsia="en-US"/>
              </w:rPr>
            </w:pPr>
          </w:p>
          <w:p w14:paraId="3B866C01" w14:textId="77777777" w:rsidR="00C85B70" w:rsidRPr="00F94B7E" w:rsidRDefault="00C85B70" w:rsidP="00C85B70">
            <w:pPr>
              <w:jc w:val="right"/>
              <w:rPr>
                <w:rFonts w:ascii="Times New Roman" w:hAnsi="Times New Roman" w:cs="Times New Roman"/>
                <w:lang w:eastAsia="en-US"/>
              </w:rPr>
            </w:pPr>
          </w:p>
        </w:tc>
        <w:tc>
          <w:tcPr>
            <w:tcW w:w="2779" w:type="dxa"/>
          </w:tcPr>
          <w:p w14:paraId="2EEA408D" w14:textId="77777777" w:rsidR="00C85B70" w:rsidRPr="00F94B7E" w:rsidRDefault="00C85B70" w:rsidP="00C85B70">
            <w:pPr>
              <w:tabs>
                <w:tab w:val="left" w:pos="1920"/>
              </w:tabs>
              <w:contextualSpacing/>
              <w:jc w:val="center"/>
              <w:rPr>
                <w:rFonts w:ascii="Times New Roman" w:hAnsi="Times New Roman" w:cs="Times New Roman"/>
                <w:lang w:eastAsia="en-US"/>
              </w:rPr>
            </w:pPr>
          </w:p>
          <w:p w14:paraId="6BBB210F" w14:textId="77777777" w:rsidR="00C85B70" w:rsidRPr="00F94B7E" w:rsidRDefault="750671CE" w:rsidP="750671CE">
            <w:pPr>
              <w:tabs>
                <w:tab w:val="left" w:pos="1920"/>
              </w:tabs>
              <w:contextualSpacing/>
              <w:jc w:val="center"/>
              <w:rPr>
                <w:rFonts w:ascii="Times New Roman" w:hAnsi="Times New Roman" w:cs="Times New Roman"/>
                <w:lang w:eastAsia="en-US"/>
              </w:rPr>
            </w:pPr>
            <w:r w:rsidRPr="00F94B7E">
              <w:rPr>
                <w:rFonts w:ascii="Times New Roman" w:hAnsi="Times New Roman" w:cs="Times New Roman"/>
                <w:lang w:eastAsia="en-US"/>
              </w:rPr>
              <w:t>Injunction (Property Rule)</w:t>
            </w:r>
          </w:p>
        </w:tc>
        <w:tc>
          <w:tcPr>
            <w:tcW w:w="2006" w:type="dxa"/>
          </w:tcPr>
          <w:p w14:paraId="04F0335D" w14:textId="77777777" w:rsidR="00C85B70" w:rsidRPr="00F94B7E" w:rsidRDefault="00C85B70" w:rsidP="00C85B70">
            <w:pPr>
              <w:contextualSpacing/>
              <w:jc w:val="center"/>
              <w:rPr>
                <w:rFonts w:ascii="Times New Roman" w:hAnsi="Times New Roman" w:cs="Times New Roman"/>
                <w:lang w:eastAsia="en-US"/>
              </w:rPr>
            </w:pPr>
          </w:p>
          <w:p w14:paraId="0DEF3474" w14:textId="77777777" w:rsidR="00C85B70" w:rsidRPr="00F94B7E" w:rsidRDefault="750671CE" w:rsidP="750671CE">
            <w:pPr>
              <w:contextualSpacing/>
              <w:jc w:val="center"/>
              <w:rPr>
                <w:rFonts w:ascii="Times New Roman" w:hAnsi="Times New Roman" w:cs="Times New Roman"/>
                <w:lang w:eastAsia="en-US"/>
              </w:rPr>
            </w:pPr>
            <w:r w:rsidRPr="00F94B7E">
              <w:rPr>
                <w:rFonts w:ascii="Times New Roman" w:hAnsi="Times New Roman" w:cs="Times New Roman"/>
                <w:lang w:eastAsia="en-US"/>
              </w:rPr>
              <w:t>Damages (Liability Rule)</w:t>
            </w:r>
          </w:p>
          <w:p w14:paraId="2CBC0C6D" w14:textId="77777777" w:rsidR="00C85B70" w:rsidRPr="00F94B7E" w:rsidRDefault="00C85B70" w:rsidP="00C85B70">
            <w:pPr>
              <w:contextualSpacing/>
              <w:jc w:val="center"/>
              <w:rPr>
                <w:rFonts w:ascii="Times New Roman" w:hAnsi="Times New Roman" w:cs="Times New Roman"/>
                <w:lang w:eastAsia="en-US"/>
              </w:rPr>
            </w:pPr>
          </w:p>
        </w:tc>
      </w:tr>
      <w:tr w:rsidR="00B30899" w:rsidRPr="00B30899" w14:paraId="762A30E3" w14:textId="77777777" w:rsidTr="00F94B7E">
        <w:tc>
          <w:tcPr>
            <w:tcW w:w="2707" w:type="dxa"/>
          </w:tcPr>
          <w:p w14:paraId="2EA1027D" w14:textId="77777777" w:rsidR="00C85B70" w:rsidRPr="00F94B7E" w:rsidRDefault="00C85B70" w:rsidP="00C85B70">
            <w:pPr>
              <w:tabs>
                <w:tab w:val="left" w:pos="1520"/>
                <w:tab w:val="left" w:pos="2100"/>
                <w:tab w:val="right" w:pos="2741"/>
              </w:tabs>
              <w:contextualSpacing/>
              <w:rPr>
                <w:rFonts w:ascii="Times New Roman" w:hAnsi="Times New Roman" w:cs="Times New Roman"/>
                <w:lang w:eastAsia="en-US"/>
              </w:rPr>
            </w:pPr>
          </w:p>
          <w:p w14:paraId="71E92E94" w14:textId="77777777" w:rsidR="00C85B70" w:rsidRPr="00F94B7E" w:rsidRDefault="750671CE" w:rsidP="750671CE">
            <w:pPr>
              <w:tabs>
                <w:tab w:val="left" w:pos="1520"/>
                <w:tab w:val="left" w:pos="2100"/>
                <w:tab w:val="right" w:pos="2741"/>
              </w:tabs>
              <w:contextualSpacing/>
              <w:rPr>
                <w:rFonts w:ascii="Times New Roman" w:hAnsi="Times New Roman" w:cs="Times New Roman"/>
                <w:lang w:eastAsia="en-US"/>
              </w:rPr>
            </w:pPr>
            <w:r w:rsidRPr="00F94B7E">
              <w:rPr>
                <w:rFonts w:ascii="Times New Roman" w:hAnsi="Times New Roman" w:cs="Times New Roman"/>
                <w:lang w:eastAsia="en-US"/>
              </w:rPr>
              <w:t>Entitlement to Plaintiff</w:t>
            </w:r>
          </w:p>
        </w:tc>
        <w:tc>
          <w:tcPr>
            <w:tcW w:w="2779" w:type="dxa"/>
          </w:tcPr>
          <w:p w14:paraId="19ACD450" w14:textId="77777777" w:rsidR="00C85B70" w:rsidRPr="00F94B7E" w:rsidRDefault="00C85B70" w:rsidP="00C85B70">
            <w:pPr>
              <w:contextualSpacing/>
              <w:jc w:val="center"/>
              <w:rPr>
                <w:rFonts w:ascii="Times New Roman" w:hAnsi="Times New Roman" w:cs="Times New Roman"/>
                <w:i/>
                <w:lang w:eastAsia="en-US"/>
              </w:rPr>
            </w:pPr>
          </w:p>
          <w:p w14:paraId="1659ADF3" w14:textId="77777777" w:rsidR="00C85B70" w:rsidRPr="00F94B7E" w:rsidRDefault="750671CE" w:rsidP="750671CE">
            <w:pPr>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Ensign v. Walls</w:t>
            </w:r>
          </w:p>
          <w:p w14:paraId="0972EF30" w14:textId="77777777" w:rsidR="00C85B70" w:rsidRPr="00F94B7E" w:rsidRDefault="00C85B70" w:rsidP="00C85B70">
            <w:pPr>
              <w:contextualSpacing/>
              <w:jc w:val="center"/>
              <w:rPr>
                <w:rFonts w:ascii="Times New Roman" w:hAnsi="Times New Roman" w:cs="Times New Roman"/>
                <w:i/>
                <w:lang w:eastAsia="en-US"/>
              </w:rPr>
            </w:pPr>
          </w:p>
        </w:tc>
        <w:tc>
          <w:tcPr>
            <w:tcW w:w="2006" w:type="dxa"/>
          </w:tcPr>
          <w:p w14:paraId="194EC8DA" w14:textId="77777777" w:rsidR="00C85B70" w:rsidRPr="00F94B7E" w:rsidRDefault="00C85B70" w:rsidP="00C85B70">
            <w:pPr>
              <w:contextualSpacing/>
              <w:jc w:val="center"/>
              <w:rPr>
                <w:rFonts w:ascii="Times New Roman" w:hAnsi="Times New Roman" w:cs="Times New Roman"/>
                <w:i/>
                <w:lang w:eastAsia="en-US"/>
              </w:rPr>
            </w:pPr>
          </w:p>
          <w:p w14:paraId="7E7C0073" w14:textId="77777777" w:rsidR="00C85B70" w:rsidRPr="00F94B7E" w:rsidRDefault="750671CE" w:rsidP="750671CE">
            <w:pPr>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Boomer</w:t>
            </w:r>
          </w:p>
        </w:tc>
      </w:tr>
      <w:tr w:rsidR="00B30899" w:rsidRPr="00B30899" w14:paraId="50EBB826" w14:textId="77777777" w:rsidTr="00F94B7E">
        <w:tc>
          <w:tcPr>
            <w:tcW w:w="2707" w:type="dxa"/>
          </w:tcPr>
          <w:p w14:paraId="4BA27112" w14:textId="77777777" w:rsidR="00C85B70" w:rsidRPr="00F94B7E" w:rsidRDefault="00C85B70" w:rsidP="00C85B70">
            <w:pPr>
              <w:tabs>
                <w:tab w:val="left" w:pos="1760"/>
              </w:tabs>
              <w:contextualSpacing/>
              <w:rPr>
                <w:rFonts w:ascii="Times New Roman" w:hAnsi="Times New Roman" w:cs="Times New Roman"/>
                <w:lang w:eastAsia="en-US"/>
              </w:rPr>
            </w:pPr>
          </w:p>
          <w:p w14:paraId="31D89C14" w14:textId="77777777" w:rsidR="00C85B70" w:rsidRPr="00F94B7E" w:rsidRDefault="750671CE" w:rsidP="750671CE">
            <w:pPr>
              <w:tabs>
                <w:tab w:val="left" w:pos="1760"/>
              </w:tabs>
              <w:contextualSpacing/>
              <w:rPr>
                <w:rFonts w:ascii="Times New Roman" w:hAnsi="Times New Roman" w:cs="Times New Roman"/>
                <w:lang w:eastAsia="en-US"/>
              </w:rPr>
            </w:pPr>
            <w:r w:rsidRPr="00F94B7E">
              <w:rPr>
                <w:rFonts w:ascii="Times New Roman" w:hAnsi="Times New Roman" w:cs="Times New Roman"/>
                <w:lang w:eastAsia="en-US"/>
              </w:rPr>
              <w:t xml:space="preserve">Entitlement to Defendant </w:t>
            </w:r>
          </w:p>
        </w:tc>
        <w:tc>
          <w:tcPr>
            <w:tcW w:w="2779" w:type="dxa"/>
          </w:tcPr>
          <w:p w14:paraId="5DE86B41" w14:textId="77777777" w:rsidR="00C85B70" w:rsidRPr="00F94B7E" w:rsidRDefault="00C85B70" w:rsidP="00C85B70">
            <w:pPr>
              <w:contextualSpacing/>
              <w:jc w:val="center"/>
              <w:rPr>
                <w:rFonts w:ascii="Times New Roman" w:hAnsi="Times New Roman" w:cs="Times New Roman"/>
                <w:i/>
                <w:lang w:eastAsia="en-US"/>
              </w:rPr>
            </w:pPr>
          </w:p>
          <w:p w14:paraId="38677B19" w14:textId="77777777" w:rsidR="00C85B70" w:rsidRPr="00F94B7E" w:rsidRDefault="750671CE" w:rsidP="750671CE">
            <w:pPr>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Fontainebleau Hotel Corp.</w:t>
            </w:r>
          </w:p>
        </w:tc>
        <w:tc>
          <w:tcPr>
            <w:tcW w:w="2006" w:type="dxa"/>
          </w:tcPr>
          <w:p w14:paraId="74EA49CB" w14:textId="77777777" w:rsidR="00C85B70" w:rsidRPr="00F94B7E" w:rsidRDefault="00C85B70" w:rsidP="00C85B70">
            <w:pPr>
              <w:contextualSpacing/>
              <w:jc w:val="center"/>
              <w:rPr>
                <w:rFonts w:ascii="Times New Roman" w:hAnsi="Times New Roman" w:cs="Times New Roman"/>
                <w:i/>
                <w:lang w:eastAsia="en-US"/>
              </w:rPr>
            </w:pPr>
          </w:p>
          <w:p w14:paraId="5B1DD72C" w14:textId="77777777" w:rsidR="00C85B70" w:rsidRPr="00F94B7E" w:rsidRDefault="750671CE" w:rsidP="750671CE">
            <w:pPr>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Box 4</w:t>
            </w:r>
          </w:p>
          <w:p w14:paraId="22D49884" w14:textId="77777777" w:rsidR="00C85B70" w:rsidRPr="00F94B7E" w:rsidRDefault="00C85B70" w:rsidP="00C85B70">
            <w:pPr>
              <w:contextualSpacing/>
              <w:jc w:val="center"/>
              <w:rPr>
                <w:rFonts w:ascii="Times New Roman" w:hAnsi="Times New Roman" w:cs="Times New Roman"/>
                <w:i/>
                <w:lang w:eastAsia="en-US"/>
              </w:rPr>
            </w:pPr>
          </w:p>
        </w:tc>
      </w:tr>
    </w:tbl>
    <w:p w14:paraId="7E046C7B" w14:textId="77777777" w:rsidR="00C85B70" w:rsidRPr="00C85B70" w:rsidRDefault="750671CE" w:rsidP="750671CE">
      <w:pPr>
        <w:tabs>
          <w:tab w:val="left" w:pos="456"/>
        </w:tabs>
        <w:ind w:left="720"/>
        <w:rPr>
          <w:rFonts w:ascii="Times New Roman" w:eastAsia="Times New Roman" w:hAnsi="Times New Roman" w:cs="Times New Roman"/>
          <w:sz w:val="20"/>
          <w:szCs w:val="20"/>
          <w:lang w:eastAsia="en-US"/>
        </w:rPr>
      </w:pPr>
      <w:r w:rsidRPr="750671CE">
        <w:rPr>
          <w:rFonts w:ascii="Times New Roman" w:eastAsia="Times New Roman" w:hAnsi="Times New Roman" w:cs="Times New Roman"/>
          <w:sz w:val="20"/>
          <w:szCs w:val="20"/>
          <w:lang w:eastAsia="en-US"/>
        </w:rPr>
        <w:t xml:space="preserve">Adapted from James E. Krier &amp; Stewart J. Schwab, </w:t>
      </w:r>
      <w:r w:rsidRPr="750671CE">
        <w:rPr>
          <w:rFonts w:ascii="Times New Roman" w:eastAsia="Times New Roman" w:hAnsi="Times New Roman" w:cs="Times New Roman"/>
          <w:i/>
          <w:iCs/>
          <w:sz w:val="20"/>
          <w:szCs w:val="20"/>
          <w:lang w:eastAsia="en-US"/>
        </w:rPr>
        <w:t xml:space="preserve">Property Rules and Liability Rules: </w:t>
      </w:r>
      <w:r w:rsidRPr="750671CE">
        <w:rPr>
          <w:rFonts w:ascii="Times New Roman" w:eastAsia="Times New Roman" w:hAnsi="Times New Roman" w:cs="Times New Roman"/>
          <w:sz w:val="20"/>
          <w:szCs w:val="20"/>
          <w:lang w:eastAsia="en-US"/>
        </w:rPr>
        <w:t xml:space="preserve">The Cathedral </w:t>
      </w:r>
      <w:r w:rsidRPr="750671CE">
        <w:rPr>
          <w:rFonts w:ascii="Times New Roman" w:eastAsia="Times New Roman" w:hAnsi="Times New Roman" w:cs="Times New Roman"/>
          <w:i/>
          <w:iCs/>
          <w:sz w:val="20"/>
          <w:szCs w:val="20"/>
          <w:lang w:eastAsia="en-US"/>
        </w:rPr>
        <w:t>in Another Light</w:t>
      </w:r>
      <w:r w:rsidRPr="750671CE">
        <w:rPr>
          <w:rFonts w:ascii="Times New Roman" w:eastAsia="Times New Roman" w:hAnsi="Times New Roman" w:cs="Times New Roman"/>
          <w:sz w:val="20"/>
          <w:szCs w:val="20"/>
          <w:lang w:eastAsia="en-US"/>
        </w:rPr>
        <w:t xml:space="preserve">, 70 N.Y.U. L. </w:t>
      </w:r>
      <w:r w:rsidRPr="750671CE">
        <w:rPr>
          <w:rFonts w:ascii="Times New Roman" w:eastAsia="Times New Roman" w:hAnsi="Times New Roman" w:cs="Times New Roman"/>
          <w:smallCaps/>
          <w:sz w:val="20"/>
          <w:szCs w:val="20"/>
          <w:lang w:eastAsia="en-US"/>
        </w:rPr>
        <w:t>Rev. 440, 444 (1995).</w:t>
      </w:r>
    </w:p>
    <w:p w14:paraId="0AC2B35B" w14:textId="77777777" w:rsidR="00C85B70" w:rsidRPr="00C85B70" w:rsidRDefault="00C85B70" w:rsidP="00C85B70">
      <w:pPr>
        <w:tabs>
          <w:tab w:val="left" w:pos="456"/>
        </w:tabs>
        <w:rPr>
          <w:rFonts w:ascii="Times New Roman" w:eastAsia="Times New Roman" w:hAnsi="Times New Roman" w:cs="Times New Roman"/>
          <w:lang w:eastAsia="en-US"/>
        </w:rPr>
      </w:pPr>
    </w:p>
    <w:p w14:paraId="6A676985" w14:textId="77777777" w:rsidR="00C85B70" w:rsidRPr="00C85B70" w:rsidRDefault="00C85B70" w:rsidP="00C85B70">
      <w:pPr>
        <w:tabs>
          <w:tab w:val="left" w:pos="456"/>
        </w:tabs>
        <w:rPr>
          <w:rFonts w:ascii="Times New Roman" w:eastAsia="Times New Roman" w:hAnsi="Times New Roman" w:cs="Times New Roman"/>
          <w:lang w:eastAsia="en-US"/>
        </w:rPr>
      </w:pPr>
    </w:p>
    <w:p w14:paraId="1C480DC0" w14:textId="377E3B01" w:rsidR="00C85B70" w:rsidRPr="00C85B70" w:rsidRDefault="750671CE" w:rsidP="750671CE">
      <w:pPr>
        <w:tabs>
          <w:tab w:val="left" w:pos="456"/>
        </w:tabs>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What about the lower right quadrant?  The so-called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Box 4</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seemed likely to remain empty until just as Calabresi and Melamed were publishing their article, the Supreme Court of Arizona decided a case that seemed to match Box 4 perfectly:</w:t>
      </w:r>
    </w:p>
    <w:p w14:paraId="3EE237B8" w14:textId="77777777" w:rsidR="00C85B70" w:rsidRPr="00C85B70" w:rsidRDefault="00C85B70" w:rsidP="00C85B70">
      <w:pPr>
        <w:tabs>
          <w:tab w:val="left" w:pos="456"/>
        </w:tabs>
        <w:rPr>
          <w:rFonts w:ascii="Times New Roman" w:eastAsia="Times New Roman" w:hAnsi="Times New Roman" w:cs="Times New Roman"/>
          <w:lang w:eastAsia="en-US"/>
        </w:rPr>
      </w:pPr>
    </w:p>
    <w:p w14:paraId="07806597" w14:textId="77777777" w:rsidR="00C85B70" w:rsidRPr="00C85B70" w:rsidRDefault="00C85B70" w:rsidP="00C85B70">
      <w:pPr>
        <w:tabs>
          <w:tab w:val="left" w:pos="456"/>
        </w:tabs>
        <w:rPr>
          <w:rFonts w:ascii="Times New Roman" w:eastAsia="Times New Roman" w:hAnsi="Times New Roman" w:cs="Times New Roman"/>
          <w:lang w:eastAsia="en-US"/>
        </w:rPr>
      </w:pPr>
    </w:p>
    <w:p w14:paraId="3D0F9357" w14:textId="335473FD" w:rsidR="00C85B70" w:rsidRPr="00C85B70" w:rsidRDefault="00C85B70" w:rsidP="750671CE">
      <w:pPr>
        <w:shd w:val="clear" w:color="auto" w:fill="FFFFFF" w:themeFill="background1"/>
        <w:spacing w:line="264" w:lineRule="auto"/>
        <w:textAlignment w:val="baseline"/>
        <w:outlineLvl w:val="0"/>
        <w:rPr>
          <w:rFonts w:ascii="Times New Roman" w:eastAsia="Times New Roman" w:hAnsi="Times New Roman" w:cs="Times New Roman"/>
          <w:b/>
          <w:bCs/>
          <w:lang w:eastAsia="en-US"/>
        </w:rPr>
      </w:pPr>
      <w:bookmarkStart w:id="918" w:name="_Toc518323527"/>
      <w:bookmarkStart w:id="919" w:name="_Toc272975137"/>
      <w:r w:rsidRPr="005665BE">
        <w:rPr>
          <w:rStyle w:val="Heading4Char"/>
        </w:rPr>
        <w:t>Spur Industries v. Del Webb Development Co</w:t>
      </w:r>
      <w:bookmarkEnd w:id="918"/>
      <w:r w:rsidRPr="750671CE">
        <w:rPr>
          <w:rFonts w:ascii="Times New Roman,Cambria" w:eastAsia="Times New Roman,Cambria" w:hAnsi="Times New Roman,Cambria" w:cs="Times New Roman,Cambria"/>
          <w:lang w:eastAsia="en-US"/>
        </w:rPr>
        <w:t>.</w:t>
      </w:r>
      <w:bookmarkEnd w:id="919"/>
      <w:r w:rsidR="00C816B1" w:rsidRPr="750671CE">
        <w:rPr>
          <w:rFonts w:ascii="Times New Roman,Cambria" w:eastAsia="Times New Roman,Cambria" w:hAnsi="Times New Roman,Cambria" w:cs="Times New Roman,Cambria"/>
          <w:lang w:eastAsia="en-US"/>
        </w:rPr>
        <w:t>,</w:t>
      </w:r>
      <w:r w:rsidR="00C816B1" w:rsidRPr="750671CE">
        <w:rPr>
          <w:rFonts w:ascii="Times New Roman,Cambria" w:eastAsia="Times New Roman,Cambria" w:hAnsi="Times New Roman,Cambria" w:cs="Times New Roman,Cambria"/>
          <w:b/>
          <w:bCs/>
          <w:lang w:eastAsia="en-US"/>
        </w:rPr>
        <w:t xml:space="preserve"> </w:t>
      </w:r>
      <w:r w:rsidRPr="750671CE">
        <w:rPr>
          <w:rFonts w:ascii="Times New Roman" w:eastAsia="Times New Roman" w:hAnsi="Times New Roman" w:cs="Times New Roman"/>
          <w:b/>
          <w:bCs/>
          <w:lang w:eastAsia="en-US"/>
        </w:rPr>
        <w:t>494 P.2d 700 (Ariz. 1972)</w:t>
      </w:r>
    </w:p>
    <w:p w14:paraId="19943458" w14:textId="77777777" w:rsidR="00C85B70" w:rsidRPr="00C85B70" w:rsidRDefault="00C85B70" w:rsidP="00C85B70">
      <w:pPr>
        <w:tabs>
          <w:tab w:val="left" w:pos="456"/>
        </w:tabs>
        <w:spacing w:line="264" w:lineRule="auto"/>
        <w:rPr>
          <w:rFonts w:ascii="Times New Roman" w:eastAsia="Times New Roman" w:hAnsi="Times New Roman" w:cs="Times New Roman"/>
          <w:lang w:eastAsia="en-US"/>
        </w:rPr>
      </w:pPr>
    </w:p>
    <w:p w14:paraId="507AEB51" w14:textId="77777777" w:rsidR="00B30899" w:rsidRPr="00121DBE" w:rsidRDefault="00C85B70" w:rsidP="750671CE">
      <w:pPr>
        <w:textAlignment w:val="baseline"/>
        <w:rPr>
          <w:rFonts w:ascii="Times New Roman" w:eastAsiaTheme="minorHAnsi" w:hAnsi="Times New Roman" w:cs="Times New Roman"/>
          <w:b/>
          <w:lang w:eastAsia="en-US"/>
        </w:rPr>
      </w:pPr>
      <w:r w:rsidRPr="00F94B7E">
        <w:rPr>
          <w:rFonts w:ascii="Times New Roman" w:eastAsia="Times New Roman,Cambria" w:hAnsi="Times New Roman" w:cs="Times New Roman"/>
          <w:smallCaps/>
          <w:lang w:eastAsia="en-US"/>
        </w:rPr>
        <w:t>Cameron, J</w:t>
      </w:r>
      <w:r w:rsidRPr="00F94B7E">
        <w:rPr>
          <w:rFonts w:ascii="Times New Roman" w:eastAsia="Times New Roman,Cambria" w:hAnsi="Times New Roman" w:cs="Times New Roman"/>
          <w:b/>
          <w:bCs/>
          <w:lang w:eastAsia="en-US"/>
        </w:rPr>
        <w:t>.</w:t>
      </w:r>
      <w:r w:rsidRPr="005B147F">
        <w:rPr>
          <w:rFonts w:ascii="Times New Roman" w:eastAsiaTheme="minorHAnsi" w:hAnsi="Times New Roman" w:cs="Times New Roman"/>
          <w:b/>
          <w:lang w:eastAsia="en-US"/>
        </w:rPr>
        <w:tab/>
      </w:r>
    </w:p>
    <w:p w14:paraId="70AB8C7D" w14:textId="77777777" w:rsidR="00B30899" w:rsidRDefault="00B30899" w:rsidP="750671CE">
      <w:pPr>
        <w:textAlignment w:val="baseline"/>
        <w:rPr>
          <w:rFonts w:ascii="Times New Roman" w:eastAsiaTheme="minorHAnsi" w:hAnsi="Times New Roman" w:cs="Times New Roman"/>
          <w:b/>
          <w:lang w:eastAsia="en-US"/>
        </w:rPr>
      </w:pPr>
    </w:p>
    <w:p w14:paraId="65A8CF3C" w14:textId="512B6A27" w:rsidR="00C85B70" w:rsidRPr="005665BE" w:rsidRDefault="00C85B70" w:rsidP="00F94B7E">
      <w:pPr>
        <w:ind w:firstLine="720"/>
        <w:textAlignment w:val="baseline"/>
        <w:rPr>
          <w:rFonts w:ascii="Times New Roman" w:eastAsia="Times New Roman" w:hAnsi="Times New Roman" w:cs="Times New Roman"/>
          <w:lang w:eastAsia="en-US"/>
        </w:rPr>
      </w:pPr>
      <w:r w:rsidRPr="750671CE">
        <w:rPr>
          <w:rFonts w:ascii="Times New Roman,Cambria" w:eastAsia="Times New Roman,Cambria" w:hAnsi="Times New Roman,Cambria" w:cs="Times New Roman,Cambria"/>
          <w:lang w:eastAsia="en-US"/>
        </w:rPr>
        <w:t>F</w:t>
      </w:r>
      <w:r w:rsidRPr="005665BE">
        <w:rPr>
          <w:rFonts w:ascii="Times New Roman" w:eastAsia="Times New Roman" w:hAnsi="Times New Roman" w:cs="Times New Roman"/>
          <w:lang w:eastAsia="en-US"/>
        </w:rPr>
        <w:t>rom a judgment permanently enjoining the defendant, Spur Industries, Inc., from operating a cattle feedlot near the plaintiff Del E. Webb Development Company</w:t>
      </w:r>
      <w:r w:rsidR="00B05F31">
        <w:rPr>
          <w:rFonts w:ascii="Times New Roman" w:eastAsia="Times New Roman" w:hAnsi="Times New Roman" w:cs="Times New Roman"/>
          <w:lang w:eastAsia="en-US"/>
        </w:rPr>
        <w:t>’</w:t>
      </w:r>
      <w:r w:rsidRPr="005665BE">
        <w:rPr>
          <w:rFonts w:ascii="Times New Roman" w:eastAsia="Times New Roman" w:hAnsi="Times New Roman" w:cs="Times New Roman"/>
          <w:lang w:eastAsia="en-US"/>
        </w:rPr>
        <w:t>s Sun City, Spur appeals. Webb cross-appeals. Although numerous issues are raised, we feel that it is necessary to answer only two questions. They are:</w:t>
      </w:r>
    </w:p>
    <w:p w14:paraId="182324A4" w14:textId="77777777" w:rsidR="00C85B70" w:rsidRPr="00C85B70" w:rsidRDefault="00C85B70" w:rsidP="00C85B70">
      <w:pPr>
        <w:textAlignment w:val="baseline"/>
        <w:rPr>
          <w:rFonts w:ascii="Times New Roman" w:eastAsia="Times New Roman" w:hAnsi="Times New Roman" w:cs="Times New Roman"/>
          <w:color w:val="373739"/>
          <w:lang w:eastAsia="en-US"/>
        </w:rPr>
      </w:pPr>
    </w:p>
    <w:p w14:paraId="17415403" w14:textId="77777777"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5665BE" w:rsidRDefault="00C85B70" w:rsidP="00C85B70">
      <w:pPr>
        <w:textAlignment w:val="baseline"/>
        <w:rPr>
          <w:rFonts w:ascii="Times New Roman" w:eastAsia="Times New Roman" w:hAnsi="Times New Roman" w:cs="Times New Roman"/>
          <w:lang w:eastAsia="en-US"/>
        </w:rPr>
      </w:pPr>
    </w:p>
    <w:p w14:paraId="0FF57F26" w14:textId="77777777"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2. Assuming that the nuisance may be enjoined, may the developer of a completely new town or urban area in a previously agricultural area be required to indemnify the operator of the feedlot who must move</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or cease operation because of the presence of the residential area created by the developer?</w:t>
      </w:r>
    </w:p>
    <w:p w14:paraId="581B7FD0" w14:textId="77777777" w:rsidR="00C85B70" w:rsidRPr="005665BE" w:rsidRDefault="00C85B70" w:rsidP="00C85B70">
      <w:pPr>
        <w:textAlignment w:val="baseline"/>
        <w:rPr>
          <w:rFonts w:ascii="Times New Roman" w:eastAsia="Times New Roman" w:hAnsi="Times New Roman" w:cs="Times New Roman"/>
          <w:lang w:eastAsia="en-US"/>
        </w:rPr>
      </w:pPr>
    </w:p>
    <w:p w14:paraId="32033271" w14:textId="77777777" w:rsidR="00C85B70" w:rsidRPr="005665BE" w:rsidRDefault="00C85B70" w:rsidP="750671CE">
      <w:pPr>
        <w:textAlignment w:val="baseline"/>
        <w:rPr>
          <w:rFonts w:ascii="Times New Roman" w:eastAsia="Times New Roman" w:hAnsi="Times New Roman" w:cs="Times New Roman"/>
          <w:lang w:eastAsia="en-US"/>
        </w:rPr>
      </w:pPr>
      <w:r w:rsidRPr="005665BE">
        <w:rPr>
          <w:rFonts w:ascii="Times New Roman" w:eastAsia="Times New Roman" w:hAnsi="Times New Roman" w:cs="Times New Roman"/>
          <w:b/>
          <w:bCs/>
          <w:bdr w:val="none" w:sz="0" w:space="0" w:color="auto" w:frame="1"/>
          <w:lang w:eastAsia="en-US"/>
        </w:rPr>
        <w:t> </w:t>
      </w:r>
      <w:r w:rsidRPr="005665BE">
        <w:rPr>
          <w:rFonts w:ascii="Times New Roman" w:eastAsia="Times New Roman" w:hAnsi="Times New Roman" w:cs="Times New Roman"/>
          <w:b/>
          <w:bCs/>
          <w:bdr w:val="none" w:sz="0" w:space="0" w:color="auto" w:frame="1"/>
          <w:lang w:eastAsia="en-US"/>
        </w:rPr>
        <w:tab/>
      </w:r>
      <w:r w:rsidRPr="005665BE">
        <w:rPr>
          <w:rFonts w:ascii="Times New Roman" w:eastAsia="Times New Roman" w:hAnsi="Times New Roman" w:cs="Times New Roman"/>
          <w:lang w:eastAsia="en-US"/>
        </w:rPr>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5665BE" w:rsidRDefault="00C85B70" w:rsidP="00C85B70">
      <w:pPr>
        <w:textAlignment w:val="baseline"/>
        <w:rPr>
          <w:rFonts w:ascii="Times New Roman" w:eastAsia="Times New Roman" w:hAnsi="Times New Roman" w:cs="Times New Roman"/>
          <w:lang w:eastAsia="en-US"/>
        </w:rPr>
      </w:pPr>
    </w:p>
    <w:p w14:paraId="4FD7BE18" w14:textId="77777777"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Farming started in this area about 1911. In 1929, with the completion of the Carl Pleasant Dam, gravity flow water became available to the property located to the west of the Agua Fria River, though land to the east remained dependent upon well water for irrigation. By 1950, the only urban areas in the vicinity were the agriculturally related communities . . . .</w:t>
      </w:r>
    </w:p>
    <w:p w14:paraId="22A478C9" w14:textId="77777777" w:rsidR="00C85B70" w:rsidRPr="005665BE" w:rsidRDefault="00C85B70" w:rsidP="00C85B70">
      <w:pPr>
        <w:ind w:firstLine="720"/>
        <w:textAlignment w:val="baseline"/>
        <w:rPr>
          <w:rFonts w:ascii="Times New Roman" w:eastAsia="Times New Roman" w:hAnsi="Times New Roman" w:cs="Times New Roman"/>
          <w:lang w:eastAsia="en-US"/>
        </w:rPr>
      </w:pPr>
    </w:p>
    <w:p w14:paraId="1ABA773C" w14:textId="6B4D5A2A"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1956, Spur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predecessors. In April and May of 1959, the Northside Hay Mill was feeding between 6,000 and 7,000 head of cattle and Welborn approximately 1,500 head on a combined area of 35 acres.</w:t>
      </w:r>
    </w:p>
    <w:p w14:paraId="7E7D05D2" w14:textId="77777777" w:rsidR="00C85B70" w:rsidRPr="005665BE" w:rsidRDefault="00C85B70" w:rsidP="00C85B70">
      <w:pPr>
        <w:ind w:firstLine="720"/>
        <w:textAlignment w:val="baseline"/>
        <w:rPr>
          <w:rFonts w:ascii="Times New Roman" w:eastAsia="Times New Roman" w:hAnsi="Times New Roman" w:cs="Times New Roman"/>
          <w:lang w:eastAsia="en-US"/>
        </w:rPr>
      </w:pPr>
    </w:p>
    <w:p w14:paraId="1D553F01" w14:textId="77777777"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5665BE" w:rsidRDefault="00C816B1" w:rsidP="00C85B70">
      <w:pPr>
        <w:ind w:firstLine="720"/>
        <w:textAlignment w:val="baseline"/>
        <w:rPr>
          <w:rFonts w:ascii="Times New Roman" w:eastAsia="Times New Roman" w:hAnsi="Times New Roman" w:cs="Times New Roman"/>
          <w:lang w:eastAsia="en-US"/>
        </w:rPr>
      </w:pPr>
    </w:p>
    <w:p w14:paraId="6A5ECAA0" w14:textId="39108CBE"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By September</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1959, Del Webb had started construction of a golf course south of Grand Avenue and Spur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predecessors had started to level ground for more feedlot area. In 1960, Spur purchased the property in question and began a rebuilding and expansion program extending both to the north and south of the original facilities. By 1962, Spur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expansion program was completed and had expanded from approximately 35 acres to 114 acres. </w:t>
      </w:r>
      <w:r w:rsidRPr="00F94B7E">
        <w:rPr>
          <w:rFonts w:ascii="Times New Roman" w:eastAsia="Times New Roman" w:hAnsi="Times New Roman" w:cs="Times New Roman"/>
          <w:i/>
          <w:lang w:eastAsia="en-US"/>
        </w:rPr>
        <w:t>See</w:t>
      </w:r>
      <w:r w:rsidRPr="750671CE">
        <w:rPr>
          <w:rFonts w:ascii="Times New Roman" w:eastAsia="Times New Roman" w:hAnsi="Times New Roman" w:cs="Times New Roman"/>
          <w:lang w:eastAsia="en-US"/>
        </w:rPr>
        <w:t xml:space="preserve"> Exhibit A above.</w:t>
      </w:r>
    </w:p>
    <w:p w14:paraId="52143846" w14:textId="77777777" w:rsidR="00C816B1" w:rsidRPr="005665BE" w:rsidRDefault="00C816B1" w:rsidP="00C816B1">
      <w:pPr>
        <w:ind w:firstLine="720"/>
        <w:textAlignment w:val="baseline"/>
        <w:rPr>
          <w:rFonts w:ascii="Times New Roman" w:eastAsia="Times New Roman" w:hAnsi="Times New Roman" w:cs="Times New Roman"/>
          <w:lang w:eastAsia="en-US"/>
        </w:rPr>
      </w:pPr>
    </w:p>
    <w:p w14:paraId="51903DFB" w14:textId="77777777" w:rsidR="00C85B70" w:rsidRPr="005665BE"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5665BE" w:rsidRDefault="00C85B70" w:rsidP="00C85B70">
      <w:pPr>
        <w:textAlignment w:val="baseline"/>
        <w:rPr>
          <w:rFonts w:ascii="Times New Roman" w:eastAsia="Times New Roman" w:hAnsi="Times New Roman" w:cs="Times New Roman"/>
          <w:lang w:eastAsia="en-US"/>
        </w:rPr>
      </w:pPr>
    </w:p>
    <w:p w14:paraId="059D891D" w14:textId="77777777" w:rsidR="00C85B70" w:rsidRPr="005665BE" w:rsidRDefault="750671CE" w:rsidP="750671CE">
      <w:pPr>
        <w:ind w:firstLine="720"/>
        <w:textAlignment w:val="baseline"/>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460C2D5" w14:textId="77777777" w:rsidR="00C85B70" w:rsidRPr="00C816B1" w:rsidRDefault="00C85B70" w:rsidP="00C85B70">
      <w:pPr>
        <w:textAlignment w:val="baseline"/>
        <w:rPr>
          <w:rFonts w:ascii="Times New Roman" w:eastAsia="Times New Roman" w:hAnsi="Times New Roman" w:cs="Times New Roman"/>
          <w:lang w:eastAsia="en-US"/>
        </w:rPr>
      </w:pPr>
    </w:p>
    <w:p w14:paraId="6F1F45A9"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court concluded that the operations of Spur Industries constituted an enjoinable nuisance.  But that did not end the inquiry:]  </w:t>
      </w:r>
    </w:p>
    <w:p w14:paraId="1DC04DE5" w14:textId="77777777" w:rsidR="00C85B70" w:rsidRPr="00C816B1" w:rsidRDefault="00C85B70" w:rsidP="00C85B70">
      <w:pPr>
        <w:textAlignment w:val="baseline"/>
        <w:rPr>
          <w:rFonts w:ascii="Times New Roman" w:eastAsia="Times New Roman" w:hAnsi="Times New Roman" w:cs="Times New Roman"/>
          <w:lang w:eastAsia="en-US"/>
        </w:rPr>
      </w:pPr>
    </w:p>
    <w:p w14:paraId="75791A70"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C816B1" w:rsidRDefault="00C85B70" w:rsidP="00C85B70">
      <w:pPr>
        <w:textAlignment w:val="baseline"/>
        <w:rPr>
          <w:rFonts w:ascii="Times New Roman" w:eastAsia="Times New Roman" w:hAnsi="Times New Roman" w:cs="Times New Roman"/>
          <w:lang w:eastAsia="en-US"/>
        </w:rPr>
      </w:pPr>
    </w:p>
    <w:p w14:paraId="684ECD4C" w14:textId="24A0C611"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the so-called</w:t>
      </w:r>
      <w:r w:rsidRPr="750671CE">
        <w:rPr>
          <w:rFonts w:ascii="Times New Roman,Cambria" w:eastAsia="Times New Roman,Cambria" w:hAnsi="Times New Roman,Cambria" w:cs="Times New Roman,Cambria"/>
          <w:lang w:eastAsia="en-US"/>
        </w:rPr>
        <w:t> </w:t>
      </w:r>
      <w:r w:rsidR="00C706F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coming to the nuisance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cases, the courts have held that the residential</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landowner may not have relief if he knowingly came into a neighborhood reserved for industrial or agricultural endeavors and has been damaged thereby:</w:t>
      </w:r>
    </w:p>
    <w:p w14:paraId="3226D58B"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16DB15C8" w14:textId="77777777" w:rsidR="00C85B70" w:rsidRPr="00C816B1" w:rsidRDefault="00C85B70" w:rsidP="00F94B7E">
      <w:pPr>
        <w:ind w:left="720" w:right="720"/>
        <w:jc w:val="both"/>
        <w:textAlignment w:val="baseline"/>
        <w:rPr>
          <w:rFonts w:ascii="Times New Roman" w:eastAsia="Times New Roman" w:hAnsi="Times New Roman" w:cs="Times New Roman"/>
          <w:lang w:eastAsia="en-US"/>
        </w:rPr>
      </w:pPr>
      <w:r w:rsidRPr="00C816B1">
        <w:rPr>
          <w:rFonts w:ascii="Times New Roman" w:eastAsia="Times New Roman" w:hAnsi="Times New Roman" w:cs="Times New Roman"/>
          <w:lang w:eastAsia="en-US"/>
        </w:rPr>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i/>
          <w:iCs/>
          <w:bdr w:val="none" w:sz="0" w:space="0" w:color="auto" w:frame="1"/>
          <w:lang w:eastAsia="en-US"/>
        </w:rPr>
        <w:t>primarily agricultural</w:t>
      </w:r>
      <w:r w:rsidRPr="00C816B1">
        <w:rPr>
          <w:rFonts w:ascii="Times New Roman" w:eastAsia="Times New Roman" w:hAnsi="Times New Roman" w:cs="Times New Roman"/>
          <w:lang w:eastAsia="en-US"/>
        </w:rPr>
        <w:t>, any opinion reflecting the value of such property must take this factor into account. . . .</w:t>
      </w:r>
    </w:p>
    <w:p w14:paraId="6DDF5CCA" w14:textId="77777777" w:rsidR="00C85B70" w:rsidRPr="00C816B1" w:rsidRDefault="00C85B70" w:rsidP="00F94B7E">
      <w:pPr>
        <w:ind w:left="720" w:right="720"/>
        <w:jc w:val="both"/>
        <w:textAlignment w:val="baseline"/>
        <w:rPr>
          <w:rFonts w:ascii="Times New Roman" w:eastAsia="Times New Roman" w:hAnsi="Times New Roman" w:cs="Times New Roman"/>
          <w:lang w:eastAsia="en-US"/>
        </w:rPr>
      </w:pPr>
    </w:p>
    <w:p w14:paraId="2CF7A7FF" w14:textId="77777777" w:rsidR="00C85B70" w:rsidRPr="00C85B70" w:rsidRDefault="00C85B70" w:rsidP="00F94B7E">
      <w:pPr>
        <w:ind w:left="720" w:right="720"/>
        <w:jc w:val="both"/>
        <w:textAlignment w:val="baseline"/>
        <w:rPr>
          <w:rFonts w:ascii="Times New Roman" w:eastAsia="Times New Roman" w:hAnsi="Times New Roman" w:cs="Times New Roman"/>
          <w:color w:val="373739"/>
          <w:lang w:eastAsia="en-US"/>
        </w:rPr>
      </w:pPr>
      <w:r w:rsidRPr="00C816B1">
        <w:rPr>
          <w:rFonts w:ascii="Times New Roman" w:eastAsia="Times New Roman" w:hAnsi="Times New Roman" w:cs="Times New Roman"/>
          <w:lang w:eastAsia="en-US"/>
        </w:rPr>
        <w:t>People employed in a city who build their homes in suburban areas of the county beyond the limits of a city and zoning regulations do so for a reason. . . .</w:t>
      </w:r>
      <w:r w:rsidRPr="00C85B70">
        <w:rPr>
          <w:rFonts w:ascii="Times New Roman" w:eastAsia="Times New Roman" w:hAnsi="Times New Roman" w:cs="Times New Roman"/>
          <w:lang w:eastAsia="en-US"/>
        </w:rPr>
        <w:t xml:space="preserve"> But with all these advantages in going beyond the area which is zoned and restricted to protect them in their homes, they must be prepared to take the disadvantages.</w:t>
      </w:r>
      <w:r w:rsidRPr="750671CE">
        <w:rPr>
          <w:rFonts w:ascii="Times New Roman" w:eastAsia="Times New Roman" w:hAnsi="Times New Roman" w:cs="Times New Roman"/>
          <w:i/>
          <w:iCs/>
          <w:lang w:eastAsia="en-US"/>
        </w:rPr>
        <w:t> </w:t>
      </w:r>
      <w:r w:rsidRPr="750671CE">
        <w:rPr>
          <w:rFonts w:ascii="Times New Roman" w:eastAsia="Times New Roman" w:hAnsi="Times New Roman" w:cs="Times New Roman"/>
          <w:i/>
          <w:iCs/>
          <w:color w:val="373739"/>
          <w:bdr w:val="none" w:sz="0" w:space="0" w:color="auto" w:frame="1"/>
          <w:lang w:eastAsia="en-US"/>
        </w:rPr>
        <w:t>Dill v. Excel Packing Company</w:t>
      </w:r>
      <w:r w:rsidRPr="00C85B70">
        <w:rPr>
          <w:rFonts w:ascii="Times New Roman" w:eastAsia="Times New Roman" w:hAnsi="Times New Roman" w:cs="Times New Roman"/>
          <w:color w:val="373739"/>
          <w:bdr w:val="none" w:sz="0" w:space="0" w:color="auto" w:frame="1"/>
          <w:lang w:eastAsia="en-US"/>
        </w:rPr>
        <w:t xml:space="preserve"> . . . . </w:t>
      </w:r>
    </w:p>
    <w:p w14:paraId="33F4A9CB" w14:textId="77777777" w:rsidR="00C85B70" w:rsidRPr="00C85B70" w:rsidRDefault="00C85B70" w:rsidP="00C85B70">
      <w:pPr>
        <w:ind w:left="720" w:right="720"/>
        <w:textAlignment w:val="baseline"/>
        <w:rPr>
          <w:rFonts w:ascii="Times New Roman" w:eastAsia="Times New Roman" w:hAnsi="Times New Roman" w:cs="Times New Roman"/>
          <w:lang w:eastAsia="en-US"/>
        </w:rPr>
      </w:pPr>
    </w:p>
    <w:p w14:paraId="4C22A783" w14:textId="12A436E3" w:rsidR="00C85B70" w:rsidRPr="00C816B1" w:rsidRDefault="00B05F31" w:rsidP="750671CE">
      <w:pPr>
        <w:ind w:firstLine="720"/>
        <w:textAlignment w:val="baseline"/>
        <w:rPr>
          <w:rFonts w:ascii="Times New Roman" w:eastAsia="Times New Roman" w:hAnsi="Times New Roman" w:cs="Times New Roman"/>
          <w:lang w:eastAsia="en-US"/>
        </w:rPr>
      </w:pPr>
      <w:r>
        <w:rPr>
          <w:rFonts w:ascii="Times New Roman" w:eastAsia="Times New Roman" w:hAnsi="Times New Roman" w:cs="Times New Roman"/>
          <w:bdr w:val="none" w:sz="0" w:space="0" w:color="auto" w:frame="1"/>
          <w:lang w:eastAsia="en-US"/>
        </w:rPr>
        <w:t>“</w:t>
      </w:r>
      <w:r w:rsidR="00B30899">
        <w:rPr>
          <w:rFonts w:ascii="Times New Roman" w:eastAsia="Times New Roman" w:hAnsi="Times New Roman" w:cs="Times New Roman"/>
          <w:bdr w:val="none" w:sz="0" w:space="0" w:color="auto" w:frame="1"/>
          <w:lang w:eastAsia="en-US"/>
        </w:rPr>
        <w:t xml:space="preserve">. . . </w:t>
      </w:r>
      <w:r w:rsidR="00C85B70" w:rsidRPr="00C816B1">
        <w:rPr>
          <w:rFonts w:ascii="Times New Roman" w:eastAsia="Times New Roman" w:hAnsi="Times New Roman" w:cs="Times New Roman"/>
          <w:bdr w:val="none" w:sz="0" w:space="0" w:color="auto" w:frame="1"/>
          <w:lang w:eastAsia="en-US"/>
        </w:rPr>
        <w:t xml:space="preserve"> [A] party cannot justly call upon the law to make that place suitable for his residence which was not so when he selected it. </w:t>
      </w:r>
      <w:r w:rsidR="00B30899">
        <w:rPr>
          <w:rFonts w:ascii="Times New Roman" w:eastAsia="Times New Roman" w:hAnsi="Times New Roman" w:cs="Times New Roman"/>
          <w:bdr w:val="none" w:sz="0" w:space="0" w:color="auto" w:frame="1"/>
          <w:lang w:eastAsia="en-US"/>
        </w:rPr>
        <w:t xml:space="preserve">. . </w:t>
      </w:r>
      <w:r w:rsidR="00C85B70" w:rsidRPr="00C816B1">
        <w:rPr>
          <w:rFonts w:ascii="Times New Roman" w:eastAsia="Times New Roman" w:hAnsi="Times New Roman" w:cs="Times New Roman"/>
          <w:bdr w:val="none" w:sz="0" w:space="0" w:color="auto" w:frame="1"/>
          <w:lang w:eastAsia="en-US"/>
        </w:rPr>
        <w:t>.</w:t>
      </w:r>
      <w:r>
        <w:rPr>
          <w:rFonts w:ascii="Times New Roman" w:eastAsia="Times New Roman" w:hAnsi="Times New Roman" w:cs="Times New Roman"/>
          <w:bdr w:val="none" w:sz="0" w:space="0" w:color="auto" w:frame="1"/>
          <w:lang w:eastAsia="en-US"/>
        </w:rPr>
        <w:t>”</w:t>
      </w:r>
      <w:r w:rsidR="00C85B70" w:rsidRPr="750671CE">
        <w:rPr>
          <w:rFonts w:ascii="Times New Roman,Cambria" w:eastAsia="Times New Roman,Cambria" w:hAnsi="Times New Roman,Cambria" w:cs="Times New Roman,Cambria"/>
          <w:bdr w:val="none" w:sz="0" w:space="0" w:color="auto" w:frame="1"/>
          <w:lang w:eastAsia="en-US"/>
        </w:rPr>
        <w:t> </w:t>
      </w:r>
      <w:r w:rsidR="00C85B70" w:rsidRPr="750671CE">
        <w:rPr>
          <w:rFonts w:ascii="Times New Roman" w:eastAsia="Times New Roman" w:hAnsi="Times New Roman" w:cs="Times New Roman"/>
          <w:i/>
          <w:iCs/>
          <w:bdr w:val="none" w:sz="0" w:space="0" w:color="auto" w:frame="1"/>
          <w:lang w:eastAsia="en-US"/>
        </w:rPr>
        <w:t>Gilbert v. Showerman</w:t>
      </w:r>
      <w:r w:rsidR="00C85B70" w:rsidRPr="00C816B1">
        <w:rPr>
          <w:rFonts w:ascii="Times New Roman" w:eastAsia="Times New Roman" w:hAnsi="Times New Roman" w:cs="Times New Roman"/>
          <w:bdr w:val="none" w:sz="0" w:space="0" w:color="auto" w:frame="1"/>
          <w:lang w:eastAsia="en-US"/>
        </w:rPr>
        <w:t>.</w:t>
      </w:r>
    </w:p>
    <w:p w14:paraId="68813377" w14:textId="77777777" w:rsidR="00C85B70" w:rsidRPr="00C816B1" w:rsidRDefault="00C85B70" w:rsidP="00C85B70">
      <w:pPr>
        <w:textAlignment w:val="baseline"/>
        <w:rPr>
          <w:rFonts w:ascii="Times New Roman" w:hAnsi="Times New Roman" w:cs="Times New Roman"/>
          <w:lang w:eastAsia="en-US"/>
        </w:rPr>
      </w:pPr>
    </w:p>
    <w:p w14:paraId="3FA04521" w14:textId="419C31D4" w:rsidR="00C85B70" w:rsidRPr="00C816B1" w:rsidRDefault="00C85B70" w:rsidP="750671CE">
      <w:pPr>
        <w:ind w:firstLine="720"/>
        <w:rPr>
          <w:rFonts w:ascii="Times New Roman" w:eastAsia="Times New Roman" w:hAnsi="Times New Roman" w:cs="Times New Roman"/>
          <w:lang w:eastAsia="en-US"/>
        </w:rPr>
      </w:pPr>
      <w:r w:rsidRPr="00C816B1">
        <w:rPr>
          <w:rFonts w:ascii="Times New Roman" w:eastAsia="Times New Roman" w:hAnsi="Times New Roman" w:cs="Times New Roman"/>
          <w:bdr w:val="none" w:sz="0" w:space="0" w:color="auto" w:frame="1"/>
          <w:lang w:eastAsia="en-US"/>
        </w:rPr>
        <w:t xml:space="preserve">Were Webb the only party injured, we would feel justified in holding that the doctrine of </w:t>
      </w:r>
      <w:r w:rsidR="00B05F31">
        <w:rPr>
          <w:rFonts w:ascii="Times New Roman" w:eastAsia="Times New Roman" w:hAnsi="Times New Roman" w:cs="Times New Roman"/>
          <w:bdr w:val="none" w:sz="0" w:space="0" w:color="auto" w:frame="1"/>
          <w:lang w:eastAsia="en-US"/>
        </w:rPr>
        <w:t>“</w:t>
      </w:r>
      <w:r w:rsidRPr="00C816B1">
        <w:rPr>
          <w:rFonts w:ascii="Times New Roman" w:eastAsia="Times New Roman" w:hAnsi="Times New Roman" w:cs="Times New Roman"/>
          <w:bdr w:val="none" w:sz="0" w:space="0" w:color="auto" w:frame="1"/>
          <w:lang w:eastAsia="en-US"/>
        </w:rPr>
        <w:t>coming to the nuisance</w:t>
      </w:r>
      <w:r w:rsidR="00B05F31">
        <w:rPr>
          <w:rFonts w:ascii="Times New Roman" w:eastAsia="Times New Roman" w:hAnsi="Times New Roman" w:cs="Times New Roman"/>
          <w:bdr w:val="none" w:sz="0" w:space="0" w:color="auto" w:frame="1"/>
          <w:lang w:eastAsia="en-US"/>
        </w:rPr>
        <w:t>”</w:t>
      </w:r>
      <w:r w:rsidRPr="00C816B1">
        <w:rPr>
          <w:rFonts w:ascii="Times New Roman" w:eastAsia="Times New Roman" w:hAnsi="Times New Roman" w:cs="Times New Roman"/>
          <w:bdr w:val="none" w:sz="0" w:space="0" w:color="auto" w:frame="1"/>
          <w:lang w:eastAsia="en-US"/>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C816B1">
        <w:rPr>
          <w:rFonts w:ascii="Times New Roman" w:eastAsia="Times New Roman" w:hAnsi="Times New Roman" w:cs="Times New Roman"/>
          <w:lang w:eastAsia="en-US"/>
        </w:rPr>
        <w:t xml:space="preserve">. . . . </w:t>
      </w:r>
    </w:p>
    <w:p w14:paraId="0288E838" w14:textId="77777777" w:rsidR="00C85B70" w:rsidRPr="00C816B1" w:rsidRDefault="00C85B70" w:rsidP="00C85B70">
      <w:pPr>
        <w:textAlignment w:val="baseline"/>
        <w:rPr>
          <w:rFonts w:ascii="Times New Roman" w:eastAsia="Times New Roman" w:hAnsi="Times New Roman" w:cs="Times New Roman"/>
          <w:lang w:eastAsia="en-US"/>
        </w:rPr>
      </w:pPr>
    </w:p>
    <w:p w14:paraId="59416F07" w14:textId="77777777" w:rsidR="00C85B70"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There was no indication in the instant</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case at the time Spur and its predecessors located in western Maricopa County that a new city would spring up, full-blown, alongside the feeding operation and that the developer of that city would ask the court to order Spur to move because of the new</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city. Spur is required to move not because of any wrongdoing on the part of Spur, but because of a proper and legitimate regard of the courts for the rights and interests of the public.</w:t>
      </w:r>
    </w:p>
    <w:p w14:paraId="04F76E71" w14:textId="77777777" w:rsidR="005665BE" w:rsidRPr="00C816B1" w:rsidRDefault="005665BE" w:rsidP="00C85B70">
      <w:pPr>
        <w:ind w:firstLine="720"/>
        <w:textAlignment w:val="baseline"/>
        <w:rPr>
          <w:rFonts w:ascii="Times New Roman" w:eastAsia="Times New Roman" w:hAnsi="Times New Roman" w:cs="Times New Roman"/>
          <w:lang w:eastAsia="en-US"/>
        </w:rPr>
      </w:pPr>
    </w:p>
    <w:p w14:paraId="3E4D52B6" w14:textId="77777777" w:rsidR="00C85B70" w:rsidRPr="00C816B1" w:rsidRDefault="750671CE" w:rsidP="00F94B7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C85B70" w:rsidRDefault="00C85B70" w:rsidP="00C85B70">
      <w:pPr>
        <w:textAlignment w:val="baseline"/>
        <w:rPr>
          <w:rFonts w:ascii="Times New Roman" w:eastAsia="Times New Roman" w:hAnsi="Times New Roman" w:cs="Times New Roman"/>
          <w:color w:val="373739"/>
          <w:lang w:eastAsia="en-US"/>
        </w:rPr>
      </w:pPr>
    </w:p>
    <w:p w14:paraId="1A5C3C2A"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Having brought people to the</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C816B1" w:rsidRDefault="00C85B70" w:rsidP="00C85B70">
      <w:pPr>
        <w:ind w:firstLine="720"/>
        <w:textAlignment w:val="baseline"/>
        <w:rPr>
          <w:rFonts w:ascii="Times New Roman" w:eastAsia="Times New Roman" w:hAnsi="Times New Roman" w:cs="Times New Roman"/>
          <w:lang w:eastAsia="en-US"/>
        </w:rPr>
      </w:pPr>
    </w:p>
    <w:p w14:paraId="51971EAD" w14:textId="77777777" w:rsidR="00C85B70" w:rsidRPr="00C816B1" w:rsidRDefault="750671CE" w:rsidP="750671C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C816B1" w:rsidRDefault="00C816B1" w:rsidP="00C85B70">
      <w:pPr>
        <w:ind w:firstLine="720"/>
        <w:textAlignment w:val="baseline"/>
        <w:rPr>
          <w:rFonts w:ascii="Times New Roman" w:eastAsia="Times New Roman" w:hAnsi="Times New Roman" w:cs="Times New Roman"/>
          <w:lang w:eastAsia="en-US"/>
        </w:rPr>
      </w:pPr>
    </w:p>
    <w:p w14:paraId="2D80A964" w14:textId="77777777" w:rsidR="00C85B70" w:rsidRPr="00C816B1" w:rsidRDefault="750671CE" w:rsidP="750671CE">
      <w:pPr>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Affirmed in part, reversed in part, and remanded for further proceedings consistent with this opinion.</w:t>
      </w:r>
    </w:p>
    <w:p w14:paraId="3BEF334D" w14:textId="77777777" w:rsidR="00C85B70" w:rsidRPr="00C85B70" w:rsidRDefault="00C85B70" w:rsidP="00C85B70">
      <w:pPr>
        <w:tabs>
          <w:tab w:val="left" w:pos="456"/>
        </w:tabs>
        <w:rPr>
          <w:rFonts w:ascii="Times New Roman" w:eastAsia="Times New Roman" w:hAnsi="Times New Roman" w:cs="Times New Roman"/>
          <w:lang w:eastAsia="en-US"/>
        </w:rPr>
      </w:pPr>
    </w:p>
    <w:p w14:paraId="628FDFDF" w14:textId="77777777" w:rsidR="00C85B70" w:rsidRPr="00C85B70" w:rsidRDefault="00C85B70" w:rsidP="00C85B70">
      <w:pPr>
        <w:tabs>
          <w:tab w:val="left" w:pos="456"/>
        </w:tabs>
        <w:rPr>
          <w:rFonts w:ascii="Times New Roman" w:eastAsia="Times New Roman" w:hAnsi="Times New Roman" w:cs="Times New Roman"/>
          <w:lang w:eastAsia="en-US"/>
        </w:rPr>
      </w:pPr>
    </w:p>
    <w:p w14:paraId="56371626" w14:textId="40DA641A" w:rsidR="00C85B70" w:rsidRPr="00C85B70" w:rsidRDefault="00C85B70" w:rsidP="00CB223A">
      <w:pPr>
        <w:pStyle w:val="Heading5"/>
      </w:pPr>
      <w:bookmarkStart w:id="920" w:name="_Toc272975138"/>
      <w:bookmarkStart w:id="921" w:name="_Toc364636265"/>
      <w:bookmarkStart w:id="922" w:name="_Toc518323528"/>
      <w:r w:rsidRPr="00C85B70">
        <w:t>Notes</w:t>
      </w:r>
      <w:bookmarkEnd w:id="920"/>
      <w:bookmarkEnd w:id="921"/>
      <w:bookmarkEnd w:id="922"/>
    </w:p>
    <w:p w14:paraId="1A599410" w14:textId="77777777" w:rsidR="00C85B70" w:rsidRDefault="00C85B70" w:rsidP="00C85B70">
      <w:pPr>
        <w:rPr>
          <w:rFonts w:ascii="Times New Roman" w:eastAsia="Times New Roman" w:hAnsi="Times New Roman" w:cs="Times New Roman"/>
          <w:lang w:eastAsia="en-US"/>
        </w:rPr>
      </w:pPr>
    </w:p>
    <w:p w14:paraId="546B44AF" w14:textId="77777777" w:rsidR="00910387" w:rsidRPr="00C85B70" w:rsidRDefault="00910387" w:rsidP="00C85B70">
      <w:pPr>
        <w:rPr>
          <w:rFonts w:ascii="Times New Roman" w:eastAsia="Times New Roman" w:hAnsi="Times New Roman" w:cs="Times New Roman"/>
          <w:lang w:eastAsia="en-US"/>
        </w:rPr>
      </w:pPr>
    </w:p>
    <w:p w14:paraId="7991DEA2" w14:textId="3080216F" w:rsidR="00C85B70" w:rsidRPr="00F94B7E" w:rsidRDefault="750671CE" w:rsidP="00F94B7E">
      <w:pPr>
        <w:pStyle w:val="ListParagraph"/>
        <w:numPr>
          <w:ilvl w:val="0"/>
          <w:numId w:val="3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Filling in Box 4.  </w:t>
      </w:r>
      <w:r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case filled in the formerly empty Box 4 of the matrix in the notes above.  The court allocated the entitlement to the defendant Spur Industries</w:t>
      </w:r>
      <w:r w:rsidR="00C706FA">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but protected that entitlement with a liability rule rather than a property rule.  That is to say, the court allowed the developer to seize the entitlement from the feedlot owner without the latter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consent in return for a payment of damages set not in the marketplace but by the court.</w:t>
      </w:r>
    </w:p>
    <w:p w14:paraId="6C16EF39" w14:textId="77777777" w:rsidR="00C85B70" w:rsidRPr="00C85B70" w:rsidRDefault="00C85B70" w:rsidP="00C85B70">
      <w:pPr>
        <w:rPr>
          <w:rFonts w:ascii="Times New Roman" w:eastAsia="Times New Roman" w:hAnsi="Times New Roman" w:cs="Times New Roman"/>
          <w:lang w:eastAsia="en-US"/>
        </w:rPr>
      </w:pPr>
    </w:p>
    <w:p w14:paraId="46E46002" w14:textId="77777777" w:rsidR="00C85B70" w:rsidRPr="00C85B70" w:rsidRDefault="00C85B70" w:rsidP="00C85B70">
      <w:pPr>
        <w:keepNext/>
        <w:ind w:left="2880" w:firstLine="720"/>
        <w:contextualSpacing/>
        <w:rPr>
          <w:rFonts w:ascii="Times New Roman" w:hAnsi="Times New Roman" w:cs="Times New Roman"/>
          <w:b/>
          <w:lang w:eastAsia="en-US"/>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5A5833" w14:paraId="05203B3A" w14:textId="77777777" w:rsidTr="00F94B7E">
        <w:tc>
          <w:tcPr>
            <w:tcW w:w="2711" w:type="dxa"/>
          </w:tcPr>
          <w:p w14:paraId="424401C5" w14:textId="77777777" w:rsidR="00C85B70" w:rsidRPr="00F94B7E" w:rsidRDefault="00C85B70" w:rsidP="00C85B70">
            <w:pPr>
              <w:keepNext/>
              <w:contextualSpacing/>
              <w:rPr>
                <w:rFonts w:ascii="Times New Roman" w:hAnsi="Times New Roman" w:cs="Times New Roman"/>
                <w:lang w:eastAsia="en-US"/>
              </w:rPr>
            </w:pPr>
          </w:p>
          <w:p w14:paraId="4604C2A0" w14:textId="77777777" w:rsidR="00C85B70" w:rsidRPr="00F94B7E" w:rsidRDefault="00C85B70" w:rsidP="00C85B70">
            <w:pPr>
              <w:keepNext/>
              <w:jc w:val="right"/>
              <w:rPr>
                <w:rFonts w:ascii="Times New Roman" w:hAnsi="Times New Roman" w:cs="Times New Roman"/>
                <w:lang w:eastAsia="en-US"/>
              </w:rPr>
            </w:pPr>
          </w:p>
        </w:tc>
        <w:tc>
          <w:tcPr>
            <w:tcW w:w="2773" w:type="dxa"/>
          </w:tcPr>
          <w:p w14:paraId="3FAB48B8" w14:textId="77777777" w:rsidR="00C85B70" w:rsidRPr="00F94B7E" w:rsidRDefault="00C85B70" w:rsidP="00C85B70">
            <w:pPr>
              <w:keepNext/>
              <w:tabs>
                <w:tab w:val="left" w:pos="1920"/>
              </w:tabs>
              <w:contextualSpacing/>
              <w:jc w:val="center"/>
              <w:rPr>
                <w:rFonts w:ascii="Times New Roman" w:hAnsi="Times New Roman" w:cs="Times New Roman"/>
                <w:lang w:eastAsia="en-US"/>
              </w:rPr>
            </w:pPr>
          </w:p>
          <w:p w14:paraId="29119775" w14:textId="77777777" w:rsidR="00C85B70" w:rsidRPr="00F94B7E" w:rsidRDefault="750671CE" w:rsidP="750671CE">
            <w:pPr>
              <w:keepNext/>
              <w:tabs>
                <w:tab w:val="left" w:pos="1920"/>
              </w:tabs>
              <w:contextualSpacing/>
              <w:jc w:val="center"/>
              <w:rPr>
                <w:rFonts w:ascii="Times New Roman" w:hAnsi="Times New Roman" w:cs="Times New Roman"/>
                <w:lang w:eastAsia="en-US"/>
              </w:rPr>
            </w:pPr>
            <w:r w:rsidRPr="00F94B7E">
              <w:rPr>
                <w:rFonts w:ascii="Times New Roman" w:hAnsi="Times New Roman" w:cs="Times New Roman"/>
                <w:lang w:eastAsia="en-US"/>
              </w:rPr>
              <w:t>Injunction (Property Rule)</w:t>
            </w:r>
          </w:p>
          <w:p w14:paraId="22EC2A77" w14:textId="77777777" w:rsidR="00C85B70" w:rsidRPr="00F94B7E" w:rsidRDefault="00C85B70" w:rsidP="00C85B70">
            <w:pPr>
              <w:keepNext/>
              <w:tabs>
                <w:tab w:val="left" w:pos="1920"/>
              </w:tabs>
              <w:contextualSpacing/>
              <w:jc w:val="center"/>
              <w:rPr>
                <w:rFonts w:ascii="Times New Roman" w:hAnsi="Times New Roman" w:cs="Times New Roman"/>
                <w:lang w:eastAsia="en-US"/>
              </w:rPr>
            </w:pPr>
          </w:p>
        </w:tc>
        <w:tc>
          <w:tcPr>
            <w:tcW w:w="1918" w:type="dxa"/>
          </w:tcPr>
          <w:p w14:paraId="5925CB3B" w14:textId="77777777" w:rsidR="00C85B70" w:rsidRPr="00F94B7E" w:rsidRDefault="00C85B70" w:rsidP="00C85B70">
            <w:pPr>
              <w:keepNext/>
              <w:contextualSpacing/>
              <w:jc w:val="center"/>
              <w:rPr>
                <w:rFonts w:ascii="Times New Roman" w:hAnsi="Times New Roman" w:cs="Times New Roman"/>
                <w:lang w:eastAsia="en-US"/>
              </w:rPr>
            </w:pPr>
          </w:p>
          <w:p w14:paraId="19F27286" w14:textId="77777777" w:rsidR="00C85B70" w:rsidRPr="00F94B7E" w:rsidRDefault="750671CE" w:rsidP="750671CE">
            <w:pPr>
              <w:keepNext/>
              <w:contextualSpacing/>
              <w:jc w:val="center"/>
              <w:rPr>
                <w:rFonts w:ascii="Times New Roman" w:hAnsi="Times New Roman" w:cs="Times New Roman"/>
                <w:lang w:eastAsia="en-US"/>
              </w:rPr>
            </w:pPr>
            <w:r w:rsidRPr="00F94B7E">
              <w:rPr>
                <w:rFonts w:ascii="Times New Roman" w:hAnsi="Times New Roman" w:cs="Times New Roman"/>
                <w:lang w:eastAsia="en-US"/>
              </w:rPr>
              <w:t>Damages (Liability Rule)</w:t>
            </w:r>
          </w:p>
        </w:tc>
      </w:tr>
      <w:tr w:rsidR="00B30899" w:rsidRPr="005A5833" w14:paraId="240D847D" w14:textId="77777777" w:rsidTr="00F94B7E">
        <w:tc>
          <w:tcPr>
            <w:tcW w:w="2711" w:type="dxa"/>
          </w:tcPr>
          <w:p w14:paraId="408CCA8E" w14:textId="77777777" w:rsidR="00C85B70" w:rsidRPr="00F94B7E" w:rsidRDefault="00C85B70" w:rsidP="00C85B70">
            <w:pPr>
              <w:keepNext/>
              <w:tabs>
                <w:tab w:val="left" w:pos="1520"/>
                <w:tab w:val="left" w:pos="2100"/>
                <w:tab w:val="right" w:pos="2741"/>
              </w:tabs>
              <w:contextualSpacing/>
              <w:rPr>
                <w:rFonts w:ascii="Times New Roman" w:hAnsi="Times New Roman" w:cs="Times New Roman"/>
                <w:lang w:eastAsia="en-US"/>
              </w:rPr>
            </w:pPr>
          </w:p>
          <w:p w14:paraId="7443830C" w14:textId="77777777" w:rsidR="00C85B70" w:rsidRPr="00F94B7E" w:rsidRDefault="750671CE" w:rsidP="750671CE">
            <w:pPr>
              <w:keepNext/>
              <w:tabs>
                <w:tab w:val="left" w:pos="1520"/>
                <w:tab w:val="left" w:pos="2100"/>
                <w:tab w:val="right" w:pos="2741"/>
              </w:tabs>
              <w:contextualSpacing/>
              <w:rPr>
                <w:rFonts w:ascii="Times New Roman" w:hAnsi="Times New Roman" w:cs="Times New Roman"/>
                <w:lang w:eastAsia="en-US"/>
              </w:rPr>
            </w:pPr>
            <w:r w:rsidRPr="00F94B7E">
              <w:rPr>
                <w:rFonts w:ascii="Times New Roman" w:hAnsi="Times New Roman" w:cs="Times New Roman"/>
                <w:lang w:eastAsia="en-US"/>
              </w:rPr>
              <w:t>Entitlement to Plaintiff</w:t>
            </w:r>
          </w:p>
        </w:tc>
        <w:tc>
          <w:tcPr>
            <w:tcW w:w="2773" w:type="dxa"/>
          </w:tcPr>
          <w:p w14:paraId="5D075EEA" w14:textId="77777777" w:rsidR="00C85B70" w:rsidRPr="00F94B7E" w:rsidRDefault="00C85B70" w:rsidP="00C85B70">
            <w:pPr>
              <w:keepNext/>
              <w:contextualSpacing/>
              <w:jc w:val="center"/>
              <w:rPr>
                <w:rFonts w:ascii="Times New Roman" w:hAnsi="Times New Roman" w:cs="Times New Roman"/>
                <w:i/>
                <w:lang w:eastAsia="en-US"/>
              </w:rPr>
            </w:pPr>
          </w:p>
          <w:p w14:paraId="7ED12513" w14:textId="77777777" w:rsidR="00C85B70" w:rsidRPr="00F94B7E" w:rsidRDefault="750671CE" w:rsidP="750671CE">
            <w:pPr>
              <w:keepNext/>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Ensign v. Walls</w:t>
            </w:r>
          </w:p>
          <w:p w14:paraId="38884396" w14:textId="77777777" w:rsidR="00C85B70" w:rsidRPr="00F94B7E" w:rsidRDefault="00C85B70" w:rsidP="00C85B70">
            <w:pPr>
              <w:keepNext/>
              <w:contextualSpacing/>
              <w:jc w:val="center"/>
              <w:rPr>
                <w:rFonts w:ascii="Times New Roman" w:hAnsi="Times New Roman" w:cs="Times New Roman"/>
                <w:i/>
                <w:lang w:eastAsia="en-US"/>
              </w:rPr>
            </w:pPr>
          </w:p>
        </w:tc>
        <w:tc>
          <w:tcPr>
            <w:tcW w:w="1918" w:type="dxa"/>
          </w:tcPr>
          <w:p w14:paraId="5E95AABB" w14:textId="77777777" w:rsidR="00C85B70" w:rsidRPr="00F94B7E" w:rsidRDefault="00C85B70" w:rsidP="00C85B70">
            <w:pPr>
              <w:keepNext/>
              <w:contextualSpacing/>
              <w:jc w:val="center"/>
              <w:rPr>
                <w:rFonts w:ascii="Times New Roman" w:hAnsi="Times New Roman" w:cs="Times New Roman"/>
                <w:i/>
                <w:lang w:eastAsia="en-US"/>
              </w:rPr>
            </w:pPr>
          </w:p>
          <w:p w14:paraId="2EC3AE96" w14:textId="77777777" w:rsidR="00C85B70" w:rsidRPr="00F94B7E" w:rsidRDefault="750671CE" w:rsidP="750671CE">
            <w:pPr>
              <w:keepNext/>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Boomer</w:t>
            </w:r>
          </w:p>
        </w:tc>
      </w:tr>
      <w:tr w:rsidR="00B30899" w:rsidRPr="005A5833" w14:paraId="7D8577A6" w14:textId="77777777" w:rsidTr="00F94B7E">
        <w:tc>
          <w:tcPr>
            <w:tcW w:w="2711" w:type="dxa"/>
          </w:tcPr>
          <w:p w14:paraId="35A07AA4" w14:textId="77777777" w:rsidR="00C85B70" w:rsidRPr="00F94B7E" w:rsidRDefault="00C85B70" w:rsidP="00C85B70">
            <w:pPr>
              <w:keepNext/>
              <w:tabs>
                <w:tab w:val="left" w:pos="1760"/>
              </w:tabs>
              <w:contextualSpacing/>
              <w:rPr>
                <w:rFonts w:ascii="Times New Roman" w:hAnsi="Times New Roman" w:cs="Times New Roman"/>
                <w:lang w:eastAsia="en-US"/>
              </w:rPr>
            </w:pPr>
          </w:p>
          <w:p w14:paraId="688DA723" w14:textId="77777777" w:rsidR="00C85B70" w:rsidRPr="00F94B7E" w:rsidRDefault="750671CE" w:rsidP="750671CE">
            <w:pPr>
              <w:keepNext/>
              <w:tabs>
                <w:tab w:val="left" w:pos="1760"/>
              </w:tabs>
              <w:contextualSpacing/>
              <w:rPr>
                <w:rFonts w:ascii="Times New Roman" w:hAnsi="Times New Roman" w:cs="Times New Roman"/>
                <w:lang w:eastAsia="en-US"/>
              </w:rPr>
            </w:pPr>
            <w:r w:rsidRPr="00F94B7E">
              <w:rPr>
                <w:rFonts w:ascii="Times New Roman" w:hAnsi="Times New Roman" w:cs="Times New Roman"/>
                <w:lang w:eastAsia="en-US"/>
              </w:rPr>
              <w:t xml:space="preserve">Entitlement to Defendant </w:t>
            </w:r>
          </w:p>
        </w:tc>
        <w:tc>
          <w:tcPr>
            <w:tcW w:w="2773" w:type="dxa"/>
          </w:tcPr>
          <w:p w14:paraId="1D51E772" w14:textId="77777777" w:rsidR="00C85B70" w:rsidRPr="00F94B7E" w:rsidRDefault="00C85B70" w:rsidP="00C85B70">
            <w:pPr>
              <w:keepNext/>
              <w:contextualSpacing/>
              <w:jc w:val="center"/>
              <w:rPr>
                <w:rFonts w:ascii="Times New Roman" w:hAnsi="Times New Roman" w:cs="Times New Roman"/>
                <w:i/>
                <w:lang w:eastAsia="en-US"/>
              </w:rPr>
            </w:pPr>
          </w:p>
          <w:p w14:paraId="6A28D24F" w14:textId="77777777" w:rsidR="00C85B70" w:rsidRPr="00F94B7E" w:rsidRDefault="750671CE" w:rsidP="750671CE">
            <w:pPr>
              <w:keepNext/>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Fontainebleau Hotel Corp.</w:t>
            </w:r>
          </w:p>
        </w:tc>
        <w:tc>
          <w:tcPr>
            <w:tcW w:w="1918" w:type="dxa"/>
          </w:tcPr>
          <w:p w14:paraId="3B190EFF" w14:textId="77777777" w:rsidR="00C85B70" w:rsidRPr="00F94B7E" w:rsidRDefault="00C85B70" w:rsidP="00C85B70">
            <w:pPr>
              <w:keepNext/>
              <w:contextualSpacing/>
              <w:jc w:val="center"/>
              <w:rPr>
                <w:rFonts w:ascii="Times New Roman" w:hAnsi="Times New Roman" w:cs="Times New Roman"/>
                <w:i/>
                <w:lang w:eastAsia="en-US"/>
              </w:rPr>
            </w:pPr>
          </w:p>
          <w:p w14:paraId="4B610E80" w14:textId="77777777" w:rsidR="00C85B70" w:rsidRPr="00F94B7E" w:rsidRDefault="750671CE" w:rsidP="750671CE">
            <w:pPr>
              <w:keepNext/>
              <w:contextualSpacing/>
              <w:jc w:val="center"/>
              <w:rPr>
                <w:rFonts w:ascii="Times New Roman" w:hAnsi="Times New Roman" w:cs="Times New Roman"/>
                <w:i/>
                <w:iCs/>
                <w:lang w:eastAsia="en-US"/>
              </w:rPr>
            </w:pPr>
            <w:r w:rsidRPr="00F94B7E">
              <w:rPr>
                <w:rFonts w:ascii="Times New Roman" w:hAnsi="Times New Roman" w:cs="Times New Roman"/>
                <w:i/>
                <w:iCs/>
                <w:lang w:eastAsia="en-US"/>
              </w:rPr>
              <w:t>Spur Industries</w:t>
            </w:r>
          </w:p>
          <w:p w14:paraId="65761160" w14:textId="77777777" w:rsidR="00C85B70" w:rsidRPr="00F94B7E" w:rsidRDefault="00C85B70" w:rsidP="00C85B70">
            <w:pPr>
              <w:keepNext/>
              <w:contextualSpacing/>
              <w:jc w:val="center"/>
              <w:rPr>
                <w:rFonts w:ascii="Times New Roman" w:hAnsi="Times New Roman" w:cs="Times New Roman"/>
                <w:i/>
                <w:lang w:eastAsia="en-US"/>
              </w:rPr>
            </w:pPr>
          </w:p>
        </w:tc>
      </w:tr>
    </w:tbl>
    <w:p w14:paraId="044C0B1A" w14:textId="77777777" w:rsidR="00C85B70" w:rsidRPr="00C85B70" w:rsidRDefault="750671CE" w:rsidP="750671CE">
      <w:pPr>
        <w:keepNext/>
        <w:ind w:left="720"/>
        <w:rPr>
          <w:rFonts w:ascii="Times New Roman" w:eastAsia="Times New Roman" w:hAnsi="Times New Roman" w:cs="Times New Roman"/>
          <w:lang w:eastAsia="en-US"/>
        </w:rPr>
      </w:pPr>
      <w:r w:rsidRPr="750671CE">
        <w:rPr>
          <w:rFonts w:ascii="Times New Roman" w:eastAsia="Times New Roman" w:hAnsi="Times New Roman" w:cs="Times New Roman"/>
          <w:sz w:val="20"/>
          <w:szCs w:val="20"/>
          <w:lang w:eastAsia="en-US"/>
        </w:rPr>
        <w:t xml:space="preserve">Adapted from James E. Krier &amp; Stewart J. Schwab, </w:t>
      </w:r>
      <w:r w:rsidRPr="750671CE">
        <w:rPr>
          <w:rFonts w:ascii="Times New Roman" w:eastAsia="Times New Roman" w:hAnsi="Times New Roman" w:cs="Times New Roman"/>
          <w:i/>
          <w:iCs/>
          <w:sz w:val="20"/>
          <w:szCs w:val="20"/>
          <w:lang w:eastAsia="en-US"/>
        </w:rPr>
        <w:t xml:space="preserve">Property Rules and Liability Rules: </w:t>
      </w:r>
      <w:r w:rsidRPr="750671CE">
        <w:rPr>
          <w:rFonts w:ascii="Times New Roman" w:eastAsia="Times New Roman" w:hAnsi="Times New Roman" w:cs="Times New Roman"/>
          <w:sz w:val="20"/>
          <w:szCs w:val="20"/>
          <w:lang w:eastAsia="en-US"/>
        </w:rPr>
        <w:t xml:space="preserve">The Cathedral </w:t>
      </w:r>
      <w:r w:rsidRPr="750671CE">
        <w:rPr>
          <w:rFonts w:ascii="Times New Roman" w:eastAsia="Times New Roman" w:hAnsi="Times New Roman" w:cs="Times New Roman"/>
          <w:i/>
          <w:iCs/>
          <w:sz w:val="20"/>
          <w:szCs w:val="20"/>
          <w:lang w:eastAsia="en-US"/>
        </w:rPr>
        <w:t>in Another Light</w:t>
      </w:r>
      <w:r w:rsidRPr="750671CE">
        <w:rPr>
          <w:rFonts w:ascii="Times New Roman" w:eastAsia="Times New Roman" w:hAnsi="Times New Roman" w:cs="Times New Roman"/>
          <w:sz w:val="20"/>
          <w:szCs w:val="20"/>
          <w:lang w:eastAsia="en-US"/>
        </w:rPr>
        <w:t xml:space="preserve">, 70 N.Y.U. L. </w:t>
      </w:r>
      <w:r w:rsidRPr="750671CE">
        <w:rPr>
          <w:rFonts w:ascii="Times New Roman" w:eastAsia="Times New Roman" w:hAnsi="Times New Roman" w:cs="Times New Roman"/>
          <w:smallCaps/>
          <w:sz w:val="20"/>
          <w:szCs w:val="20"/>
          <w:lang w:eastAsia="en-US"/>
        </w:rPr>
        <w:t>Rev. 440, 444 (1995).</w:t>
      </w:r>
    </w:p>
    <w:p w14:paraId="74529838" w14:textId="77777777" w:rsidR="00C85B70" w:rsidRPr="00C85B70" w:rsidRDefault="00C85B70" w:rsidP="00C85B70">
      <w:pPr>
        <w:rPr>
          <w:rFonts w:ascii="Times New Roman" w:eastAsia="Times New Roman" w:hAnsi="Times New Roman" w:cs="Times New Roman"/>
          <w:lang w:eastAsia="en-US"/>
        </w:rPr>
      </w:pPr>
    </w:p>
    <w:p w14:paraId="1FA689E4" w14:textId="01FBA73C"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Pr>
          <w:rFonts w:ascii="Times New Roman" w:eastAsia="Times New Roman" w:hAnsi="Times New Roman" w:cs="Times New Roman"/>
          <w:lang w:eastAsia="en-US"/>
        </w:rPr>
        <w:t>l rationality.</w:t>
      </w:r>
    </w:p>
    <w:p w14:paraId="5304B8E2" w14:textId="77777777" w:rsidR="00C85B70" w:rsidRPr="00C85B70" w:rsidRDefault="00C85B70" w:rsidP="00C85B70">
      <w:pPr>
        <w:rPr>
          <w:rFonts w:ascii="Times New Roman" w:eastAsia="Times New Roman" w:hAnsi="Times New Roman" w:cs="Times New Roman"/>
          <w:lang w:eastAsia="en-US"/>
        </w:rPr>
      </w:pPr>
    </w:p>
    <w:p w14:paraId="773593C2" w14:textId="4CE7E66F"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One possible answer is that this is a case of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bilateral monopoly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for example</w:t>
      </w:r>
      <w:r w:rsidR="00C706FA">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labor strikes</w:t>
      </w:r>
      <w:r w:rsidR="00B30899">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Perhaps in the </w:t>
      </w:r>
      <w:r w:rsidRPr="750671CE">
        <w:rPr>
          <w:rFonts w:ascii="Times New Roman" w:eastAsia="Times New Roman" w:hAnsi="Times New Roman" w:cs="Times New Roman"/>
          <w:i/>
          <w:iCs/>
          <w:lang w:eastAsia="en-US"/>
        </w:rPr>
        <w:t>Spur Industries</w:t>
      </w:r>
      <w:r w:rsidRPr="00C85B70">
        <w:rPr>
          <w:rFonts w:ascii="Times New Roman" w:eastAsia="Times New Roman" w:hAnsi="Times New Roman" w:cs="Times New Roman"/>
          <w:lang w:eastAsia="en-US"/>
        </w:rPr>
        <w:t xml:space="preserve"> case</w:t>
      </w:r>
      <w:r w:rsidR="00C706FA">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such friction would be especially undesirable because it would come at the expense of the third</w:t>
      </w:r>
      <w:r w:rsidR="00C706FA">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party homeowners who are suffering the effects of the feedlot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continued operations.  </w:t>
      </w:r>
    </w:p>
    <w:p w14:paraId="5D727BA0" w14:textId="77777777" w:rsidR="00C85B70" w:rsidRPr="00C85B70" w:rsidRDefault="00C85B70" w:rsidP="00C85B70">
      <w:pPr>
        <w:rPr>
          <w:rFonts w:ascii="Times New Roman" w:eastAsia="Times New Roman" w:hAnsi="Times New Roman" w:cs="Times New Roman"/>
          <w:lang w:eastAsia="en-US"/>
        </w:rPr>
      </w:pPr>
    </w:p>
    <w:p w14:paraId="0BFD9699" w14:textId="77777777" w:rsidR="00C85B70" w:rsidRPr="00C85B70" w:rsidRDefault="00C85B70" w:rsidP="750671CE">
      <w:pPr>
        <w:tabs>
          <w:tab w:val="left" w:pos="4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Note that the rarity of the </w:t>
      </w:r>
      <w:r w:rsidRPr="750671CE">
        <w:rPr>
          <w:rFonts w:ascii="Times New Roman" w:eastAsia="Times New Roman" w:hAnsi="Times New Roman" w:cs="Times New Roman"/>
          <w:i/>
          <w:iCs/>
          <w:lang w:eastAsia="en-US"/>
        </w:rPr>
        <w:t xml:space="preserve">Spur Industries </w:t>
      </w:r>
      <w:r w:rsidRPr="00C85B70">
        <w:rPr>
          <w:rFonts w:ascii="Times New Roman" w:eastAsia="Times New Roman" w:hAnsi="Times New Roman" w:cs="Times New Roman"/>
          <w:lang w:eastAsia="en-US"/>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C85B70" w:rsidRDefault="00C85B70" w:rsidP="00C85B70">
      <w:pPr>
        <w:rPr>
          <w:rFonts w:ascii="Times New Roman" w:eastAsia="Times New Roman" w:hAnsi="Times New Roman" w:cs="Times New Roman"/>
          <w:lang w:eastAsia="en-US"/>
        </w:rPr>
      </w:pPr>
    </w:p>
    <w:p w14:paraId="4EEA1B29" w14:textId="77777777" w:rsidR="00C85B70" w:rsidRPr="00C85B70" w:rsidRDefault="00C85B70" w:rsidP="00C85B70">
      <w:pPr>
        <w:rPr>
          <w:rFonts w:ascii="Times New Roman" w:eastAsia="Times New Roman" w:hAnsi="Times New Roman" w:cs="Times New Roman"/>
          <w:lang w:eastAsia="en-US"/>
        </w:rPr>
      </w:pPr>
    </w:p>
    <w:p w14:paraId="0620D78E" w14:textId="087143A5" w:rsidR="00C85B70" w:rsidRPr="00F94B7E" w:rsidRDefault="750671CE" w:rsidP="00F94B7E">
      <w:pPr>
        <w:pStyle w:val="ListParagraph"/>
        <w:numPr>
          <w:ilvl w:val="0"/>
          <w:numId w:val="37"/>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thin edge of the wedge?</w:t>
      </w:r>
      <w:r w:rsidRPr="00F94B7E">
        <w:rPr>
          <w:rFonts w:ascii="Times New Roman" w:eastAsia="Times New Roman" w:hAnsi="Times New Roman" w:cs="Times New Roman"/>
          <w:lang w:eastAsia="en-US"/>
        </w:rPr>
        <w:t xml:space="preserve">  Some scholars disagree with the holding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For example, Professor Richard Epstein contends that the outcome in </w:t>
      </w:r>
      <w:r w:rsidRPr="00F94B7E">
        <w:rPr>
          <w:rFonts w:ascii="Times New Roman" w:eastAsia="Times New Roman" w:hAnsi="Times New Roman" w:cs="Times New Roman"/>
          <w:i/>
          <w:iCs/>
          <w:lang w:eastAsia="en-US"/>
        </w:rPr>
        <w:t>Spur Industries</w:t>
      </w:r>
      <w:r w:rsidRPr="00F94B7E">
        <w:rPr>
          <w:rFonts w:ascii="Times New Roman" w:eastAsia="Times New Roman" w:hAnsi="Times New Roman" w:cs="Times New Roman"/>
          <w:lang w:eastAsia="en-US"/>
        </w:rPr>
        <w:t xml:space="preserve"> suggests that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polluter has property rights in the activities that generated the pollution.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Richard A. Epstein, </w:t>
      </w:r>
      <w:r w:rsidRPr="00F94B7E">
        <w:rPr>
          <w:rFonts w:ascii="Times New Roman" w:eastAsia="Times New Roman" w:hAnsi="Times New Roman" w:cs="Times New Roman"/>
          <w:i/>
          <w:iCs/>
          <w:lang w:eastAsia="en-US"/>
        </w:rPr>
        <w:t xml:space="preserve">A Clear View of </w:t>
      </w:r>
      <w:r w:rsidRPr="00F94B7E">
        <w:rPr>
          <w:rFonts w:ascii="Times New Roman" w:eastAsia="Times New Roman" w:hAnsi="Times New Roman" w:cs="Times New Roman"/>
          <w:lang w:eastAsia="en-US"/>
        </w:rPr>
        <w:t>The Cathedral</w:t>
      </w:r>
      <w:r w:rsidRPr="00F94B7E">
        <w:rPr>
          <w:rFonts w:ascii="Times New Roman" w:eastAsia="Times New Roman" w:hAnsi="Times New Roman" w:cs="Times New Roman"/>
          <w:i/>
          <w:iCs/>
          <w:lang w:eastAsia="en-US"/>
        </w:rPr>
        <w:t>: The Dominance of Property Rules</w:t>
      </w:r>
      <w:r w:rsidRPr="00F94B7E">
        <w:rPr>
          <w:rFonts w:ascii="Times New Roman" w:eastAsia="Times New Roman" w:hAnsi="Times New Roman" w:cs="Times New Roman"/>
          <w:lang w:eastAsia="en-US"/>
        </w:rPr>
        <w:t xml:space="preserve">, 106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2091, 2104 (1997). Instead of paying the polluter, Professor Epstein argues that the plaintiff should be able to obtain an injunction without having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purchase it.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According to Professor Epstein,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there is no reason why the plaintiff should have to buy for a second time land that she purchased before.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xml:space="preserve"> at 2105. </w:t>
      </w:r>
    </w:p>
    <w:p w14:paraId="34FA0607" w14:textId="77777777" w:rsidR="00C85B70" w:rsidRPr="00C85B70" w:rsidRDefault="00C85B70" w:rsidP="00C85B70">
      <w:pPr>
        <w:tabs>
          <w:tab w:val="left" w:pos="360"/>
        </w:tabs>
        <w:ind w:left="720"/>
        <w:contextualSpacing/>
        <w:rPr>
          <w:rFonts w:ascii="Times New Roman" w:hAnsi="Times New Roman" w:cs="Times New Roman"/>
          <w:lang w:eastAsia="en-US"/>
        </w:rPr>
      </w:pPr>
    </w:p>
    <w:p w14:paraId="76C61128" w14:textId="77777777" w:rsidR="00C85B70" w:rsidRPr="00C85B70" w:rsidRDefault="00C85B70" w:rsidP="00C85B70">
      <w:pPr>
        <w:tabs>
          <w:tab w:val="left" w:pos="360"/>
        </w:tabs>
        <w:ind w:left="720"/>
        <w:contextualSpacing/>
        <w:rPr>
          <w:rFonts w:ascii="Times New Roman" w:hAnsi="Times New Roman" w:cs="Times New Roman"/>
          <w:lang w:eastAsia="en-US"/>
        </w:rPr>
      </w:pPr>
    </w:p>
    <w:p w14:paraId="278D2AD6" w14:textId="7C3CD0DA" w:rsidR="00C85B70" w:rsidRPr="00F94B7E" w:rsidRDefault="750671CE" w:rsidP="00F94B7E">
      <w:pPr>
        <w:pStyle w:val="ListParagraph"/>
        <w:numPr>
          <w:ilvl w:val="0"/>
          <w:numId w:val="37"/>
        </w:numPr>
        <w:tabs>
          <w:tab w:val="left" w:pos="360"/>
        </w:tabs>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empirics of bargaining around injunctions</w:t>
      </w:r>
      <w:r w:rsidRPr="00F94B7E">
        <w:rPr>
          <w:rFonts w:ascii="Times New Roman" w:eastAsia="Times New Roman" w:hAnsi="Times New Roman" w:cs="Times New Roman"/>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F94B7E">
        <w:rPr>
          <w:rFonts w:ascii="Times New Roman" w:eastAsia="Times New Roman" w:hAnsi="Times New Roman" w:cs="Times New Roman"/>
          <w:i/>
          <w:iCs/>
          <w:lang w:eastAsia="en-US"/>
        </w:rPr>
        <w:t xml:space="preserve">Do Parties to Nuisance Cases Bargain After Judgment? A Glimpse Inside </w:t>
      </w:r>
      <w:r w:rsidRPr="00F94B7E">
        <w:rPr>
          <w:rFonts w:ascii="Times New Roman" w:eastAsia="Times New Roman" w:hAnsi="Times New Roman" w:cs="Times New Roman"/>
          <w:lang w:eastAsia="en-US"/>
        </w:rPr>
        <w:t xml:space="preserve">The Cathedral, 66 </w:t>
      </w:r>
      <w:r w:rsidRPr="00F94B7E">
        <w:rPr>
          <w:rFonts w:ascii="Times New Roman" w:eastAsia="Times New Roman" w:hAnsi="Times New Roman" w:cs="Times New Roman"/>
          <w:smallCaps/>
          <w:lang w:eastAsia="en-US"/>
        </w:rPr>
        <w:t>U. Chi. L. Rev</w:t>
      </w:r>
      <w:r w:rsidRPr="00F94B7E">
        <w:rPr>
          <w:rFonts w:ascii="Times New Roman" w:eastAsia="Times New Roman" w:hAnsi="Times New Roman" w:cs="Times New Roman"/>
          <w:lang w:eastAsia="en-US"/>
        </w:rPr>
        <w:t xml:space="preserve">. 1, 30 (1999).  </w:t>
      </w:r>
    </w:p>
    <w:p w14:paraId="6DB11E98" w14:textId="77777777" w:rsidR="00C85B70" w:rsidRPr="00C85B70" w:rsidRDefault="00C85B70" w:rsidP="00C85B70">
      <w:pPr>
        <w:tabs>
          <w:tab w:val="left" w:pos="360"/>
        </w:tabs>
        <w:rPr>
          <w:rFonts w:ascii="Times New Roman" w:hAnsi="Times New Roman" w:cs="Times New Roman"/>
          <w:lang w:eastAsia="en-US"/>
        </w:rPr>
      </w:pPr>
    </w:p>
    <w:p w14:paraId="3EEF98AB" w14:textId="630B6DBC" w:rsidR="00C85B70" w:rsidRPr="00C85B70" w:rsidRDefault="00C85B70" w:rsidP="750671CE">
      <w:pPr>
        <w:tabs>
          <w:tab w:val="left" w:pos="360"/>
        </w:tabs>
        <w:rPr>
          <w:rFonts w:ascii="Times New Roman" w:eastAsia="Times New Roman" w:hAnsi="Times New Roman" w:cs="Times New Roman"/>
          <w:lang w:eastAsia="en-US"/>
        </w:rPr>
      </w:pPr>
      <w:r w:rsidRPr="00C85B70">
        <w:rPr>
          <w:rFonts w:ascii="Times New Roman" w:hAnsi="Times New Roman" w:cs="Times New Roman"/>
          <w:lang w:eastAsia="en-US"/>
        </w:rPr>
        <w:tab/>
      </w:r>
      <w:r w:rsidRPr="750671CE">
        <w:rPr>
          <w:rFonts w:ascii="Times New Roman" w:eastAsia="Times New Roman" w:hAnsi="Times New Roman" w:cs="Times New Roman"/>
          <w:lang w:eastAsia="en-US"/>
        </w:rPr>
        <w:t>Does Dean Farnsworth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study suggest that parties to suits are not bargainers as the Cathedral model posits?  One response is to observe that Farnsworth examined cases that were litigated to judgment</w:t>
      </w:r>
      <w:r w:rsidR="00AD18E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not cases that were settled.  But almost all cases are settled.  Recall our discussion of settlement back in </w:t>
      </w:r>
      <w:r w:rsidR="00AD18E9">
        <w:rPr>
          <w:rFonts w:ascii="Times New Roman" w:eastAsia="Times New Roman" w:hAnsi="Times New Roman" w:cs="Times New Roman"/>
          <w:lang w:eastAsia="en-US"/>
        </w:rPr>
        <w:t>C</w:t>
      </w:r>
      <w:r w:rsidRPr="750671CE">
        <w:rPr>
          <w:rFonts w:ascii="Times New Roman" w:eastAsia="Times New Roman" w:hAnsi="Times New Roman" w:cs="Times New Roman"/>
          <w:lang w:eastAsia="en-US"/>
        </w:rPr>
        <w:t>hapter 1.  Who doesn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settle?  Parties peculiarly committed, or just mistakenly committed, to idiosyncratic values in the underlying dispute.  So it should hardly be surprising that the cases in Farnsworth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sample didn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C85B70" w:rsidRDefault="00C85B70" w:rsidP="00C85B70">
      <w:pPr>
        <w:spacing w:line="264" w:lineRule="auto"/>
        <w:rPr>
          <w:rFonts w:ascii="Times New Roman" w:eastAsia="Times New Roman" w:hAnsi="Times New Roman" w:cs="Times New Roman"/>
          <w:color w:val="000000"/>
          <w:lang w:eastAsia="en-US"/>
        </w:rPr>
      </w:pPr>
    </w:p>
    <w:p w14:paraId="4ED6EF10" w14:textId="05B7EC20" w:rsidR="00CB223A" w:rsidRDefault="00CB223A">
      <w:pP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br w:type="page"/>
      </w:r>
    </w:p>
    <w:p w14:paraId="269E1BA5" w14:textId="77777777" w:rsidR="00C85B70" w:rsidRPr="00E3500C" w:rsidRDefault="00C85B70" w:rsidP="00322687">
      <w:pPr>
        <w:pStyle w:val="Heading3"/>
      </w:pPr>
      <w:bookmarkStart w:id="923" w:name="_Toc364636266"/>
      <w:bookmarkStart w:id="924" w:name="_Toc518323529"/>
      <w:r w:rsidRPr="00511C4B">
        <w:t>2.  Public Nuisance</w:t>
      </w:r>
      <w:bookmarkEnd w:id="923"/>
      <w:bookmarkEnd w:id="924"/>
      <w:r w:rsidRPr="00511C4B">
        <w:t xml:space="preserve"> </w:t>
      </w:r>
    </w:p>
    <w:p w14:paraId="1A9752D3" w14:textId="77777777" w:rsidR="00C85B70" w:rsidRPr="00C85B70" w:rsidRDefault="00C85B70" w:rsidP="00C85B70">
      <w:pPr>
        <w:spacing w:line="264" w:lineRule="auto"/>
        <w:ind w:firstLine="720"/>
        <w:rPr>
          <w:rFonts w:ascii="Times New Roman" w:eastAsia="Times New Roman" w:hAnsi="Times New Roman" w:cs="Times New Roman"/>
          <w:b/>
          <w:u w:val="single"/>
          <w:lang w:eastAsia="en-US"/>
        </w:rPr>
      </w:pPr>
    </w:p>
    <w:p w14:paraId="3A511FE0" w14:textId="77777777" w:rsidR="00C85B70" w:rsidRPr="00C85B70" w:rsidRDefault="00C85B70" w:rsidP="00C85B70">
      <w:pPr>
        <w:spacing w:line="0" w:lineRule="atLeast"/>
        <w:rPr>
          <w:rFonts w:ascii="Times New Roman" w:eastAsia="Times New Roman" w:hAnsi="Times New Roman" w:cs="Times New Roman"/>
          <w:lang w:eastAsia="en-US"/>
        </w:rPr>
      </w:pPr>
    </w:p>
    <w:p w14:paraId="5540A931" w14:textId="64E06C47" w:rsidR="00C85B70" w:rsidRPr="00C85B70" w:rsidRDefault="750671CE" w:rsidP="750671CE">
      <w:pPr>
        <w:spacing w:line="0" w:lineRule="atLeast"/>
        <w:ind w:firstLine="720"/>
        <w:rPr>
          <w:rFonts w:ascii="Times New Roman" w:eastAsia="Times New Roman" w:hAnsi="Times New Roman" w:cs="Times New Roman"/>
          <w:color w:val="252525"/>
          <w:lang w:eastAsia="en-US"/>
        </w:rPr>
      </w:pPr>
      <w:r w:rsidRPr="750671CE">
        <w:rPr>
          <w:rFonts w:ascii="Times New Roman" w:eastAsia="Times New Roman" w:hAnsi="Times New Roman" w:cs="Times New Roman"/>
          <w:lang w:eastAsia="en-US"/>
        </w:rPr>
        <w:t xml:space="preserve">The </w:t>
      </w:r>
      <w:r w:rsidRPr="00F94B7E">
        <w:rPr>
          <w:rFonts w:ascii="Times New Roman" w:eastAsia="Times New Roman" w:hAnsi="Times New Roman" w:cs="Times New Roman"/>
          <w:i/>
          <w:lang w:eastAsia="en-US"/>
        </w:rPr>
        <w:t>Restatement (Second) of Torts</w:t>
      </w:r>
      <w:r w:rsidRPr="750671CE">
        <w:rPr>
          <w:rFonts w:ascii="Times New Roman" w:eastAsia="Times New Roman" w:hAnsi="Times New Roman" w:cs="Times New Roman"/>
          <w:lang w:eastAsia="en-US"/>
        </w:rPr>
        <w:t xml:space="preserve"> defines public nuisance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unreasonable interference with a right common to the general public.</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Whether an interference with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right common to the public</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is unreasonable depends on whether it significantly interferes with </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the public health, the public safety, the public peace, the public comfort or the public convenience</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 xml:space="preserve">; whether it is </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proscribed by a statute, ordinance or administrative regulation</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 xml:space="preserve">; and whether it is </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of a continuing nature or has produced a permanent or long-lasting effect.</w:t>
      </w:r>
      <w:r w:rsidR="00B05F31">
        <w:rPr>
          <w:rFonts w:ascii="Times New Roman" w:eastAsia="Times New Roman" w:hAnsi="Times New Roman" w:cs="Times New Roman"/>
          <w:color w:val="252525"/>
          <w:lang w:eastAsia="en-US"/>
        </w:rPr>
        <w:t>”</w:t>
      </w:r>
      <w:r w:rsidRPr="750671CE">
        <w:rPr>
          <w:rFonts w:ascii="Times New Roman" w:eastAsia="Times New Roman" w:hAnsi="Times New Roman" w:cs="Times New Roman"/>
          <w:color w:val="252525"/>
          <w:lang w:eastAsia="en-US"/>
        </w:rPr>
        <w:t xml:space="preserve">  </w:t>
      </w:r>
      <w:r w:rsidRPr="750671CE">
        <w:rPr>
          <w:rFonts w:ascii="Times New Roman" w:eastAsia="Times New Roman" w:hAnsi="Times New Roman" w:cs="Times New Roman"/>
          <w:smallCaps/>
          <w:color w:val="252525"/>
          <w:lang w:eastAsia="en-US"/>
        </w:rPr>
        <w:t xml:space="preserve">Restatement (Second) of Torts </w:t>
      </w:r>
      <w:r w:rsidRPr="750671CE">
        <w:rPr>
          <w:rFonts w:ascii="Times New Roman" w:eastAsia="Times New Roman" w:hAnsi="Times New Roman" w:cs="Times New Roman"/>
          <w:color w:val="252525"/>
          <w:lang w:eastAsia="en-US"/>
        </w:rPr>
        <w:t xml:space="preserve">§ 821B (1979).  </w:t>
      </w:r>
    </w:p>
    <w:p w14:paraId="2CA7AE52" w14:textId="77777777" w:rsidR="00C85B70" w:rsidRPr="00C85B70" w:rsidRDefault="00C85B70" w:rsidP="00C85B70">
      <w:pPr>
        <w:spacing w:line="0" w:lineRule="atLeast"/>
        <w:ind w:firstLine="720"/>
        <w:rPr>
          <w:rFonts w:ascii="Times New Roman" w:eastAsia="Times New Roman" w:hAnsi="Times New Roman" w:cs="Times New Roman"/>
          <w:bCs/>
          <w:color w:val="252525"/>
          <w:lang w:eastAsia="en-US"/>
        </w:rPr>
      </w:pPr>
    </w:p>
    <w:p w14:paraId="37D73A62" w14:textId="3211CD2B" w:rsidR="00C85B70" w:rsidRPr="005665BE" w:rsidRDefault="750671CE" w:rsidP="750671CE">
      <w:pPr>
        <w:spacing w:line="0" w:lineRule="atLeast"/>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Both government entities and private individuals may bring claims for public nuisance. A government entity bringing a claim must have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authority as a</w:t>
      </w:r>
      <w:r w:rsidRPr="750671CE">
        <w:rPr>
          <w:rFonts w:ascii="Times New Roman,Cambria" w:eastAsia="Times New Roman,Cambria" w:hAnsi="Times New Roman,Cambria" w:cs="Times New Roman,Cambria"/>
          <w:b/>
          <w:bCs/>
          <w:lang w:eastAsia="en-US"/>
        </w:rPr>
        <w:t> </w:t>
      </w:r>
      <w:r w:rsidRPr="750671CE">
        <w:rPr>
          <w:rFonts w:ascii="Times New Roman" w:eastAsia="Times New Roman" w:hAnsi="Times New Roman" w:cs="Times New Roman"/>
          <w:lang w:eastAsia="en-US"/>
        </w:rPr>
        <w:t>public</w:t>
      </w:r>
      <w:r w:rsidRPr="750671CE">
        <w:rPr>
          <w:rFonts w:ascii="Times New Roman,Cambria" w:eastAsia="Times New Roman,Cambria" w:hAnsi="Times New Roman,Cambria" w:cs="Times New Roman,Cambria"/>
          <w:b/>
          <w:bCs/>
          <w:lang w:eastAsia="en-US"/>
        </w:rPr>
        <w:t> </w:t>
      </w:r>
      <w:r w:rsidRPr="750671CE">
        <w:rPr>
          <w:rFonts w:ascii="Times New Roman" w:eastAsia="Times New Roman" w:hAnsi="Times New Roman" w:cs="Times New Roman"/>
          <w:lang w:eastAsia="en-US"/>
        </w:rPr>
        <w:t>official or</w:t>
      </w:r>
      <w:r w:rsidRPr="750671CE">
        <w:rPr>
          <w:rFonts w:ascii="Times New Roman,Cambria" w:eastAsia="Times New Roman,Cambria" w:hAnsi="Times New Roman,Cambria" w:cs="Times New Roman,Cambria"/>
          <w:b/>
          <w:bCs/>
          <w:lang w:eastAsia="en-US"/>
        </w:rPr>
        <w:t> </w:t>
      </w:r>
      <w:r w:rsidRPr="750671CE">
        <w:rPr>
          <w:rFonts w:ascii="Times New Roman" w:eastAsia="Times New Roman" w:hAnsi="Times New Roman" w:cs="Times New Roman"/>
          <w:lang w:eastAsia="en-US"/>
        </w:rPr>
        <w:t>public</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agency to represent the state or a political subdivision in the matter.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 xml:space="preserve">Restatement (Second) of Torts </w:t>
      </w:r>
      <w:r w:rsidRPr="750671CE">
        <w:rPr>
          <w:rFonts w:ascii="Times New Roman" w:eastAsia="Times New Roman" w:hAnsi="Times New Roman" w:cs="Times New Roman"/>
          <w:lang w:eastAsia="en-US"/>
        </w:rPr>
        <w:t xml:space="preserve">§ 821C (1979). </w:t>
      </w:r>
    </w:p>
    <w:p w14:paraId="56E79D17" w14:textId="77777777" w:rsidR="00C85B70" w:rsidRPr="005665BE" w:rsidRDefault="00C85B70" w:rsidP="00C85B70">
      <w:pPr>
        <w:spacing w:line="0" w:lineRule="atLeast"/>
        <w:ind w:right="720"/>
        <w:rPr>
          <w:rFonts w:ascii="Times New Roman" w:eastAsia="Times New Roman" w:hAnsi="Times New Roman" w:cs="Times New Roman"/>
          <w:bCs/>
          <w:lang w:eastAsia="en-US"/>
        </w:rPr>
      </w:pPr>
    </w:p>
    <w:p w14:paraId="0E824CE1" w14:textId="3537C85B" w:rsidR="00C85B70" w:rsidRPr="005665BE" w:rsidRDefault="750671CE" w:rsidP="005A5833">
      <w:pPr>
        <w:spacing w:line="0" w:lineRule="atLeast"/>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Private individuals bringing public nuisance claims must make a further showing.  They must show that they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suffered harm of a kind different from that suffered by other members of the</w:t>
      </w:r>
      <w:r w:rsidRPr="750671CE">
        <w:rPr>
          <w:rFonts w:ascii="Times New Roman,Cambria" w:eastAsia="Times New Roman,Cambria" w:hAnsi="Times New Roman,Cambria" w:cs="Times New Roman,Cambria"/>
          <w:b/>
          <w:bCs/>
          <w:lang w:eastAsia="en-US"/>
        </w:rPr>
        <w:t> </w:t>
      </w:r>
      <w:r w:rsidRPr="750671CE">
        <w:rPr>
          <w:rFonts w:ascii="Times New Roman" w:eastAsia="Times New Roman" w:hAnsi="Times New Roman" w:cs="Times New Roman"/>
          <w:lang w:eastAsia="en-US"/>
        </w:rPr>
        <w:t>public</w:t>
      </w:r>
      <w:r w:rsidRPr="750671CE">
        <w:rPr>
          <w:rFonts w:ascii="Times New Roman,Cambria" w:eastAsia="Times New Roman,Cambria" w:hAnsi="Times New Roman,Cambria" w:cs="Times New Roman,Cambria"/>
          <w:lang w:eastAsia="en-US"/>
        </w:rPr>
        <w:t>. . .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 xml:space="preserve">Restatement (Second) of Torts </w:t>
      </w:r>
      <w:r w:rsidRPr="750671CE">
        <w:rPr>
          <w:rFonts w:ascii="Times New Roman" w:eastAsia="Times New Roman" w:hAnsi="Times New Roman" w:cs="Times New Roman"/>
          <w:lang w:eastAsia="en-US"/>
        </w:rPr>
        <w:t>§ 821C (1979).  How do courts determine whether a private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harm is different in kind?  Consider the following two cases: </w:t>
      </w:r>
    </w:p>
    <w:p w14:paraId="37CC1F31" w14:textId="77777777" w:rsidR="00C85B70" w:rsidRPr="00C85B70" w:rsidRDefault="00C85B70" w:rsidP="00C85B70">
      <w:pPr>
        <w:spacing w:line="0" w:lineRule="atLeast"/>
        <w:ind w:right="720"/>
        <w:rPr>
          <w:rFonts w:ascii="Times New Roman" w:eastAsia="Times New Roman" w:hAnsi="Times New Roman" w:cs="Times New Roman"/>
          <w:bCs/>
          <w:color w:val="252525"/>
          <w:lang w:eastAsia="en-US"/>
        </w:rPr>
      </w:pPr>
    </w:p>
    <w:p w14:paraId="7885988E" w14:textId="77777777" w:rsidR="00C85B70" w:rsidRPr="00C85B70" w:rsidRDefault="00C85B70" w:rsidP="00C85B70">
      <w:pPr>
        <w:spacing w:line="0" w:lineRule="atLeast"/>
        <w:rPr>
          <w:rFonts w:ascii="Times New Roman" w:eastAsia="Times New Roman" w:hAnsi="Times New Roman" w:cs="Times New Roman"/>
          <w:lang w:eastAsia="en-US"/>
        </w:rPr>
      </w:pPr>
    </w:p>
    <w:p w14:paraId="52227DEA" w14:textId="27051DA0" w:rsidR="00C85B70" w:rsidRPr="00C706FA" w:rsidRDefault="00C85B70" w:rsidP="00F94B7E">
      <w:pPr>
        <w:shd w:val="clear" w:color="auto" w:fill="FFFFFF" w:themeFill="background1"/>
        <w:spacing w:line="264" w:lineRule="auto"/>
        <w:textAlignment w:val="baseline"/>
        <w:outlineLvl w:val="0"/>
        <w:rPr>
          <w:rFonts w:ascii="Times New Roman" w:eastAsia="Times New Roman" w:hAnsi="Times New Roman" w:cs="Times New Roman"/>
          <w:lang w:eastAsia="en-US"/>
        </w:rPr>
      </w:pPr>
      <w:bookmarkStart w:id="925" w:name="_Toc518323530"/>
      <w:bookmarkStart w:id="926" w:name="_Toc273668428"/>
      <w:r w:rsidRPr="00C706FA">
        <w:rPr>
          <w:rStyle w:val="Heading4Char"/>
        </w:rPr>
        <w:t>Leo v. General Electric Co</w:t>
      </w:r>
      <w:bookmarkEnd w:id="925"/>
      <w:r w:rsidRPr="00F94B7E">
        <w:rPr>
          <w:rFonts w:ascii="Times New Roman" w:eastAsia="Times New Roman,Cambria" w:hAnsi="Times New Roman" w:cs="Times New Roman"/>
          <w:lang w:eastAsia="en-US"/>
        </w:rPr>
        <w:t>.</w:t>
      </w:r>
      <w:bookmarkEnd w:id="926"/>
      <w:r w:rsidR="002D4DB3" w:rsidRPr="00F94B7E">
        <w:rPr>
          <w:rFonts w:ascii="Times New Roman" w:eastAsia="Times New Roman,Cambria" w:hAnsi="Times New Roman" w:cs="Times New Roman"/>
          <w:lang w:eastAsia="en-US"/>
        </w:rPr>
        <w:t xml:space="preserve">, </w:t>
      </w:r>
      <w:r w:rsidRPr="00C706FA">
        <w:rPr>
          <w:rFonts w:ascii="Times New Roman" w:eastAsia="Times New Roman" w:hAnsi="Times New Roman" w:cs="Times New Roman"/>
          <w:b/>
          <w:bCs/>
          <w:lang w:eastAsia="en-US"/>
        </w:rPr>
        <w:t>538 N.Y.S.2d 844 (</w:t>
      </w:r>
      <w:r w:rsidR="005A5833" w:rsidRPr="00C706FA">
        <w:rPr>
          <w:rFonts w:ascii="Times New Roman" w:eastAsia="Times New Roman" w:hAnsi="Times New Roman" w:cs="Times New Roman"/>
          <w:b/>
          <w:bCs/>
          <w:lang w:eastAsia="en-US"/>
        </w:rPr>
        <w:t xml:space="preserve">N.Y. </w:t>
      </w:r>
      <w:r w:rsidRPr="00C706FA">
        <w:rPr>
          <w:rFonts w:ascii="Times New Roman" w:eastAsia="Times New Roman" w:hAnsi="Times New Roman" w:cs="Times New Roman"/>
          <w:b/>
          <w:bCs/>
          <w:lang w:eastAsia="en-US"/>
        </w:rPr>
        <w:t>App. Div. 1989)</w:t>
      </w:r>
      <w:r w:rsidRPr="00C706FA">
        <w:rPr>
          <w:rFonts w:ascii="Times New Roman" w:eastAsia="Times New Roman" w:hAnsi="Times New Roman" w:cs="Times New Roman"/>
          <w:lang w:eastAsia="en-US"/>
        </w:rPr>
        <w:tab/>
      </w:r>
    </w:p>
    <w:p w14:paraId="10454F34" w14:textId="193A1C79" w:rsidR="00C85B70" w:rsidRPr="00F94B7E" w:rsidRDefault="750671CE" w:rsidP="750671CE">
      <w:pPr>
        <w:spacing w:before="100" w:beforeAutospacing="1" w:after="100" w:afterAutospacing="1" w:line="0" w:lineRule="atLeast"/>
        <w:textAlignment w:val="baseline"/>
        <w:rPr>
          <w:rFonts w:ascii="Times New Roman" w:eastAsia="Times New Roman,Cambria" w:hAnsi="Times New Roman" w:cs="Times New Roman"/>
          <w:b/>
          <w:bCs/>
          <w:lang w:eastAsia="en-US"/>
        </w:rPr>
      </w:pPr>
      <w:r w:rsidRPr="00F94B7E">
        <w:rPr>
          <w:rFonts w:ascii="Times New Roman" w:eastAsia="Times New Roman,Cambria" w:hAnsi="Times New Roman" w:cs="Times New Roman"/>
          <w:smallCaps/>
          <w:lang w:eastAsia="en-US"/>
        </w:rPr>
        <w:t>Harwood, J</w:t>
      </w:r>
      <w:r w:rsidRPr="00F94B7E">
        <w:rPr>
          <w:rFonts w:ascii="Times New Roman" w:eastAsia="Times New Roman,Cambria" w:hAnsi="Times New Roman" w:cs="Times New Roman"/>
          <w:b/>
          <w:bCs/>
          <w:lang w:eastAsia="en-US"/>
        </w:rPr>
        <w:t>.</w:t>
      </w:r>
    </w:p>
    <w:p w14:paraId="4DFC4586" w14:textId="77777777" w:rsidR="00C85B70" w:rsidRPr="00C706FA" w:rsidRDefault="750671CE" w:rsidP="750671CE">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C706FA">
        <w:rPr>
          <w:rFonts w:ascii="Times New Roman" w:eastAsia="Times New Roman" w:hAnsi="Times New Roman" w:cs="Times New Roman"/>
          <w:lang w:eastAsia="en-US"/>
        </w:rPr>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2D4DB3" w:rsidRDefault="750671CE" w:rsidP="750671CE">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the striped bass, a species which returns to the Hudson River each year to spawn.</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C706FA" w:rsidRDefault="750671CE" w:rsidP="750671CE">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C706FA">
        <w:rPr>
          <w:rFonts w:ascii="Times New Roman" w:eastAsia="Times New Roman" w:hAnsi="Times New Roman" w:cs="Times New Roman"/>
          <w:lang w:eastAsia="en-US"/>
        </w:rPr>
        <w:t>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as a dumping ground, and</w:t>
      </w:r>
      <w:r w:rsidRPr="00F94B7E">
        <w:rPr>
          <w:rFonts w:ascii="Times New Roman" w:eastAsia="Times New Roman,Cambria" w:hAnsi="Times New Roman" w:cs="Times New Roman"/>
          <w:lang w:eastAsia="en-US"/>
        </w:rPr>
        <w:t> </w:t>
      </w:r>
      <w:r w:rsidRPr="00C706FA">
        <w:rPr>
          <w:rFonts w:ascii="Times New Roman" w:eastAsia="Times New Roman" w:hAnsi="Times New Roman" w:cs="Times New Roman"/>
          <w:lang w:eastAsia="en-US"/>
        </w:rPr>
        <w:t>that the defendant intentionally or recklessly failed to adopt effective means for the removal of PCBs from the river. The plaintiffs claim that the sale of striped bass accounted for a substantial part of a commercial fisherman</w:t>
      </w:r>
      <w:r w:rsidR="00B05F31" w:rsidRPr="00C706FA">
        <w:rPr>
          <w:rFonts w:ascii="Times New Roman" w:eastAsia="Times New Roman" w:hAnsi="Times New Roman" w:cs="Times New Roman"/>
          <w:lang w:eastAsia="en-US"/>
        </w:rPr>
        <w:t>’</w:t>
      </w:r>
      <w:r w:rsidRPr="00C706FA">
        <w:rPr>
          <w:rFonts w:ascii="Times New Roman" w:eastAsia="Times New Roman" w:hAnsi="Times New Roman" w:cs="Times New Roman"/>
          <w:lang w:eastAsia="en-US"/>
        </w:rPr>
        <w:t>s income, that as commercial fishermen they have a special interest in use of public waters, that this special interest was invaded by the defendant</w:t>
      </w:r>
      <w:r w:rsidR="00B05F31" w:rsidRPr="00C706FA">
        <w:rPr>
          <w:rFonts w:ascii="Times New Roman" w:eastAsia="Times New Roman" w:hAnsi="Times New Roman" w:cs="Times New Roman"/>
          <w:lang w:eastAsia="en-US"/>
        </w:rPr>
        <w:t>’</w:t>
      </w:r>
      <w:r w:rsidRPr="00C706FA">
        <w:rPr>
          <w:rFonts w:ascii="Times New Roman" w:eastAsia="Times New Roman" w:hAnsi="Times New Roman" w:cs="Times New Roman"/>
          <w:lang w:eastAsia="en-US"/>
        </w:rPr>
        <w:t>s pollution of the water and contamination of the fish and, in effect, that the defendant</w:t>
      </w:r>
      <w:r w:rsidR="00B05F31" w:rsidRPr="00C706FA">
        <w:rPr>
          <w:rFonts w:ascii="Times New Roman" w:eastAsia="Times New Roman" w:hAnsi="Times New Roman" w:cs="Times New Roman"/>
          <w:lang w:eastAsia="en-US"/>
        </w:rPr>
        <w:t>’</w:t>
      </w:r>
      <w:r w:rsidRPr="00C706FA">
        <w:rPr>
          <w:rFonts w:ascii="Times New Roman" w:eastAsia="Times New Roman" w:hAnsi="Times New Roman" w:cs="Times New Roman"/>
          <w:lang w:eastAsia="en-US"/>
        </w:rPr>
        <w:t>s creation of a public nuisance had and will continue to have a devastating effect upon the individual plaintiffs</w:t>
      </w:r>
      <w:r w:rsidR="00B05F31" w:rsidRPr="00C706FA">
        <w:rPr>
          <w:rFonts w:ascii="Times New Roman" w:eastAsia="Times New Roman" w:hAnsi="Times New Roman" w:cs="Times New Roman"/>
          <w:lang w:eastAsia="en-US"/>
        </w:rPr>
        <w:t>’</w:t>
      </w:r>
      <w:r w:rsidRPr="00C706FA">
        <w:rPr>
          <w:rFonts w:ascii="Times New Roman" w:eastAsia="Times New Roman" w:hAnsi="Times New Roman" w:cs="Times New Roman"/>
          <w:lang w:eastAsia="en-US"/>
        </w:rPr>
        <w:t xml:space="preserve"> ability to earn a living. As indicated, they seek damages and injunctive relief.</w:t>
      </w:r>
    </w:p>
    <w:p w14:paraId="7255E8FA" w14:textId="0A4E5B65" w:rsidR="00C85B70" w:rsidRPr="00C706FA" w:rsidRDefault="00C85B70" w:rsidP="750671CE">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C706FA">
        <w:rPr>
          <w:rFonts w:ascii="Times New Roman" w:eastAsia="Times New Roman" w:hAnsi="Times New Roman" w:cs="Times New Roman"/>
          <w:bdr w:val="none" w:sz="0" w:space="0" w:color="auto" w:frame="1"/>
          <w:lang w:eastAsia="en-US"/>
        </w:rPr>
        <w:t>Pollution of navigable public waters which causes death</w:t>
      </w:r>
      <w:r w:rsidRPr="00F94B7E">
        <w:rPr>
          <w:rFonts w:ascii="Times New Roman" w:eastAsia="Times New Roman,Cambria" w:hAnsi="Times New Roman" w:cs="Times New Roman"/>
          <w:bdr w:val="none" w:sz="0" w:space="0" w:color="auto" w:frame="1"/>
          <w:lang w:eastAsia="en-US"/>
        </w:rPr>
        <w:t> </w:t>
      </w:r>
      <w:r w:rsidRPr="00C706FA">
        <w:rPr>
          <w:rFonts w:ascii="Times New Roman" w:eastAsia="Times New Roman" w:hAnsi="Times New Roman" w:cs="Times New Roman"/>
          <w:bdr w:val="none" w:sz="0" w:space="0" w:color="auto" w:frame="1"/>
          <w:lang w:eastAsia="en-US"/>
        </w:rPr>
        <w:t>to or contamination of fish constitutes a public nuisance. It is settled law in this State that, in the absence of special damage, a public nuisance is subject to correction only by a public authority</w:t>
      </w:r>
      <w:r w:rsidRPr="00F94B7E">
        <w:rPr>
          <w:rFonts w:ascii="Times New Roman" w:eastAsia="Times New Roman,Cambria" w:hAnsi="Times New Roman" w:cs="Times New Roman"/>
          <w:bdr w:val="none" w:sz="0" w:space="0" w:color="auto" w:frame="1"/>
          <w:lang w:eastAsia="en-US"/>
        </w:rPr>
        <w:t xml:space="preserve">. . . . </w:t>
      </w:r>
      <w:r w:rsidRPr="00C706FA">
        <w:rPr>
          <w:rFonts w:ascii="Times New Roman" w:eastAsia="Times New Roman" w:hAnsi="Times New Roman" w:cs="Times New Roman"/>
          <w:bdr w:val="none" w:sz="0" w:space="0" w:color="auto" w:frame="1"/>
          <w:lang w:eastAsia="en-US"/>
        </w:rPr>
        <w:t>If there is some injury peculiar to a plaintiff, a private action premised on a public nuisance may be maintained</w:t>
      </w:r>
      <w:r w:rsidRPr="00F94B7E">
        <w:rPr>
          <w:rFonts w:ascii="Times New Roman" w:eastAsia="Times New Roman,Cambria" w:hAnsi="Times New Roman" w:cs="Times New Roman"/>
          <w:bdr w:val="none" w:sz="0" w:space="0" w:color="auto" w:frame="1"/>
          <w:lang w:eastAsia="en-US"/>
        </w:rPr>
        <w:t xml:space="preserve">. . . . </w:t>
      </w:r>
      <w:r w:rsidRPr="00C706FA">
        <w:rPr>
          <w:rFonts w:ascii="Times New Roman" w:eastAsia="Times New Roman" w:hAnsi="Times New Roman" w:cs="Times New Roman"/>
          <w:bdr w:val="none" w:sz="0" w:space="0" w:color="auto" w:frame="1"/>
          <w:lang w:eastAsia="en-US"/>
        </w:rPr>
        <w:t>Allegations of pecuniary injury may be sufficient to satisfy the peculiar injury test</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i/>
          <w:iCs/>
          <w:bdr w:val="none" w:sz="0" w:space="0" w:color="auto" w:frame="1"/>
          <w:lang w:eastAsia="en-US"/>
        </w:rPr>
        <w:t>. . .</w:t>
      </w:r>
      <w:r w:rsidRPr="00C706FA">
        <w:rPr>
          <w:rFonts w:ascii="Times New Roman" w:eastAsia="Times New Roman" w:hAnsi="Times New Roman" w:cs="Times New Roman"/>
          <w:bdr w:val="none" w:sz="0" w:space="0" w:color="auto" w:frame="1"/>
          <w:lang w:eastAsia="en-US"/>
        </w:rPr>
        <w:t xml:space="preserve"> so long as the injuries involved are not common to the entire community exercising the same public right</w:t>
      </w:r>
      <w:r w:rsidRPr="00F94B7E">
        <w:rPr>
          <w:rFonts w:ascii="Times New Roman" w:eastAsia="Times New Roman,Cambria" w:hAnsi="Times New Roman" w:cs="Times New Roman"/>
          <w:bdr w:val="none" w:sz="0" w:space="0" w:color="auto" w:frame="1"/>
          <w:lang w:eastAsia="en-US"/>
        </w:rPr>
        <w:t xml:space="preserve">. . . . </w:t>
      </w:r>
    </w:p>
    <w:p w14:paraId="64D7BCB3" w14:textId="77777777" w:rsidR="00C85B70" w:rsidRPr="00C706FA" w:rsidRDefault="00C85B70" w:rsidP="750671CE">
      <w:pPr>
        <w:spacing w:before="100" w:beforeAutospacing="1" w:after="100" w:afterAutospacing="1" w:line="0" w:lineRule="atLeast"/>
        <w:ind w:firstLine="720"/>
        <w:textAlignment w:val="baseline"/>
        <w:rPr>
          <w:rFonts w:ascii="Times New Roman" w:eastAsia="Times New Roman" w:hAnsi="Times New Roman" w:cs="Times New Roman"/>
          <w:lang w:eastAsia="en-US"/>
        </w:rPr>
      </w:pPr>
      <w:r w:rsidRPr="00C706FA">
        <w:rPr>
          <w:rFonts w:ascii="Times New Roman" w:eastAsia="Times New Roman" w:hAnsi="Times New Roman" w:cs="Times New Roman"/>
          <w:bdr w:val="none" w:sz="0" w:space="0" w:color="auto" w:frame="1"/>
          <w:lang w:eastAsia="en-US"/>
        </w:rPr>
        <w:t>[A]ssuming the allegations of the complaint to be true, as</w:t>
      </w:r>
      <w:r w:rsidRPr="00F94B7E">
        <w:rPr>
          <w:rFonts w:ascii="Times New Roman" w:eastAsia="Times New Roman,Cambria" w:hAnsi="Times New Roman" w:cs="Times New Roman"/>
          <w:bdr w:val="none" w:sz="0" w:space="0" w:color="auto" w:frame="1"/>
          <w:lang w:eastAsia="en-US"/>
        </w:rPr>
        <w:t> </w:t>
      </w:r>
      <w:r w:rsidRPr="00C706FA">
        <w:rPr>
          <w:rFonts w:ascii="Times New Roman" w:eastAsia="Times New Roman" w:hAnsi="Times New Roman" w:cs="Times New Roman"/>
          <w:bdr w:val="none" w:sz="0" w:space="0" w:color="auto" w:frame="1"/>
          <w:lang w:eastAsia="en-US"/>
        </w:rPr>
        <w:t>we must on a motion to dismiss, the breadth and depth of</w:t>
      </w:r>
      <w:r w:rsidRPr="00F94B7E">
        <w:rPr>
          <w:rFonts w:ascii="Times New Roman" w:eastAsia="Times New Roman,Cambria" w:hAnsi="Times New Roman" w:cs="Times New Roman"/>
          <w:bdr w:val="none" w:sz="0" w:space="0" w:color="auto" w:frame="1"/>
          <w:lang w:eastAsia="en-US"/>
        </w:rPr>
        <w:t> </w:t>
      </w:r>
      <w:r w:rsidRPr="00C706FA">
        <w:rPr>
          <w:rFonts w:ascii="Times New Roman" w:eastAsia="Times New Roman" w:hAnsi="Times New Roman" w:cs="Times New Roman"/>
          <w:bdr w:val="none" w:sz="0" w:space="0" w:color="auto" w:frame="1"/>
          <w:lang w:eastAsia="en-US"/>
        </w:rPr>
        <w:t>the tragedy do not preclude a determination that a peculiar or special harm has also been done to these plaintiffs: diminution or loss of livelihood is not suffered by every person who fishes in the Hudson River or waters of Long Island</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 xml:space="preserve">. . . </w:t>
      </w:r>
      <w:r w:rsidRPr="00C706FA">
        <w:rPr>
          <w:rFonts w:ascii="Times New Roman" w:eastAsia="Times New Roman" w:hAnsi="Times New Roman" w:cs="Times New Roman"/>
          <w:bdr w:val="none" w:sz="0" w:space="0" w:color="auto" w:frame="1"/>
          <w:lang w:eastAsia="en-US"/>
        </w:rPr>
        <w:t>; the harm alleged is peculiar to the individual plaintiffs in their capacity as commercial fishermen and goes beyond the harm done them as members of the community at large</w:t>
      </w:r>
      <w:r w:rsidRPr="00F94B7E">
        <w:rPr>
          <w:rFonts w:ascii="Times New Roman" w:eastAsia="Times New Roman,Cambria" w:hAnsi="Times New Roman" w:cs="Times New Roman"/>
          <w:bdr w:val="none" w:sz="0" w:space="0" w:color="auto" w:frame="1"/>
          <w:lang w:eastAsia="en-US"/>
        </w:rPr>
        <w:t xml:space="preserve">. . . . </w:t>
      </w:r>
      <w:r w:rsidRPr="00C706FA">
        <w:rPr>
          <w:rFonts w:ascii="Times New Roman" w:eastAsia="Times New Roman" w:hAnsi="Times New Roman" w:cs="Times New Roman"/>
          <w:bdr w:val="none" w:sz="0" w:space="0" w:color="auto" w:frame="1"/>
          <w:lang w:eastAsia="en-US"/>
        </w:rPr>
        <w:t xml:space="preserve"> </w:t>
      </w:r>
    </w:p>
    <w:p w14:paraId="436EFEDC" w14:textId="77777777" w:rsidR="00C85B70" w:rsidRPr="00C706FA" w:rsidRDefault="00C85B70" w:rsidP="00F94B7E">
      <w:pPr>
        <w:spacing w:line="0" w:lineRule="atLeast"/>
        <w:textAlignment w:val="baseline"/>
        <w:rPr>
          <w:rFonts w:ascii="Times New Roman" w:eastAsia="Times New Roman" w:hAnsi="Times New Roman" w:cs="Times New Roman"/>
          <w:lang w:eastAsia="en-US"/>
        </w:rPr>
      </w:pPr>
      <w:r w:rsidRPr="00C706FA">
        <w:rPr>
          <w:rFonts w:ascii="Times New Roman" w:eastAsia="Times New Roman" w:hAnsi="Times New Roman" w:cs="Times New Roman"/>
          <w:b/>
          <w:bCs/>
          <w:bdr w:val="none" w:sz="0" w:space="0" w:color="auto" w:frame="1"/>
          <w:lang w:eastAsia="en-US"/>
        </w:rPr>
        <w:t> </w:t>
      </w:r>
      <w:r w:rsidRPr="00C706FA">
        <w:rPr>
          <w:rFonts w:ascii="Times New Roman" w:eastAsia="Times New Roman" w:hAnsi="Times New Roman" w:cs="Times New Roman"/>
          <w:b/>
          <w:bCs/>
          <w:bdr w:val="none" w:sz="0" w:space="0" w:color="auto" w:frame="1"/>
          <w:lang w:eastAsia="en-US"/>
        </w:rPr>
        <w:tab/>
      </w:r>
      <w:r w:rsidRPr="00C706FA">
        <w:rPr>
          <w:rFonts w:ascii="Times New Roman" w:eastAsia="Times New Roman" w:hAnsi="Times New Roman" w:cs="Times New Roman"/>
          <w:lang w:eastAsia="en-US"/>
        </w:rPr>
        <w:t>Accordingly, the order should be affirmed . . . .</w:t>
      </w:r>
    </w:p>
    <w:p w14:paraId="143423FA" w14:textId="65630D0B" w:rsidR="00C85B70" w:rsidRDefault="00C85B70" w:rsidP="00F94B7E">
      <w:pPr>
        <w:rPr>
          <w:rFonts w:ascii="Times New Roman" w:eastAsia="Times New Roman" w:hAnsi="Times New Roman" w:cs="Times New Roman"/>
          <w:lang w:eastAsia="en-US"/>
        </w:rPr>
      </w:pPr>
    </w:p>
    <w:p w14:paraId="1417A2F1" w14:textId="64969E5B" w:rsidR="00CB223A" w:rsidRDefault="00CB223A">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68989828" w14:textId="40995AE3" w:rsidR="00C85B70" w:rsidRPr="00C85B70" w:rsidRDefault="00C85B70" w:rsidP="750671CE">
      <w:pPr>
        <w:shd w:val="clear" w:color="auto" w:fill="FFFFFF" w:themeFill="background1"/>
        <w:spacing w:line="264" w:lineRule="auto"/>
        <w:textAlignment w:val="baseline"/>
        <w:outlineLvl w:val="0"/>
        <w:rPr>
          <w:rFonts w:ascii="Times New Roman" w:eastAsia="Times New Roman" w:hAnsi="Times New Roman" w:cs="Times New Roman"/>
          <w:lang w:eastAsia="en-US"/>
        </w:rPr>
      </w:pPr>
      <w:bookmarkStart w:id="927" w:name="_Toc273668429"/>
      <w:bookmarkStart w:id="928" w:name="_Toc518323531"/>
      <w:r w:rsidRPr="00362C2E">
        <w:rPr>
          <w:rStyle w:val="Heading4Char"/>
        </w:rPr>
        <w:t>532 Madison Avenue Gourmet Foods, Inc. v. Finlandia Center</w:t>
      </w:r>
      <w:bookmarkEnd w:id="927"/>
      <w:bookmarkEnd w:id="928"/>
      <w:r w:rsidR="002D4DB3" w:rsidRPr="00CB223A">
        <w:t>,</w:t>
      </w:r>
      <w:r w:rsidR="002D4DB3" w:rsidRPr="750671CE">
        <w:rPr>
          <w:rFonts w:ascii="Times New Roman,Cambria" w:eastAsia="Times New Roman,Cambria" w:hAnsi="Times New Roman,Cambria" w:cs="Times New Roman,Cambria"/>
          <w:b/>
          <w:bCs/>
          <w:lang w:eastAsia="en-US"/>
        </w:rPr>
        <w:t xml:space="preserve"> </w:t>
      </w:r>
      <w:r w:rsidRPr="750671CE">
        <w:rPr>
          <w:rFonts w:ascii="Times New Roman" w:eastAsia="Times New Roman" w:hAnsi="Times New Roman" w:cs="Times New Roman"/>
          <w:b/>
          <w:bCs/>
          <w:lang w:eastAsia="en-US"/>
        </w:rPr>
        <w:t>750 N.E.2d 1097 (N.Y. 2001)</w:t>
      </w:r>
    </w:p>
    <w:p w14:paraId="29F406D1" w14:textId="77777777" w:rsidR="005A5833" w:rsidRPr="00C85B70" w:rsidRDefault="005A5833" w:rsidP="005A5833">
      <w:pPr>
        <w:tabs>
          <w:tab w:val="left" w:pos="456"/>
        </w:tabs>
        <w:spacing w:line="264" w:lineRule="auto"/>
        <w:rPr>
          <w:rFonts w:ascii="Times New Roman" w:eastAsia="Times New Roman" w:hAnsi="Times New Roman" w:cs="Times New Roman"/>
          <w:lang w:eastAsia="en-US"/>
        </w:rPr>
      </w:pPr>
    </w:p>
    <w:p w14:paraId="549B0CC1" w14:textId="174C37E0" w:rsidR="005A5833" w:rsidRPr="009E54E4" w:rsidRDefault="00C85B70" w:rsidP="00F94B7E">
      <w:pPr>
        <w:rPr>
          <w:rFonts w:ascii="Times New Roman" w:eastAsiaTheme="minorHAnsi" w:hAnsi="Times New Roman" w:cs="Times New Roman"/>
          <w:b/>
          <w:lang w:eastAsia="en-US"/>
        </w:rPr>
      </w:pPr>
      <w:r w:rsidRPr="00F94B7E">
        <w:rPr>
          <w:rFonts w:ascii="Times New Roman" w:eastAsia="Times New Roman,Cambria" w:hAnsi="Times New Roman" w:cs="Times New Roman"/>
          <w:smallCaps/>
          <w:lang w:eastAsia="en-US"/>
        </w:rPr>
        <w:t>Kaye, C</w:t>
      </w:r>
      <w:r w:rsidRPr="00F94B7E">
        <w:rPr>
          <w:rFonts w:ascii="Times New Roman" w:eastAsia="Times New Roman,Cambria" w:hAnsi="Times New Roman" w:cs="Times New Roman"/>
          <w:b/>
          <w:bCs/>
          <w:smallCaps/>
          <w:lang w:eastAsia="en-US"/>
        </w:rPr>
        <w:t>.</w:t>
      </w:r>
      <w:r w:rsidRPr="00F94B7E">
        <w:rPr>
          <w:rFonts w:ascii="Times New Roman" w:eastAsia="Times New Roman,Cambria" w:hAnsi="Times New Roman" w:cs="Times New Roman"/>
          <w:smallCaps/>
          <w:lang w:eastAsia="en-US"/>
        </w:rPr>
        <w:t>J</w:t>
      </w:r>
      <w:r w:rsidRPr="00F94B7E">
        <w:rPr>
          <w:rFonts w:ascii="Times New Roman" w:eastAsia="Times New Roman,Cambria" w:hAnsi="Times New Roman" w:cs="Times New Roman"/>
          <w:b/>
          <w:bCs/>
          <w:lang w:eastAsia="en-US"/>
        </w:rPr>
        <w:t>.</w:t>
      </w:r>
    </w:p>
    <w:p w14:paraId="07177519" w14:textId="77777777" w:rsidR="005A5833" w:rsidRDefault="005A5833" w:rsidP="750671CE">
      <w:pPr>
        <w:ind w:firstLine="720"/>
        <w:rPr>
          <w:rFonts w:ascii="Times New Roman" w:eastAsiaTheme="minorHAnsi" w:hAnsi="Times New Roman" w:cs="Times New Roman"/>
          <w:b/>
          <w:lang w:eastAsia="en-US"/>
        </w:rPr>
      </w:pPr>
    </w:p>
    <w:p w14:paraId="6EB44B0A" w14:textId="71FB21B9" w:rsidR="00C85B70" w:rsidRPr="005B147F" w:rsidRDefault="00C85B70" w:rsidP="750671CE">
      <w:pPr>
        <w:ind w:firstLine="720"/>
        <w:rPr>
          <w:rFonts w:ascii="Times New Roman" w:eastAsia="Times New Roman" w:hAnsi="Times New Roman" w:cs="Times New Roman"/>
          <w:color w:val="373739"/>
          <w:u w:val="single"/>
          <w:lang w:eastAsia="en-US"/>
        </w:rPr>
      </w:pPr>
      <w:r w:rsidRPr="00F94B7E">
        <w:rPr>
          <w:rFonts w:ascii="Times New Roman" w:eastAsia="Times New Roman,Cambria" w:hAnsi="Times New Roman" w:cs="Times New Roman"/>
          <w:lang w:eastAsia="en-US"/>
        </w:rPr>
        <w:t xml:space="preserve">[Recall the facts of </w:t>
      </w:r>
      <w:r w:rsidRPr="00F94B7E">
        <w:rPr>
          <w:rFonts w:ascii="Times New Roman" w:eastAsia="Times New Roman,Cambria" w:hAnsi="Times New Roman" w:cs="Times New Roman"/>
          <w:i/>
          <w:lang w:eastAsia="en-US"/>
        </w:rPr>
        <w:t>532 Madison Ave</w:t>
      </w:r>
      <w:r w:rsidR="00C706FA">
        <w:rPr>
          <w:rFonts w:ascii="Times New Roman" w:eastAsia="Times New Roman,Cambria" w:hAnsi="Times New Roman" w:cs="Times New Roman"/>
          <w:i/>
          <w:lang w:eastAsia="en-US"/>
        </w:rPr>
        <w:t>.</w:t>
      </w:r>
      <w:r w:rsidRPr="00F94B7E">
        <w:rPr>
          <w:rFonts w:ascii="Times New Roman" w:eastAsia="Times New Roman,Cambria" w:hAnsi="Times New Roman" w:cs="Times New Roman"/>
          <w:lang w:eastAsia="en-US"/>
        </w:rPr>
        <w:t xml:space="preserve"> from </w:t>
      </w:r>
      <w:r w:rsidR="00C21D6E" w:rsidRPr="00F94B7E">
        <w:rPr>
          <w:rFonts w:ascii="Times New Roman" w:eastAsia="Times New Roman,Cambria" w:hAnsi="Times New Roman" w:cs="Times New Roman"/>
          <w:lang w:eastAsia="en-US"/>
        </w:rPr>
        <w:t>C</w:t>
      </w:r>
      <w:r w:rsidRPr="00F94B7E">
        <w:rPr>
          <w:rFonts w:ascii="Times New Roman" w:eastAsia="Times New Roman,Cambria" w:hAnsi="Times New Roman" w:cs="Times New Roman"/>
          <w:lang w:eastAsia="en-US"/>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5B147F">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including a law firm and several retailers</w:t>
      </w:r>
      <w:r w:rsidR="00AD18E9" w:rsidRPr="005B147F">
        <w:rPr>
          <w:rFonts w:ascii="Times New Roman" w:eastAsia="Times New Roman" w:hAnsi="Times New Roman" w:cs="Times New Roman"/>
          <w:lang w:eastAsia="en-US"/>
        </w:rPr>
        <w:t>—</w:t>
      </w:r>
      <w:r w:rsidRPr="00F94B7E">
        <w:rPr>
          <w:rFonts w:ascii="Times New Roman" w:eastAsia="Times New Roman,Cambria" w:hAnsi="Times New Roman" w:cs="Times New Roman"/>
          <w:lang w:eastAsia="en-US"/>
        </w:rPr>
        <w:t>brought claims for public nuisance:]</w:t>
      </w:r>
    </w:p>
    <w:p w14:paraId="15AFC249" w14:textId="77777777" w:rsidR="00C85B70" w:rsidRPr="002D4DB3" w:rsidRDefault="750671CE" w:rsidP="750671CE">
      <w:pPr>
        <w:spacing w:before="100" w:beforeAutospacing="1" w:after="100" w:afterAutospacing="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Pr>
          <w:rFonts w:ascii="Times New Roman" w:eastAsia="Times New Roman" w:hAnsi="Times New Roman" w:cs="Times New Roman"/>
          <w:bdr w:val="none" w:sz="0" w:space="0" w:color="auto" w:frame="1"/>
          <w:lang w:eastAsia="en-US"/>
        </w:rPr>
        <w:t>’</w:t>
      </w:r>
      <w:r w:rsidRPr="002D4DB3">
        <w:rPr>
          <w:rFonts w:ascii="Times New Roman" w:eastAsia="Times New Roman" w:hAnsi="Times New Roman" w:cs="Times New Roman"/>
          <w:bdr w:val="none" w:sz="0" w:space="0" w:color="auto" w:frame="1"/>
          <w:lang w:eastAsia="en-US"/>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Pr>
          <w:rFonts w:ascii="Times New Roman" w:eastAsia="Times New Roman" w:hAnsi="Times New Roman" w:cs="Times New Roman"/>
          <w:bdr w:val="none" w:sz="0" w:space="0" w:color="auto" w:frame="1"/>
          <w:lang w:eastAsia="en-US"/>
        </w:rPr>
        <w:t>“</w:t>
      </w:r>
      <w:r w:rsidRPr="002D4DB3">
        <w:rPr>
          <w:rFonts w:ascii="Times New Roman" w:eastAsia="Times New Roman" w:hAnsi="Times New Roman" w:cs="Times New Roman"/>
          <w:bdr w:val="none" w:sz="0" w:space="0" w:color="auto" w:frame="1"/>
          <w:lang w:eastAsia="en-US"/>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Pr>
          <w:rFonts w:ascii="Times New Roman" w:eastAsia="Times New Roman" w:hAnsi="Times New Roman" w:cs="Times New Roman"/>
          <w:bdr w:val="none" w:sz="0" w:space="0" w:color="auto" w:frame="1"/>
          <w:lang w:eastAsia="en-US"/>
        </w:rPr>
        <w:t>”</w:t>
      </w:r>
      <w:r w:rsidRPr="002D4DB3">
        <w:rPr>
          <w:rFonts w:ascii="Times New Roman" w:eastAsia="Times New Roman" w:hAnsi="Times New Roman" w:cs="Times New Roman"/>
          <w:bdr w:val="none" w:sz="0" w:space="0" w:color="auto" w:frame="1"/>
          <w:lang w:eastAsia="en-US"/>
        </w:rPr>
        <w:t xml:space="preserve"> </w:t>
      </w:r>
    </w:p>
    <w:p w14:paraId="148A38AA" w14:textId="77777777"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bdr w:val="none" w:sz="0" w:space="0" w:color="auto" w:frame="1"/>
          <w:lang w:eastAsia="en-US"/>
        </w:rPr>
        <w:t>The question here is whether plaintiffs have suffered a special injury beyond that of the community so as to support their damages claims for public nuisance. We conclude that they have not.</w:t>
      </w:r>
    </w:p>
    <w:p w14:paraId="15AC8610" w14:textId="77777777"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In </w:t>
      </w:r>
      <w:r w:rsidRPr="750671CE">
        <w:rPr>
          <w:rFonts w:ascii="Times New Roman" w:eastAsia="Times New Roman" w:hAnsi="Times New Roman" w:cs="Times New Roman"/>
          <w:i/>
          <w:iCs/>
          <w:bdr w:val="none" w:sz="0" w:space="0" w:color="auto" w:frame="1"/>
          <w:lang w:eastAsia="en-US"/>
        </w:rPr>
        <w:t>Burns Jackson</w:t>
      </w:r>
      <w:r w:rsidRPr="002D4DB3">
        <w:rPr>
          <w:rFonts w:ascii="Times New Roman" w:eastAsia="Times New Roman" w:hAnsi="Times New Roman" w:cs="Times New Roman"/>
          <w:lang w:eastAsia="en-US"/>
        </w:rPr>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2D4DB3" w:rsidRDefault="00C85B70" w:rsidP="750671CE">
      <w:pPr>
        <w:spacing w:beforeAutospacing="1" w:afterAutospacing="1"/>
        <w:ind w:firstLine="720"/>
        <w:textAlignment w:val="baseline"/>
        <w:rPr>
          <w:rFonts w:ascii="Times New Roman" w:eastAsia="Times New Roman" w:hAnsi="Times New Roman" w:cs="Times New Roman"/>
          <w:lang w:eastAsia="en-US"/>
        </w:rPr>
      </w:pPr>
      <w:r w:rsidRPr="002D4DB3">
        <w:rPr>
          <w:rFonts w:ascii="Times New Roman" w:eastAsia="Times New Roman" w:hAnsi="Times New Roman" w:cs="Times New Roman"/>
          <w:lang w:eastAsia="en-US"/>
        </w:rPr>
        <w:t>While not as widespread as the transit strike, the Madison Avenue and Times Square closures caused the same sort of injury to the communities that live and work in those extraordinarily populous areas. As the trial court in</w:t>
      </w:r>
      <w:r w:rsidRPr="750671CE">
        <w:rPr>
          <w:rFonts w:ascii="Times New Roman" w:eastAsia="Times New Roman" w:hAnsi="Times New Roman" w:cs="Times New Roman"/>
          <w:i/>
          <w:iCs/>
          <w:bdr w:val="none" w:sz="0" w:space="0" w:color="auto" w:frame="1"/>
          <w:lang w:eastAsia="en-US"/>
        </w:rPr>
        <w:t xml:space="preserve"> </w:t>
      </w:r>
      <w:r w:rsidRPr="750671CE">
        <w:rPr>
          <w:rFonts w:ascii="Times New Roman" w:eastAsia="Times New Roman" w:hAnsi="Times New Roman" w:cs="Times New Roman"/>
          <w:bdr w:val="none" w:sz="0" w:space="0" w:color="auto" w:frame="1"/>
          <w:lang w:eastAsia="en-US"/>
        </w:rPr>
        <w:t xml:space="preserve">[one of the underlying cases] </w:t>
      </w:r>
      <w:r w:rsidRPr="002D4DB3">
        <w:rPr>
          <w:rFonts w:ascii="Times New Roman" w:eastAsia="Times New Roman" w:hAnsi="Times New Roman" w:cs="Times New Roman"/>
          <w:lang w:eastAsia="en-US"/>
        </w:rPr>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rPr>
          <w:rFonts w:ascii="Times New Roman" w:eastAsia="Times New Roman" w:hAnsi="Times New Roman" w:cs="Times New Roman"/>
          <w:lang w:eastAsia="en-US"/>
        </w:rPr>
        <w:t>“</w:t>
      </w:r>
      <w:r w:rsidRPr="002D4DB3">
        <w:rPr>
          <w:rFonts w:ascii="Times New Roman" w:eastAsia="Times New Roman" w:hAnsi="Times New Roman" w:cs="Times New Roman"/>
          <w:lang w:eastAsia="en-US"/>
        </w:rPr>
        <w:t>so general and widespread as to affect a whole community, or a very wide area within it, the line is drawn.</w:t>
      </w:r>
      <w:r w:rsidR="00B05F31">
        <w:rPr>
          <w:rFonts w:ascii="Times New Roman" w:eastAsia="Times New Roman" w:hAnsi="Times New Roman" w:cs="Times New Roman"/>
          <w:lang w:eastAsia="en-US"/>
        </w:rPr>
        <w:t>”</w:t>
      </w:r>
      <w:r w:rsidRPr="002D4DB3">
        <w:rPr>
          <w:rFonts w:ascii="Times New Roman" w:eastAsia="Times New Roman" w:hAnsi="Times New Roman" w:cs="Times New Roman"/>
          <w:lang w:eastAsia="en-US"/>
        </w:rPr>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2D4DB3" w:rsidRDefault="00C85B70" w:rsidP="00F94B7E">
      <w:pPr>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i/>
          <w:iCs/>
          <w:bdr w:val="none" w:sz="0" w:space="0" w:color="auto" w:frame="1"/>
          <w:lang w:eastAsia="en-US"/>
        </w:rPr>
        <w:t>Leo v General Elec. Co.</w:t>
      </w:r>
      <w:r w:rsidRPr="002D4DB3">
        <w:rPr>
          <w:rFonts w:ascii="Times New Roman" w:eastAsia="Times New Roman" w:hAnsi="Times New Roman" w:cs="Times New Roman"/>
          <w:bdr w:val="none" w:sz="0" w:space="0" w:color="auto" w:frame="1"/>
          <w:lang w:eastAsia="en-US"/>
        </w:rPr>
        <w:t> . . . is inapposite. . . . Plaintiffs were able to establish that their injuries were special and different in kind, not merely in degree: a loss of livelihood was not suffered by every person who fished the Hudson. </w:t>
      </w:r>
      <w:r w:rsidRPr="002D4DB3">
        <w:rPr>
          <w:rFonts w:ascii="Times New Roman" w:eastAsia="Times New Roman" w:hAnsi="Times New Roman" w:cs="Times New Roman"/>
          <w:lang w:eastAsia="en-US"/>
        </w:rPr>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rPr>
          <w:rFonts w:ascii="Times New Roman" w:eastAsia="Times New Roman" w:hAnsi="Times New Roman" w:cs="Times New Roman"/>
          <w:lang w:eastAsia="en-US"/>
        </w:rPr>
        <w:t>“</w:t>
      </w:r>
      <w:r w:rsidRPr="002D4DB3">
        <w:rPr>
          <w:rFonts w:ascii="Times New Roman" w:eastAsia="Times New Roman" w:hAnsi="Times New Roman" w:cs="Times New Roman"/>
          <w:lang w:eastAsia="en-US"/>
        </w:rPr>
        <w:t>common to an entire community and the plaintiff[s] suffer[ed] it only in a greater degree than others, it is not a different kind of harm and the plaintiff[s] cannot recover for the invasion of the public right</w:t>
      </w:r>
      <w:r w:rsidR="00AD18E9">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2D4DB3">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 xml:space="preserve">Restatement </w:t>
      </w:r>
      <w:r w:rsidR="00AD18E9"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Second</w:t>
      </w:r>
      <w:r w:rsidR="00AD18E9"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of Torts</w:t>
      </w:r>
      <w:r w:rsidRPr="002D4DB3">
        <w:rPr>
          <w:rFonts w:ascii="Times New Roman" w:eastAsia="Times New Roman" w:hAnsi="Times New Roman" w:cs="Times New Roman"/>
          <w:lang w:eastAsia="en-US"/>
        </w:rPr>
        <w:t> </w:t>
      </w:r>
      <w:r w:rsidRPr="002D4DB3">
        <w:rPr>
          <w:rFonts w:ascii="Times New Roman" w:eastAsia="Times New Roman" w:hAnsi="Times New Roman" w:cs="Times New Roman"/>
          <w:bdr w:val="none" w:sz="0" w:space="0" w:color="auto" w:frame="1"/>
          <w:lang w:eastAsia="en-US"/>
        </w:rPr>
        <w:t>§ 821C, c</w:t>
      </w:r>
      <w:r w:rsidR="00AD18E9">
        <w:rPr>
          <w:rFonts w:ascii="Times New Roman" w:eastAsia="Times New Roman" w:hAnsi="Times New Roman" w:cs="Times New Roman"/>
          <w:bdr w:val="none" w:sz="0" w:space="0" w:color="auto" w:frame="1"/>
          <w:lang w:eastAsia="en-US"/>
        </w:rPr>
        <w:t>m</w:t>
      </w:r>
      <w:r w:rsidRPr="002D4DB3">
        <w:rPr>
          <w:rFonts w:ascii="Times New Roman" w:eastAsia="Times New Roman" w:hAnsi="Times New Roman" w:cs="Times New Roman"/>
          <w:bdr w:val="none" w:sz="0" w:space="0" w:color="auto" w:frame="1"/>
          <w:lang w:eastAsia="en-US"/>
        </w:rPr>
        <w:t>t</w:t>
      </w:r>
      <w:r w:rsidR="00AD18E9">
        <w:rPr>
          <w:rFonts w:ascii="Times New Roman" w:eastAsia="Times New Roman" w:hAnsi="Times New Roman" w:cs="Times New Roman"/>
          <w:bdr w:val="none" w:sz="0" w:space="0" w:color="auto" w:frame="1"/>
          <w:lang w:eastAsia="en-US"/>
        </w:rPr>
        <w:t>.</w:t>
      </w:r>
      <w:r w:rsidRPr="002D4DB3">
        <w:rPr>
          <w:rFonts w:ascii="Times New Roman" w:eastAsia="Times New Roman" w:hAnsi="Times New Roman" w:cs="Times New Roman"/>
          <w:bdr w:val="none" w:sz="0" w:space="0" w:color="auto" w:frame="1"/>
          <w:lang w:eastAsia="en-US"/>
        </w:rPr>
        <w:t> </w:t>
      </w:r>
      <w:r w:rsidRPr="00F94B7E">
        <w:rPr>
          <w:rFonts w:ascii="Times New Roman" w:eastAsia="Times New Roman" w:hAnsi="Times New Roman" w:cs="Times New Roman"/>
          <w:iCs/>
          <w:bdr w:val="none" w:sz="0" w:space="0" w:color="auto" w:frame="1"/>
          <w:lang w:eastAsia="en-US"/>
        </w:rPr>
        <w:t>h</w:t>
      </w:r>
      <w:r w:rsidRPr="002D4DB3">
        <w:rPr>
          <w:rFonts w:ascii="Times New Roman" w:eastAsia="Times New Roman" w:hAnsi="Times New Roman" w:cs="Times New Roman"/>
          <w:lang w:eastAsia="en-US"/>
        </w:rPr>
        <w:t>.</w:t>
      </w:r>
    </w:p>
    <w:p w14:paraId="4F5E2800"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6A3179BD" w14:textId="77777777" w:rsidR="00C85B70" w:rsidRPr="00C85B70" w:rsidRDefault="00C85B70" w:rsidP="00C85B70">
      <w:pPr>
        <w:ind w:firstLine="720"/>
        <w:textAlignment w:val="baseline"/>
        <w:rPr>
          <w:rFonts w:ascii="Times New Roman" w:eastAsia="Times New Roman" w:hAnsi="Times New Roman" w:cs="Times New Roman"/>
          <w:color w:val="373739"/>
          <w:lang w:eastAsia="en-US"/>
        </w:rPr>
      </w:pPr>
    </w:p>
    <w:p w14:paraId="07183D87" w14:textId="77777777" w:rsidR="00C85B70" w:rsidRPr="00C85B70" w:rsidRDefault="00C85B70" w:rsidP="00CB223A">
      <w:pPr>
        <w:pStyle w:val="Heading5"/>
      </w:pPr>
      <w:bookmarkStart w:id="929" w:name="_Toc273668430"/>
      <w:bookmarkStart w:id="930" w:name="_Toc364636267"/>
      <w:bookmarkStart w:id="931" w:name="_Toc518323532"/>
      <w:r w:rsidRPr="00C85B70">
        <w:t>Notes</w:t>
      </w:r>
      <w:bookmarkEnd w:id="929"/>
      <w:bookmarkEnd w:id="930"/>
      <w:bookmarkEnd w:id="931"/>
    </w:p>
    <w:p w14:paraId="47FD0CCE" w14:textId="77777777" w:rsidR="00C85B70" w:rsidRDefault="00C85B70" w:rsidP="00C85B70">
      <w:pPr>
        <w:tabs>
          <w:tab w:val="left" w:pos="456"/>
        </w:tabs>
        <w:rPr>
          <w:rFonts w:ascii="Times New Roman" w:eastAsia="Times New Roman" w:hAnsi="Times New Roman" w:cs="Times New Roman"/>
          <w:lang w:eastAsia="en-US"/>
        </w:rPr>
      </w:pPr>
    </w:p>
    <w:p w14:paraId="4133FABA" w14:textId="77777777" w:rsidR="00910387" w:rsidRPr="00C85B70" w:rsidRDefault="00910387" w:rsidP="00C85B70">
      <w:pPr>
        <w:tabs>
          <w:tab w:val="left" w:pos="456"/>
        </w:tabs>
        <w:rPr>
          <w:rFonts w:ascii="Times New Roman" w:eastAsia="Times New Roman" w:hAnsi="Times New Roman" w:cs="Times New Roman"/>
          <w:lang w:eastAsia="en-US"/>
        </w:rPr>
      </w:pPr>
    </w:p>
    <w:p w14:paraId="51E10D7B" w14:textId="6C215840" w:rsidR="00C85B70" w:rsidRPr="00F94B7E" w:rsidRDefault="750671CE" w:rsidP="00F94B7E">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attorneys general in public nuisance?</w:t>
      </w:r>
      <w:r w:rsidRPr="00F94B7E">
        <w:rPr>
          <w:rFonts w:ascii="Times New Roman" w:eastAsia="Times New Roman" w:hAnsi="Times New Roman" w:cs="Times New Roman"/>
          <w:lang w:eastAsia="en-US"/>
        </w:rPr>
        <w:t xml:space="preserve">  Should private individuals be able to bring claims for public nuisance? According to Professor Thomas Merrill, the rule that allows private parties to bring public nuisance claims arose out of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mistaken reading of an old precedent.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C85B70" w:rsidRDefault="00C85B70" w:rsidP="00C85B70">
      <w:pPr>
        <w:tabs>
          <w:tab w:val="left" w:pos="456"/>
        </w:tabs>
        <w:rPr>
          <w:rFonts w:ascii="Times New Roman" w:eastAsia="Times New Roman" w:hAnsi="Times New Roman" w:cs="Times New Roman"/>
          <w:lang w:eastAsia="en-US"/>
        </w:rPr>
      </w:pPr>
    </w:p>
    <w:p w14:paraId="3F7CCC34" w14:textId="33D4A540"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leet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Fitzherbert thought that the injured rider would nevertheless also have an action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recover his damages that he had by reason of this special hurt.</w:t>
      </w:r>
      <w:r w:rsidR="00B05F31">
        <w:rPr>
          <w:rFonts w:ascii="Times New Roman" w:eastAsia="Times New Roman" w:hAnsi="Times New Roman" w:cs="Times New Roman"/>
          <w:lang w:eastAsia="en-US"/>
        </w:rPr>
        <w:t>”</w:t>
      </w:r>
    </w:p>
    <w:p w14:paraId="31B2B784" w14:textId="77777777" w:rsidR="00C85B70" w:rsidRPr="00C85B70" w:rsidRDefault="00C85B70" w:rsidP="00F94B7E">
      <w:pPr>
        <w:ind w:left="720" w:right="720"/>
        <w:jc w:val="both"/>
        <w:rPr>
          <w:rFonts w:ascii="Times New Roman" w:eastAsia="Times New Roman" w:hAnsi="Times New Roman" w:cs="Times New Roman"/>
          <w:lang w:eastAsia="en-US"/>
        </w:rPr>
      </w:pPr>
    </w:p>
    <w:p w14:paraId="30370784" w14:textId="515E1870"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Fitzherbert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hypothetical was cited much later by English and American courts and by the authors of the </w:t>
      </w:r>
      <w:r w:rsidRPr="750671CE">
        <w:rPr>
          <w:rFonts w:ascii="Times New Roman" w:eastAsia="Times New Roman" w:hAnsi="Times New Roman" w:cs="Times New Roman"/>
          <w:i/>
          <w:iCs/>
          <w:lang w:eastAsia="en-US"/>
        </w:rPr>
        <w:t>Restatement</w:t>
      </w:r>
      <w:r w:rsidRPr="750671CE">
        <w:rPr>
          <w:rFonts w:ascii="Times New Roman" w:eastAsia="Times New Roman" w:hAnsi="Times New Roman" w:cs="Times New Roman"/>
          <w:lang w:eastAsia="en-US"/>
        </w:rPr>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C85B70" w:rsidRDefault="00C85B70" w:rsidP="005665BE">
      <w:pPr>
        <w:ind w:left="720" w:right="720"/>
        <w:rPr>
          <w:rFonts w:ascii="Times New Roman" w:eastAsia="Times New Roman" w:hAnsi="Times New Roman" w:cs="Times New Roman"/>
          <w:lang w:eastAsia="en-US"/>
        </w:rPr>
      </w:pPr>
    </w:p>
    <w:p w14:paraId="7DB38E4F" w14:textId="1ED72FB7" w:rsidR="00C85B70" w:rsidRPr="00C85B70" w:rsidRDefault="750671CE" w:rsidP="00AD18E9">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Merrill contends that the action that Fitzherbert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hypothetical contemplated was not an action on the public nuisance but rather a simple action for negligence.  Thomas W. Merrill, </w:t>
      </w:r>
      <w:r w:rsidRPr="750671CE">
        <w:rPr>
          <w:rFonts w:ascii="Times New Roman" w:eastAsia="Times New Roman" w:hAnsi="Times New Roman" w:cs="Times New Roman"/>
          <w:i/>
          <w:iCs/>
          <w:lang w:eastAsia="en-US"/>
        </w:rPr>
        <w:t>Is Public Nuisance a Tort?</w:t>
      </w:r>
      <w:r w:rsidRPr="750671CE">
        <w:rPr>
          <w:rFonts w:ascii="Times New Roman" w:eastAsia="Times New Roman" w:hAnsi="Times New Roman" w:cs="Times New Roman"/>
          <w:lang w:eastAsia="en-US"/>
        </w:rPr>
        <w:t xml:space="preserve">, 4 </w:t>
      </w:r>
      <w:r w:rsidRPr="750671CE">
        <w:rPr>
          <w:rFonts w:ascii="Times New Roman" w:eastAsia="Times New Roman" w:hAnsi="Times New Roman" w:cs="Times New Roman"/>
          <w:smallCaps/>
          <w:lang w:eastAsia="en-US"/>
        </w:rPr>
        <w:t>J. Tort L.</w:t>
      </w:r>
      <w:r w:rsidRPr="750671CE">
        <w:rPr>
          <w:rFonts w:ascii="Times New Roman" w:eastAsia="Times New Roman" w:hAnsi="Times New Roman" w:cs="Times New Roman"/>
          <w:lang w:eastAsia="en-US"/>
        </w:rPr>
        <w:t xml:space="preserve"> 1, 13-14 (2011). </w:t>
      </w:r>
    </w:p>
    <w:p w14:paraId="6C6769FA" w14:textId="77777777" w:rsidR="00C85B70" w:rsidRPr="00C85B70" w:rsidRDefault="00C85B70" w:rsidP="00910387">
      <w:pPr>
        <w:ind w:right="720"/>
        <w:rPr>
          <w:rFonts w:ascii="Times New Roman" w:eastAsia="Times New Roman" w:hAnsi="Times New Roman" w:cs="Times New Roman"/>
          <w:lang w:eastAsia="en-US"/>
        </w:rPr>
      </w:pPr>
    </w:p>
    <w:p w14:paraId="565990A2" w14:textId="77777777" w:rsidR="00C85B70" w:rsidRPr="00C85B70" w:rsidRDefault="00C85B70" w:rsidP="00C85B70">
      <w:pPr>
        <w:spacing w:line="315" w:lineRule="atLeast"/>
        <w:ind w:right="720"/>
        <w:rPr>
          <w:rFonts w:ascii="Times New Roman" w:eastAsia="Times New Roman" w:hAnsi="Times New Roman" w:cs="Times New Roman"/>
          <w:lang w:eastAsia="en-US"/>
        </w:rPr>
      </w:pPr>
    </w:p>
    <w:p w14:paraId="450E7796" w14:textId="1DCDF06A" w:rsidR="00C85B70" w:rsidRPr="00F94B7E" w:rsidRDefault="750671CE" w:rsidP="00F94B7E">
      <w:pPr>
        <w:pStyle w:val="ListParagraph"/>
        <w:numPr>
          <w:ilvl w:val="0"/>
          <w:numId w:val="3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Private lawyers and public nuisance</w:t>
      </w:r>
      <w:r w:rsidRPr="00F94B7E">
        <w:rPr>
          <w:rFonts w:ascii="Times New Roman" w:eastAsia="Times New Roman" w:hAnsi="Times New Roman" w:cs="Times New Roman"/>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CE255D">
        <w:rPr>
          <w:rFonts w:ascii="Times New Roman" w:eastAsia="Times New Roman" w:hAnsi="Times New Roman" w:cs="Times New Roman"/>
          <w:i/>
          <w:lang w:eastAsia="en-US"/>
        </w:rPr>
        <w:t>Privatizing Government Litigation</w:t>
      </w:r>
      <w:r w:rsidR="00CE255D">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00CE255D">
        <w:rPr>
          <w:rFonts w:ascii="Times New Roman" w:eastAsia="Times New Roman" w:hAnsi="Times New Roman" w:cs="Times New Roman"/>
          <w:lang w:eastAsia="en-US"/>
        </w:rPr>
        <w:t xml:space="preserve">104 </w:t>
      </w:r>
      <w:r w:rsidR="00CE255D" w:rsidRPr="00CE255D">
        <w:rPr>
          <w:rFonts w:ascii="Times New Roman" w:eastAsia="Times New Roman" w:hAnsi="Times New Roman" w:cs="Times New Roman"/>
          <w:smallCaps/>
          <w:lang w:eastAsia="en-US"/>
        </w:rPr>
        <w:t>Geo. L.J</w:t>
      </w:r>
      <w:r w:rsidR="00CE255D">
        <w:rPr>
          <w:rFonts w:ascii="Times New Roman" w:eastAsia="Times New Roman" w:hAnsi="Times New Roman" w:cs="Times New Roman"/>
          <w:lang w:eastAsia="en-US"/>
        </w:rPr>
        <w:t>. 515 (2016</w:t>
      </w:r>
      <w:r w:rsidRPr="00F94B7E">
        <w:rPr>
          <w:rFonts w:ascii="Times New Roman" w:eastAsia="Times New Roman" w:hAnsi="Times New Roman" w:cs="Times New Roman"/>
          <w:lang w:eastAsia="en-US"/>
        </w:rPr>
        <w:t xml:space="preserve">); Eric Lipton,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Lawyers Create Big Paydays by Coaxing Attorneys General to Sue,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New York Times</w:t>
      </w:r>
      <w:r w:rsidRPr="00F94B7E">
        <w:rPr>
          <w:rFonts w:ascii="Times New Roman" w:eastAsia="Times New Roman" w:hAnsi="Times New Roman" w:cs="Times New Roman"/>
          <w:lang w:eastAsia="en-US"/>
        </w:rPr>
        <w:t xml:space="preserve">, Dec. 18, 2014.  </w:t>
      </w:r>
    </w:p>
    <w:p w14:paraId="570E7C13" w14:textId="77777777" w:rsidR="00C85B70" w:rsidRPr="00C85B70" w:rsidRDefault="00C85B70" w:rsidP="00C85B70">
      <w:pPr>
        <w:spacing w:line="315" w:lineRule="atLeast"/>
        <w:ind w:right="720"/>
        <w:rPr>
          <w:rFonts w:ascii="Times New Roman" w:eastAsia="Times New Roman" w:hAnsi="Times New Roman" w:cs="Times New Roman"/>
          <w:lang w:eastAsia="en-US"/>
        </w:rPr>
      </w:pPr>
    </w:p>
    <w:p w14:paraId="61BAC2C9" w14:textId="25EF3922" w:rsidR="00C85B70" w:rsidRPr="00C85B70" w:rsidRDefault="00C85B70" w:rsidP="00AD18E9">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The Rhode Island cases described below was precisely such a case: litigated by private plaintiffs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lawyers on behalf of the state itself as the party to the litigation.  </w:t>
      </w:r>
    </w:p>
    <w:p w14:paraId="38E2EC26" w14:textId="0869BD91" w:rsidR="00C85B70" w:rsidRPr="00C85B70" w:rsidRDefault="00C85B70" w:rsidP="00C85B70">
      <w:pPr>
        <w:tabs>
          <w:tab w:val="left" w:pos="6589"/>
        </w:tabs>
        <w:rPr>
          <w:rFonts w:ascii="Times New Roman" w:eastAsia="Times New Roman" w:hAnsi="Times New Roman" w:cs="Times New Roman"/>
          <w:lang w:eastAsia="en-US"/>
        </w:rPr>
      </w:pPr>
    </w:p>
    <w:p w14:paraId="748A5042" w14:textId="77777777" w:rsidR="00C85B70" w:rsidRPr="00C85B70" w:rsidRDefault="00C85B70" w:rsidP="00C85B70">
      <w:pPr>
        <w:tabs>
          <w:tab w:val="left" w:pos="456"/>
        </w:tabs>
        <w:rPr>
          <w:rFonts w:ascii="Times New Roman" w:eastAsia="Times New Roman" w:hAnsi="Times New Roman" w:cs="Times New Roman"/>
          <w:lang w:eastAsia="en-US"/>
        </w:rPr>
      </w:pPr>
    </w:p>
    <w:p w14:paraId="7935E7BD" w14:textId="77777777" w:rsidR="00C85B70" w:rsidRPr="002D4DB3" w:rsidRDefault="00C85B70" w:rsidP="002502CC">
      <w:pPr>
        <w:pStyle w:val="Heading4"/>
      </w:pPr>
      <w:bookmarkStart w:id="932" w:name="_Toc273668431"/>
      <w:bookmarkStart w:id="933" w:name="_Toc364636268"/>
      <w:bookmarkStart w:id="934" w:name="_Toc518323533"/>
      <w:r w:rsidRPr="002D4DB3">
        <w:t>The Rhode Island Lead Paint Saga</w:t>
      </w:r>
      <w:bookmarkEnd w:id="932"/>
      <w:bookmarkEnd w:id="933"/>
      <w:bookmarkEnd w:id="934"/>
    </w:p>
    <w:p w14:paraId="24082FEE" w14:textId="77777777" w:rsidR="00C85B70" w:rsidRPr="00C85B70" w:rsidRDefault="00C85B70" w:rsidP="00F94B7E">
      <w:pPr>
        <w:tabs>
          <w:tab w:val="left" w:pos="456"/>
        </w:tabs>
        <w:rPr>
          <w:rFonts w:ascii="Times New Roman" w:eastAsia="Times New Roman" w:hAnsi="Times New Roman" w:cs="Times New Roman"/>
          <w:lang w:eastAsia="en-US"/>
        </w:rPr>
      </w:pPr>
    </w:p>
    <w:p w14:paraId="69237116" w14:textId="33B72682" w:rsidR="00C85B70" w:rsidRPr="00C85B70" w:rsidRDefault="00C85B70" w:rsidP="00CB223A">
      <w:bookmarkStart w:id="935" w:name="_Toc518323534"/>
      <w:bookmarkStart w:id="936" w:name="_Toc364636269"/>
      <w:r w:rsidRPr="00CB223A">
        <w:rPr>
          <w:rStyle w:val="Heading5Char"/>
        </w:rPr>
        <w:t xml:space="preserve">Peter B. Lord, </w:t>
      </w:r>
      <w:r w:rsidR="00B05F31" w:rsidRPr="00CB223A">
        <w:rPr>
          <w:rStyle w:val="Heading5Char"/>
        </w:rPr>
        <w:t>“</w:t>
      </w:r>
      <w:r w:rsidRPr="00CB223A">
        <w:rPr>
          <w:rStyle w:val="Heading5Char"/>
        </w:rPr>
        <w:t>3 companies found liable in lead-paint nuisance suit,</w:t>
      </w:r>
      <w:r w:rsidR="00B05F31" w:rsidRPr="00CB223A">
        <w:rPr>
          <w:rStyle w:val="Heading5Char"/>
        </w:rPr>
        <w:t>”</w:t>
      </w:r>
      <w:r w:rsidRPr="00CB223A">
        <w:rPr>
          <w:rStyle w:val="Heading5Char"/>
        </w:rPr>
        <w:t xml:space="preserve"> Providence Journal</w:t>
      </w:r>
      <w:bookmarkEnd w:id="935"/>
      <w:r w:rsidRPr="00CB223A">
        <w:rPr>
          <w:rFonts w:ascii="Times New Roman" w:hAnsi="Times New Roman" w:cs="Times New Roman"/>
          <w:b/>
        </w:rPr>
        <w:t>, Thursday, February 23, 2006</w:t>
      </w:r>
      <w:bookmarkEnd w:id="936"/>
    </w:p>
    <w:p w14:paraId="0FB6389B" w14:textId="41056ADA" w:rsidR="00C85B70" w:rsidRPr="005B147F" w:rsidRDefault="750671CE" w:rsidP="750671CE">
      <w:pPr>
        <w:spacing w:before="100" w:beforeAutospacing="1" w:after="100" w:afterAutospacing="1"/>
        <w:rPr>
          <w:rFonts w:ascii="Times New Roman" w:eastAsia="Times New Roman" w:hAnsi="Times New Roman" w:cs="Times New Roman"/>
          <w:lang w:eastAsia="en-US"/>
        </w:rPr>
      </w:pPr>
      <w:r w:rsidRPr="00F94B7E">
        <w:rPr>
          <w:rFonts w:ascii="Times New Roman" w:eastAsia="Times New Roman,ＭＳ ゴシック" w:hAnsi="Times New Roman" w:cs="Times New Roman"/>
          <w:lang w:eastAsia="en-US"/>
        </w:rPr>
        <w:t>PROVIDENCE</w:t>
      </w:r>
      <w:r w:rsidRPr="005B147F">
        <w:rPr>
          <w:rFonts w:ascii="Times New Roman" w:eastAsia="Times New Roman" w:hAnsi="Times New Roman" w:cs="Times New Roman"/>
          <w:lang w:eastAsia="en-US"/>
        </w:rPr>
        <w:t xml:space="preserve"> </w:t>
      </w:r>
      <w:r w:rsidR="00AD18E9" w:rsidRPr="005B147F">
        <w:rPr>
          <w:rFonts w:ascii="Times New Roman" w:eastAsia="Times New Roman" w:hAnsi="Times New Roman" w:cs="Times New Roman"/>
          <w:lang w:eastAsia="en-US"/>
        </w:rPr>
        <w:t>—</w:t>
      </w:r>
      <w:r w:rsidRPr="00121DBE">
        <w:rPr>
          <w:rFonts w:ascii="Times New Roman" w:eastAsia="Times New Roman" w:hAnsi="Times New Roman" w:cs="Times New Roman"/>
          <w:lang w:eastAsia="en-US"/>
        </w:rPr>
        <w:t xml:space="preserve"> Six Rhode Islanders yesterday made up the first jury in the country to find major corporations liable for creating a public nuisance </w:t>
      </w:r>
      <w:r w:rsidRPr="00DB5930">
        <w:rPr>
          <w:rFonts w:ascii="Times New Roman" w:eastAsia="Times New Roman" w:hAnsi="Times New Roman" w:cs="Times New Roman"/>
          <w:lang w:eastAsia="en-US"/>
        </w:rPr>
        <w:t xml:space="preserve">by making lead-based paints that have poisoned thousands of children. The verdict may cost the companies billions of dollars. </w:t>
      </w:r>
    </w:p>
    <w:p w14:paraId="5CA63D17" w14:textId="77777777" w:rsidR="00C85B70" w:rsidRPr="00C85B70" w:rsidRDefault="750671CE" w:rsidP="00F94B7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jury ordered Sherwin Williams Co., Millennium Holdings and NL Industries to abate, or clean up, the paints that were used generations ago on thousands of Rhode Island homes. . . .</w:t>
      </w:r>
    </w:p>
    <w:p w14:paraId="708290B1" w14:textId="07E1040A" w:rsidR="00C85B70" w:rsidRPr="00C85B70" w:rsidRDefault="750671CE" w:rsidP="00F94B7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value of Sherwin Williams stock began to plummet within moments of the verdict. By the end of the day, the value of the company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shares dropped by nearly 18 percent</w:t>
      </w:r>
      <w:r w:rsidR="00FC791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loss totaling $1.3 billion.  The value of NL Industries stock dropped by 8 percent, for a total loss of $642 million. . . .</w:t>
      </w:r>
    </w:p>
    <w:p w14:paraId="5BF5C15F" w14:textId="77777777" w:rsidR="00C85B70" w:rsidRPr="00C85B70" w:rsidRDefault="750671CE" w:rsidP="00F94B7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73A1DD8C" w:rsidR="00C85B70" w:rsidRPr="00C85B70" w:rsidRDefault="750671CE" w:rsidP="750671CE">
      <w:pPr>
        <w:spacing w:before="100" w:beforeAutospacing="1" w:after="100" w:afterAutospacing="1"/>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t>
      </w:r>
      <w:r w:rsidR="00910387">
        <w:rPr>
          <w:rFonts w:ascii="Times New Roman" w:eastAsia="Times New Roman" w:hAnsi="Times New Roman" w:cs="Times New Roman"/>
          <w:lang w:eastAsia="en-US"/>
        </w:rPr>
        <w:tab/>
      </w:r>
      <w:r w:rsidRPr="750671CE">
        <w:rPr>
          <w:rFonts w:ascii="Times New Roman" w:eastAsia="Times New Roman" w:hAnsi="Times New Roman" w:cs="Times New Roman"/>
          <w:lang w:eastAsia="en-US"/>
        </w:rPr>
        <w:t xml:space="preserve"> . . . Attorney General Patrick C. Lynch . . . . pointed out that children continue to be poisoned by lead paints and there were victims in nearly every community in Rhode Island last year. . . . </w:t>
      </w:r>
    </w:p>
    <w:p w14:paraId="7CDBFB01" w14:textId="5E64BB1D" w:rsidR="00910387" w:rsidRDefault="750671CE" w:rsidP="00F94B7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losing companies had little to say. They issued a statement from spokesperson Bonnie Campbell that said,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This is but one step in a lengthy process and there are a number of issues still to be decided by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1E393D97" w14:textId="77777777" w:rsidR="00910387" w:rsidRPr="00C85B70" w:rsidRDefault="00910387" w:rsidP="00F94B7E">
      <w:pPr>
        <w:rPr>
          <w:rFonts w:ascii="Times New Roman" w:eastAsia="Times New Roman" w:hAnsi="Times New Roman" w:cs="Times New Roman"/>
          <w:lang w:eastAsia="en-US"/>
        </w:rPr>
      </w:pPr>
    </w:p>
    <w:p w14:paraId="23BD44E3" w14:textId="77777777" w:rsidR="00910387" w:rsidRDefault="00910387" w:rsidP="00F94B7E">
      <w:pPr>
        <w:rPr>
          <w:rFonts w:ascii="Times New Roman" w:eastAsia="Times New Roman" w:hAnsi="Times New Roman" w:cs="Times New Roman"/>
          <w:lang w:eastAsia="en-US"/>
        </w:rPr>
      </w:pPr>
    </w:p>
    <w:p w14:paraId="2F088A37" w14:textId="77777777" w:rsidR="00910387" w:rsidRDefault="00910387" w:rsidP="00F94B7E">
      <w:pPr>
        <w:rPr>
          <w:rFonts w:ascii="Times New Roman" w:eastAsia="Times New Roman" w:hAnsi="Times New Roman" w:cs="Times New Roman"/>
          <w:lang w:eastAsia="en-US"/>
        </w:rPr>
      </w:pPr>
    </w:p>
    <w:p w14:paraId="75AB19F9" w14:textId="77777777" w:rsidR="00910387" w:rsidRPr="00C85B70" w:rsidRDefault="00910387" w:rsidP="00F94B7E">
      <w:pPr>
        <w:rPr>
          <w:rFonts w:ascii="Times New Roman" w:eastAsia="Times New Roman" w:hAnsi="Times New Roman" w:cs="Times New Roman"/>
          <w:lang w:eastAsia="en-US"/>
        </w:rPr>
      </w:pPr>
    </w:p>
    <w:p w14:paraId="2B6F9B34" w14:textId="77777777" w:rsidR="00910387" w:rsidRPr="00C85B70" w:rsidRDefault="00910387" w:rsidP="00F94B7E">
      <w:pPr>
        <w:rPr>
          <w:rFonts w:ascii="Times New Roman" w:eastAsia="Times New Roman" w:hAnsi="Times New Roman" w:cs="Times New Roman"/>
          <w:lang w:eastAsia="en-US"/>
        </w:rPr>
      </w:pPr>
    </w:p>
    <w:p w14:paraId="5C236A2F" w14:textId="6FF6A385" w:rsidR="00C85B70" w:rsidRPr="00C85B70" w:rsidRDefault="750671CE" w:rsidP="750671CE">
      <w:pPr>
        <w:rPr>
          <w:rFonts w:ascii="Times New Roman" w:eastAsia="Times New Roman" w:hAnsi="Times New Roman" w:cs="Times New Roman"/>
          <w:b/>
          <w:bCs/>
          <w:lang w:eastAsia="en-US"/>
        </w:rPr>
      </w:pPr>
      <w:bookmarkStart w:id="937" w:name="_Toc518323535"/>
      <w:r w:rsidRPr="00840BC7">
        <w:rPr>
          <w:rStyle w:val="Heading5Char"/>
        </w:rPr>
        <w:t xml:space="preserve">Joe Nocera, </w:t>
      </w:r>
      <w:r w:rsidR="00B05F31" w:rsidRPr="00840BC7">
        <w:rPr>
          <w:rStyle w:val="Heading5Char"/>
        </w:rPr>
        <w:t>“</w:t>
      </w:r>
      <w:r w:rsidRPr="00840BC7">
        <w:rPr>
          <w:rStyle w:val="Heading5Char"/>
        </w:rPr>
        <w:t>The Pursuit of Justice, or Money?,</w:t>
      </w:r>
      <w:r w:rsidR="00B05F31" w:rsidRPr="00840BC7">
        <w:rPr>
          <w:rStyle w:val="Heading5Char"/>
        </w:rPr>
        <w:t>”</w:t>
      </w:r>
      <w:r w:rsidRPr="00840BC7">
        <w:rPr>
          <w:rStyle w:val="Heading5Char"/>
        </w:rPr>
        <w:t xml:space="preserve"> </w:t>
      </w:r>
      <w:r w:rsidRPr="00840BC7">
        <w:rPr>
          <w:rStyle w:val="Heading5Char"/>
          <w:smallCaps/>
        </w:rPr>
        <w:t>New York Times</w:t>
      </w:r>
      <w:bookmarkEnd w:id="937"/>
      <w:r w:rsidRPr="750671CE">
        <w:rPr>
          <w:rFonts w:ascii="Times New Roman" w:eastAsia="Times New Roman" w:hAnsi="Times New Roman" w:cs="Times New Roman"/>
          <w:b/>
          <w:bCs/>
          <w:lang w:eastAsia="en-US"/>
        </w:rPr>
        <w:t>, December 8, 2007</w:t>
      </w:r>
    </w:p>
    <w:p w14:paraId="55AD6244" w14:textId="15C6D5F5" w:rsidR="00C85B70" w:rsidRPr="00C85B70" w:rsidRDefault="00B05F31" w:rsidP="00F94B7E">
      <w:pPr>
        <w:spacing w:before="100" w:beforeAutospacing="1" w:after="100" w:afterAutospacing="1" w:line="286" w:lineRule="atLeast"/>
        <w:ind w:firstLine="720"/>
        <w:rPr>
          <w:rFonts w:ascii="Times New Roman" w:eastAsia="Times New Roman" w:hAnsi="Times New Roman" w:cs="Times New Roman"/>
          <w:color w:val="000000" w:themeColor="text1"/>
          <w:lang w:eastAsia="en-US"/>
        </w:rPr>
      </w:pPr>
      <w:r>
        <w:rPr>
          <w:rFonts w:ascii="Times New Roman" w:eastAsia="Times New Roman" w:hAnsi="Times New Roman" w:cs="Times New Roman"/>
          <w:color w:val="000000" w:themeColor="text1"/>
          <w:lang w:eastAsia="en-US"/>
        </w:rPr>
        <w:t>“</w:t>
      </w:r>
      <w:r w:rsidR="750671CE" w:rsidRPr="750671CE">
        <w:rPr>
          <w:rFonts w:ascii="Times New Roman" w:eastAsia="Times New Roman" w:hAnsi="Times New Roman" w:cs="Times New Roman"/>
          <w:color w:val="000000" w:themeColor="text1"/>
          <w:lang w:eastAsia="en-US"/>
        </w:rPr>
        <w:t>If I don</w:t>
      </w:r>
      <w:r>
        <w:rPr>
          <w:rFonts w:ascii="Times New Roman" w:eastAsia="Times New Roman" w:hAnsi="Times New Roman" w:cs="Times New Roman"/>
          <w:color w:val="000000" w:themeColor="text1"/>
          <w:lang w:eastAsia="en-US"/>
        </w:rPr>
        <w:t>’</w:t>
      </w:r>
      <w:r w:rsidR="750671CE" w:rsidRPr="750671CE">
        <w:rPr>
          <w:rFonts w:ascii="Times New Roman" w:eastAsia="Times New Roman" w:hAnsi="Times New Roman" w:cs="Times New Roman"/>
          <w:color w:val="000000" w:themeColor="text1"/>
          <w:lang w:eastAsia="en-US"/>
        </w:rPr>
        <w:t>t bring the lead paint industry to its knees in three years, I will give them my boat.</w:t>
      </w:r>
      <w:r>
        <w:rPr>
          <w:rFonts w:ascii="Times New Roman" w:eastAsia="Times New Roman" w:hAnsi="Times New Roman" w:cs="Times New Roman"/>
          <w:color w:val="000000" w:themeColor="text1"/>
          <w:lang w:eastAsia="en-US"/>
        </w:rPr>
        <w:t>”</w:t>
      </w:r>
    </w:p>
    <w:p w14:paraId="779FB8B2" w14:textId="7F8FDEA9" w:rsidR="00C85B70" w:rsidRPr="00C85B70" w:rsidRDefault="750671CE" w:rsidP="00F94B7E">
      <w:pPr>
        <w:spacing w:before="100" w:beforeAutospacing="1" w:after="100" w:afterAutospacing="1" w:line="286" w:lineRule="atLeast"/>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So declared Ronald L. Motley to The Dallas Morning News in the fall of 1999—and why not? In addition to being the owner of a very large yacht, Mr. Motley is also one of the country</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pre-eminent plaintiffs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lawyers, the titular head of the 70-lawyer firm Motley Rice, based in Charleston, S.C. . . . </w:t>
      </w:r>
    </w:p>
    <w:p w14:paraId="457D7761" w14:textId="19E4ED1D" w:rsidR="00C85B70" w:rsidRPr="00C85B70" w:rsidRDefault="750671CE" w:rsidP="00F94B7E">
      <w:pPr>
        <w:spacing w:before="100" w:beforeAutospacing="1" w:after="100" w:afterAutospacing="1" w:line="286" w:lineRule="atLeast"/>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understated—is $2.4 billion, with a hefty chunk of that going to the lawyers, of course. Never mind that for the vast majority of homes, the far better and cheaper solution is simply to keep them maintained. . . .</w:t>
      </w:r>
    </w:p>
    <w:p w14:paraId="7959A1AC" w14:textId="42B545C6" w:rsidR="00C85B70" w:rsidRPr="00C85B70" w:rsidRDefault="750671CE" w:rsidP="00F94B7E">
      <w:pPr>
        <w:spacing w:before="100" w:beforeAutospacing="1" w:after="100" w:afterAutospacing="1" w:line="286" w:lineRule="atLeast"/>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One thing I couldn</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 help wondering was why the gasoline makers weren</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C85B70" w:rsidRDefault="00B05F31" w:rsidP="00F94B7E">
      <w:pPr>
        <w:spacing w:before="100" w:beforeAutospacing="1" w:after="100" w:afterAutospacing="1" w:line="286" w:lineRule="atLeast"/>
        <w:ind w:firstLine="720"/>
        <w:rPr>
          <w:rFonts w:ascii="Times New Roman" w:eastAsia="Times New Roman" w:hAnsi="Times New Roman" w:cs="Times New Roman"/>
          <w:color w:val="000000" w:themeColor="text1"/>
          <w:lang w:eastAsia="en-US"/>
        </w:rPr>
      </w:pPr>
      <w:r>
        <w:rPr>
          <w:rFonts w:ascii="Times New Roman" w:eastAsia="Times New Roman" w:hAnsi="Times New Roman" w:cs="Times New Roman"/>
          <w:color w:val="000000" w:themeColor="text1"/>
          <w:lang w:eastAsia="en-US"/>
        </w:rPr>
        <w:t>“</w:t>
      </w:r>
      <w:r w:rsidR="750671CE" w:rsidRPr="750671CE">
        <w:rPr>
          <w:rFonts w:ascii="Times New Roman" w:eastAsia="Times New Roman" w:hAnsi="Times New Roman" w:cs="Times New Roman"/>
          <w:color w:val="000000" w:themeColor="text1"/>
          <w:lang w:eastAsia="en-US"/>
        </w:rPr>
        <w:t>I think there might be a suit like that filed next week,</w:t>
      </w:r>
      <w:r>
        <w:rPr>
          <w:rFonts w:ascii="Times New Roman" w:eastAsia="Times New Roman" w:hAnsi="Times New Roman" w:cs="Times New Roman"/>
          <w:color w:val="000000" w:themeColor="text1"/>
          <w:lang w:eastAsia="en-US"/>
        </w:rPr>
        <w:t>”</w:t>
      </w:r>
      <w:r w:rsidR="750671CE" w:rsidRPr="750671CE">
        <w:rPr>
          <w:rFonts w:ascii="Times New Roman" w:eastAsia="Times New Roman" w:hAnsi="Times New Roman" w:cs="Times New Roman"/>
          <w:color w:val="000000" w:themeColor="text1"/>
          <w:lang w:eastAsia="en-US"/>
        </w:rPr>
        <w:t xml:space="preserve"> he said.</w:t>
      </w:r>
    </w:p>
    <w:p w14:paraId="4906497A" w14:textId="77777777" w:rsidR="00C85B70" w:rsidRPr="00C85B70" w:rsidRDefault="00C85B70" w:rsidP="00C85B70">
      <w:pPr>
        <w:rPr>
          <w:rFonts w:ascii="Times New Roman" w:eastAsia="Times New Roman" w:hAnsi="Times New Roman" w:cs="Times New Roman"/>
          <w:b/>
          <w:lang w:eastAsia="en-US"/>
        </w:rPr>
      </w:pPr>
    </w:p>
    <w:p w14:paraId="113DBB8B" w14:textId="39317B72" w:rsidR="00C85B70" w:rsidRPr="00C85B70" w:rsidRDefault="750671CE" w:rsidP="750671CE">
      <w:pPr>
        <w:rPr>
          <w:rFonts w:ascii="Times New Roman" w:eastAsia="Times New Roman" w:hAnsi="Times New Roman" w:cs="Times New Roman"/>
          <w:b/>
          <w:bCs/>
          <w:lang w:eastAsia="en-US"/>
        </w:rPr>
      </w:pPr>
      <w:bookmarkStart w:id="938" w:name="_Toc518323536"/>
      <w:r w:rsidRPr="00840BC7">
        <w:rPr>
          <w:rStyle w:val="Heading5Char"/>
        </w:rPr>
        <w:t xml:space="preserve">Peter B. Lord, </w:t>
      </w:r>
      <w:r w:rsidR="00B05F31" w:rsidRPr="00840BC7">
        <w:rPr>
          <w:rStyle w:val="Heading5Char"/>
        </w:rPr>
        <w:t>“</w:t>
      </w:r>
      <w:r w:rsidRPr="00840BC7">
        <w:rPr>
          <w:rStyle w:val="Heading5Char"/>
        </w:rPr>
        <w:t>R.I. high court overturns lead-paint verdict,</w:t>
      </w:r>
      <w:r w:rsidR="00B05F31" w:rsidRPr="00840BC7">
        <w:rPr>
          <w:rStyle w:val="Heading5Char"/>
        </w:rPr>
        <w:t>”</w:t>
      </w:r>
      <w:r w:rsidRPr="00840BC7">
        <w:rPr>
          <w:rStyle w:val="Heading5Char"/>
        </w:rPr>
        <w:t xml:space="preserve"> </w:t>
      </w:r>
      <w:r w:rsidRPr="00840BC7">
        <w:rPr>
          <w:rStyle w:val="Heading5Char"/>
          <w:smallCaps/>
        </w:rPr>
        <w:t>Providence Journal</w:t>
      </w:r>
      <w:bookmarkEnd w:id="938"/>
      <w:r w:rsidRPr="750671CE">
        <w:rPr>
          <w:rFonts w:ascii="Times New Roman" w:eastAsia="Times New Roman" w:hAnsi="Times New Roman" w:cs="Times New Roman"/>
          <w:b/>
          <w:bCs/>
          <w:lang w:eastAsia="en-US"/>
        </w:rPr>
        <w:t>, July 2, 2008</w:t>
      </w:r>
    </w:p>
    <w:p w14:paraId="08507E65" w14:textId="77D32C28" w:rsidR="00C85B70" w:rsidRPr="00C85B70" w:rsidRDefault="750671CE" w:rsidP="750671CE">
      <w:pPr>
        <w:spacing w:before="100" w:beforeAutospacing="1" w:after="100" w:afterAutospacing="1"/>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PROVIDENCE — The Rhode Island Supreme Court yesterday brought an abrupt end to the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nine-year campaign to force some of the nation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major corporations to clean up the lead-based paints that the state believes poisoned tens of thousands of Rhode Island children. </w:t>
      </w:r>
    </w:p>
    <w:p w14:paraId="130D9354" w14:textId="77777777" w:rsidR="00C85B70" w:rsidRPr="00C85B70" w:rsidRDefault="750671CE" w:rsidP="00F94B7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Default="750671CE" w:rsidP="00F94B7E">
      <w:pPr>
        <w:spacing w:before="100" w:beforeAutospacing="1" w:after="100" w:afterAutospacing="1"/>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By day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end, the price of Sherwin Williams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stock rose 6.4 percent, while NL Industries was up 4.6 percent. </w:t>
      </w:r>
    </w:p>
    <w:p w14:paraId="55E2DF36" w14:textId="77777777" w:rsidR="00910387" w:rsidRPr="00C85B70" w:rsidRDefault="00910387" w:rsidP="00F94B7E">
      <w:pPr>
        <w:spacing w:before="100" w:beforeAutospacing="1" w:after="100" w:afterAutospacing="1"/>
        <w:ind w:firstLine="720"/>
        <w:rPr>
          <w:rFonts w:ascii="Times New Roman" w:eastAsia="Times New Roman" w:hAnsi="Times New Roman" w:cs="Times New Roman"/>
          <w:lang w:eastAsia="en-US"/>
        </w:rPr>
      </w:pPr>
    </w:p>
    <w:p w14:paraId="0DB6E884" w14:textId="2498006D" w:rsidR="00C85B70" w:rsidRPr="00C85B70" w:rsidRDefault="00C85B70" w:rsidP="00F94B7E">
      <w:pPr>
        <w:spacing w:before="100" w:beforeAutospacing="1" w:after="100" w:afterAutospacing="1"/>
        <w:ind w:firstLine="720"/>
        <w:rPr>
          <w:rFonts w:ascii="Times New Roman" w:eastAsia="Times New Roman" w:hAnsi="Times New Roman" w:cs="Times New Roman"/>
          <w:lang w:eastAsia="en-US"/>
        </w:rPr>
      </w:pPr>
    </w:p>
    <w:p w14:paraId="30BC45DB" w14:textId="66C024B0" w:rsidR="00C85B70" w:rsidRPr="00C85B70" w:rsidRDefault="00C85B70" w:rsidP="00840BC7">
      <w:pPr>
        <w:rPr>
          <w:rFonts w:eastAsia="Times New Roman"/>
          <w:b/>
          <w:bCs/>
        </w:rPr>
      </w:pPr>
      <w:bookmarkStart w:id="939" w:name="_Toc273668432"/>
      <w:bookmarkStart w:id="940" w:name="_Toc518323537"/>
      <w:r w:rsidRPr="00840BC7">
        <w:rPr>
          <w:rStyle w:val="Heading4Char"/>
        </w:rPr>
        <w:t>Rhode Island v. Lead Industries Association</w:t>
      </w:r>
      <w:bookmarkEnd w:id="939"/>
      <w:bookmarkEnd w:id="940"/>
      <w:r w:rsidR="0093755D" w:rsidRPr="750671CE">
        <w:rPr>
          <w:rFonts w:ascii="Times New Roman,Cambria" w:eastAsia="Times New Roman,Cambria" w:hAnsi="Times New Roman,Cambria" w:cs="Times New Roman,Cambria"/>
          <w:b/>
          <w:bCs/>
        </w:rPr>
        <w:t xml:space="preserve">, </w:t>
      </w:r>
      <w:r w:rsidRPr="00840BC7">
        <w:rPr>
          <w:rFonts w:ascii="Times New Roman" w:hAnsi="Times New Roman" w:cs="Times New Roman"/>
          <w:b/>
        </w:rPr>
        <w:t>951 A.2d 428 (R.I. 2008</w:t>
      </w:r>
      <w:r w:rsidRPr="00840BC7">
        <w:rPr>
          <w:rFonts w:ascii="Times New Roman" w:eastAsia="Times New Roman" w:hAnsi="Times New Roman" w:cs="Times New Roman"/>
          <w:b/>
          <w:bCs/>
        </w:rPr>
        <w:t>)</w:t>
      </w:r>
    </w:p>
    <w:p w14:paraId="7C858D01" w14:textId="77777777" w:rsidR="00C85B70" w:rsidRPr="00C85B70" w:rsidRDefault="00C85B70" w:rsidP="00C85B70">
      <w:pPr>
        <w:rPr>
          <w:rFonts w:ascii="Times New Roman" w:eastAsia="Times New Roman" w:hAnsi="Times New Roman" w:cs="Times New Roman"/>
          <w:lang w:eastAsia="en-US"/>
        </w:rPr>
      </w:pPr>
    </w:p>
    <w:p w14:paraId="2A7F5753" w14:textId="71980A3D"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 We agree with defendants that the public nuisance claim should have been dismissed at the outset because the state has not and cannot allege that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C85B70" w:rsidRDefault="00C85B70" w:rsidP="00C85B70">
      <w:pPr>
        <w:rPr>
          <w:rFonts w:ascii="Times New Roman" w:eastAsia="Times New Roman" w:hAnsi="Times New Roman" w:cs="Times New Roman"/>
          <w:lang w:eastAsia="en-US"/>
        </w:rPr>
      </w:pPr>
    </w:p>
    <w:p w14:paraId="7D55029E" w14:textId="540577C0" w:rsidR="00C85B70" w:rsidRPr="00C85B70" w:rsidRDefault="00B05F31" w:rsidP="00F94B7E">
      <w:pPr>
        <w:pStyle w:val="blockquote"/>
        <w:rPr>
          <w:lang w:eastAsia="en-US"/>
        </w:rPr>
      </w:pPr>
      <w:bookmarkStart w:id="941" w:name="citeas((Cite_as:_2008_WL_2605396,_*10_(R"/>
      <w:bookmarkStart w:id="942" w:name="sp_999_10"/>
      <w:bookmarkStart w:id="943" w:name="SDU_10"/>
      <w:bookmarkEnd w:id="941"/>
      <w:r>
        <w:rPr>
          <w:lang w:eastAsia="en-US"/>
        </w:rPr>
        <w:t>“</w:t>
      </w:r>
      <w:r w:rsidR="00C85B70" w:rsidRPr="00C85B70">
        <w:rPr>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Pr>
          <w:lang w:eastAsia="en-US"/>
        </w:rPr>
        <w:t>”</w:t>
      </w:r>
      <w:r w:rsidR="00C85B70" w:rsidRPr="00C85B70">
        <w:rPr>
          <w:lang w:eastAsia="en-US"/>
        </w:rPr>
        <w:t xml:space="preserve"> </w:t>
      </w:r>
      <w:r w:rsidR="00C85B70" w:rsidRPr="750671CE">
        <w:rPr>
          <w:i/>
          <w:iCs/>
          <w:lang w:eastAsia="en-US"/>
        </w:rPr>
        <w:t>Ryan v. Roman Catholic Bishop of Providence,</w:t>
      </w:r>
      <w:r w:rsidR="00C85B70" w:rsidRPr="00C85B70">
        <w:rPr>
          <w:lang w:eastAsia="en-US"/>
        </w:rPr>
        <w:t xml:space="preserve"> 941 A.2d 174, 188 (R.I.2008).</w:t>
      </w:r>
    </w:p>
    <w:p w14:paraId="41525505" w14:textId="77777777" w:rsidR="00C85B70" w:rsidRDefault="00C85B70" w:rsidP="00F94B7E">
      <w:pPr>
        <w:rPr>
          <w:rFonts w:ascii="Times New Roman" w:eastAsia="Times New Roman" w:hAnsi="Times New Roman" w:cs="Times New Roman"/>
          <w:lang w:eastAsia="en-US"/>
        </w:rPr>
      </w:pPr>
    </w:p>
    <w:p w14:paraId="3A96F7D9" w14:textId="77777777" w:rsidR="00C706FA" w:rsidRPr="00C85B70" w:rsidRDefault="00C706FA" w:rsidP="00F94B7E">
      <w:pPr>
        <w:rPr>
          <w:rFonts w:ascii="Times New Roman" w:eastAsia="Times New Roman" w:hAnsi="Times New Roman" w:cs="Times New Roman"/>
          <w:lang w:eastAsia="en-US"/>
        </w:rPr>
      </w:pPr>
    </w:p>
    <w:p w14:paraId="6FB6E1C6" w14:textId="70CFDDCF" w:rsidR="00C85B70" w:rsidRPr="00C85B70" w:rsidRDefault="750671CE" w:rsidP="00F94B7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1</w:t>
      </w:r>
      <w:r w:rsidR="00C706FA">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History of Public Nuisance</w:t>
      </w:r>
    </w:p>
    <w:p w14:paraId="56004936" w14:textId="77777777" w:rsidR="00C85B70" w:rsidRPr="00C85B70" w:rsidRDefault="00C85B70" w:rsidP="00C85B70">
      <w:pPr>
        <w:jc w:val="center"/>
        <w:rPr>
          <w:rFonts w:ascii="Times New Roman" w:eastAsia="Times New Roman" w:hAnsi="Times New Roman" w:cs="Times New Roman"/>
          <w:lang w:eastAsia="en-US"/>
        </w:rPr>
      </w:pPr>
    </w:p>
    <w:p w14:paraId="64058630" w14:textId="6CE571CE" w:rsidR="00C85B70" w:rsidRPr="00C85B70" w:rsidRDefault="00C85B70" w:rsidP="750671CE">
      <w:pPr>
        <w:ind w:firstLine="720"/>
        <w:rPr>
          <w:rFonts w:ascii="Times New Roman" w:eastAsia="Times New Roman" w:hAnsi="Times New Roman" w:cs="Times New Roman"/>
          <w:lang w:eastAsia="en-US"/>
        </w:rPr>
      </w:pPr>
      <w:bookmarkStart w:id="944" w:name="sp_999_11"/>
      <w:bookmarkStart w:id="945" w:name="SDU_11"/>
      <w:bookmarkEnd w:id="942"/>
      <w:bookmarkEnd w:id="943"/>
      <w:r w:rsidRPr="00C85B70">
        <w:rPr>
          <w:rFonts w:ascii="Times New Roman" w:eastAsia="Times New Roman" w:hAnsi="Times New Roman" w:cs="Times New Roman"/>
          <w:lang w:eastAsia="en-US"/>
        </w:rPr>
        <w:t xml:space="preserve">. . .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At common law public nuisance came to cover a large, miscellaneous and diversified group of minor offenses </w:t>
      </w:r>
      <w:r w:rsidR="00AD18E9">
        <w:rPr>
          <w:rFonts w:ascii="Times New Roman" w:eastAsia="Times New Roman" w:hAnsi="Times New Roman" w:cs="Times New Roman"/>
          <w:lang w:eastAsia="en-US"/>
        </w:rPr>
        <w:t xml:space="preserve">. . </w:t>
      </w:r>
      <w:r w:rsidRPr="00C85B70">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 xml:space="preserve">Restatement (Second) </w:t>
      </w:r>
      <w:r w:rsidRPr="00F94B7E">
        <w:rPr>
          <w:rFonts w:ascii="Times New Roman" w:eastAsia="Times New Roman" w:hAnsi="Times New Roman" w:cs="Times New Roman"/>
          <w:iCs/>
          <w:smallCaps/>
          <w:lang w:eastAsia="en-US"/>
        </w:rPr>
        <w:t>Torts</w:t>
      </w:r>
      <w:r w:rsidRPr="00C85B70">
        <w:rPr>
          <w:rFonts w:ascii="Times New Roman" w:eastAsia="Times New Roman" w:hAnsi="Times New Roman" w:cs="Times New Roman"/>
          <w:lang w:eastAsia="en-US"/>
        </w:rPr>
        <w:t xml:space="preserve"> § 821B, cmt. b at 40. Notably, all these offenses involved an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interference with the interests of the community at large-interests that were recognized as rights of the general public entitled to protection.</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Id.</w:t>
      </w:r>
    </w:p>
    <w:p w14:paraId="42F9DD04" w14:textId="77777777" w:rsidR="00C85B70" w:rsidRPr="00C85B70" w:rsidRDefault="00C85B70" w:rsidP="00C85B70">
      <w:pPr>
        <w:rPr>
          <w:rFonts w:ascii="Times New Roman" w:eastAsia="Times New Roman" w:hAnsi="Times New Roman" w:cs="Times New Roman"/>
          <w:lang w:eastAsia="en-US"/>
        </w:rPr>
      </w:pPr>
    </w:p>
    <w:p w14:paraId="06A0CCC8" w14:textId="76B50DB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Public nuisance as it existed in English common law made its way to Colonial America without change. . . .</w:t>
      </w:r>
      <w:r w:rsidR="00746162">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F94B7E">
        <w:rPr>
          <w:rFonts w:ascii="Times New Roman" w:eastAsia="Times New Roman" w:hAnsi="Times New Roman" w:cs="Times New Roman"/>
          <w:smallCaps/>
          <w:lang w:eastAsia="en-US"/>
        </w:rPr>
        <w:t>Restatement (Second) Torts</w:t>
      </w:r>
      <w:r w:rsidRPr="750671CE">
        <w:rPr>
          <w:rFonts w:ascii="Times New Roman" w:eastAsia="Times New Roman" w:hAnsi="Times New Roman" w:cs="Times New Roman"/>
          <w:lang w:eastAsia="en-US"/>
        </w:rPr>
        <w:t xml:space="preserve"> § 821B, cmt. c at 88. . . .</w:t>
      </w:r>
    </w:p>
    <w:p w14:paraId="01926F54" w14:textId="77777777" w:rsidR="00F90BB4" w:rsidRPr="00C85B70" w:rsidRDefault="00F90BB4">
      <w:pPr>
        <w:rPr>
          <w:rFonts w:ascii="Times New Roman" w:eastAsia="Times New Roman" w:hAnsi="Times New Roman" w:cs="Times New Roman"/>
          <w:lang w:eastAsia="en-US"/>
        </w:rPr>
      </w:pPr>
    </w:p>
    <w:p w14:paraId="6C83C2B4" w14:textId="77777777" w:rsidR="00C85B70" w:rsidRPr="00C85B70" w:rsidRDefault="00C85B70" w:rsidP="00F94B7E">
      <w:pPr>
        <w:rPr>
          <w:rFonts w:ascii="Times New Roman" w:eastAsia="Times New Roman" w:hAnsi="Times New Roman" w:cs="Times New Roman"/>
          <w:lang w:eastAsia="en-US"/>
        </w:rPr>
      </w:pPr>
    </w:p>
    <w:p w14:paraId="1E694A1C" w14:textId="1ADCE919" w:rsidR="00C85B70" w:rsidRPr="00C85B70" w:rsidRDefault="750671CE" w:rsidP="00F94B7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2</w:t>
      </w:r>
      <w:r w:rsidR="00C706FA">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Public Nuisance in Rhode Island</w:t>
      </w:r>
    </w:p>
    <w:p w14:paraId="484CD9DB" w14:textId="77777777" w:rsidR="00C85B70" w:rsidRPr="00C85B70" w:rsidRDefault="00C85B70" w:rsidP="00C85B70">
      <w:pPr>
        <w:rPr>
          <w:rFonts w:ascii="Times New Roman" w:eastAsia="Times New Roman" w:hAnsi="Times New Roman" w:cs="Times New Roman"/>
          <w:lang w:eastAsia="en-US"/>
        </w:rPr>
      </w:pPr>
    </w:p>
    <w:bookmarkEnd w:id="944"/>
    <w:bookmarkEnd w:id="945"/>
    <w:p w14:paraId="474E7D8D" w14:textId="66E8900E"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As the law of public nuisance began to take hold in Rhode Island, it reflected the principle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so long ago laid down by Lord Holt,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 every case where a statute enacts or prohibits a thing for the benefit of a person, he shall have a remedy upon the same statute for the thing enacted for his advantage, or for the recompense of the wrong done to him contrary to the said law.</w:t>
      </w:r>
      <w:r w:rsidR="00B05F31">
        <w:rPr>
          <w:rFonts w:ascii="Times New Roman" w:eastAsia="Times New Roman" w:hAnsi="Times New Roman" w:cs="Times New Roman"/>
          <w:lang w:eastAsia="en-US"/>
        </w:rPr>
        <w:t>’</w:t>
      </w:r>
      <w:r w:rsidR="00C706F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Aldrich v. Howard,</w:t>
      </w:r>
      <w:r w:rsidRPr="750671CE">
        <w:rPr>
          <w:rFonts w:ascii="Times New Roman" w:eastAsia="Times New Roman" w:hAnsi="Times New Roman" w:cs="Times New Roman"/>
          <w:lang w:eastAsia="en-US"/>
        </w:rPr>
        <w:t xml:space="preserve"> 7 R.I. 199, 213 (1862) (quoting </w:t>
      </w:r>
      <w:r w:rsidRPr="750671CE">
        <w:rPr>
          <w:rFonts w:ascii="Times New Roman" w:eastAsia="Times New Roman" w:hAnsi="Times New Roman" w:cs="Times New Roman"/>
          <w:i/>
          <w:iCs/>
          <w:lang w:eastAsia="en-US"/>
        </w:rPr>
        <w:t>Couch v. Steel,</w:t>
      </w:r>
      <w:r w:rsidRPr="750671CE">
        <w:rPr>
          <w:rFonts w:ascii="Times New Roman" w:eastAsia="Times New Roman" w:hAnsi="Times New Roman" w:cs="Times New Roman"/>
          <w:lang w:eastAsia="en-US"/>
        </w:rPr>
        <w:t xml:space="preserve"> 3 Ellis and Blackburn, (77 Eng. C.L.R.) 411). Some of Rhode Island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earliest cases involved activities designated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common nuisances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by the General Assembly. Those cases recognized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public nuisance becomes a private one to him who is specially and in some particular way inconvenienced thereby * * *.</w:t>
      </w:r>
      <w:r w:rsidR="00B05F31">
        <w:rPr>
          <w:rFonts w:ascii="Times New Roman" w:eastAsia="Times New Roman" w:hAnsi="Times New Roman" w:cs="Times New Roman"/>
          <w:lang w:eastAsia="en-US"/>
        </w:rPr>
        <w:t>’</w:t>
      </w:r>
      <w:r w:rsidR="00C706F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State v. Keeran,</w:t>
      </w:r>
      <w:r w:rsidRPr="750671CE">
        <w:rPr>
          <w:rFonts w:ascii="Times New Roman" w:eastAsia="Times New Roman" w:hAnsi="Times New Roman" w:cs="Times New Roman"/>
          <w:lang w:eastAsia="en-US"/>
        </w:rPr>
        <w:t xml:space="preserve"> 5 R.I. 497, 511 (1858). </w:t>
      </w:r>
      <w:r w:rsidRPr="750671CE">
        <w:rPr>
          <w:rFonts w:ascii="Times New Roman" w:eastAsia="Times New Roman" w:hAnsi="Times New Roman" w:cs="Times New Roman"/>
          <w:i/>
          <w:iCs/>
          <w:lang w:eastAsia="en-US"/>
        </w:rPr>
        <w:t>See also State v. Paul,</w:t>
      </w:r>
      <w:r w:rsidRPr="750671CE">
        <w:rPr>
          <w:rFonts w:ascii="Times New Roman" w:eastAsia="Times New Roman" w:hAnsi="Times New Roman" w:cs="Times New Roman"/>
          <w:lang w:eastAsia="en-US"/>
        </w:rPr>
        <w:t xml:space="preserve"> 5 R.I. 185, 194 (1858) (an action for abatement of a public nuisance may be brought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by those who are specially injured or obstructed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t>
      </w:r>
    </w:p>
    <w:p w14:paraId="29335FA5" w14:textId="77777777" w:rsidR="00C85B70" w:rsidRPr="00C85B70" w:rsidRDefault="00C85B70" w:rsidP="00C85B70">
      <w:pPr>
        <w:rPr>
          <w:rFonts w:ascii="Times New Roman" w:eastAsia="Times New Roman" w:hAnsi="Times New Roman" w:cs="Times New Roman"/>
          <w:lang w:eastAsia="en-US"/>
        </w:rPr>
      </w:pPr>
    </w:p>
    <w:p w14:paraId="32E8F31E" w14:textId="4AA52230" w:rsidR="00C85B70" w:rsidRPr="00C85B70" w:rsidRDefault="00C85B70" w:rsidP="750671CE">
      <w:pPr>
        <w:ind w:firstLine="720"/>
        <w:rPr>
          <w:rFonts w:ascii="Times New Roman" w:eastAsia="Times New Roman" w:hAnsi="Times New Roman" w:cs="Times New Roman"/>
          <w:lang w:eastAsia="en-US"/>
        </w:rPr>
      </w:pPr>
      <w:bookmarkStart w:id="946" w:name="citeas((Cite_as:_2008_WL_2605396,_*12_(R"/>
      <w:bookmarkStart w:id="947" w:name="sp_999_12"/>
      <w:bookmarkStart w:id="948" w:name="SDU_12"/>
      <w:bookmarkEnd w:id="946"/>
      <w:r w:rsidRPr="00C85B70">
        <w:rPr>
          <w:rFonts w:ascii="Times New Roman" w:eastAsia="Times New Roman" w:hAnsi="Times New Roman" w:cs="Times New Roman"/>
          <w:lang w:eastAsia="en-US"/>
        </w:rPr>
        <w:t xml:space="preserve">In Rhode Island, actions to abate public nuisances originally were brought in the form of an indictment. </w:t>
      </w:r>
      <w:r w:rsidRPr="750671CE">
        <w:rPr>
          <w:rFonts w:ascii="Times New Roman" w:eastAsia="Times New Roman" w:hAnsi="Times New Roman" w:cs="Times New Roman"/>
          <w:i/>
          <w:iCs/>
          <w:lang w:eastAsia="en-US"/>
        </w:rPr>
        <w:t>Keeran,</w:t>
      </w:r>
      <w:r w:rsidRPr="00C85B70">
        <w:rPr>
          <w:rFonts w:ascii="Times New Roman" w:eastAsia="Times New Roman" w:hAnsi="Times New Roman" w:cs="Times New Roman"/>
          <w:lang w:eastAsia="en-US"/>
        </w:rPr>
        <w:t xml:space="preserve"> 5 R.I. at 511; </w:t>
      </w:r>
      <w:r w:rsidRPr="750671CE">
        <w:rPr>
          <w:rFonts w:ascii="Times New Roman" w:eastAsia="Times New Roman" w:hAnsi="Times New Roman" w:cs="Times New Roman"/>
          <w:i/>
          <w:iCs/>
          <w:lang w:eastAsia="en-US"/>
        </w:rPr>
        <w:t>Paul,</w:t>
      </w:r>
      <w:r w:rsidRPr="00C85B70">
        <w:rPr>
          <w:rFonts w:ascii="Times New Roman" w:eastAsia="Times New Roman" w:hAnsi="Times New Roman" w:cs="Times New Roman"/>
          <w:lang w:eastAsia="en-US"/>
        </w:rPr>
        <w:t xml:space="preserve"> 5 R.I. at 194. Today, the state Attorney General is empowered to bring actions to abate public nuisances. </w:t>
      </w:r>
      <w:r w:rsidRPr="750671CE">
        <w:rPr>
          <w:rFonts w:ascii="Times New Roman" w:eastAsia="Times New Roman" w:hAnsi="Times New Roman" w:cs="Times New Roman"/>
          <w:i/>
          <w:iCs/>
          <w:lang w:eastAsia="en-US"/>
        </w:rPr>
        <w:t>See</w:t>
      </w:r>
      <w:r w:rsidRPr="00C85B70">
        <w:rPr>
          <w:rFonts w:ascii="Times New Roman" w:eastAsia="Times New Roman" w:hAnsi="Times New Roman" w:cs="Times New Roman"/>
          <w:lang w:eastAsia="en-US"/>
        </w:rPr>
        <w:t xml:space="preserve"> G.L. 1956 § 42-9-2 (vesting the Attorney General with the power to commence a public nuisance suit) and G.L. 1956 § 10-1-1 (providing that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[w]henever a nuisance is alleged to exist, the attorney general </w:t>
      </w:r>
      <w:r w:rsidR="00AD18E9">
        <w:rPr>
          <w:rFonts w:ascii="Times New Roman" w:eastAsia="Times New Roman" w:hAnsi="Times New Roman" w:cs="Times New Roman"/>
          <w:lang w:eastAsia="en-US"/>
        </w:rPr>
        <w:t>. . .</w:t>
      </w:r>
      <w:r w:rsidRPr="00C85B70">
        <w:rPr>
          <w:rFonts w:ascii="Times New Roman" w:eastAsia="Times New Roman" w:hAnsi="Times New Roman" w:cs="Times New Roman"/>
          <w:lang w:eastAsia="en-US"/>
        </w:rPr>
        <w:t xml:space="preserve"> may bring an action in the name of the state </w:t>
      </w:r>
      <w:r w:rsidR="00AD18E9">
        <w:rPr>
          <w:rFonts w:ascii="Times New Roman" w:eastAsia="Times New Roman" w:hAnsi="Times New Roman" w:cs="Times New Roman"/>
          <w:lang w:eastAsia="en-US"/>
        </w:rPr>
        <w:t>. . .</w:t>
      </w:r>
      <w:r w:rsidRPr="00C85B70">
        <w:rPr>
          <w:rFonts w:ascii="Times New Roman" w:eastAsia="Times New Roman" w:hAnsi="Times New Roman" w:cs="Times New Roman"/>
          <w:lang w:eastAsia="en-US"/>
        </w:rPr>
        <w:t xml:space="preserve"> to abate the nuisance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w:t>
      </w:r>
    </w:p>
    <w:p w14:paraId="2DC385E3" w14:textId="77777777" w:rsidR="00C85B70" w:rsidRPr="00C85B70" w:rsidRDefault="00C85B70" w:rsidP="00C85B70">
      <w:pPr>
        <w:ind w:firstLine="238"/>
        <w:rPr>
          <w:rFonts w:ascii="Times New Roman" w:eastAsia="Times New Roman" w:hAnsi="Times New Roman" w:cs="Times New Roman"/>
          <w:lang w:eastAsia="en-US"/>
        </w:rPr>
      </w:pPr>
    </w:p>
    <w:p w14:paraId="40F433F3" w14:textId="77777777" w:rsidR="00C85B70" w:rsidRPr="00C85B70" w:rsidRDefault="00C85B70" w:rsidP="00F94B7E">
      <w:pPr>
        <w:rPr>
          <w:rFonts w:ascii="Times New Roman" w:eastAsia="Times New Roman" w:hAnsi="Times New Roman" w:cs="Times New Roman"/>
          <w:lang w:eastAsia="en-US"/>
        </w:rPr>
      </w:pPr>
      <w:bookmarkStart w:id="949" w:name="#HN;F9"/>
      <w:bookmarkEnd w:id="949"/>
      <w:r w:rsidRPr="00C85B70">
        <w:rPr>
          <w:rFonts w:ascii="Times New Roman" w:eastAsia="Times New Roman" w:hAnsi="Times New Roman" w:cs="Times New Roman"/>
          <w:lang w:eastAsia="en-US"/>
        </w:rPr>
        <w:t>. . .</w:t>
      </w:r>
    </w:p>
    <w:p w14:paraId="7379CCFD" w14:textId="77777777" w:rsidR="00C85B70" w:rsidRPr="00C85B70" w:rsidRDefault="00C85B70" w:rsidP="00C85B70">
      <w:pPr>
        <w:rPr>
          <w:rFonts w:ascii="Times New Roman" w:eastAsia="Times New Roman" w:hAnsi="Times New Roman" w:cs="Times New Roman"/>
          <w:lang w:eastAsia="en-US"/>
        </w:rPr>
      </w:pPr>
      <w:bookmarkStart w:id="950" w:name="#HN;F11"/>
      <w:bookmarkStart w:id="951" w:name="B122016453274"/>
      <w:bookmarkEnd w:id="947"/>
      <w:bookmarkEnd w:id="948"/>
      <w:bookmarkEnd w:id="950"/>
      <w:bookmarkEnd w:id="951"/>
    </w:p>
    <w:p w14:paraId="22B9EC57" w14:textId="28DB61A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Court has defined public nuisance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unreasonable interference with a right common to the general public.</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[I]t is behavior that unreasonably interferes with the health, safety, peace, comfort or convenience of the general community.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 xml:space="preserve"> . . .  </w:t>
      </w:r>
      <w:r w:rsidRPr="750671CE">
        <w:rPr>
          <w:rFonts w:ascii="Times New Roman" w:eastAsia="Times New Roman" w:hAnsi="Times New Roman" w:cs="Times New Roman"/>
          <w:lang w:eastAsia="en-US"/>
        </w:rPr>
        <w:t xml:space="preserve">Put another way,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public nuisance is an act or omission which obstructs or causes inconvenience or damage to the public in the exercise of rights common to all.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 . .</w:t>
      </w:r>
      <w:r w:rsidRPr="750671CE">
        <w:rPr>
          <w:rFonts w:ascii="Times New Roman" w:eastAsia="Times New Roman" w:hAnsi="Times New Roman" w:cs="Times New Roman"/>
          <w:i/>
          <w:iCs/>
          <w:lang w:eastAsia="en-US"/>
        </w:rPr>
        <w:t xml:space="preserve"> </w:t>
      </w:r>
    </w:p>
    <w:p w14:paraId="3E37A64E" w14:textId="77777777" w:rsidR="00C85B70" w:rsidRPr="00C85B70" w:rsidRDefault="00C85B70" w:rsidP="00C85B70">
      <w:pPr>
        <w:rPr>
          <w:rFonts w:ascii="Times New Roman" w:eastAsia="Times New Roman" w:hAnsi="Times New Roman" w:cs="Times New Roman"/>
          <w:lang w:eastAsia="en-US"/>
        </w:rPr>
      </w:pPr>
      <w:bookmarkStart w:id="952" w:name="citeas((Cite_as:_2008_WL_2605396,_*13_(R"/>
      <w:bookmarkStart w:id="953" w:name="sp_999_13"/>
      <w:bookmarkStart w:id="954" w:name="SDU_13"/>
      <w:bookmarkEnd w:id="952"/>
    </w:p>
    <w:p w14:paraId="77F3E0A4"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953"/>
    <w:bookmarkEnd w:id="954"/>
    <w:p w14:paraId="59C76106" w14:textId="1EB3160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necessary element of public nuisance is an interference with a public right</w:t>
      </w:r>
      <w:r w:rsidR="00C706F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those indivisible resources shared by the public at large, such as air, water, or public rights of way. The interference must deprive all members of the community of a right to some resource to which they otherwise are entitled.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 xml:space="preserve">Restatement (Second) </w:t>
      </w:r>
      <w:r w:rsidRPr="00F94B7E">
        <w:rPr>
          <w:rFonts w:ascii="Times New Roman" w:eastAsia="Times New Roman" w:hAnsi="Times New Roman" w:cs="Times New Roman"/>
          <w:iCs/>
          <w:smallCaps/>
          <w:lang w:eastAsia="en-US"/>
        </w:rPr>
        <w:t>Torts</w:t>
      </w:r>
      <w:r w:rsidRPr="750671CE">
        <w:rPr>
          <w:rFonts w:ascii="Times New Roman" w:eastAsia="Times New Roman" w:hAnsi="Times New Roman" w:cs="Times New Roman"/>
          <w:lang w:eastAsia="en-US"/>
        </w:rPr>
        <w:t xml:space="preserve"> § 821B, cmt. g at 92. The </w:t>
      </w:r>
      <w:r w:rsidRPr="00F94B7E">
        <w:rPr>
          <w:rFonts w:ascii="Times New Roman" w:eastAsia="Times New Roman" w:hAnsi="Times New Roman" w:cs="Times New Roman"/>
          <w:i/>
          <w:lang w:eastAsia="en-US"/>
        </w:rPr>
        <w:t>Restatement (Second)</w:t>
      </w:r>
      <w:r w:rsidRPr="750671CE">
        <w:rPr>
          <w:rFonts w:ascii="Times New Roman" w:eastAsia="Times New Roman" w:hAnsi="Times New Roman" w:cs="Times New Roman"/>
          <w:lang w:eastAsia="en-US"/>
        </w:rPr>
        <w:t xml:space="preserve"> provides much guidance in ascertaining the fine distinction between a public right and an aggregation of private rights.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Conduct does not become a public nuisance merely because it interferes with the use and enjoyment of land by a large number of persons.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 xml:space="preserve"> . . .</w:t>
      </w:r>
    </w:p>
    <w:p w14:paraId="50E1FB5F" w14:textId="77777777" w:rsidR="00C85B70" w:rsidRPr="00C85B70" w:rsidRDefault="00C85B70" w:rsidP="00C85B70">
      <w:pPr>
        <w:rPr>
          <w:rFonts w:ascii="Times New Roman" w:eastAsia="Times New Roman" w:hAnsi="Times New Roman" w:cs="Times New Roman"/>
          <w:lang w:eastAsia="en-US"/>
        </w:rPr>
      </w:pPr>
    </w:p>
    <w:p w14:paraId="08753D56" w14:textId="764D002D" w:rsidR="00C85B70" w:rsidRPr="00C85B70" w:rsidRDefault="00C85B70" w:rsidP="750671CE">
      <w:pPr>
        <w:ind w:firstLine="720"/>
        <w:rPr>
          <w:rFonts w:ascii="Times New Roman" w:eastAsia="Times New Roman" w:hAnsi="Times New Roman" w:cs="Times New Roman"/>
          <w:lang w:eastAsia="en-US"/>
        </w:rPr>
      </w:pPr>
      <w:bookmarkStart w:id="955" w:name="citeas((Cite_as:_2008_WL_2605396,_*21_(R"/>
      <w:bookmarkStart w:id="956" w:name="sp_999_21"/>
      <w:bookmarkStart w:id="957" w:name="SDU_21"/>
      <w:bookmarkEnd w:id="955"/>
      <w:r w:rsidRPr="00C85B70">
        <w:rPr>
          <w:rFonts w:ascii="Times New Roman" w:eastAsia="Times New Roman" w:hAnsi="Times New Roman" w:cs="Times New Roman"/>
          <w:lang w:eastAsia="en-US"/>
        </w:rPr>
        <w:t>Although the state asserts that the public</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right to be free from the hazards of unabated lead had been infringed, this contention falls far short of alleging an interference with a public right as that term traditionally has been understood in the law of public nuisance. The state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allegation that defendants have interfered with the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health, safety, peace, comfort or convenience of the residents of the [s]tate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standing alone does not constitute an allegation of interference with a public right. </w:t>
      </w:r>
      <w:r w:rsidRPr="750671CE">
        <w:rPr>
          <w:rFonts w:ascii="Times New Roman" w:eastAsia="Times New Roman" w:hAnsi="Times New Roman" w:cs="Times New Roman"/>
          <w:lang w:eastAsia="en-US"/>
        </w:rPr>
        <w:t xml:space="preserve">. . . </w:t>
      </w:r>
      <w:r w:rsidRPr="00C85B70">
        <w:rPr>
          <w:rFonts w:ascii="Times New Roman" w:eastAsia="Times New Roman" w:hAnsi="Times New Roman" w:cs="Times New Roman"/>
          <w:lang w:eastAsia="en-US"/>
        </w:rPr>
        <w:t xml:space="preserve"> The term public right is reserved more appropriately for those indivisible resources shared by the public at large, such as air, water, or public rights of way. </w:t>
      </w:r>
      <w:r w:rsidRPr="750671CE">
        <w:rPr>
          <w:rFonts w:ascii="Times New Roman" w:eastAsia="Times New Roman" w:hAnsi="Times New Roman" w:cs="Times New Roman"/>
          <w:lang w:eastAsia="en-US"/>
        </w:rPr>
        <w:t>. . .</w:t>
      </w:r>
      <w:r w:rsidRPr="750671CE">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lang w:eastAsia="en-US"/>
        </w:rPr>
        <w:t xml:space="preserve">Expanding the definition of public right based on the allegations in the complaint would be antithetical to the common law and would lead to a widespread expansion of public nuisance law that never was intended, as we discuss </w:t>
      </w:r>
      <w:r w:rsidRPr="750671CE">
        <w:rPr>
          <w:rFonts w:ascii="Times New Roman" w:eastAsia="Times New Roman" w:hAnsi="Times New Roman" w:cs="Times New Roman"/>
          <w:i/>
          <w:iCs/>
          <w:lang w:eastAsia="en-US"/>
        </w:rPr>
        <w:t>infra.</w:t>
      </w:r>
      <w:r w:rsidRPr="00C85B70">
        <w:rPr>
          <w:rFonts w:ascii="Times New Roman" w:eastAsia="Times New Roman" w:hAnsi="Times New Roman" w:cs="Times New Roman"/>
          <w:lang w:eastAsia="en-US"/>
        </w:rPr>
        <w:t xml:space="preserve"> In declining to adopt such a widespread expansion of the law, we are mindful of the words of Edmund Burke that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bad laws are the worst sort of tyranny.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1 Edmund Burke, </w:t>
      </w:r>
      <w:r w:rsidRPr="750671CE">
        <w:rPr>
          <w:rFonts w:ascii="Times New Roman" w:eastAsia="Times New Roman" w:hAnsi="Times New Roman" w:cs="Times New Roman"/>
          <w:i/>
          <w:iCs/>
          <w:lang w:eastAsia="en-US"/>
        </w:rPr>
        <w:t>The Works of Edmund Burke: With a Memoir</w:t>
      </w:r>
      <w:r w:rsidRPr="00C85B70">
        <w:rPr>
          <w:rFonts w:ascii="Times New Roman" w:eastAsia="Times New Roman" w:hAnsi="Times New Roman" w:cs="Times New Roman"/>
          <w:lang w:eastAsia="en-US"/>
        </w:rPr>
        <w:t xml:space="preserve"> 318 (1860).</w:t>
      </w:r>
    </w:p>
    <w:p w14:paraId="14BECD35" w14:textId="77777777" w:rsidR="00C85B70" w:rsidRPr="00C85B70" w:rsidRDefault="00C85B70" w:rsidP="00C85B70">
      <w:pPr>
        <w:rPr>
          <w:rFonts w:ascii="Times New Roman" w:eastAsia="Times New Roman" w:hAnsi="Times New Roman" w:cs="Times New Roman"/>
          <w:lang w:eastAsia="en-US"/>
        </w:rPr>
      </w:pPr>
    </w:p>
    <w:p w14:paraId="16BFE987" w14:textId="57602098" w:rsidR="00AD18E9" w:rsidRPr="00C85B70" w:rsidRDefault="750671CE" w:rsidP="00F94B7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bookmarkEnd w:id="956"/>
    <w:bookmarkEnd w:id="957"/>
    <w:p w14:paraId="2E693AB6" w14:textId="77777777" w:rsidR="00E16ADF" w:rsidRDefault="00E16ADF" w:rsidP="00F94B7E">
      <w:pPr>
        <w:ind w:firstLine="720"/>
        <w:rPr>
          <w:rFonts w:ascii="Times New Roman" w:eastAsia="Times New Roman" w:hAnsi="Times New Roman" w:cs="Times New Roman"/>
          <w:lang w:eastAsia="en-US"/>
        </w:rPr>
      </w:pPr>
    </w:p>
    <w:p w14:paraId="1EEE60AA" w14:textId="2CBB744B" w:rsidR="00C85B70" w:rsidRPr="00C85B70" w:rsidRDefault="750671CE" w:rsidP="750671CE">
      <w:pPr>
        <w:spacing w:after="24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C85B70" w:rsidRDefault="00C85B70" w:rsidP="750671CE">
      <w:pPr>
        <w:ind w:firstLine="720"/>
        <w:rPr>
          <w:rFonts w:ascii="Times New Roman" w:eastAsia="Times New Roman" w:hAnsi="Times New Roman" w:cs="Times New Roman"/>
          <w:lang w:eastAsia="en-US"/>
        </w:rPr>
      </w:pPr>
      <w:bookmarkStart w:id="958" w:name="citeas((Cite_as:_2008_WL_2605396,_*22_(R"/>
      <w:bookmarkEnd w:id="958"/>
      <w:r w:rsidRPr="00C85B70">
        <w:rPr>
          <w:rFonts w:ascii="Times New Roman" w:eastAsia="Times New Roman" w:hAnsi="Times New Roman" w:cs="Times New Roman"/>
          <w:lang w:eastAsia="en-US"/>
        </w:rPr>
        <w:t xml:space="preserve">The Illinois Supreme Court recently hypothesized on the effect of a broader recognition of public right. In </w:t>
      </w:r>
      <w:r w:rsidRPr="750671CE">
        <w:rPr>
          <w:rFonts w:ascii="Times New Roman" w:eastAsia="Times New Roman" w:hAnsi="Times New Roman" w:cs="Times New Roman"/>
          <w:i/>
          <w:iCs/>
          <w:lang w:eastAsia="en-US"/>
        </w:rPr>
        <w:t>Beretta,</w:t>
      </w:r>
      <w:r w:rsidRPr="00C85B70">
        <w:rPr>
          <w:rFonts w:ascii="Times New Roman" w:eastAsia="Times New Roman" w:hAnsi="Times New Roman" w:cs="Times New Roman"/>
          <w:lang w:eastAsia="en-US"/>
        </w:rPr>
        <w:t xml:space="preserve"> the Illinois Supreme Court considered whether there was a public right to be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free from unreasonable jeopardy to health, welfare, and safety, and from unreasonable threats of danger to person and property, caused by the presence of illegal weapons in the city of Chicago.</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Beretta U.S.A. Corp.,</w:t>
      </w:r>
      <w:r w:rsidRPr="00C85B70">
        <w:rPr>
          <w:rFonts w:ascii="Times New Roman" w:eastAsia="Times New Roman" w:hAnsi="Times New Roman" w:cs="Times New Roman"/>
          <w:lang w:eastAsia="en-US"/>
        </w:rPr>
        <w:t xml:space="preserve"> 290 Ill. Dec. 525, 821 N.E.2d at 1114. In concluding that there was not, the court acknowledged the far-reaching effects of a decision otherwise. </w:t>
      </w:r>
      <w:r w:rsidRPr="750671CE">
        <w:rPr>
          <w:rFonts w:ascii="Times New Roman" w:eastAsia="Times New Roman" w:hAnsi="Times New Roman" w:cs="Times New Roman"/>
          <w:i/>
          <w:iCs/>
          <w:lang w:eastAsia="en-US"/>
        </w:rPr>
        <w:t>Id.</w:t>
      </w:r>
      <w:r w:rsidRPr="00C85B70">
        <w:rPr>
          <w:rFonts w:ascii="Times New Roman" w:eastAsia="Times New Roman" w:hAnsi="Times New Roman" w:cs="Times New Roman"/>
          <w:lang w:eastAsia="en-US"/>
        </w:rPr>
        <w:t xml:space="preserve"> 290 Ill. Dec. 525, 821 N.E.2d at 1116. The court speculated that</w:t>
      </w:r>
    </w:p>
    <w:p w14:paraId="0B4C2A36" w14:textId="77777777" w:rsidR="00C85B70" w:rsidRPr="00C85B70" w:rsidRDefault="00C85B70" w:rsidP="00C85B70">
      <w:pPr>
        <w:rPr>
          <w:rFonts w:ascii="Times New Roman" w:eastAsia="Times New Roman" w:hAnsi="Times New Roman" w:cs="Times New Roman"/>
          <w:lang w:eastAsia="en-US"/>
        </w:rPr>
      </w:pPr>
    </w:p>
    <w:p w14:paraId="03FC0767" w14:textId="74A8F4AF" w:rsidR="00C85B70" w:rsidRPr="00C85B70" w:rsidRDefault="00B05F31" w:rsidP="00F94B7E">
      <w:pPr>
        <w:ind w:left="720"/>
        <w:rPr>
          <w:rFonts w:ascii="Times New Roman" w:eastAsia="Times New Roman" w:hAnsi="Times New Roman" w:cs="Times New Roman"/>
          <w:lang w:eastAsia="en-US"/>
        </w:rPr>
      </w:pP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w:t>
      </w:r>
      <w:r w:rsidR="750671CE" w:rsidRPr="750671CE">
        <w:rPr>
          <w:rFonts w:ascii="Times New Roman" w:eastAsia="Times New Roman" w:hAnsi="Times New Roman" w:cs="Times New Roman"/>
          <w:i/>
          <w:iCs/>
          <w:lang w:eastAsia="en-US"/>
        </w:rPr>
        <w:t>Id.</w:t>
      </w:r>
    </w:p>
    <w:p w14:paraId="76B4AD37" w14:textId="243AB798" w:rsidR="00C85B70" w:rsidRPr="00C85B70" w:rsidRDefault="0093755D" w:rsidP="750671CE">
      <w:pPr>
        <w:spacing w:after="240"/>
        <w:rPr>
          <w:rFonts w:ascii="Times New Roman" w:eastAsia="Times New Roman" w:hAnsi="Times New Roman" w:cs="Times New Roman"/>
          <w:lang w:eastAsia="en-US"/>
        </w:rPr>
      </w:pPr>
      <w:r>
        <w:rPr>
          <w:rFonts w:ascii="Times New Roman" w:eastAsia="Times New Roman" w:hAnsi="Times New Roman" w:cs="Times New Roman"/>
          <w:lang w:eastAsia="en-US"/>
        </w:rPr>
        <w:tab/>
      </w:r>
      <w:r w:rsidR="00C85B70" w:rsidRPr="00C85B70">
        <w:rPr>
          <w:rFonts w:ascii="Times New Roman" w:eastAsia="Times New Roman" w:hAnsi="Times New Roman" w:cs="Times New Roman"/>
          <w:lang w:eastAsia="en-US"/>
        </w:rPr>
        <w:t>In taking the analogy a step further, the court considered the effect of other product misuse, stating:</w:t>
      </w:r>
    </w:p>
    <w:p w14:paraId="0C661D08" w14:textId="36096EB1" w:rsidR="00C85B70" w:rsidRPr="00C85B70" w:rsidRDefault="00B05F31" w:rsidP="00F94B7E">
      <w:pPr>
        <w:ind w:left="720" w:right="720"/>
        <w:jc w:val="both"/>
        <w:rPr>
          <w:rFonts w:ascii="Times New Roman" w:eastAsia="Times New Roman" w:hAnsi="Times New Roman" w:cs="Times New Roman"/>
          <w:lang w:eastAsia="en-US"/>
        </w:rPr>
      </w:pP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w:t>
      </w:r>
      <w:r w:rsidR="750671CE" w:rsidRPr="750671CE">
        <w:rPr>
          <w:rFonts w:ascii="Times New Roman" w:eastAsia="Times New Roman" w:hAnsi="Times New Roman" w:cs="Times New Roman"/>
          <w:i/>
          <w:iCs/>
          <w:lang w:eastAsia="en-US"/>
        </w:rPr>
        <w:t>Id.</w:t>
      </w:r>
    </w:p>
    <w:p w14:paraId="4A9D8C9F" w14:textId="77777777" w:rsidR="0093755D" w:rsidRDefault="0093755D" w:rsidP="00F94B7E">
      <w:pPr>
        <w:rPr>
          <w:rFonts w:ascii="Times New Roman" w:eastAsia="Times New Roman" w:hAnsi="Times New Roman" w:cs="Times New Roman"/>
          <w:lang w:eastAsia="en-US"/>
        </w:rPr>
      </w:pPr>
    </w:p>
    <w:p w14:paraId="44746DBC" w14:textId="722A9578" w:rsidR="00C85B70" w:rsidRPr="00C85B70" w:rsidRDefault="750671CE" w:rsidP="750671CE">
      <w:pPr>
        <w:spacing w:after="24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Like the </w:t>
      </w:r>
      <w:r w:rsidRPr="750671CE">
        <w:rPr>
          <w:rFonts w:ascii="Times New Roman" w:eastAsia="Times New Roman" w:hAnsi="Times New Roman" w:cs="Times New Roman"/>
          <w:i/>
          <w:iCs/>
          <w:lang w:eastAsia="en-US"/>
        </w:rPr>
        <w:t>Beretta</w:t>
      </w:r>
      <w:r w:rsidRPr="750671CE">
        <w:rPr>
          <w:rFonts w:ascii="Times New Roman" w:eastAsia="Times New Roman" w:hAnsi="Times New Roman" w:cs="Times New Roman"/>
          <w:lang w:eastAsia="en-US"/>
        </w:rPr>
        <w:t xml:space="preserve"> court, we see no reason to depart from the long-standing principle that a public right is a right of the public to shared resources such as air, water, or public rights of way.</w:t>
      </w:r>
    </w:p>
    <w:p w14:paraId="41A2971E" w14:textId="6F331CAA" w:rsidR="00C85B70" w:rsidRPr="00C85B70" w:rsidRDefault="00C85B70" w:rsidP="750671CE">
      <w:pPr>
        <w:ind w:firstLine="720"/>
        <w:rPr>
          <w:rFonts w:ascii="Times New Roman" w:eastAsia="Times New Roman" w:hAnsi="Times New Roman" w:cs="Times New Roman"/>
          <w:lang w:eastAsia="en-US"/>
        </w:rPr>
      </w:pPr>
      <w:bookmarkStart w:id="959" w:name="#HN;F25"/>
      <w:bookmarkStart w:id="960" w:name="B252016453274"/>
      <w:bookmarkEnd w:id="959"/>
      <w:bookmarkEnd w:id="960"/>
      <w:r w:rsidRPr="00C85B70">
        <w:rPr>
          <w:rFonts w:ascii="Times New Roman" w:eastAsia="Times New Roman" w:hAnsi="Times New Roman" w:cs="Times New Roman"/>
          <w:lang w:eastAsia="en-US"/>
        </w:rPr>
        <w:t>Even had the state adequately alleged an interference with a right common to the general public, which we conclude it did not, the state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complaint also fails to allege any facts that would support a conclusion that defendants were in control of the lead pigment at the time it harmed Rhode Island</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children.</w:t>
      </w:r>
    </w:p>
    <w:p w14:paraId="158C413A" w14:textId="77777777" w:rsidR="00C85B70" w:rsidRPr="00C85B70" w:rsidRDefault="00C85B70" w:rsidP="00C85B70">
      <w:pPr>
        <w:rPr>
          <w:rFonts w:ascii="Times New Roman" w:eastAsia="Times New Roman" w:hAnsi="Times New Roman" w:cs="Times New Roman"/>
          <w:lang w:eastAsia="en-US"/>
        </w:rPr>
      </w:pPr>
    </w:p>
    <w:p w14:paraId="40AF140E" w14:textId="18B803D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state filed suit against defendants in their capacity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either as the manufacturer of</w:t>
      </w:r>
      <w:r w:rsidR="00AD18E9">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lead pigment </w:t>
      </w:r>
      <w:r w:rsidR="00AD18E9">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or as the successors in interest to such manufacturers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cumulative presence of lead pigment in paints and coatings in or on buildings throughout the [s]tate of Rhode Island.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the alleged public nuisance to be actionable, the state would have had to assert that defendants not only manufactured the lead pigment but also controlled that pigment at the time it caused injury to children in Rhode Island</w:t>
      </w:r>
      <w:r w:rsidR="00F90BB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and there is no allegation of such control.</w:t>
      </w:r>
    </w:p>
    <w:p w14:paraId="17A12997" w14:textId="77777777" w:rsidR="00C85B70" w:rsidRPr="00C85B70" w:rsidRDefault="00C85B70" w:rsidP="00C85B70">
      <w:pPr>
        <w:ind w:firstLine="720"/>
        <w:rPr>
          <w:rFonts w:ascii="Times New Roman" w:eastAsia="Times New Roman" w:hAnsi="Times New Roman" w:cs="Times New Roman"/>
          <w:lang w:eastAsia="en-US"/>
        </w:rPr>
      </w:pPr>
    </w:p>
    <w:p w14:paraId="1CC54ACB" w14:textId="22B01D0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New Jersey Supreme Court applied these same elements to the lead paint litigation in that jurisdiction and likewise held that public nuisance was an improper cause of action. The court emphasized that were it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In re Lead Paint Litigation,</w:t>
      </w:r>
      <w:r w:rsidRPr="750671CE">
        <w:rPr>
          <w:rFonts w:ascii="Times New Roman" w:eastAsia="Times New Roman" w:hAnsi="Times New Roman" w:cs="Times New Roman"/>
          <w:lang w:eastAsia="en-US"/>
        </w:rPr>
        <w:t xml:space="preserve"> 924 A.2d at 494. We agree.</w:t>
      </w:r>
    </w:p>
    <w:p w14:paraId="57D3056B" w14:textId="77777777" w:rsidR="00C85B70" w:rsidRPr="00C85B70" w:rsidRDefault="00C85B70" w:rsidP="00C85B70">
      <w:pPr>
        <w:ind w:firstLine="720"/>
        <w:rPr>
          <w:rFonts w:ascii="Times New Roman" w:eastAsia="Times New Roman" w:hAnsi="Times New Roman" w:cs="Times New Roman"/>
          <w:lang w:eastAsia="en-US"/>
        </w:rPr>
      </w:pPr>
    </w:p>
    <w:p w14:paraId="5583B223" w14:textId="6677841A" w:rsidR="00850CF9" w:rsidRDefault="00850CF9">
      <w:pPr>
        <w:rPr>
          <w:rFonts w:ascii="Times New Roman" w:eastAsia="Times New Roman" w:hAnsi="Times New Roman" w:cs="Times New Roman"/>
          <w:lang w:eastAsia="en-US"/>
        </w:rPr>
      </w:pPr>
    </w:p>
    <w:p w14:paraId="4CED5511" w14:textId="2E3EFA22" w:rsidR="00C85B70" w:rsidRDefault="00C85B70" w:rsidP="00910387">
      <w:pPr>
        <w:pStyle w:val="Heading5"/>
      </w:pPr>
      <w:bookmarkStart w:id="961" w:name="_Toc364636270"/>
      <w:bookmarkStart w:id="962" w:name="_Toc518323538"/>
      <w:bookmarkStart w:id="963" w:name="_Toc273668433"/>
      <w:r w:rsidRPr="00C85B70">
        <w:t>Note</w:t>
      </w:r>
      <w:bookmarkEnd w:id="961"/>
      <w:bookmarkEnd w:id="962"/>
    </w:p>
    <w:p w14:paraId="790088D1" w14:textId="77777777" w:rsidR="00910387" w:rsidRDefault="00910387" w:rsidP="00F94B7E"/>
    <w:p w14:paraId="248DB9AE" w14:textId="77777777" w:rsidR="00910387" w:rsidRPr="00F94B7E" w:rsidRDefault="00910387" w:rsidP="00F94B7E"/>
    <w:p w14:paraId="47E559E6" w14:textId="2393AB7B" w:rsidR="00C85B70" w:rsidRPr="007E4764" w:rsidRDefault="000261F4" w:rsidP="00F94B7E">
      <w:pPr>
        <w:pStyle w:val="ListParagraph"/>
        <w:numPr>
          <w:ilvl w:val="0"/>
          <w:numId w:val="39"/>
        </w:numPr>
        <w:ind w:left="0" w:firstLine="360"/>
        <w:rPr>
          <w:rFonts w:ascii="Times New Roman" w:eastAsia="Times New Roman" w:hAnsi="Times New Roman" w:cs="Times New Roman"/>
          <w:lang w:eastAsia="en-US"/>
        </w:rPr>
      </w:pPr>
      <w:r>
        <w:rPr>
          <w:rFonts w:ascii="Times New Roman" w:eastAsia="Times New Roman" w:hAnsi="Times New Roman" w:cs="Times New Roman"/>
          <w:i/>
          <w:lang w:eastAsia="en-US"/>
        </w:rPr>
        <w:t>N</w:t>
      </w:r>
      <w:r w:rsidR="750671CE" w:rsidRPr="00F94B7E">
        <w:rPr>
          <w:rFonts w:ascii="Times New Roman" w:eastAsia="Times New Roman" w:hAnsi="Times New Roman" w:cs="Times New Roman"/>
          <w:i/>
          <w:lang w:eastAsia="en-US"/>
        </w:rPr>
        <w:t>ot with a bang but a whimper</w:t>
      </w:r>
      <w:r w:rsidR="750671CE" w:rsidRPr="00F94B7E">
        <w:rPr>
          <w:rFonts w:ascii="Times New Roman" w:eastAsia="Times New Roman" w:hAnsi="Times New Roman" w:cs="Times New Roman"/>
          <w:lang w:eastAsia="en-US"/>
        </w:rPr>
        <w:t xml:space="preserve">.  Many critics have contended that this is for the good.  Lead-poisoning rates, they observe, have declined sharply over the past two decades. </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In 1998, 3,437 children tested before they entered school in Rhode Island had elevated lead levels, which can cause neurological problems ranging from loss of intelligence to behavior and attention problems.</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 xml:space="preserve">  More recent studies found that the </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the number of new cases dropped to 614.</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 xml:space="preserve">  Moreover, </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[d]uring that period, state, federal and local governments have spent millions of dollars cleaning up lead paints.</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 xml:space="preserve">  Lord, </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R.I. high court overturns lead-paint verdict,</w:t>
      </w:r>
      <w:r w:rsidR="00B05F31">
        <w:rPr>
          <w:rFonts w:ascii="Times New Roman" w:eastAsia="Times New Roman" w:hAnsi="Times New Roman" w:cs="Times New Roman"/>
          <w:lang w:eastAsia="en-US"/>
        </w:rPr>
        <w:t>”</w:t>
      </w:r>
      <w:r w:rsidR="750671CE" w:rsidRPr="00F94B7E">
        <w:rPr>
          <w:rFonts w:ascii="Times New Roman" w:eastAsia="Times New Roman" w:hAnsi="Times New Roman" w:cs="Times New Roman"/>
          <w:lang w:eastAsia="en-US"/>
        </w:rPr>
        <w:t xml:space="preserve"> </w:t>
      </w:r>
      <w:r w:rsidR="750671CE" w:rsidRPr="00F94B7E">
        <w:rPr>
          <w:rFonts w:ascii="Times New Roman" w:eastAsia="Times New Roman" w:hAnsi="Times New Roman" w:cs="Times New Roman"/>
          <w:i/>
          <w:iCs/>
          <w:lang w:eastAsia="en-US"/>
        </w:rPr>
        <w:t>supra.</w:t>
      </w:r>
    </w:p>
    <w:p w14:paraId="2FD9A922" w14:textId="77777777" w:rsidR="007E4764" w:rsidRPr="00F94B7E" w:rsidRDefault="007E4764" w:rsidP="007E4764">
      <w:pPr>
        <w:pStyle w:val="ListParagraph"/>
        <w:ind w:left="360"/>
        <w:rPr>
          <w:rFonts w:ascii="Times New Roman" w:eastAsia="Times New Roman" w:hAnsi="Times New Roman" w:cs="Times New Roman"/>
          <w:lang w:eastAsia="en-US"/>
        </w:rPr>
      </w:pPr>
    </w:p>
    <w:p w14:paraId="548DB1C6" w14:textId="19D75D6D" w:rsidR="00C85B70" w:rsidRPr="00C85B70" w:rsidRDefault="750671CE" w:rsidP="00F94B7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California litigation brought under much the same theory has had a different fate, at least so far:</w:t>
      </w:r>
    </w:p>
    <w:p w14:paraId="5AE9E5F3" w14:textId="77777777" w:rsidR="00C85B70" w:rsidRPr="00C85B70" w:rsidRDefault="00C85B70" w:rsidP="00C85B70">
      <w:pPr>
        <w:shd w:val="clear" w:color="auto" w:fill="FFFFFF"/>
        <w:spacing w:line="288" w:lineRule="atLeast"/>
        <w:textAlignment w:val="baseline"/>
        <w:outlineLvl w:val="0"/>
        <w:rPr>
          <w:rFonts w:ascii="Times New Roman" w:eastAsiaTheme="minorHAnsi" w:hAnsi="Times New Roman" w:cs="Times New Roman"/>
          <w:b/>
          <w:u w:val="single"/>
          <w:lang w:eastAsia="en-US"/>
        </w:rPr>
      </w:pPr>
    </w:p>
    <w:bookmarkEnd w:id="963"/>
    <w:p w14:paraId="5A278021" w14:textId="77777777" w:rsidR="00C85B70" w:rsidRPr="00C85B70" w:rsidRDefault="00C85B70" w:rsidP="00C85B70">
      <w:pPr>
        <w:tabs>
          <w:tab w:val="left" w:pos="456"/>
        </w:tabs>
        <w:rPr>
          <w:rFonts w:ascii="Times New Roman" w:eastAsia="Times New Roman" w:hAnsi="Times New Roman" w:cs="Times New Roman"/>
          <w:lang w:eastAsia="en-US"/>
        </w:rPr>
      </w:pPr>
    </w:p>
    <w:p w14:paraId="0A17755C" w14:textId="0B3A0C7F" w:rsidR="00C85B70" w:rsidRPr="007467EB" w:rsidRDefault="00C85B70" w:rsidP="007467EB">
      <w:pPr>
        <w:rPr>
          <w:rFonts w:ascii="Times New Roman" w:hAnsi="Times New Roman" w:cs="Times New Roman"/>
          <w:b/>
        </w:rPr>
      </w:pPr>
      <w:bookmarkStart w:id="964" w:name="_Toc273668434"/>
      <w:bookmarkStart w:id="965" w:name="_Toc518323539"/>
      <w:r w:rsidRPr="007467EB">
        <w:rPr>
          <w:rStyle w:val="Heading4Char"/>
        </w:rPr>
        <w:t>County of Santa Clara v. Superior Court</w:t>
      </w:r>
      <w:bookmarkEnd w:id="964"/>
      <w:bookmarkEnd w:id="965"/>
      <w:r w:rsidR="0093755D" w:rsidRPr="00F94B7E">
        <w:rPr>
          <w:rFonts w:eastAsia="Times New Roman,Cambria"/>
        </w:rPr>
        <w:t xml:space="preserve">, </w:t>
      </w:r>
      <w:r w:rsidR="00295D46" w:rsidRPr="007467EB">
        <w:rPr>
          <w:rFonts w:ascii="Times New Roman" w:hAnsi="Times New Roman" w:cs="Times New Roman"/>
          <w:b/>
        </w:rPr>
        <w:t>137</w:t>
      </w:r>
      <w:r w:rsidRPr="007467EB">
        <w:rPr>
          <w:rFonts w:ascii="Times New Roman" w:hAnsi="Times New Roman" w:cs="Times New Roman"/>
          <w:b/>
        </w:rPr>
        <w:t xml:space="preserve"> </w:t>
      </w:r>
      <w:r w:rsidR="00295D46" w:rsidRPr="007467EB">
        <w:rPr>
          <w:rFonts w:ascii="Times New Roman" w:hAnsi="Times New Roman" w:cs="Times New Roman"/>
          <w:b/>
        </w:rPr>
        <w:t>Cal. App. 4th</w:t>
      </w:r>
      <w:r w:rsidRPr="007467EB">
        <w:rPr>
          <w:rFonts w:ascii="Times New Roman" w:hAnsi="Times New Roman" w:cs="Times New Roman"/>
          <w:b/>
        </w:rPr>
        <w:t xml:space="preserve"> </w:t>
      </w:r>
      <w:r w:rsidR="00295D46" w:rsidRPr="007467EB">
        <w:rPr>
          <w:rFonts w:ascii="Times New Roman" w:hAnsi="Times New Roman" w:cs="Times New Roman"/>
          <w:b/>
        </w:rPr>
        <w:t>292</w:t>
      </w:r>
      <w:r w:rsidRPr="007467EB">
        <w:rPr>
          <w:rFonts w:ascii="Times New Roman" w:hAnsi="Times New Roman" w:cs="Times New Roman"/>
          <w:b/>
        </w:rPr>
        <w:t xml:space="preserve"> (Cal. </w:t>
      </w:r>
      <w:r w:rsidR="00687572" w:rsidRPr="007467EB">
        <w:rPr>
          <w:rFonts w:ascii="Times New Roman" w:hAnsi="Times New Roman" w:cs="Times New Roman"/>
          <w:b/>
        </w:rPr>
        <w:t xml:space="preserve">App. 6th Dist. </w:t>
      </w:r>
      <w:r w:rsidRPr="007467EB">
        <w:rPr>
          <w:rFonts w:ascii="Times New Roman" w:hAnsi="Times New Roman" w:cs="Times New Roman"/>
          <w:b/>
        </w:rPr>
        <w:t>20</w:t>
      </w:r>
      <w:r w:rsidR="00295D46" w:rsidRPr="007467EB">
        <w:rPr>
          <w:rFonts w:ascii="Times New Roman" w:hAnsi="Times New Roman" w:cs="Times New Roman"/>
          <w:b/>
        </w:rPr>
        <w:t>06</w:t>
      </w:r>
      <w:r w:rsidRPr="007467EB">
        <w:rPr>
          <w:rFonts w:ascii="Times New Roman" w:hAnsi="Times New Roman" w:cs="Times New Roman"/>
          <w:b/>
        </w:rPr>
        <w:t>)</w:t>
      </w:r>
    </w:p>
    <w:p w14:paraId="40FE02FE" w14:textId="65F3D246" w:rsidR="00C85B70" w:rsidRPr="00F90BB4" w:rsidRDefault="00C85B70" w:rsidP="00C85B70">
      <w:pPr>
        <w:tabs>
          <w:tab w:val="left" w:pos="1120"/>
        </w:tabs>
        <w:rPr>
          <w:rFonts w:ascii="Times New Roman" w:eastAsia="Times New Roman" w:hAnsi="Times New Roman" w:cs="Times New Roman"/>
          <w:lang w:eastAsia="en-US"/>
        </w:rPr>
      </w:pPr>
    </w:p>
    <w:p w14:paraId="2EA73624" w14:textId="3634043E" w:rsidR="0093755D" w:rsidRPr="00F90BB4" w:rsidRDefault="00C85B70" w:rsidP="750671CE">
      <w:pPr>
        <w:spacing w:afterAutospacing="1"/>
        <w:textAlignment w:val="baseline"/>
        <w:rPr>
          <w:rFonts w:ascii="Times New Roman" w:eastAsia="Times New Roman" w:hAnsi="Times New Roman" w:cs="Times New Roman"/>
          <w:lang w:eastAsia="en-US"/>
        </w:rPr>
      </w:pPr>
      <w:r w:rsidRPr="00F90BB4">
        <w:rPr>
          <w:rFonts w:ascii="Times New Roman" w:eastAsia="Times New Roman" w:hAnsi="Times New Roman" w:cs="Times New Roman"/>
          <w:smallCaps/>
          <w:lang w:eastAsia="en-US"/>
        </w:rPr>
        <w:t>Mihara, J</w:t>
      </w:r>
      <w:r w:rsidR="007467EB">
        <w:rPr>
          <w:rFonts w:ascii="Times New Roman" w:eastAsia="Times New Roman" w:hAnsi="Times New Roman" w:cs="Times New Roman"/>
          <w:lang w:eastAsia="en-US"/>
        </w:rPr>
        <w:t>.</w:t>
      </w:r>
    </w:p>
    <w:p w14:paraId="6BC5A96E" w14:textId="1A1480F7" w:rsidR="00C85B70" w:rsidRPr="00F90BB4" w:rsidRDefault="00C85B70" w:rsidP="750671CE">
      <w:pPr>
        <w:spacing w:afterAutospacing="1"/>
        <w:ind w:firstLine="720"/>
        <w:textAlignment w:val="baseline"/>
        <w:rPr>
          <w:rFonts w:ascii="Times New Roman" w:eastAsia="Times New Roman" w:hAnsi="Times New Roman" w:cs="Times New Roman"/>
          <w:lang w:eastAsia="en-US"/>
        </w:rPr>
      </w:pPr>
      <w:r w:rsidRPr="00F90BB4">
        <w:rPr>
          <w:rFonts w:ascii="Times New Roman" w:eastAsia="Times New Roman" w:hAnsi="Times New Roman" w:cs="Times New Roman"/>
          <w:lang w:eastAsia="en-US"/>
        </w:rPr>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F90BB4">
        <w:rPr>
          <w:rFonts w:ascii="Times New Roman" w:eastAsia="Times New Roman" w:hAnsi="Times New Roman" w:cs="Times New Roman"/>
          <w:bdr w:val="none" w:sz="0" w:space="0" w:color="auto" w:frame="1"/>
          <w:lang w:eastAsia="en-US"/>
        </w:rPr>
        <w:t>lead paint</w:t>
      </w:r>
      <w:r w:rsidRPr="00F90BB4">
        <w:rPr>
          <w:rFonts w:ascii="Times New Roman" w:eastAsia="Times New Roman" w:hAnsi="Times New Roman" w:cs="Times New Roman"/>
          <w:lang w:eastAsia="en-US"/>
        </w:rPr>
        <w:t>. . . . The superior court sustained the manufacturers</w:t>
      </w:r>
      <w:r w:rsidR="00B05F31" w:rsidRPr="00F90BB4">
        <w:rPr>
          <w:rFonts w:ascii="Times New Roman" w:eastAsia="Times New Roman" w:hAnsi="Times New Roman" w:cs="Times New Roman"/>
          <w:lang w:eastAsia="en-US"/>
        </w:rPr>
        <w:t>’</w:t>
      </w:r>
      <w:r w:rsidRPr="00F90BB4">
        <w:rPr>
          <w:rFonts w:ascii="Times New Roman" w:eastAsia="Times New Roman" w:hAnsi="Times New Roman" w:cs="Times New Roman"/>
          <w:lang w:eastAsia="en-US"/>
        </w:rPr>
        <w:t xml:space="preserve"> demurrers to the public nuisance causes of action. . . . </w:t>
      </w:r>
    </w:p>
    <w:p w14:paraId="1901D507" w14:textId="55070C53" w:rsidR="00C85B70" w:rsidRPr="0093755D" w:rsidRDefault="750671CE" w:rsidP="750671CE">
      <w:pPr>
        <w:spacing w:after="100" w:afterAutospacing="1"/>
        <w:ind w:firstLine="720"/>
        <w:textAlignment w:val="baseline"/>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We conclude that the superior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rulings were erroneous as to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public nuisance . . . cause[] of action. We therefore reverse the judgment. . . .</w:t>
      </w:r>
    </w:p>
    <w:p w14:paraId="76562EF4" w14:textId="7154DC95" w:rsidR="00C85B70" w:rsidRPr="0093755D" w:rsidRDefault="00C85B70" w:rsidP="750671CE">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 xml:space="preserve">The public nuisance cause of action </w:t>
      </w:r>
      <w:r w:rsidR="00701DE4">
        <w:rPr>
          <w:rFonts w:ascii="Times New Roman" w:eastAsia="Times New Roman" w:hAnsi="Times New Roman" w:cs="Times New Roman"/>
          <w:lang w:eastAsia="en-US"/>
        </w:rPr>
        <w:t>. . . .</w:t>
      </w:r>
      <w:r w:rsidRPr="0093755D">
        <w:rPr>
          <w:rFonts w:ascii="Times New Roman" w:eastAsia="Times New Roman" w:hAnsi="Times New Roman" w:cs="Times New Roman"/>
          <w:lang w:eastAsia="en-US"/>
        </w:rPr>
        <w:t xml:space="preserve"> alleged that the People had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a common right to be free from the detrimental </w:t>
      </w:r>
      <w:r w:rsidR="003E7485">
        <w:rPr>
          <w:rFonts w:ascii="Times New Roman" w:eastAsia="Times New Roman" w:hAnsi="Times New Roman" w:cs="Times New Roman"/>
          <w:lang w:eastAsia="en-US"/>
        </w:rPr>
        <w:t>[e]</w:t>
      </w:r>
      <w:r w:rsidRPr="0093755D">
        <w:rPr>
          <w:rFonts w:ascii="Times New Roman" w:eastAsia="Times New Roman" w:hAnsi="Times New Roman" w:cs="Times New Roman"/>
          <w:lang w:eastAsia="en-US"/>
        </w:rPr>
        <w:t xml:space="preserve">ffects </w:t>
      </w:r>
      <w:r w:rsidR="003E7485">
        <w:rPr>
          <w:rFonts w:ascii="Times New Roman" w:eastAsia="Times New Roman" w:hAnsi="Times New Roman" w:cs="Times New Roman"/>
          <w:lang w:eastAsia="en-US"/>
        </w:rPr>
        <w:t>. . .</w:t>
      </w:r>
      <w:r w:rsidRPr="0093755D">
        <w:rPr>
          <w:rFonts w:ascii="Times New Roman" w:eastAsia="Times New Roman" w:hAnsi="Times New Roman" w:cs="Times New Roman"/>
          <w:lang w:eastAsia="en-US"/>
        </w:rPr>
        <w:t xml:space="preserve"> of Lead in homes, buildings, and property in the State of California.</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Yet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Lead is present on large numbers of homes, buildings, and other property throughout the State of California,</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is injurious to the health of the public</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and constitutes a nuisance.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Defendants are liable in public nuisance in that they created</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and/or contributed to the creation of and/or assisted in the creation and/or were a substantial contributing factor in the creation of the public nuisance</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by: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[e]ngaging in a massive campaign to promote the use of Lead on the interiors and exteriors of private residences and public and private buildings and for use on furniture and toys;</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inevitably has</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deteriorated and/or is deteriorating and/or will deteriorate thereby contaminating these homes, buildings, and property</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and exposing people to lead. The remedy sought was abatement </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from all public and private homes and property so affected throughout the State of California.</w:t>
      </w:r>
      <w:r w:rsidR="00B05F31">
        <w:rPr>
          <w:rFonts w:ascii="Times New Roman" w:eastAsia="Times New Roman" w:hAnsi="Times New Roman" w:cs="Times New Roman"/>
          <w:lang w:eastAsia="en-US"/>
        </w:rPr>
        <w:t>”</w:t>
      </w:r>
    </w:p>
    <w:p w14:paraId="30B91A77" w14:textId="66B75974" w:rsidR="00C85B70" w:rsidRPr="0093755D" w:rsidRDefault="750671CE" w:rsidP="00701DE4">
      <w:pPr>
        <w:spacing w:after="100" w:afterAutospacing="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Defendants </w:t>
      </w:r>
      <w:r w:rsidR="00701DE4">
        <w:rPr>
          <w:rFonts w:ascii="Times New Roman" w:eastAsia="Times New Roman" w:hAnsi="Times New Roman" w:cs="Times New Roman"/>
          <w:lang w:eastAsia="en-US"/>
        </w:rPr>
        <w:t>. . . .</w:t>
      </w:r>
      <w:r w:rsidRPr="750671CE">
        <w:rPr>
          <w:rFonts w:ascii="Times New Roman" w:eastAsia="Times New Roman" w:hAnsi="Times New Roman" w:cs="Times New Roman"/>
          <w:lang w:eastAsia="en-US"/>
        </w:rPr>
        <w:t xml:space="preserve"> claim that no public nuisance cause of action may be pleaded against a manufacturer of a product that creates a health hazard because such hazards are remediable solely through products liability. </w:t>
      </w:r>
      <w:r w:rsidR="00701DE4">
        <w:rPr>
          <w:rFonts w:ascii="Times New Roman" w:eastAsia="Times New Roman" w:hAnsi="Times New Roman" w:cs="Times New Roman"/>
          <w:lang w:eastAsia="en-US"/>
        </w:rPr>
        <w:t>. . .  [T]</w:t>
      </w:r>
      <w:r w:rsidR="00C85B70" w:rsidRPr="0093755D">
        <w:rPr>
          <w:rFonts w:ascii="Times New Roman" w:eastAsia="Times New Roman" w:hAnsi="Times New Roman" w:cs="Times New Roman"/>
          <w:lang w:eastAsia="en-US"/>
        </w:rPr>
        <w:t>hey claim that, even where the facts would otherwise constitute a public nuisance, a cause of action does not lie because the underlying cause of the public nuisance is a product</w:t>
      </w:r>
      <w:r w:rsidR="00C85B70" w:rsidRPr="750671CE">
        <w:rPr>
          <w:rFonts w:ascii="Times New Roman,Cambria" w:eastAsia="Times New Roman,Cambria" w:hAnsi="Times New Roman,Cambria" w:cs="Times New Roman,Cambria"/>
          <w:lang w:eastAsia="en-US"/>
        </w:rPr>
        <w:t> </w:t>
      </w:r>
      <w:r w:rsidR="00C85B70" w:rsidRPr="0093755D">
        <w:rPr>
          <w:rFonts w:ascii="Times New Roman" w:eastAsia="Times New Roman" w:hAnsi="Times New Roman" w:cs="Times New Roman"/>
          <w:lang w:eastAsia="en-US"/>
        </w:rPr>
        <w:t>for which</w:t>
      </w:r>
      <w:r w:rsidR="00C85B70" w:rsidRPr="750671CE">
        <w:rPr>
          <w:rFonts w:ascii="Times New Roman,Cambria" w:eastAsia="Times New Roman,Cambria" w:hAnsi="Times New Roman,Cambria" w:cs="Times New Roman,Cambria"/>
          <w:lang w:eastAsia="en-US"/>
        </w:rPr>
        <w:t> </w:t>
      </w:r>
      <w:r w:rsidR="00C85B70" w:rsidRPr="750671CE">
        <w:rPr>
          <w:rFonts w:ascii="Times New Roman" w:eastAsia="Times New Roman" w:hAnsi="Times New Roman" w:cs="Times New Roman"/>
          <w:i/>
          <w:iCs/>
          <w:bdr w:val="none" w:sz="0" w:space="0" w:color="auto" w:frame="1"/>
          <w:lang w:eastAsia="en-US"/>
        </w:rPr>
        <w:t>only</w:t>
      </w:r>
      <w:r w:rsidR="00C85B70" w:rsidRPr="750671CE">
        <w:rPr>
          <w:rFonts w:ascii="Times New Roman,Cambria" w:eastAsia="Times New Roman,Cambria" w:hAnsi="Times New Roman,Cambria" w:cs="Times New Roman,Cambria"/>
          <w:lang w:eastAsia="en-US"/>
        </w:rPr>
        <w:t> </w:t>
      </w:r>
      <w:r w:rsidR="00C85B70" w:rsidRPr="0093755D">
        <w:rPr>
          <w:rFonts w:ascii="Times New Roman" w:eastAsia="Times New Roman" w:hAnsi="Times New Roman" w:cs="Times New Roman"/>
          <w:lang w:eastAsia="en-US"/>
        </w:rPr>
        <w:t>a products liability cause of action will lie.</w:t>
      </w:r>
    </w:p>
    <w:p w14:paraId="48390E6A" w14:textId="443295F2" w:rsidR="00C85B70" w:rsidRPr="0093755D" w:rsidRDefault="00C85B70" w:rsidP="750671CE">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i/>
          <w:iCs/>
          <w:bdr w:val="none" w:sz="0" w:space="0" w:color="auto" w:frame="1"/>
          <w:lang w:eastAsia="en-US"/>
        </w:rPr>
        <w:t>Anything</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 xml:space="preserve">which is injurious to health </w:t>
      </w:r>
      <w:r w:rsidR="003E7485">
        <w:rPr>
          <w:rFonts w:ascii="Times New Roman" w:eastAsia="Times New Roman" w:hAnsi="Times New Roman" w:cs="Times New Roman"/>
          <w:lang w:eastAsia="en-US"/>
        </w:rPr>
        <w:t>. . .</w:t>
      </w:r>
      <w:r w:rsidR="003E7485" w:rsidRPr="0093755D">
        <w:rPr>
          <w:rFonts w:ascii="Times New Roman" w:eastAsia="Times New Roman" w:hAnsi="Times New Roman" w:cs="Times New Roman"/>
          <w:lang w:eastAsia="en-US"/>
        </w:rPr>
        <w:t xml:space="preserve"> </w:t>
      </w:r>
      <w:r w:rsidRPr="0093755D">
        <w:rPr>
          <w:rFonts w:ascii="Times New Roman" w:eastAsia="Times New Roman" w:hAnsi="Times New Roman" w:cs="Times New Roman"/>
          <w:lang w:eastAsia="en-US"/>
        </w:rPr>
        <w:t xml:space="preserve">or is indecent or offensive to the senses, or an obstruction to the free use of property, so as to interfere with the comfortable enjoyment of life or property </w:t>
      </w:r>
      <w:r w:rsidR="003E7485">
        <w:rPr>
          <w:rFonts w:ascii="Times New Roman" w:eastAsia="Times New Roman" w:hAnsi="Times New Roman" w:cs="Times New Roman"/>
          <w:lang w:eastAsia="en-US"/>
        </w:rPr>
        <w:t>. . .</w:t>
      </w:r>
      <w:r w:rsidR="003E7485" w:rsidRPr="0093755D">
        <w:rPr>
          <w:rFonts w:ascii="Times New Roman" w:eastAsia="Times New Roman" w:hAnsi="Times New Roman" w:cs="Times New Roman"/>
          <w:lang w:eastAsia="en-US"/>
        </w:rPr>
        <w:t xml:space="preserve"> </w:t>
      </w:r>
      <w:r w:rsidRPr="0093755D">
        <w:rPr>
          <w:rFonts w:ascii="Times New Roman" w:eastAsia="Times New Roman" w:hAnsi="Times New Roman" w:cs="Times New Roman"/>
          <w:lang w:eastAsia="en-US"/>
        </w:rPr>
        <w:t>is a nuisance.</w:t>
      </w:r>
      <w:r w:rsidR="00B05F31">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 xml:space="preserve"> </w:t>
      </w:r>
      <w:r w:rsidR="00C14ACE">
        <w:rPr>
          <w:rFonts w:ascii="Times New Roman" w:eastAsia="Times New Roman" w:hAnsi="Times New Roman" w:cs="Times New Roman"/>
          <w:lang w:eastAsia="en-US"/>
        </w:rPr>
        <w:t xml:space="preserve">Cal. </w:t>
      </w:r>
      <w:r w:rsidRPr="0093755D">
        <w:rPr>
          <w:rFonts w:ascii="Times New Roman" w:eastAsia="Times New Roman" w:hAnsi="Times New Roman" w:cs="Times New Roman"/>
          <w:bdr w:val="none" w:sz="0" w:space="0" w:color="auto" w:frame="1"/>
          <w:lang w:eastAsia="en-US"/>
        </w:rPr>
        <w:t>Civ. Code, § 3479</w:t>
      </w:r>
      <w:r w:rsidRPr="0093755D">
        <w:rPr>
          <w:rFonts w:ascii="Times New Roman" w:eastAsia="Times New Roman" w:hAnsi="Times New Roman" w:cs="Times New Roman"/>
          <w:lang w:eastAsia="en-US"/>
        </w:rPr>
        <w:t xml:space="preserve"> </w:t>
      </w:r>
      <w:r w:rsidR="00AD18E9">
        <w:rPr>
          <w:rFonts w:ascii="Times New Roman" w:eastAsia="Times New Roman" w:hAnsi="Times New Roman" w:cs="Times New Roman"/>
          <w:lang w:eastAsia="en-US"/>
        </w:rPr>
        <w:t>(</w:t>
      </w:r>
      <w:r w:rsidRPr="0093755D">
        <w:rPr>
          <w:rFonts w:ascii="Times New Roman" w:eastAsia="Times New Roman" w:hAnsi="Times New Roman" w:cs="Times New Roman"/>
          <w:lang w:eastAsia="en-US"/>
        </w:rPr>
        <w:t>italics added)</w:t>
      </w:r>
      <w:r w:rsidR="00AD18E9" w:rsidRPr="00701DE4">
        <w:rPr>
          <w:rFonts w:ascii="Times New Roman" w:eastAsia="Times New Roman" w:hAnsi="Times New Roman" w:cs="Times New Roman"/>
          <w:lang w:eastAsia="en-US"/>
        </w:rPr>
        <w:t>.</w:t>
      </w:r>
      <w:r w:rsidRPr="00701DE4">
        <w:rPr>
          <w:rFonts w:ascii="Times New Roman,Cambria" w:eastAsia="Times New Roman,Cambria" w:hAnsi="Times New Roman,Cambria" w:cs="Times New Roman,Cambria"/>
          <w:bCs/>
          <w:i/>
          <w:iCs/>
          <w:bdr w:val="none" w:sz="0" w:space="0" w:color="auto" w:frame="1"/>
          <w:lang w:eastAsia="en-US"/>
        </w:rPr>
        <w:t> </w:t>
      </w:r>
      <w:r w:rsidR="00701DE4" w:rsidRPr="00701DE4">
        <w:rPr>
          <w:rFonts w:ascii="Times New Roman,Cambria" w:eastAsia="Times New Roman,Cambria" w:hAnsi="Times New Roman,Cambria" w:cs="Times New Roman,Cambria"/>
          <w:bCs/>
          <w:i/>
          <w:iCs/>
          <w:bdr w:val="none" w:sz="0" w:space="0" w:color="auto" w:frame="1"/>
          <w:lang w:eastAsia="en-US"/>
        </w:rPr>
        <w:t xml:space="preserve"> </w:t>
      </w:r>
      <w:r w:rsidR="00701DE4" w:rsidRPr="00701DE4">
        <w:rPr>
          <w:rFonts w:ascii="Times New Roman,Cambria" w:eastAsia="Times New Roman,Cambria" w:hAnsi="Times New Roman,Cambria" w:cs="Times New Roman,Cambria"/>
          <w:bCs/>
          <w:iCs/>
          <w:bdr w:val="none" w:sz="0" w:space="0" w:color="auto" w:frame="1"/>
          <w:lang w:eastAsia="en-US"/>
        </w:rPr>
        <w:t>“</w:t>
      </w:r>
      <w:r w:rsidRPr="0093755D">
        <w:rPr>
          <w:rFonts w:ascii="Times New Roman" w:eastAsia="Times New Roman" w:hAnsi="Times New Roman" w:cs="Times New Roman"/>
          <w:lang w:eastAsia="en-US"/>
        </w:rPr>
        <w:t>A public nuisance is one which affects at the same time an entire community</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or neighborhood, or any considerable number of persons</w:t>
      </w:r>
      <w:r w:rsidR="00701DE4">
        <w:rPr>
          <w:rFonts w:ascii="Times New Roman" w:eastAsia="Times New Roman" w:hAnsi="Times New Roman" w:cs="Times New Roman"/>
          <w:lang w:eastAsia="en-US"/>
        </w:rPr>
        <w:t xml:space="preserve"> . . . .”</w:t>
      </w:r>
      <w:r w:rsidRPr="0093755D">
        <w:rPr>
          <w:rFonts w:ascii="Times New Roman" w:eastAsia="Times New Roman" w:hAnsi="Times New Roman" w:cs="Times New Roman"/>
          <w:lang w:eastAsia="en-US"/>
        </w:rPr>
        <w:t xml:space="preserve"> </w:t>
      </w:r>
      <w:r w:rsidR="00701DE4">
        <w:rPr>
          <w:rFonts w:ascii="Times New Roman" w:eastAsia="Times New Roman" w:hAnsi="Times New Roman" w:cs="Times New Roman"/>
          <w:lang w:eastAsia="en-US"/>
        </w:rPr>
        <w:t xml:space="preserve"> </w:t>
      </w:r>
      <w:r w:rsidR="00C14ACE">
        <w:rPr>
          <w:rFonts w:ascii="Times New Roman" w:eastAsia="Times New Roman" w:hAnsi="Times New Roman" w:cs="Times New Roman"/>
          <w:lang w:eastAsia="en-US"/>
        </w:rPr>
        <w:t xml:space="preserve">Cal. </w:t>
      </w:r>
      <w:r w:rsidRPr="0093755D">
        <w:rPr>
          <w:rFonts w:ascii="Times New Roman" w:eastAsia="Times New Roman" w:hAnsi="Times New Roman" w:cs="Times New Roman"/>
          <w:bdr w:val="none" w:sz="0" w:space="0" w:color="auto" w:frame="1"/>
          <w:lang w:eastAsia="en-US"/>
        </w:rPr>
        <w:t>Civ. Code, § 3480</w:t>
      </w:r>
      <w:r w:rsidRPr="0093755D">
        <w:rPr>
          <w:rFonts w:ascii="Times New Roman" w:eastAsia="Times New Roman" w:hAnsi="Times New Roman" w:cs="Times New Roman"/>
          <w:lang w:eastAsia="en-US"/>
        </w:rPr>
        <w:t xml:space="preserve">. </w:t>
      </w:r>
      <w:r w:rsidR="00701DE4">
        <w:rPr>
          <w:rFonts w:ascii="Times New Roman" w:eastAsia="Times New Roman" w:hAnsi="Times New Roman" w:cs="Times New Roman"/>
          <w:lang w:eastAsia="en-US"/>
        </w:rPr>
        <w:t>. . .</w:t>
      </w:r>
    </w:p>
    <w:p w14:paraId="4FEAC16A" w14:textId="731B82FF" w:rsidR="00C85B70" w:rsidRPr="003E7485" w:rsidRDefault="00C85B70" w:rsidP="750671CE">
      <w:pPr>
        <w:spacing w:afterAutospacing="1"/>
        <w:textAlignment w:val="baseline"/>
        <w:rPr>
          <w:rFonts w:ascii="Times New Roman" w:eastAsia="Times New Roman" w:hAnsi="Times New Roman" w:cs="Times New Roman"/>
          <w:lang w:eastAsia="en-US"/>
        </w:rPr>
      </w:pPr>
      <w:r w:rsidRPr="750671CE">
        <w:rPr>
          <w:rFonts w:ascii="Times New Roman,Cambria" w:eastAsia="Times New Roman,Cambria" w:hAnsi="Times New Roman,Cambria" w:cs="Times New Roman,Cambria"/>
          <w:b/>
          <w:bCs/>
          <w:i/>
          <w:iCs/>
          <w:bdr w:val="none" w:sz="0" w:space="0" w:color="auto" w:frame="1"/>
          <w:lang w:eastAsia="en-US"/>
        </w:rPr>
        <w:t> </w:t>
      </w:r>
      <w:r w:rsidRPr="0093755D">
        <w:rPr>
          <w:rFonts w:ascii="Times New Roman" w:eastAsiaTheme="minorHAnsi" w:hAnsi="Times New Roman" w:cs="Times New Roman"/>
          <w:b/>
          <w:bCs/>
          <w:i/>
          <w:iCs/>
          <w:bdr w:val="none" w:sz="0" w:space="0" w:color="auto" w:frame="1"/>
          <w:lang w:eastAsia="en-US"/>
        </w:rPr>
        <w:tab/>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[P]ublic nuisances are offenses against, or interferences with, the exercise of</w:t>
      </w:r>
      <w:r w:rsidRPr="00F94B7E">
        <w:rPr>
          <w:rFonts w:ascii="Times New Roman" w:eastAsia="Times New Roman,Cambria" w:hAnsi="Times New Roman" w:cs="Times New Roman"/>
          <w:bdr w:val="none" w:sz="0" w:space="0" w:color="auto" w:frame="1"/>
          <w:lang w:eastAsia="en-US"/>
        </w:rPr>
        <w:t> </w:t>
      </w:r>
      <w:r w:rsidRPr="003E7485">
        <w:rPr>
          <w:rFonts w:ascii="Times New Roman" w:eastAsia="Times New Roman" w:hAnsi="Times New Roman" w:cs="Times New Roman"/>
          <w:i/>
          <w:iCs/>
          <w:bdr w:val="none" w:sz="0" w:space="0" w:color="auto" w:frame="1"/>
          <w:lang w:eastAsia="en-US"/>
        </w:rPr>
        <w:t>rights common to the public</w:t>
      </w:r>
      <w:r w:rsidRPr="00F94B7E">
        <w:rPr>
          <w:rFonts w:ascii="Times New Roman" w:eastAsia="Times New Roman,ＭＳ ゴシック" w:hAnsi="Times New Roman" w:cs="Times New Roman"/>
          <w:bdr w:val="none" w:sz="0" w:space="0" w:color="auto" w:frame="1"/>
          <w:lang w:eastAsia="en-US"/>
        </w:rPr>
        <w:t>.</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 xml:space="preserve"> </w:t>
      </w:r>
      <w:r w:rsidRPr="003E7485">
        <w:rPr>
          <w:rFonts w:ascii="Times New Roman" w:eastAsia="Times New Roman" w:hAnsi="Times New Roman" w:cs="Times New Roman"/>
          <w:i/>
          <w:iCs/>
          <w:bdr w:val="none" w:sz="0" w:space="0" w:color="auto" w:frame="1"/>
          <w:lang w:eastAsia="en-US"/>
        </w:rPr>
        <w:t>People ex rel. Gallo v. Acuna</w:t>
      </w:r>
      <w:r w:rsidR="00C14ACE" w:rsidRPr="00F94B7E">
        <w:rPr>
          <w:rFonts w:ascii="Times New Roman" w:eastAsia="Times New Roman,ＭＳ ゴシック" w:hAnsi="Times New Roman" w:cs="Times New Roman"/>
          <w:bdr w:val="none" w:sz="0" w:space="0" w:color="auto" w:frame="1"/>
          <w:lang w:eastAsia="en-US"/>
        </w:rPr>
        <w:t>[,  929 P.2d 596 (Cal. 1997)].</w:t>
      </w:r>
      <w:r w:rsidR="00C14ACE" w:rsidRPr="00F94B7E">
        <w:rPr>
          <w:rFonts w:ascii="Times New Roman" w:eastAsia="Times New Roman,Cambria" w:hAnsi="Times New Roman" w:cs="Times New Roman"/>
          <w:bdr w:val="none" w:sz="0" w:space="0" w:color="auto" w:frame="1"/>
          <w:lang w:eastAsia="en-US"/>
        </w:rPr>
        <w:t> </w:t>
      </w:r>
      <w:r w:rsidR="00C14ACE"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Of course, not every interference with collective social interests constitutes a public nuisance.</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To qualify, and thus be enjoinable [or abatable], the interference must be both</w:t>
      </w:r>
      <w:r w:rsidRPr="00F94B7E">
        <w:rPr>
          <w:rFonts w:ascii="Times New Roman" w:eastAsia="Times New Roman,Cambria" w:hAnsi="Times New Roman" w:cs="Times New Roman"/>
          <w:bdr w:val="none" w:sz="0" w:space="0" w:color="auto" w:frame="1"/>
          <w:lang w:eastAsia="en-US"/>
        </w:rPr>
        <w:t> </w:t>
      </w:r>
      <w:r w:rsidRPr="003E7485">
        <w:rPr>
          <w:rFonts w:ascii="Times New Roman" w:eastAsia="Times New Roman" w:hAnsi="Times New Roman" w:cs="Times New Roman"/>
          <w:i/>
          <w:iCs/>
          <w:bdr w:val="none" w:sz="0" w:space="0" w:color="auto" w:frame="1"/>
          <w:lang w:eastAsia="en-US"/>
        </w:rPr>
        <w:t>substantial</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and</w:t>
      </w:r>
      <w:r w:rsidRPr="00F94B7E">
        <w:rPr>
          <w:rFonts w:ascii="Times New Roman" w:eastAsia="Times New Roman,Cambria" w:hAnsi="Times New Roman" w:cs="Times New Roman"/>
          <w:bdr w:val="none" w:sz="0" w:space="0" w:color="auto" w:frame="1"/>
          <w:lang w:eastAsia="en-US"/>
        </w:rPr>
        <w:t> </w:t>
      </w:r>
      <w:r w:rsidRPr="003E7485">
        <w:rPr>
          <w:rFonts w:ascii="Times New Roman" w:eastAsia="Times New Roman" w:hAnsi="Times New Roman" w:cs="Times New Roman"/>
          <w:i/>
          <w:iCs/>
          <w:bdr w:val="none" w:sz="0" w:space="0" w:color="auto" w:frame="1"/>
          <w:lang w:eastAsia="en-US"/>
        </w:rPr>
        <w:t>unreasonable</w:t>
      </w:r>
      <w:r w:rsidRPr="00F94B7E">
        <w:rPr>
          <w:rFonts w:ascii="Times New Roman" w:eastAsia="Times New Roman,ＭＳ ゴシック" w:hAnsi="Times New Roman" w:cs="Times New Roman"/>
          <w:bdr w:val="none" w:sz="0" w:space="0" w:color="auto" w:frame="1"/>
          <w:lang w:eastAsia="en-US"/>
        </w:rPr>
        <w:t>.</w:t>
      </w:r>
      <w:r w:rsidR="00B05F31" w:rsidRPr="00F94B7E">
        <w:rPr>
          <w:rFonts w:ascii="Times New Roman" w:eastAsia="Times New Roman,ＭＳ ゴシック" w:hAnsi="Times New Roman" w:cs="Times New Roman"/>
          <w:bdr w:val="none" w:sz="0" w:space="0" w:color="auto" w:frame="1"/>
          <w:lang w:eastAsia="en-US"/>
        </w:rPr>
        <w:t>”</w:t>
      </w:r>
      <w:r w:rsidR="00C14ACE" w:rsidRPr="00F94B7E">
        <w:rPr>
          <w:rFonts w:ascii="Times New Roman" w:eastAsia="Times New Roman,ＭＳ ゴシック" w:hAnsi="Times New Roman" w:cs="Times New Roman"/>
          <w:bdr w:val="none" w:sz="0" w:space="0" w:color="auto" w:frame="1"/>
          <w:lang w:eastAsia="en-US"/>
        </w:rPr>
        <w:t xml:space="preserve"> </w:t>
      </w:r>
      <w:r w:rsidR="00C14ACE" w:rsidRPr="00F94B7E">
        <w:rPr>
          <w:rFonts w:ascii="Times New Roman" w:eastAsia="Times New Roman,ＭＳ ゴシック" w:hAnsi="Times New Roman" w:cs="Times New Roman"/>
          <w:i/>
          <w:bdr w:val="none" w:sz="0" w:space="0" w:color="auto" w:frame="1"/>
          <w:lang w:eastAsia="en-US"/>
        </w:rPr>
        <w:t>Id.</w:t>
      </w:r>
      <w:r w:rsidR="00C14ACE" w:rsidRPr="00F94B7E">
        <w:rPr>
          <w:rFonts w:ascii="Times New Roman" w:eastAsia="Times New Roman,ＭＳ ゴシック" w:hAnsi="Times New Roman" w:cs="Times New Roman"/>
          <w:bdr w:val="none" w:sz="0" w:space="0" w:color="auto" w:frame="1"/>
          <w:lang w:eastAsia="en-US"/>
        </w:rPr>
        <w:t xml:space="preserve"> </w:t>
      </w:r>
      <w:r w:rsidR="00C14ACE" w:rsidRPr="003E7485" w:rsidDel="00C14ACE">
        <w:rPr>
          <w:rFonts w:ascii="Times New Roman" w:eastAsia="Times New Roman" w:hAnsi="Times New Roman" w:cs="Times New Roman"/>
          <w:i/>
          <w:iCs/>
          <w:bdr w:val="none" w:sz="0" w:space="0" w:color="auto" w:frame="1"/>
          <w:lang w:eastAsia="en-US"/>
        </w:rPr>
        <w:t xml:space="preserve"> </w:t>
      </w:r>
      <w:r w:rsidRPr="00F94B7E">
        <w:rPr>
          <w:rFonts w:ascii="Times New Roman" w:eastAsia="Times New Roman,ＭＳ ゴシック" w:hAnsi="Times New Roman" w:cs="Times New Roman"/>
          <w:bdr w:val="none" w:sz="0" w:space="0" w:color="auto" w:frame="1"/>
          <w:lang w:eastAsia="en-US"/>
        </w:rPr>
        <w:t xml:space="preserve">It is substantial if it causes significant harm and unreasonable if its social utility is outweighed by the gravity of the harm inflicted. </w:t>
      </w:r>
      <w:r w:rsidR="00C14ACE" w:rsidRPr="003E7485">
        <w:rPr>
          <w:rFonts w:ascii="Times New Roman" w:eastAsia="Times New Roman" w:hAnsi="Times New Roman" w:cs="Times New Roman"/>
          <w:i/>
          <w:iCs/>
          <w:bdr w:val="none" w:sz="0" w:space="0" w:color="auto" w:frame="1"/>
          <w:lang w:eastAsia="en-US"/>
        </w:rPr>
        <w:t>Id.</w:t>
      </w:r>
    </w:p>
    <w:p w14:paraId="7C0ACF3A" w14:textId="38A9816D" w:rsidR="00C85B70" w:rsidRPr="0093755D" w:rsidRDefault="750671CE" w:rsidP="750671CE">
      <w:pPr>
        <w:spacing w:afterAutospacing="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Santa Clara, SF, and Oakland </w:t>
      </w:r>
      <w:r w:rsidR="00701DE4">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alleged that lead causes</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lang w:eastAsia="en-US"/>
        </w:rPr>
        <w:t xml:space="preserve">grave harm, is injurious to health, and interferes with the comfortable enjoyment of life and property. Clearly their complaint was adequate to allege the existence of a public nuisance </w:t>
      </w:r>
      <w:r w:rsidR="00701DE4">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The next question was whether defendants could be held responsible for this public nuisance.</w:t>
      </w:r>
    </w:p>
    <w:p w14:paraId="45BCEE76" w14:textId="78F62FCF" w:rsidR="00C85B70" w:rsidRPr="009E54E4" w:rsidRDefault="00B05F31" w:rsidP="750671CE">
      <w:pPr>
        <w:spacing w:afterAutospacing="1"/>
        <w:ind w:firstLine="720"/>
        <w:textAlignment w:val="baseline"/>
        <w:rPr>
          <w:rFonts w:ascii="Times New Roman" w:eastAsia="Times New Roman" w:hAnsi="Times New Roman" w:cs="Times New Roman"/>
          <w:lang w:eastAsia="en-US"/>
        </w:rPr>
      </w:pPr>
      <w:r w:rsidRPr="00F94B7E">
        <w:rPr>
          <w:rFonts w:ascii="Times New Roman" w:eastAsia="Times New Roman,ＭＳ ゴシック" w:hAnsi="Times New Roman" w:cs="Times New Roman"/>
          <w:bdr w:val="none" w:sz="0" w:space="0" w:color="auto" w:frame="1"/>
          <w:lang w:eastAsia="en-US"/>
        </w:rPr>
        <w:t>“</w:t>
      </w:r>
      <w:r w:rsidR="00C85B70" w:rsidRPr="00F94B7E">
        <w:rPr>
          <w:rFonts w:ascii="Times New Roman" w:eastAsia="Times New Roman,ＭＳ ゴシック" w:hAnsi="Times New Roman" w:cs="Times New Roman"/>
          <w:bdr w:val="none" w:sz="0" w:space="0" w:color="auto" w:frame="1"/>
          <w:lang w:eastAsia="en-US"/>
        </w:rPr>
        <w:t>[L]iability for nuisance does not hinge on whether the defendant owns, possesses or controls the property, nor on whether he is in a position to abate the nuisance; the critical question is whether the defendant</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bdr w:val="none" w:sz="0" w:space="0" w:color="auto" w:frame="1"/>
          <w:lang w:eastAsia="en-US"/>
        </w:rPr>
        <w:t>created or assisted in the creation of the nuisance</w:t>
      </w:r>
      <w:r w:rsidR="00C85B70"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w:t>
      </w:r>
      <w:r w:rsidR="00C85B70" w:rsidRPr="00F94B7E">
        <w:rPr>
          <w:rFonts w:ascii="Times New Roman" w:eastAsia="Times New Roman,ＭＳ ゴシック" w:hAnsi="Times New Roman" w:cs="Times New Roman"/>
          <w:bdr w:val="none" w:sz="0" w:space="0" w:color="auto" w:frame="1"/>
          <w:lang w:eastAsia="en-US"/>
        </w:rPr>
        <w:t xml:space="preserve"> </w:t>
      </w:r>
      <w:r w:rsidR="00D8737E">
        <w:rPr>
          <w:rFonts w:ascii="Times New Roman" w:eastAsia="Times New Roman,ＭＳ ゴシック" w:hAnsi="Times New Roman" w:cs="Times New Roman"/>
          <w:bdr w:val="none" w:sz="0" w:space="0" w:color="auto" w:frame="1"/>
          <w:lang w:eastAsia="en-US"/>
        </w:rPr>
        <w:t>(</w:t>
      </w:r>
      <w:r w:rsidR="00C85B70" w:rsidRPr="009E54E4">
        <w:rPr>
          <w:rFonts w:ascii="Times New Roman" w:eastAsia="Times New Roman" w:hAnsi="Times New Roman" w:cs="Times New Roman"/>
          <w:i/>
          <w:iCs/>
          <w:bdr w:val="none" w:sz="0" w:space="0" w:color="auto" w:frame="1"/>
          <w:lang w:eastAsia="en-US"/>
        </w:rPr>
        <w:t>City of Modesto Redevelopment Agency v. Superior Court</w:t>
      </w:r>
      <w:r w:rsidR="00C14ACE" w:rsidRPr="00F94B7E">
        <w:rPr>
          <w:rFonts w:ascii="Times New Roman" w:eastAsia="Times New Roman,Cambria" w:hAnsi="Times New Roman" w:cs="Times New Roman"/>
          <w:bdr w:val="none" w:sz="0" w:space="0" w:color="auto" w:frame="1"/>
          <w:lang w:eastAsia="en-US"/>
        </w:rPr>
        <w:t xml:space="preserve">, 119 Cal. App. 4th 28, 39 </w:t>
      </w:r>
      <w:r w:rsidR="00D8737E">
        <w:rPr>
          <w:rFonts w:ascii="Times New Roman" w:eastAsia="Times New Roman,Cambria" w:hAnsi="Times New Roman" w:cs="Times New Roman"/>
          <w:bdr w:val="none" w:sz="0" w:space="0" w:color="auto" w:frame="1"/>
          <w:lang w:eastAsia="en-US"/>
        </w:rPr>
        <w:t>[</w:t>
      </w:r>
      <w:r w:rsidR="00C14ACE" w:rsidRPr="00F94B7E">
        <w:rPr>
          <w:rFonts w:ascii="Times New Roman" w:eastAsia="Times New Roman,Cambria" w:hAnsi="Times New Roman" w:cs="Times New Roman"/>
          <w:bdr w:val="none" w:sz="0" w:space="0" w:color="auto" w:frame="1"/>
          <w:lang w:eastAsia="en-US"/>
        </w:rPr>
        <w:t>Cal. Ct. App. 2004</w:t>
      </w:r>
      <w:r w:rsidR="00D8737E">
        <w:rPr>
          <w:rFonts w:ascii="Times New Roman" w:eastAsia="Times New Roman,Cambria" w:hAnsi="Times New Roman" w:cs="Times New Roman"/>
          <w:bdr w:val="none" w:sz="0" w:space="0" w:color="auto" w:frame="1"/>
          <w:lang w:eastAsia="en-US"/>
        </w:rPr>
        <w:t>]</w:t>
      </w:r>
      <w:r w:rsidR="00C85B70" w:rsidRPr="00F94B7E">
        <w:rPr>
          <w:rFonts w:ascii="Times New Roman" w:eastAsia="Times New Roman,Cambria" w:hAnsi="Times New Roman" w:cs="Times New Roman"/>
          <w:bdr w:val="none" w:sz="0" w:space="0" w:color="auto" w:frame="1"/>
          <w:lang w:eastAsia="en-US"/>
        </w:rPr>
        <w:t xml:space="preserve"> . . .</w:t>
      </w:r>
      <w:r w:rsidR="00D8737E">
        <w:rPr>
          <w:rFonts w:ascii="Times New Roman" w:eastAsia="Times New Roman,ＭＳ ゴシック" w:hAnsi="Times New Roman" w:cs="Times New Roman"/>
          <w:bdr w:val="none" w:sz="0" w:space="0" w:color="auto" w:frame="1"/>
          <w:lang w:eastAsia="en-US"/>
        </w:rPr>
        <w:t>)</w:t>
      </w:r>
    </w:p>
    <w:p w14:paraId="7C151196" w14:textId="5BF46837" w:rsidR="00C85B70" w:rsidRPr="0093755D" w:rsidRDefault="00C85B70" w:rsidP="750671CE">
      <w:pPr>
        <w:spacing w:afterAutospacing="1"/>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Here, Santa Clara, SF, and Oakland alleged that defendants assisted in the creation of this nuisance by concealing the dangers of lead, mounting a campaign against regulation of lead, and promoting</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bdr w:val="none" w:sz="0" w:space="0" w:color="auto" w:frame="1"/>
          <w:lang w:eastAsia="en-US"/>
        </w:rPr>
        <w:t>lead paint</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for interior use even though defendants had known for nearly a century that such a use of</w:t>
      </w:r>
      <w:r w:rsidRPr="750671CE">
        <w:rPr>
          <w:rFonts w:ascii="Times New Roman,Cambria" w:eastAsia="Times New Roman,Cambria" w:hAnsi="Times New Roman,Cambria" w:cs="Times New Roman,Cambria"/>
          <w:lang w:eastAsia="en-US"/>
        </w:rPr>
        <w:t> </w:t>
      </w:r>
      <w:r w:rsidRPr="750671CE">
        <w:rPr>
          <w:rFonts w:ascii="Times New Roman" w:eastAsia="Times New Roman" w:hAnsi="Times New Roman" w:cs="Times New Roman"/>
          <w:bdr w:val="none" w:sz="0" w:space="0" w:color="auto" w:frame="1"/>
          <w:lang w:eastAsia="en-US"/>
        </w:rPr>
        <w:t>lead paint</w:t>
      </w:r>
      <w:r w:rsidRPr="750671CE">
        <w:rPr>
          <w:rFonts w:ascii="Times New Roman,Cambria" w:eastAsia="Times New Roman,Cambria" w:hAnsi="Times New Roman,Cambria" w:cs="Times New Roman,Cambria"/>
          <w:lang w:eastAsia="en-US"/>
        </w:rPr>
        <w:t> </w:t>
      </w:r>
      <w:r w:rsidRPr="0093755D">
        <w:rPr>
          <w:rFonts w:ascii="Times New Roman" w:eastAsia="Times New Roman" w:hAnsi="Times New Roman" w:cs="Times New Roman"/>
          <w:lang w:eastAsia="en-US"/>
        </w:rPr>
        <w:t xml:space="preserve">was hazardous to human beings. </w:t>
      </w:r>
      <w:r w:rsidR="00CA07BF">
        <w:rPr>
          <w:rFonts w:ascii="Times New Roman" w:eastAsia="Times New Roman" w:hAnsi="Times New Roman" w:cs="Times New Roman"/>
          <w:lang w:eastAsia="en-US"/>
        </w:rPr>
        <w:t>. . .</w:t>
      </w:r>
    </w:p>
    <w:p w14:paraId="4F5096D6" w14:textId="4F3A6921" w:rsidR="00C85B70" w:rsidRPr="009E54E4" w:rsidRDefault="00C85B70" w:rsidP="750671CE">
      <w:pPr>
        <w:spacing w:afterAutospacing="1"/>
        <w:ind w:firstLine="720"/>
        <w:textAlignment w:val="baseline"/>
        <w:rPr>
          <w:rFonts w:ascii="Times New Roman" w:eastAsia="Times New Roman" w:hAnsi="Times New Roman" w:cs="Times New Roman"/>
          <w:lang w:eastAsia="en-US"/>
        </w:rPr>
      </w:pPr>
      <w:r w:rsidRPr="00F94B7E">
        <w:rPr>
          <w:rFonts w:ascii="Times New Roman" w:eastAsia="Times New Roman,ＭＳ ゴシック" w:hAnsi="Times New Roman" w:cs="Times New Roman"/>
          <w:bdr w:val="none" w:sz="0" w:space="0" w:color="auto" w:frame="1"/>
          <w:lang w:eastAsia="en-US"/>
        </w:rPr>
        <w:t>Yet defendants claim that they may not be held liable on a public nuisance cause of action because two Court of Appeal opinions have held that public nuisance is an inappropriate cause of action against a product manufacturer for a nuisance</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caused by the product. They rely on the Second District Court of Appeal</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s decision in</w:t>
      </w:r>
      <w:r w:rsidRPr="00F94B7E">
        <w:rPr>
          <w:rFonts w:ascii="Times New Roman" w:eastAsia="Times New Roman,Cambria" w:hAnsi="Times New Roman" w:cs="Times New Roman"/>
          <w:bdr w:val="none" w:sz="0" w:space="0" w:color="auto" w:frame="1"/>
          <w:lang w:eastAsia="en-US"/>
        </w:rPr>
        <w:t> </w:t>
      </w:r>
      <w:hyperlink r:id="rId75" w:history="1">
        <w:r w:rsidRPr="009E54E4">
          <w:rPr>
            <w:rFonts w:ascii="Times New Roman" w:eastAsia="Times New Roman" w:hAnsi="Times New Roman" w:cs="Times New Roman"/>
            <w:i/>
            <w:iCs/>
            <w:bdr w:val="none" w:sz="0" w:space="0" w:color="auto" w:frame="1"/>
            <w:lang w:eastAsia="en-US"/>
          </w:rPr>
          <w:t>City of San Diego v. U.S. Gypsum Co</w:t>
        </w:r>
        <w:r w:rsidR="00C14ACE" w:rsidRPr="009E54E4">
          <w:rPr>
            <w:rFonts w:ascii="Times New Roman" w:eastAsia="Times New Roman" w:hAnsi="Times New Roman" w:cs="Times New Roman"/>
            <w:i/>
            <w:iCs/>
            <w:bdr w:val="none" w:sz="0" w:space="0" w:color="auto" w:frame="1"/>
            <w:lang w:eastAsia="en-US"/>
          </w:rPr>
          <w:t>.</w:t>
        </w:r>
        <w:r w:rsidR="00C14ACE" w:rsidRPr="009E54E4">
          <w:rPr>
            <w:rFonts w:ascii="Times New Roman" w:eastAsia="Times New Roman" w:hAnsi="Times New Roman" w:cs="Times New Roman"/>
            <w:iCs/>
            <w:bdr w:val="none" w:sz="0" w:space="0" w:color="auto" w:frame="1"/>
            <w:lang w:eastAsia="en-US"/>
          </w:rPr>
          <w:t>[ 30 Cal. App. 4th 575 (Cal. Ct. App. 1995)]</w:t>
        </w:r>
        <w:r w:rsidRPr="00F94B7E">
          <w:rPr>
            <w:rFonts w:ascii="Times New Roman" w:eastAsia="Times New Roman,Cambria" w:hAnsi="Times New Roman" w:cs="Times New Roman"/>
            <w:i/>
            <w:iCs/>
            <w:bdr w:val="none" w:sz="0" w:space="0" w:color="auto" w:frame="1"/>
            <w:lang w:eastAsia="en-US"/>
          </w:rPr>
          <w:t> </w:t>
        </w:r>
      </w:hyperlink>
      <w:r w:rsidRPr="00F94B7E">
        <w:rPr>
          <w:rFonts w:ascii="Times New Roman" w:eastAsia="Times New Roman,ＭＳ ゴシック" w:hAnsi="Times New Roman" w:cs="Times New Roman"/>
          <w:bdr w:val="none" w:sz="0" w:space="0" w:color="auto" w:frame="1"/>
          <w:lang w:eastAsia="en-US"/>
        </w:rPr>
        <w:t>and the First District Court of Appeal</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s decision in</w:t>
      </w:r>
      <w:r w:rsidRPr="00F94B7E">
        <w:rPr>
          <w:rFonts w:ascii="Times New Roman" w:eastAsia="Times New Roman,Cambria" w:hAnsi="Times New Roman" w:cs="Times New Roman"/>
          <w:bdr w:val="none" w:sz="0" w:space="0" w:color="auto" w:frame="1"/>
          <w:lang w:eastAsia="en-US"/>
        </w:rPr>
        <w:t> </w:t>
      </w:r>
      <w:hyperlink r:id="rId76" w:history="1">
        <w:r w:rsidRPr="009E54E4">
          <w:rPr>
            <w:rFonts w:ascii="Times New Roman" w:eastAsia="Times New Roman" w:hAnsi="Times New Roman" w:cs="Times New Roman"/>
            <w:i/>
            <w:iCs/>
            <w:bdr w:val="none" w:sz="0" w:space="0" w:color="auto" w:frame="1"/>
            <w:lang w:eastAsia="en-US"/>
          </w:rPr>
          <w:t>Modesto</w:t>
        </w:r>
      </w:hyperlink>
      <w:r w:rsidRPr="00F94B7E">
        <w:rPr>
          <w:rFonts w:ascii="Times New Roman" w:eastAsia="Times New Roman,ＭＳ ゴシック" w:hAnsi="Times New Roman" w:cs="Times New Roman"/>
          <w:bdr w:val="none" w:sz="0" w:space="0" w:color="auto" w:frame="1"/>
          <w:lang w:eastAsia="en-US"/>
        </w:rPr>
        <w:t>. . . .</w:t>
      </w:r>
    </w:p>
    <w:p w14:paraId="61B76695" w14:textId="526E249C" w:rsidR="00C85B70" w:rsidRPr="009E54E4" w:rsidRDefault="00E35F15" w:rsidP="750671CE">
      <w:pPr>
        <w:spacing w:afterAutospacing="1"/>
        <w:ind w:firstLine="720"/>
        <w:textAlignment w:val="baseline"/>
        <w:rPr>
          <w:rFonts w:ascii="Times New Roman" w:eastAsia="Times New Roman" w:hAnsi="Times New Roman" w:cs="Times New Roman"/>
          <w:lang w:eastAsia="en-US"/>
        </w:rPr>
      </w:pPr>
      <w:hyperlink r:id="rId77" w:history="1">
        <w:r w:rsidR="00C85B70" w:rsidRPr="009E54E4">
          <w:rPr>
            <w:rFonts w:ascii="Times New Roman" w:eastAsia="Times New Roman" w:hAnsi="Times New Roman" w:cs="Times New Roman"/>
            <w:i/>
            <w:iCs/>
            <w:bdr w:val="none" w:sz="0" w:space="0" w:color="auto" w:frame="1"/>
            <w:lang w:eastAsia="en-US"/>
          </w:rPr>
          <w:t>San Diego</w:t>
        </w:r>
      </w:hyperlink>
      <w:r w:rsidR="00C85B70" w:rsidRPr="00F94B7E">
        <w:rPr>
          <w:rFonts w:ascii="Times New Roman" w:eastAsia="Times New Roman,Cambria" w:hAnsi="Times New Roman" w:cs="Times New Roman"/>
          <w:i/>
          <w:iCs/>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and</w:t>
      </w:r>
      <w:r w:rsidR="00C85B70" w:rsidRPr="00F94B7E">
        <w:rPr>
          <w:rFonts w:ascii="Times New Roman" w:eastAsia="Times New Roman,Cambria" w:hAnsi="Times New Roman" w:cs="Times New Roman"/>
          <w:bdr w:val="none" w:sz="0" w:space="0" w:color="auto" w:frame="1"/>
          <w:lang w:eastAsia="en-US"/>
        </w:rPr>
        <w:t> </w:t>
      </w:r>
      <w:hyperlink r:id="rId78" w:history="1">
        <w:r w:rsidR="00C85B70" w:rsidRPr="009E54E4">
          <w:rPr>
            <w:rFonts w:ascii="Times New Roman" w:eastAsia="Times New Roman" w:hAnsi="Times New Roman" w:cs="Times New Roman"/>
            <w:i/>
            <w:iCs/>
            <w:bdr w:val="none" w:sz="0" w:space="0" w:color="auto" w:frame="1"/>
            <w:lang w:eastAsia="en-US"/>
          </w:rPr>
          <w:t>Modesto</w:t>
        </w:r>
      </w:hyperlink>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are distinguishable from the case before us. Here, the representative cause of action is a public nuisance action brought</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on behalf of the People seeking abatement</w:t>
      </w:r>
      <w:r w:rsidR="00C85B70" w:rsidRPr="00F94B7E">
        <w:rPr>
          <w:rFonts w:ascii="Times New Roman" w:eastAsia="Times New Roman,ＭＳ ゴシック" w:hAnsi="Times New Roman" w:cs="Times New Roman"/>
          <w:bdr w:val="none" w:sz="0" w:space="0" w:color="auto" w:frame="1"/>
          <w:lang w:eastAsia="en-US"/>
        </w:rPr>
        <w:t>. Santa Clara, SF, and Oakland are</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not</w:t>
      </w:r>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seeking</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damages</w:t>
      </w:r>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for injury to</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their</w:t>
      </w:r>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property or the cost of remediating</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their</w:t>
      </w:r>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property. Liability is not based merely on production of a product or failure to warn. Instead, liability is premised on defendants</w:t>
      </w:r>
      <w:r w:rsidR="00B05F31" w:rsidRPr="00F94B7E">
        <w:rPr>
          <w:rFonts w:ascii="Times New Roman" w:eastAsia="Times New Roman,ＭＳ ゴシック" w:hAnsi="Times New Roman" w:cs="Times New Roman"/>
          <w:bdr w:val="none" w:sz="0" w:space="0" w:color="auto" w:frame="1"/>
          <w:lang w:eastAsia="en-US"/>
        </w:rPr>
        <w:t>’</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promotion of</w:t>
      </w:r>
      <w:r w:rsidR="00C85B70" w:rsidRPr="00F94B7E">
        <w:rPr>
          <w:rFonts w:ascii="Times New Roman" w:eastAsia="Times New Roman,Cambria" w:hAnsi="Times New Roman" w:cs="Times New Roman"/>
          <w:i/>
          <w:iCs/>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lead paint</w:t>
      </w:r>
      <w:r w:rsidR="00C85B70" w:rsidRPr="00F94B7E">
        <w:rPr>
          <w:rFonts w:ascii="Times New Roman" w:eastAsia="Times New Roman,Cambria" w:hAnsi="Times New Roman" w:cs="Times New Roman"/>
          <w:i/>
          <w:iCs/>
          <w:bdr w:val="none" w:sz="0" w:space="0" w:color="auto" w:frame="1"/>
          <w:lang w:eastAsia="en-US"/>
        </w:rPr>
        <w:t> </w:t>
      </w:r>
      <w:r w:rsidR="00C85B70" w:rsidRPr="009E54E4">
        <w:rPr>
          <w:rFonts w:ascii="Times New Roman" w:eastAsia="Times New Roman" w:hAnsi="Times New Roman" w:cs="Times New Roman"/>
          <w:i/>
          <w:iCs/>
          <w:bdr w:val="none" w:sz="0" w:space="0" w:color="auto" w:frame="1"/>
          <w:lang w:eastAsia="en-US"/>
        </w:rPr>
        <w:t>for interior use</w:t>
      </w:r>
      <w:r w:rsidR="00C85B70" w:rsidRPr="00F94B7E">
        <w:rPr>
          <w:rFonts w:ascii="Times New Roman" w:eastAsia="Times New Roman,Cambria" w:hAnsi="Times New Roman" w:cs="Times New Roman"/>
          <w:bdr w:val="none" w:sz="0" w:space="0" w:color="auto" w:frame="1"/>
          <w:lang w:eastAsia="en-US"/>
        </w:rPr>
        <w:t> </w:t>
      </w:r>
      <w:r w:rsidR="00C85B70" w:rsidRPr="00F94B7E">
        <w:rPr>
          <w:rFonts w:ascii="Times New Roman" w:eastAsia="Times New Roman,ＭＳ ゴシック" w:hAnsi="Times New Roman" w:cs="Times New Roman"/>
          <w:bdr w:val="none" w:sz="0" w:space="0" w:color="auto" w:frame="1"/>
          <w:lang w:eastAsia="en-US"/>
        </w:rPr>
        <w:t>with knowledge of the hazard that such use would create.</w:t>
      </w:r>
      <w:r w:rsidR="00C85B70" w:rsidRPr="00F94B7E">
        <w:rPr>
          <w:rFonts w:ascii="Times New Roman" w:eastAsia="Times New Roman,Cambria" w:hAnsi="Times New Roman" w:cs="Times New Roman"/>
          <w:bdr w:val="none" w:sz="0" w:space="0" w:color="auto" w:frame="1"/>
          <w:lang w:eastAsia="en-US"/>
        </w:rPr>
        <w:t> </w:t>
      </w:r>
      <w:r w:rsidR="00C85B70" w:rsidRPr="009E54E4">
        <w:rPr>
          <w:rFonts w:ascii="Times New Roman" w:eastAsia="Times New Roman" w:hAnsi="Times New Roman" w:cs="Times New Roman"/>
          <w:lang w:eastAsia="en-US"/>
        </w:rPr>
        <w:t>This conduct is distinct from and far more egregious than simply producing a defective prod</w:t>
      </w:r>
      <w:r w:rsidR="00C85B70" w:rsidRPr="00735627">
        <w:rPr>
          <w:rFonts w:ascii="Times New Roman" w:eastAsia="Times New Roman" w:hAnsi="Times New Roman" w:cs="Times New Roman"/>
          <w:lang w:eastAsia="en-US"/>
        </w:rPr>
        <w:t>uct or failing to warn of a defective product</w:t>
      </w:r>
      <w:r w:rsidR="00CA07BF">
        <w:rPr>
          <w:rFonts w:ascii="Times New Roman" w:eastAsia="Times New Roman" w:hAnsi="Times New Roman" w:cs="Times New Roman"/>
          <w:lang w:eastAsia="en-US"/>
        </w:rPr>
        <w:t xml:space="preserve"> . . . .</w:t>
      </w:r>
    </w:p>
    <w:p w14:paraId="6BF3E83C" w14:textId="238DBDB1" w:rsidR="00C85B70" w:rsidRPr="0093755D" w:rsidRDefault="00C85B70" w:rsidP="00CA07BF">
      <w:pPr>
        <w:spacing w:afterAutospacing="1"/>
        <w:ind w:firstLine="720"/>
        <w:textAlignment w:val="baseline"/>
        <w:rPr>
          <w:rFonts w:ascii="Times New Roman,ＭＳ ゴシック" w:eastAsia="Times New Roman,ＭＳ ゴシック" w:hAnsi="Times New Roman,ＭＳ ゴシック" w:cs="Times New Roman,ＭＳ ゴシック"/>
          <w:lang w:eastAsia="en-US"/>
        </w:rPr>
      </w:pPr>
      <w:r w:rsidRPr="00F94B7E">
        <w:rPr>
          <w:rFonts w:ascii="Times New Roman" w:eastAsia="Times New Roman,ＭＳ ゴシック" w:hAnsi="Times New Roman" w:cs="Times New Roman"/>
          <w:bdr w:val="none" w:sz="0" w:space="0" w:color="auto" w:frame="1"/>
          <w:lang w:eastAsia="en-US"/>
        </w:rPr>
        <w:t>A</w:t>
      </w:r>
      <w:r w:rsidRPr="00F94B7E">
        <w:rPr>
          <w:rFonts w:ascii="Times New Roman" w:eastAsia="Times New Roman,Cambria" w:hAnsi="Times New Roman" w:cs="Times New Roman"/>
          <w:bdr w:val="none" w:sz="0" w:space="0" w:color="auto" w:frame="1"/>
          <w:lang w:eastAsia="en-US"/>
        </w:rPr>
        <w:t> </w:t>
      </w:r>
      <w:r w:rsidRPr="009E54E4">
        <w:rPr>
          <w:rFonts w:ascii="Times New Roman" w:eastAsia="Times New Roman" w:hAnsi="Times New Roman" w:cs="Times New Roman"/>
          <w:i/>
          <w:iCs/>
          <w:bdr w:val="none" w:sz="0" w:space="0" w:color="auto" w:frame="1"/>
          <w:lang w:eastAsia="en-US"/>
        </w:rPr>
        <w:t>representative</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public nuisance cause of action seeking</w:t>
      </w:r>
      <w:r w:rsidRPr="00F94B7E">
        <w:rPr>
          <w:rFonts w:ascii="Times New Roman" w:eastAsia="Times New Roman,Cambria" w:hAnsi="Times New Roman" w:cs="Times New Roman"/>
          <w:bdr w:val="none" w:sz="0" w:space="0" w:color="auto" w:frame="1"/>
          <w:lang w:eastAsia="en-US"/>
        </w:rPr>
        <w:t> </w:t>
      </w:r>
      <w:r w:rsidRPr="009E54E4">
        <w:rPr>
          <w:rFonts w:ascii="Times New Roman" w:eastAsia="Times New Roman" w:hAnsi="Times New Roman" w:cs="Times New Roman"/>
          <w:i/>
          <w:iCs/>
          <w:bdr w:val="none" w:sz="0" w:space="0" w:color="auto" w:frame="1"/>
          <w:lang w:eastAsia="en-US"/>
        </w:rPr>
        <w:t>abatement</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of a hazard created by affirmative and knowing</w:t>
      </w:r>
      <w:r w:rsidRPr="00F94B7E">
        <w:rPr>
          <w:rFonts w:ascii="Times New Roman" w:eastAsia="Times New Roman,Cambria" w:hAnsi="Times New Roman" w:cs="Times New Roman"/>
          <w:bdr w:val="none" w:sz="0" w:space="0" w:color="auto" w:frame="1"/>
          <w:lang w:eastAsia="en-US"/>
        </w:rPr>
        <w:t> </w:t>
      </w:r>
      <w:r w:rsidRPr="009E54E4">
        <w:rPr>
          <w:rFonts w:ascii="Times New Roman" w:eastAsia="Times New Roman" w:hAnsi="Times New Roman" w:cs="Times New Roman"/>
          <w:i/>
          <w:iCs/>
          <w:bdr w:val="none" w:sz="0" w:space="0" w:color="auto" w:frame="1"/>
          <w:lang w:eastAsia="en-US"/>
        </w:rPr>
        <w:t>promotion of a product for a hazardous use</w:t>
      </w:r>
      <w:r w:rsidRPr="00F94B7E">
        <w:rPr>
          <w:rFonts w:ascii="Times New Roman" w:eastAsia="Times New Roman,Cambria" w:hAnsi="Times New Roman" w:cs="Times New Roman"/>
          <w:bdr w:val="none" w:sz="0" w:space="0" w:color="auto" w:frame="1"/>
          <w:lang w:eastAsia="en-US"/>
        </w:rPr>
        <w:t> </w:t>
      </w:r>
      <w:r w:rsidRPr="00F94B7E">
        <w:rPr>
          <w:rFonts w:ascii="Times New Roman" w:eastAsia="Times New Roman,ＭＳ ゴシック" w:hAnsi="Times New Roman" w:cs="Times New Roman"/>
          <w:bdr w:val="none" w:sz="0" w:space="0" w:color="auto" w:frame="1"/>
          <w:lang w:eastAsia="en-US"/>
        </w:rPr>
        <w:t>is</w:t>
      </w:r>
      <w:r w:rsidRPr="00F94B7E">
        <w:rPr>
          <w:rFonts w:ascii="Times New Roman" w:eastAsia="Times New Roman,Cambria" w:hAnsi="Times New Roman" w:cs="Times New Roman"/>
          <w:bdr w:val="none" w:sz="0" w:space="0" w:color="auto" w:frame="1"/>
          <w:lang w:eastAsia="en-US"/>
        </w:rPr>
        <w:t> </w:t>
      </w:r>
      <w:r w:rsidRPr="009E54E4">
        <w:rPr>
          <w:rFonts w:ascii="Times New Roman" w:eastAsia="Times New Roman" w:hAnsi="Times New Roman" w:cs="Times New Roman"/>
          <w:i/>
          <w:iCs/>
          <w:bdr w:val="none" w:sz="0" w:space="0" w:color="auto" w:frame="1"/>
          <w:lang w:eastAsia="en-US"/>
        </w:rPr>
        <w:t xml:space="preserve">not </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essentially</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 xml:space="preserve"> a products liability action </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in the guise of a nuisance action</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 xml:space="preserve"> and does not threaten to permit public nuisance to </w:t>
      </w:r>
      <w:r w:rsidR="00B05F31" w:rsidRPr="00F94B7E">
        <w:rPr>
          <w:rFonts w:ascii="Times New Roman" w:eastAsia="Times New Roman,ＭＳ ゴシック" w:hAnsi="Times New Roman" w:cs="Times New Roman"/>
          <w:bdr w:val="none" w:sz="0" w:space="0" w:color="auto" w:frame="1"/>
          <w:lang w:eastAsia="en-US"/>
        </w:rPr>
        <w:t>“‘</w:t>
      </w:r>
      <w:r w:rsidRPr="00F94B7E">
        <w:rPr>
          <w:rFonts w:ascii="Times New Roman" w:eastAsia="Times New Roman,ＭＳ ゴシック" w:hAnsi="Times New Roman" w:cs="Times New Roman"/>
          <w:bdr w:val="none" w:sz="0" w:space="0" w:color="auto" w:frame="1"/>
          <w:lang w:eastAsia="en-US"/>
        </w:rPr>
        <w:t xml:space="preserve">become a monster that would devour in one gulp the entire law of tort </w:t>
      </w:r>
      <w:r w:rsidR="00AD18E9" w:rsidRPr="00F94B7E">
        <w:rPr>
          <w:rFonts w:ascii="Times New Roman" w:eastAsia="Times New Roman,ＭＳ ゴシック" w:hAnsi="Times New Roman" w:cs="Times New Roman"/>
          <w:bdr w:val="none" w:sz="0" w:space="0" w:color="auto" w:frame="1"/>
          <w:lang w:eastAsia="en-US"/>
        </w:rPr>
        <w:t xml:space="preserve">. . . </w:t>
      </w:r>
      <w:r w:rsidRPr="00F94B7E">
        <w:rPr>
          <w:rFonts w:ascii="Times New Roman" w:eastAsia="Times New Roman,ＭＳ ゴシック" w:hAnsi="Times New Roman" w:cs="Times New Roman"/>
          <w:bdr w:val="none" w:sz="0" w:space="0" w:color="auto" w:frame="1"/>
          <w:lang w:eastAsia="en-US"/>
        </w:rPr>
        <w:t>.</w:t>
      </w:r>
      <w:r w:rsidR="00B05F31" w:rsidRPr="00F94B7E">
        <w:rPr>
          <w:rFonts w:ascii="Times New Roman" w:eastAsia="Times New Roman,ＭＳ ゴシック" w:hAnsi="Times New Roman" w:cs="Times New Roman"/>
          <w:bdr w:val="none" w:sz="0" w:space="0" w:color="auto" w:frame="1"/>
          <w:lang w:eastAsia="en-US"/>
        </w:rPr>
        <w:t>’</w:t>
      </w:r>
      <w:r w:rsidR="00D8737E">
        <w:rPr>
          <w:rFonts w:ascii="Times New Roman" w:eastAsia="Times New Roman,ＭＳ ゴシック" w:hAnsi="Times New Roman" w:cs="Times New Roman"/>
          <w:bdr w:val="none" w:sz="0" w:space="0" w:color="auto" w:frame="1"/>
          <w:lang w:eastAsia="en-US"/>
        </w:rPr>
        <w:t>”</w:t>
      </w:r>
    </w:p>
    <w:p w14:paraId="07212B67" w14:textId="77777777" w:rsidR="00C85B70" w:rsidRPr="0093755D" w:rsidRDefault="750671CE" w:rsidP="750671CE">
      <w:pPr>
        <w:spacing w:after="100" w:afterAutospacing="1"/>
        <w:ind w:firstLine="720"/>
        <w:textAlignment w:val="baseline"/>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77777777" w:rsidR="00C85B70" w:rsidRPr="0093755D" w:rsidRDefault="00C85B70" w:rsidP="00F94B7E">
      <w:pPr>
        <w:ind w:firstLine="720"/>
        <w:textAlignment w:val="baseline"/>
        <w:rPr>
          <w:rFonts w:ascii="Times New Roman" w:eastAsia="Times New Roman" w:hAnsi="Times New Roman" w:cs="Times New Roman"/>
          <w:lang w:eastAsia="en-US"/>
        </w:rPr>
      </w:pPr>
    </w:p>
    <w:p w14:paraId="17B0619F" w14:textId="77777777" w:rsidR="00C85B70" w:rsidRDefault="00C85B70" w:rsidP="00910387">
      <w:pPr>
        <w:pStyle w:val="Heading5"/>
      </w:pPr>
      <w:bookmarkStart w:id="966" w:name="_Toc364636271"/>
      <w:bookmarkStart w:id="967" w:name="_Toc518323540"/>
      <w:r w:rsidRPr="00C85B70">
        <w:t>Note</w:t>
      </w:r>
      <w:bookmarkEnd w:id="966"/>
      <w:bookmarkEnd w:id="967"/>
    </w:p>
    <w:p w14:paraId="69F4D001" w14:textId="77777777" w:rsidR="00910387" w:rsidRDefault="00910387" w:rsidP="00F94B7E"/>
    <w:p w14:paraId="6FDCAC99" w14:textId="77777777" w:rsidR="00910387" w:rsidRPr="00910387" w:rsidRDefault="00910387" w:rsidP="00F94B7E"/>
    <w:p w14:paraId="649DCCB4" w14:textId="328E17B8" w:rsidR="00C85B70" w:rsidRPr="00F94B7E" w:rsidRDefault="750671CE" w:rsidP="00F94B7E">
      <w:pPr>
        <w:pStyle w:val="ListParagraph"/>
        <w:numPr>
          <w:ilvl w:val="0"/>
          <w:numId w:val="40"/>
        </w:numPr>
        <w:spacing w:afterAutospacing="1"/>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 xml:space="preserve">In December 2013, a California trial court awarded damages to the </w:t>
      </w:r>
      <w:r w:rsidR="00687572">
        <w:rPr>
          <w:rFonts w:ascii="Times New Roman" w:eastAsia="Times New Roman" w:hAnsi="Times New Roman" w:cs="Times New Roman"/>
          <w:lang w:eastAsia="en-US"/>
        </w:rPr>
        <w:t>plaintiffs</w:t>
      </w:r>
      <w:r w:rsidRPr="00F94B7E">
        <w:rPr>
          <w:rFonts w:ascii="Times New Roman" w:eastAsia="Times New Roman" w:hAnsi="Times New Roman" w:cs="Times New Roman"/>
          <w:lang w:eastAsia="en-US"/>
        </w:rPr>
        <w:t xml:space="preserve"> in the amount of $1.1 billion</w:t>
      </w:r>
      <w:r w:rsidR="007E4764">
        <w:rPr>
          <w:rFonts w:ascii="Times New Roman" w:eastAsia="Times New Roman" w:hAnsi="Times New Roman" w:cs="Times New Roman"/>
          <w:lang w:eastAsia="en-US"/>
        </w:rPr>
        <w:t>, later increased to $1.5 billion</w:t>
      </w:r>
      <w:r w:rsidRPr="00F94B7E">
        <w:rPr>
          <w:rFonts w:ascii="Times New Roman" w:eastAsia="Times New Roman" w:hAnsi="Times New Roman" w:cs="Times New Roman"/>
          <w:lang w:eastAsia="en-US"/>
        </w:rPr>
        <w:t xml:space="preserve">.  </w:t>
      </w:r>
      <w:r w:rsidR="00E875AA">
        <w:rPr>
          <w:rFonts w:ascii="Times New Roman" w:eastAsia="Times New Roman" w:hAnsi="Times New Roman" w:cs="Times New Roman"/>
          <w:lang w:eastAsia="en-US"/>
        </w:rPr>
        <w:t>An intermediate California appellate court affirmed most of the</w:t>
      </w:r>
      <w:r w:rsidR="00255BB6">
        <w:rPr>
          <w:rFonts w:ascii="Times New Roman" w:eastAsia="Times New Roman" w:hAnsi="Times New Roman" w:cs="Times New Roman"/>
          <w:lang w:eastAsia="en-US"/>
        </w:rPr>
        <w:t xml:space="preserve"> judgment in November 2017</w:t>
      </w:r>
      <w:r w:rsidR="007E4764">
        <w:rPr>
          <w:rFonts w:ascii="Times New Roman" w:eastAsia="Times New Roman" w:hAnsi="Times New Roman" w:cs="Times New Roman"/>
          <w:lang w:eastAsia="en-US"/>
        </w:rPr>
        <w:t xml:space="preserve">.  </w:t>
      </w:r>
      <w:r w:rsidR="00CA07BF" w:rsidRPr="00255BB6">
        <w:rPr>
          <w:rFonts w:ascii="Times New Roman" w:eastAsia="Times New Roman" w:hAnsi="Times New Roman" w:cs="Times New Roman"/>
          <w:i/>
          <w:lang w:eastAsia="en-US"/>
        </w:rPr>
        <w:t>People v. Conagra Grocery Products Co.</w:t>
      </w:r>
      <w:r w:rsidR="00CA07BF">
        <w:rPr>
          <w:rFonts w:ascii="Times New Roman" w:eastAsia="Times New Roman" w:hAnsi="Times New Roman" w:cs="Times New Roman"/>
          <w:lang w:eastAsia="en-US"/>
        </w:rPr>
        <w:t xml:space="preserve">, 17 Cal. App. 5th 51 (Cal. App. 6th Dist. 2017).  </w:t>
      </w:r>
      <w:r w:rsidR="00255BB6">
        <w:rPr>
          <w:rFonts w:ascii="Times New Roman" w:eastAsia="Times New Roman" w:hAnsi="Times New Roman" w:cs="Times New Roman"/>
          <w:lang w:eastAsia="en-US"/>
        </w:rPr>
        <w:t xml:space="preserve">The defendants are appealing the case to the California Supreme Court. </w:t>
      </w:r>
      <w:r w:rsidR="00CA07BF">
        <w:rPr>
          <w:rFonts w:ascii="Times New Roman" w:eastAsia="Times New Roman" w:hAnsi="Times New Roman" w:cs="Times New Roman"/>
          <w:lang w:eastAsia="en-US"/>
        </w:rPr>
        <w:t xml:space="preserve"> </w:t>
      </w:r>
      <w:r w:rsidR="007E4764">
        <w:rPr>
          <w:rFonts w:ascii="Times New Roman" w:eastAsia="Times New Roman" w:hAnsi="Times New Roman" w:cs="Times New Roman"/>
          <w:lang w:eastAsia="en-US"/>
        </w:rPr>
        <w:t xml:space="preserve">The case was filed in 2000.  </w:t>
      </w:r>
      <w:r w:rsidRPr="00F94B7E">
        <w:rPr>
          <w:rFonts w:ascii="Times New Roman" w:eastAsia="Times New Roman" w:hAnsi="Times New Roman" w:cs="Times New Roman"/>
          <w:lang w:eastAsia="en-US"/>
        </w:rPr>
        <w:t xml:space="preserve">  </w:t>
      </w:r>
    </w:p>
    <w:p w14:paraId="14C2FB39" w14:textId="77777777" w:rsidR="00C85B70" w:rsidRPr="0093755D" w:rsidRDefault="00C85B70" w:rsidP="00F94B7E">
      <w:pPr>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lang w:eastAsia="en-US"/>
        </w:rPr>
        <w:tab/>
        <w:t xml:space="preserve">Few other efforts to deploy the public nuisance doctrine for broad social policy ends have gotten as far as the California lead paint case.  The next case, while arising out of a creative application of the nuisance rule by the plaintiff county of Camden, New Jersey, is more typical of the outcomes of such cases. </w:t>
      </w:r>
    </w:p>
    <w:p w14:paraId="172C676B" w14:textId="77777777" w:rsidR="00C85B70" w:rsidRDefault="00C85B70" w:rsidP="00F94B7E">
      <w:pPr>
        <w:textAlignment w:val="baseline"/>
        <w:rPr>
          <w:rFonts w:ascii="Times New Roman" w:eastAsia="Times New Roman" w:hAnsi="Times New Roman" w:cs="Times New Roman"/>
          <w:color w:val="373739"/>
          <w:lang w:eastAsia="en-US"/>
        </w:rPr>
      </w:pPr>
    </w:p>
    <w:p w14:paraId="3EC36CC8" w14:textId="77777777" w:rsidR="00910387" w:rsidRPr="00C85B70" w:rsidRDefault="00910387" w:rsidP="00F94B7E">
      <w:pPr>
        <w:textAlignment w:val="baseline"/>
        <w:rPr>
          <w:rFonts w:ascii="Times New Roman" w:eastAsia="Times New Roman" w:hAnsi="Times New Roman" w:cs="Times New Roman"/>
          <w:color w:val="373739"/>
          <w:lang w:eastAsia="en-US"/>
        </w:rPr>
      </w:pPr>
    </w:p>
    <w:p w14:paraId="0A352033" w14:textId="1FEE0E69" w:rsidR="00C85B70" w:rsidRPr="00D8737E" w:rsidRDefault="00C85B70" w:rsidP="007467EB">
      <w:pPr>
        <w:rPr>
          <w:b/>
          <w:bCs/>
        </w:rPr>
      </w:pPr>
      <w:bookmarkStart w:id="968" w:name="_Toc273668435"/>
      <w:bookmarkStart w:id="969" w:name="_Toc518323541"/>
      <w:r w:rsidRPr="007467EB">
        <w:rPr>
          <w:rStyle w:val="Heading4Char"/>
        </w:rPr>
        <w:t>Camden County v. Beretta</w:t>
      </w:r>
      <w:bookmarkEnd w:id="968"/>
      <w:bookmarkEnd w:id="969"/>
      <w:r w:rsidR="0093755D" w:rsidRPr="007467EB">
        <w:rPr>
          <w:rFonts w:ascii="Times New Roman" w:hAnsi="Times New Roman" w:cs="Times New Roman"/>
          <w:b/>
        </w:rPr>
        <w:t xml:space="preserve">, </w:t>
      </w:r>
      <w:r w:rsidRPr="007467EB">
        <w:rPr>
          <w:rFonts w:ascii="Times New Roman" w:hAnsi="Times New Roman" w:cs="Times New Roman"/>
          <w:b/>
        </w:rPr>
        <w:t>273 F.3d 536 (3d Cir. 2001)</w:t>
      </w:r>
    </w:p>
    <w:p w14:paraId="0AAB93F0" w14:textId="77777777" w:rsidR="0093755D" w:rsidRPr="00D8737E" w:rsidRDefault="0093755D" w:rsidP="00F94B7E">
      <w:pPr>
        <w:shd w:val="clear" w:color="auto" w:fill="FFFFFF"/>
        <w:textAlignment w:val="baseline"/>
        <w:outlineLvl w:val="0"/>
        <w:rPr>
          <w:rFonts w:ascii="Times New Roman" w:hAnsi="Times New Roman" w:cs="Times New Roman"/>
          <w:lang w:eastAsia="en-US"/>
        </w:rPr>
      </w:pPr>
    </w:p>
    <w:p w14:paraId="5B066511" w14:textId="48B7059C" w:rsidR="00AD18E9" w:rsidRPr="00D8737E" w:rsidRDefault="00C85B70" w:rsidP="750671CE">
      <w:pPr>
        <w:textAlignment w:val="baseline"/>
        <w:rPr>
          <w:rFonts w:ascii="Times New Roman" w:hAnsi="Times New Roman" w:cs="Times New Roman"/>
          <w:lang w:eastAsia="en-US"/>
        </w:rPr>
      </w:pPr>
      <w:r w:rsidRPr="00D8737E">
        <w:rPr>
          <w:rFonts w:ascii="Times New Roman" w:eastAsia="Times New Roman" w:hAnsi="Times New Roman" w:cs="Times New Roman"/>
          <w:smallCaps/>
          <w:lang w:eastAsia="en-US"/>
        </w:rPr>
        <w:t>Per Curiam</w:t>
      </w:r>
      <w:r w:rsidRPr="00D8737E">
        <w:rPr>
          <w:rFonts w:ascii="Times New Roman" w:eastAsia="Times New Roman" w:hAnsi="Times New Roman" w:cs="Times New Roman"/>
          <w:lang w:eastAsia="en-US"/>
        </w:rPr>
        <w:t>.</w:t>
      </w:r>
    </w:p>
    <w:p w14:paraId="48CC532C" w14:textId="77777777" w:rsidR="00AD18E9" w:rsidRDefault="00AD18E9" w:rsidP="750671CE">
      <w:pPr>
        <w:textAlignment w:val="baseline"/>
        <w:rPr>
          <w:rFonts w:ascii="Times New Roman" w:hAnsi="Times New Roman" w:cs="Times New Roman"/>
          <w:lang w:eastAsia="en-US"/>
        </w:rPr>
      </w:pPr>
    </w:p>
    <w:p w14:paraId="3320F5E8" w14:textId="63ED0256" w:rsidR="00C85B70" w:rsidRPr="0093755D" w:rsidRDefault="00C85B70" w:rsidP="00F94B7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 xml:space="preserve">The Camden County Board of Chosen Freeholders (hereinafter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Camden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93755D" w:rsidRDefault="00C85B70" w:rsidP="750671CE">
      <w:pPr>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br/>
        <w:t>I.</w:t>
      </w:r>
    </w:p>
    <w:p w14:paraId="4FDB6DB8" w14:textId="77777777" w:rsidR="00C85B70" w:rsidRPr="0093755D" w:rsidRDefault="00C85B70" w:rsidP="00C85B70">
      <w:pPr>
        <w:rPr>
          <w:rFonts w:ascii="Times New Roman" w:eastAsia="Times New Roman" w:hAnsi="Times New Roman" w:cs="Times New Roman"/>
          <w:lang w:eastAsia="en-US"/>
        </w:rPr>
      </w:pPr>
    </w:p>
    <w:p w14:paraId="300D15F2" w14:textId="09A7DCC1"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In its Second Amended Complaint, Camden County alleged that Defendants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conduct</w:t>
      </w:r>
      <w:r w:rsidR="00AD18E9">
        <w:rPr>
          <w:rFonts w:ascii="Times New Roman" w:eastAsia="Times New Roman" w:hAnsi="Times New Roman" w:cs="Times New Roman"/>
          <w:lang w:eastAsia="en-US"/>
        </w:rPr>
        <w:t>—</w:t>
      </w:r>
      <w:r w:rsidRPr="0093755D">
        <w:rPr>
          <w:rFonts w:ascii="Times New Roman" w:eastAsia="Times New Roman" w:hAnsi="Times New Roman" w:cs="Times New Roman"/>
          <w:bdr w:val="none" w:sz="0" w:space="0" w:color="auto" w:frame="1"/>
          <w:lang w:eastAsia="en-US"/>
        </w:rPr>
        <w:t>the marketing and distribution of handguns</w:t>
      </w:r>
      <w:r w:rsidR="00AD18E9">
        <w:rPr>
          <w:rFonts w:ascii="Times New Roman" w:eastAsia="Times New Roman" w:hAnsi="Times New Roman" w:cs="Times New Roman"/>
          <w:lang w:eastAsia="en-US"/>
        </w:rPr>
        <w:t>—</w:t>
      </w:r>
      <w:r w:rsidRPr="0093755D">
        <w:rPr>
          <w:rFonts w:ascii="Times New Roman" w:eastAsia="Times New Roman" w:hAnsi="Times New Roman" w:cs="Times New Roman"/>
          <w:bdr w:val="none" w:sz="0" w:space="0" w:color="auto" w:frame="1"/>
          <w:lang w:eastAsia="en-US"/>
        </w:rPr>
        <w:t>created and contributed to the widespread criminal use of handguns in the County. . . . The County invoked three theories of liability: negligence, negligent entrustment, and public nuisance.</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The County requested several forms of relief, including compensation for the additional costs incurred by the County to abate the alleged public nuisance (costs borne by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product liability statute, the Dormant Commerce Clause, and the Due Process Clause.</w:t>
      </w:r>
    </w:p>
    <w:p w14:paraId="010FA030" w14:textId="77777777" w:rsidR="00C85B70" w:rsidRPr="0093755D" w:rsidRDefault="00C85B70" w:rsidP="00C85B70">
      <w:pPr>
        <w:textAlignment w:val="baseline"/>
        <w:rPr>
          <w:rFonts w:ascii="Times New Roman" w:hAnsi="Times New Roman" w:cs="Times New Roman"/>
          <w:lang w:eastAsia="en-US"/>
        </w:rPr>
      </w:pPr>
    </w:p>
    <w:p w14:paraId="4F80F88D" w14:textId="23FED84E"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The District Court rejected all three of Camden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theories of liability and granted the defendants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motion to dismiss the complaint.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It dismissed the two negligence claims after its thorough six-factor analysis found proximate cause lacking. . . .</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It also found that the public nuisance claim was defective because the County had not alleged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the required element that the defendants exercised control over the nuisance to be abated.</w:t>
      </w:r>
      <w:r w:rsidR="00B05F31">
        <w:rPr>
          <w:rFonts w:ascii="Times New Roman" w:eastAsia="Times New Roman" w:hAnsi="Times New Roman" w:cs="Times New Roman"/>
          <w:bdr w:val="none" w:sz="0" w:space="0" w:color="auto" w:frame="1"/>
          <w:lang w:eastAsia="en-US"/>
        </w:rPr>
        <w: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p>
    <w:p w14:paraId="21CC0C0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2BF5F61B" w14:textId="2A7956D4"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On appeal, Camden County has dropped the two negligence claims and pursues only the public nuisance claim. The County alleges that the manufacturers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conduct endangered public safety, health, and peace, and imposed inordinate financial burdens on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s fisc. It argues that the defendants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knowingly facilitated, participated in, and maintain a handgun distribution system that provides criminals and youth easy access to handguns.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Appellant</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w:t>
      </w:r>
      <w:r w:rsidRPr="0093755D">
        <w:rPr>
          <w:rFonts w:ascii="Times New Roman" w:eastAsia="Times New Roman" w:hAnsi="Times New Roman" w:cs="Times New Roman"/>
          <w:b/>
          <w:bCs/>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Brief at 2. Relying on general data about the marketing and distribution of handguns, the County argues that Defendants knowingly created the public nuisance of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criminals and youth with handguns.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Appellant</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Brief at 3 (emphasis in original).</w:t>
      </w:r>
    </w:p>
    <w:p w14:paraId="15EF3EEE"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164DF120" w14:textId="0DE4665B"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The County makes the following pertinent factual allegations: the manufacturers release into the market substantially</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Brief at 4-5. The County makes no allegation that any manufacturer violated any federal or state statute or regulation governing the manufacture and distribution of firearms, and no direct link is alleged between any manufacturer</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and any specific criminal act.</w:t>
      </w:r>
    </w:p>
    <w:p w14:paraId="47282919"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ABD8111" w14:textId="6FC3B57B"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The manufacturers respond that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07CC9496" w:rsidR="00C85B70" w:rsidRPr="0093755D" w:rsidRDefault="00C85B70" w:rsidP="750671CE">
      <w:pPr>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br/>
        <w:t>II.</w:t>
      </w:r>
    </w:p>
    <w:p w14:paraId="31350694" w14:textId="77777777" w:rsidR="00C85B70" w:rsidRPr="0093755D" w:rsidRDefault="00C85B70" w:rsidP="00C85B70">
      <w:pPr>
        <w:rPr>
          <w:rFonts w:ascii="Times New Roman" w:eastAsia="Times New Roman" w:hAnsi="Times New Roman" w:cs="Times New Roman"/>
          <w:lang w:eastAsia="en-US"/>
        </w:rPr>
      </w:pPr>
    </w:p>
    <w:p w14:paraId="5A4A39BA" w14:textId="77777777"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Because this appeal presents a question of state law, we do not find it necessary to write at length. In brief, we agree with the District Court that the County has</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failed to state a valid public nuisance claim under New Jersey law.</w:t>
      </w:r>
    </w:p>
    <w:p w14:paraId="6C957CDE" w14:textId="77777777" w:rsidR="00C85B70" w:rsidRPr="0093755D" w:rsidRDefault="00C85B70" w:rsidP="00C85B70">
      <w:pPr>
        <w:textAlignment w:val="baseline"/>
        <w:rPr>
          <w:rFonts w:ascii="Times New Roman" w:hAnsi="Times New Roman" w:cs="Times New Roman"/>
          <w:lang w:eastAsia="en-US"/>
        </w:rPr>
      </w:pPr>
    </w:p>
    <w:p w14:paraId="3DE44ADB" w14:textId="77777777" w:rsidR="00C85B70" w:rsidRPr="0093755D" w:rsidRDefault="00C85B70" w:rsidP="750671CE">
      <w:pPr>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A.</w:t>
      </w:r>
    </w:p>
    <w:p w14:paraId="7A189749"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p>
    <w:p w14:paraId="1C70C2A8" w14:textId="4E6CE202"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 xml:space="preserve">A public nuisance is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an unreasonable interference with a right common to the general public.</w:t>
      </w:r>
      <w:r w:rsidR="00B05F31">
        <w:rPr>
          <w:rFonts w:ascii="Times New Roman" w:eastAsia="Times New Roman" w:hAnsi="Times New Roman" w:cs="Times New Roman"/>
          <w:bdr w:val="none" w:sz="0" w:space="0" w:color="auto" w:frame="1"/>
          <w:lang w:eastAsia="en-US"/>
        </w:rPr>
        <w: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Philadelphia Elec. Co. v. Hercules, Inc</w:t>
      </w:r>
      <w:r w:rsidRPr="0093755D">
        <w:rPr>
          <w:rFonts w:ascii="Times New Roman" w:eastAsia="Times New Roman" w:hAnsi="Times New Roman" w:cs="Times New Roman"/>
          <w:bdr w:val="none" w:sz="0" w:space="0" w:color="auto" w:frame="1"/>
          <w:lang w:eastAsia="en-US"/>
        </w:rPr>
        <w:t>.</w:t>
      </w:r>
      <w:r w:rsidR="00040EA8">
        <w:rPr>
          <w:rFonts w:ascii="Times New Roman" w:eastAsia="Times New Roman" w:hAnsi="Times New Roman" w:cs="Times New Roman"/>
          <w:bdr w:val="none" w:sz="0" w:space="0" w:color="auto" w:frame="1"/>
          <w:lang w:eastAsia="en-US"/>
        </w:rPr>
        <w:t>[, 762 F.2d 303, 315 (3d Cir. 1985)]</w:t>
      </w:r>
      <w:r w:rsidR="00040EA8" w:rsidRPr="0093755D">
        <w:rPr>
          <w:rFonts w:ascii="Times New Roman" w:eastAsia="Times New Roman" w:hAnsi="Times New Roman" w:cs="Times New Roman"/>
          <w:bdr w:val="none" w:sz="0" w:space="0" w:color="auto" w:frame="1"/>
          <w:lang w:eastAsia="en-US"/>
        </w:rPr>
        <w:t xml:space="preserve"> </w:t>
      </w:r>
      <w:r w:rsidRPr="0093755D">
        <w:rPr>
          <w:rFonts w:ascii="Times New Roman" w:eastAsia="Times New Roman" w:hAnsi="Times New Roman" w:cs="Times New Roman"/>
          <w:bdr w:val="none" w:sz="0" w:space="0" w:color="auto" w:frame="1"/>
          <w:lang w:eastAsia="en-US"/>
        </w:rPr>
        <w:t xml:space="preserve">. . . </w:t>
      </w:r>
      <w:r w:rsidR="00D8737E">
        <w:rPr>
          <w:rFonts w:ascii="Times New Roman" w:eastAsia="Times New Roman" w:hAnsi="Times New Roman" w:cs="Times New Roman"/>
          <w:bdr w:val="none" w:sz="0" w:space="0" w:color="auto" w:frame="1"/>
          <w:lang w:eastAsia="en-US"/>
        </w:rPr>
        <w:t xml:space="preserve">. </w:t>
      </w:r>
      <w:r w:rsidRPr="0093755D">
        <w:rPr>
          <w:rFonts w:ascii="Times New Roman" w:eastAsia="Times New Roman" w:hAnsi="Times New Roman" w:cs="Times New Roman"/>
          <w:bdr w:val="none" w:sz="0" w:space="0" w:color="auto" w:frame="1"/>
          <w:lang w:eastAsia="en-US"/>
        </w:rPr>
        <w:t xml:space="preserve">For the interference to be actionable, the defendant must exert a certain degree of control over its source. </w:t>
      </w:r>
    </w:p>
    <w:p w14:paraId="2CE879AE"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D90C919" w14:textId="2B674C66"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 xml:space="preserve">Traditionally, the scope of nuisance claims has been limited to interference connected with real property or infringement of public rights. </w:t>
      </w:r>
      <w:r w:rsidRPr="00F94B7E">
        <w:rPr>
          <w:rFonts w:ascii="Times New Roman" w:eastAsia="Times New Roman" w:hAnsi="Times New Roman" w:cs="Times New Roman"/>
          <w:i/>
          <w:bdr w:val="none" w:sz="0" w:space="0" w:color="auto" w:frame="1"/>
          <w:lang w:eastAsia="en-US"/>
        </w:rPr>
        <w:t>See</w:t>
      </w:r>
      <w:r w:rsidRPr="0093755D">
        <w:rPr>
          <w:rFonts w:ascii="Times New Roman" w:eastAsia="Times New Roman" w:hAnsi="Times New Roman" w:cs="Times New Roman"/>
          <w:bdr w:val="none" w:sz="0" w:space="0" w:color="auto" w:frame="1"/>
          <w:lang w:eastAsia="en-US"/>
        </w:rPr>
        <w:t xml:space="preserve"> </w:t>
      </w:r>
      <w:r w:rsidRPr="00F94B7E">
        <w:rPr>
          <w:rFonts w:ascii="Times New Roman" w:eastAsia="Times New Roman" w:hAnsi="Times New Roman" w:cs="Times New Roman"/>
          <w:smallCaps/>
          <w:bdr w:val="none" w:sz="0" w:space="0" w:color="auto" w:frame="1"/>
          <w:lang w:eastAsia="en-US"/>
        </w:rPr>
        <w:t xml:space="preserve">Prosser </w:t>
      </w:r>
      <w:r w:rsidR="00AD18E9" w:rsidRPr="00F94B7E">
        <w:rPr>
          <w:rFonts w:ascii="Times New Roman" w:eastAsia="Times New Roman" w:hAnsi="Times New Roman" w:cs="Times New Roman"/>
          <w:smallCaps/>
          <w:bdr w:val="none" w:sz="0" w:space="0" w:color="auto" w:frame="1"/>
          <w:lang w:eastAsia="en-US"/>
        </w:rPr>
        <w:t>&amp;</w:t>
      </w:r>
      <w:r w:rsidRPr="00F94B7E">
        <w:rPr>
          <w:rFonts w:ascii="Times New Roman" w:eastAsia="Times New Roman" w:hAnsi="Times New Roman" w:cs="Times New Roman"/>
          <w:smallCaps/>
          <w:bdr w:val="none" w:sz="0" w:space="0" w:color="auto" w:frame="1"/>
          <w:lang w:eastAsia="en-US"/>
        </w:rPr>
        <w:t xml:space="preserve"> Keeton on Torts</w:t>
      </w:r>
      <w:r w:rsidRPr="0093755D">
        <w:rPr>
          <w:rFonts w:ascii="Times New Roman" w:eastAsia="Times New Roman" w:hAnsi="Times New Roman" w:cs="Times New Roman"/>
          <w:bdr w:val="none" w:sz="0" w:space="0" w:color="auto" w:frame="1"/>
          <w:lang w:eastAsia="en-US"/>
        </w:rPr>
        <w:t xml:space="preserve"> § 86 at 617-18 (5th ed. 1984). In this 1984 edition of the hornbook, the authors lamented that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there is perhaps no more impenetrable jungle in the entire law than that which surrounds the word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nuisance.</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It has meant all things to all people, and has been applied indiscriminately to everything from an alarming advertisement to a cockroach baked in a pie.</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w:t>
      </w:r>
      <w:r w:rsidRPr="750671CE">
        <w:rPr>
          <w:rFonts w:ascii="Times New Roman" w:eastAsia="Times New Roman" w:hAnsi="Times New Roman" w:cs="Times New Roman"/>
          <w:i/>
          <w:iCs/>
          <w:bdr w:val="none" w:sz="0" w:space="0" w:color="auto" w:frame="1"/>
          <w:lang w:eastAsia="en-US"/>
        </w:rPr>
        <w:t>Id.</w:t>
      </w:r>
      <w:r w:rsidRPr="0093755D">
        <w:rPr>
          <w:rFonts w:ascii="Times New Roman" w:eastAsia="Times New Roman" w:hAnsi="Times New Roman" w:cs="Times New Roman"/>
          <w:bdr w:val="none" w:sz="0" w:space="0" w:color="auto" w:frame="1"/>
          <w:lang w:eastAsia="en-US"/>
        </w:rPr>
        <w:t xml:space="preserve"> at 616. They recommended dismissal of nuisance claims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w:t>
      </w:r>
      <w:r w:rsidRPr="750671CE">
        <w:rPr>
          <w:rFonts w:ascii="Times New Roman" w:eastAsia="Times New Roman" w:hAnsi="Times New Roman" w:cs="Times New Roman"/>
          <w:i/>
          <w:iCs/>
          <w:bdr w:val="none" w:sz="0" w:space="0" w:color="auto" w:frame="1"/>
          <w:lang w:eastAsia="en-US"/>
        </w:rPr>
        <w:t>Id</w:t>
      </w:r>
      <w:r w:rsidRPr="0093755D">
        <w:rPr>
          <w:rFonts w:ascii="Times New Roman" w:eastAsia="Times New Roman" w:hAnsi="Times New Roman" w:cs="Times New Roman"/>
          <w:bdr w:val="none" w:sz="0" w:space="0" w:color="auto" w:frame="1"/>
          <w:lang w:eastAsia="en-US"/>
        </w:rPr>
        <w:t xml:space="preserve">. at 618-19. Since that edition, the scope of nuisance law appears to have returned to its more narrow focus on these two traditional areas, as courts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across the nation have begun to refine the types of cases amenable to a nuisance theory.</w:t>
      </w:r>
      <w:r w:rsidR="00B05F31">
        <w:rPr>
          <w:rFonts w:ascii="Times New Roman" w:eastAsia="Times New Roman" w:hAnsi="Times New Roman" w:cs="Times New Roman"/>
          <w:bdr w:val="none" w:sz="0" w:space="0" w:color="auto" w:frame="1"/>
          <w:lang w:eastAsia="en-US"/>
        </w:rPr>
        <w: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City of Philadelphia v. Beretta</w:t>
      </w:r>
      <w:r w:rsidRPr="0093755D">
        <w:rPr>
          <w:rFonts w:ascii="Times New Roman" w:eastAsia="Times New Roman" w:hAnsi="Times New Roman" w:cs="Times New Roman"/>
          <w:bdr w:val="none" w:sz="0" w:space="0" w:color="auto" w:frame="1"/>
          <w:lang w:eastAsia="en-US"/>
        </w:rPr>
        <w:t>, 126 F. Supp. 2d 882</w:t>
      </w:r>
      <w:r w:rsidR="00040EA8">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909</w:t>
      </w:r>
      <w:r w:rsidR="00040EA8">
        <w:rPr>
          <w:rFonts w:ascii="Times New Roman" w:eastAsia="Times New Roman" w:hAnsi="Times New Roman" w:cs="Times New Roman"/>
          <w:bdr w:val="none" w:sz="0" w:space="0" w:color="auto" w:frame="1"/>
          <w:lang w:eastAsia="en-US"/>
        </w:rPr>
        <w:t xml:space="preserve"> (E.D. Pa. 2000)</w:t>
      </w:r>
      <w:r w:rsidRPr="0093755D">
        <w:rPr>
          <w:rFonts w:ascii="Times New Roman" w:eastAsia="Times New Roman" w:hAnsi="Times New Roman" w:cs="Times New Roman"/>
          <w:bdr w:val="none" w:sz="0" w:space="0" w:color="auto" w:frame="1"/>
          <w:lang w:eastAsia="en-US"/>
        </w:rPr>
        <w:t>.</w:t>
      </w:r>
    </w:p>
    <w:p w14:paraId="667FA975"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4A94E491" w14:textId="454D015C"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would become a monster that would devour in one gulp the entire law of tort.</w:t>
      </w:r>
      <w:r w:rsidR="00B05F31">
        <w:rPr>
          <w:rFonts w:ascii="Times New Roman" w:eastAsia="Times New Roman" w:hAnsi="Times New Roman" w:cs="Times New Roman"/>
          <w:bdr w:val="none" w:sz="0" w:space="0" w:color="auto" w:frame="1"/>
          <w:lang w:eastAsia="en-US"/>
        </w:rPr>
        <w: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Tioga Public Sch. Dist. v. U.S. Gypsum Co.</w:t>
      </w:r>
      <w:r w:rsidR="00040EA8">
        <w:rPr>
          <w:rFonts w:ascii="Times New Roman" w:eastAsia="Times New Roman" w:hAnsi="Times New Roman" w:cs="Times New Roman"/>
          <w:iCs/>
          <w:bdr w:val="none" w:sz="0" w:space="0" w:color="auto" w:frame="1"/>
          <w:lang w:eastAsia="en-US"/>
        </w:rPr>
        <w:t xml:space="preserve">[, </w:t>
      </w:r>
      <w:r w:rsidR="00A559C4">
        <w:rPr>
          <w:rFonts w:ascii="Times New Roman" w:eastAsia="Times New Roman" w:hAnsi="Times New Roman" w:cs="Times New Roman"/>
          <w:iCs/>
          <w:bdr w:val="none" w:sz="0" w:space="0" w:color="auto" w:frame="1"/>
          <w:lang w:eastAsia="en-US"/>
        </w:rPr>
        <w:t>984 F.2d 915, 921 (8th Cir. 1993)].</w:t>
      </w:r>
      <w:r w:rsidRPr="0093755D">
        <w:rPr>
          <w:rFonts w:ascii="Times New Roman" w:eastAsia="Times New Roman" w:hAnsi="Times New Roman" w:cs="Times New Roman"/>
          <w:bdr w:val="none" w:sz="0" w:space="0" w:color="auto" w:frame="1"/>
          <w:lang w:eastAsia="en-US"/>
        </w:rPr>
        <w:t xml:space="preserve"> . . . If defective products are not a public nuisance as a matter of law, then the non-defective, lawful products at issue in this case cannot be a nuisance without straining the law to absurdity.</w:t>
      </w:r>
    </w:p>
    <w:p w14:paraId="2DBE5A54" w14:textId="77777777" w:rsidR="00C85B70" w:rsidRPr="0093755D" w:rsidRDefault="00C85B70" w:rsidP="750671CE">
      <w:pPr>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B.</w:t>
      </w:r>
    </w:p>
    <w:p w14:paraId="7A9C0F65" w14:textId="77777777" w:rsidR="00C85B70" w:rsidRPr="0093755D" w:rsidRDefault="00C85B70" w:rsidP="00C85B70">
      <w:pPr>
        <w:textAlignment w:val="baseline"/>
        <w:rPr>
          <w:rFonts w:ascii="Times New Roman" w:eastAsia="Times New Roman" w:hAnsi="Times New Roman" w:cs="Times New Roman"/>
          <w:b/>
          <w:bCs/>
          <w:i/>
          <w:iCs/>
          <w:bdr w:val="none" w:sz="0" w:space="0" w:color="auto" w:frame="1"/>
          <w:lang w:eastAsia="en-US"/>
        </w:rPr>
      </w:pPr>
    </w:p>
    <w:p w14:paraId="50078F73" w14:textId="77777777"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To extend public nuisance law to embrace the manufacture of handguns would be unprecedented under New Jersey state law and unprecedented nationwide</w:t>
      </w:r>
      <w:r w:rsidRPr="0093755D">
        <w:rPr>
          <w:rFonts w:ascii="Times New Roman" w:eastAsia="Times New Roman" w:hAnsi="Times New Roman" w:cs="Times New Roman"/>
          <w:b/>
          <w:bCs/>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for an appellate court. </w:t>
      </w:r>
      <w:r w:rsidRPr="00F94B7E">
        <w:rPr>
          <w:rFonts w:ascii="Times New Roman" w:eastAsia="Times New Roman" w:hAnsi="Times New Roman" w:cs="Times New Roman"/>
          <w:i/>
          <w:bdr w:val="none" w:sz="0" w:space="0" w:color="auto" w:frame="1"/>
          <w:lang w:eastAsia="en-US"/>
        </w:rPr>
        <w:t>See</w:t>
      </w:r>
      <w:r w:rsidRPr="00F94B7E">
        <w:rPr>
          <w:rFonts w:ascii="Times New Roman,ＭＳ ゴシック" w:eastAsia="Times New Roman,ＭＳ ゴシック" w:hAnsi="Times New Roman,ＭＳ ゴシック" w:cs="Times New Roman,ＭＳ ゴシック"/>
          <w:i/>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City of Philadelphia</w:t>
      </w:r>
      <w:r w:rsidRPr="0093755D">
        <w:rPr>
          <w:rFonts w:ascii="Times New Roman" w:eastAsia="Times New Roman" w:hAnsi="Times New Roman" w:cs="Times New Roman"/>
          <w:bdr w:val="none" w:sz="0" w:space="0" w:color="auto" w:frame="1"/>
          <w:lang w:eastAsia="en-US"/>
        </w:rPr>
        <w:t>, 126 F. Supp. 2d at 910.</w:t>
      </w:r>
    </w:p>
    <w:p w14:paraId="4D170F0F"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08A99BF4" w14:textId="4EDE5224"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Even if public nuisance law could be stretched far enough to encompass the lawful distribution of lawful products, the County has failed to allege that the manufacturers exercise sufficient control over the source of the interference with the public right.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The District Court found this to be the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fatal defect</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of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claim</w:t>
      </w:r>
      <w:r w:rsidR="005B147F">
        <w:rPr>
          <w:rFonts w:ascii="Times New Roman" w:eastAsia="Times New Roman" w:hAnsi="Times New Roman" w:cs="Times New Roman"/>
          <w:bdr w:val="none" w:sz="0" w:space="0" w:color="auto" w:frame="1"/>
          <w:lang w:eastAsia="en-US"/>
        </w:rPr>
        <w:t xml:space="preserve"> </w:t>
      </w:r>
      <w:r w:rsidRPr="0093755D">
        <w:rPr>
          <w:rFonts w:ascii="Times New Roman" w:eastAsia="Times New Roman" w:hAnsi="Times New Roman" w:cs="Times New Roman"/>
          <w:bdr w:val="none" w:sz="0" w:space="0" w:color="auto" w:frame="1"/>
          <w:lang w:eastAsia="en-US"/>
        </w:rPr>
        <w:t>.</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The County argues that proximate cause, remoteness, and control are not essential to a public nuisance claim, i.e., that conduct that merely contributes to the source of the interference can be sufficient.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But the relevant case law shows that,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even if the requisite element is not always termed</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00D8737E">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control,</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the New Jersey courts in fact require a degree of control by the defendant over the source of the interference that is absent here.</w:t>
      </w:r>
    </w:p>
    <w:p w14:paraId="6DD08986"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r w:rsidRPr="0093755D">
        <w:rPr>
          <w:rFonts w:ascii="Times New Roman" w:eastAsia="Times New Roman" w:hAnsi="Times New Roman" w:cs="Times New Roman"/>
          <w:bdr w:val="none" w:sz="0" w:space="0" w:color="auto" w:frame="1"/>
          <w:lang w:eastAsia="en-US"/>
        </w:rPr>
        <w:t xml:space="preserve"> </w:t>
      </w:r>
    </w:p>
    <w:p w14:paraId="7438C81F" w14:textId="43D7D39A"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To connect the manufacture of handguns with municipal crime-fighting costs requires, as noted above, a chain of seven links.</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This causal chain is simply too attenuated to attribute sufficient control to the manufacturers to make out a public nuisance claim. In the initial steps, 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The manufacturers may not be held responsible </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without a more tangible showing</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that the defendants were a direct link the causal chain that resulted in the plaintiffs</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 xml:space="preserve"> injuries, and that the defendants were realistically in a position to prevent the wrongs.</w:t>
      </w:r>
      <w:r w:rsidR="00B05F31">
        <w:rPr>
          <w:rFonts w:ascii="Times New Roman" w:eastAsia="Times New Roman" w:hAnsi="Times New Roman" w:cs="Times New Roman"/>
          <w:bdr w:val="none" w:sz="0" w:space="0" w:color="auto" w:frame="1"/>
          <w:lang w:eastAsia="en-US"/>
        </w:rPr>
        <w: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750671CE">
        <w:rPr>
          <w:rFonts w:ascii="Times New Roman" w:eastAsia="Times New Roman" w:hAnsi="Times New Roman" w:cs="Times New Roman"/>
          <w:i/>
          <w:iCs/>
          <w:bdr w:val="none" w:sz="0" w:space="0" w:color="auto" w:frame="1"/>
          <w:lang w:eastAsia="en-US"/>
        </w:rPr>
        <w:t>Hamilton v. Beretta U.S.A. Corp. et al.</w:t>
      </w:r>
      <w:r w:rsidR="00A15645">
        <w:rPr>
          <w:rFonts w:ascii="Times New Roman" w:eastAsia="Times New Roman" w:hAnsi="Times New Roman" w:cs="Times New Roman"/>
          <w:iCs/>
          <w:bdr w:val="none" w:sz="0" w:space="0" w:color="auto" w:frame="1"/>
          <w:lang w:eastAsia="en-US"/>
        </w:rPr>
        <w:t>[, 264 F.3d 21 (2d Cir. 2001)]</w:t>
      </w:r>
      <w:r w:rsidRPr="0093755D">
        <w:rPr>
          <w:rFonts w:ascii="Times New Roman" w:eastAsia="Times New Roman" w:hAnsi="Times New Roman" w:cs="Times New Roman"/>
          <w:bdr w:val="none" w:sz="0" w:space="0" w:color="auto" w:frame="1"/>
          <w:lang w:eastAsia="en-US"/>
        </w:rPr>
        <w:t xml:space="preserve"> . .   (finding no duty because gun manufacturers did not control criminals with guns, and injuries were too remote).</w:t>
      </w:r>
    </w:p>
    <w:p w14:paraId="41624393"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71C7310C" w14:textId="60EE016A"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A public-nuisance defendant can bring its own conduct or activities at a particular physical site under control.</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But the limited ability of a defendant to exercise control beyond its sphere of immediate activity may explain why public nuisance law has traditionally been confined to real property and violations of public rights.</w:t>
      </w:r>
      <w:r w:rsidRPr="750671CE">
        <w:rPr>
          <w:rFonts w:ascii="Times New Roman,ＭＳ ゴシック" w:eastAsia="Times New Roman,ＭＳ ゴシック" w:hAnsi="Times New Roman,ＭＳ ゴシック" w:cs="Times New Roman,ＭＳ ゴシック"/>
          <w:b/>
          <w:bCs/>
          <w:i/>
          <w:iCs/>
          <w:bdr w:val="none" w:sz="0" w:space="0" w:color="auto" w:frame="1"/>
          <w:lang w:eastAsia="en-US"/>
        </w:rPr>
        <w:t> </w:t>
      </w:r>
      <w:r w:rsidRPr="0093755D">
        <w:rPr>
          <w:rFonts w:ascii="Times New Roman" w:eastAsia="Times New Roman" w:hAnsi="Times New Roman" w:cs="Times New Roman"/>
          <w:bdr w:val="none" w:sz="0" w:space="0" w:color="auto" w:frame="1"/>
          <w:lang w:eastAsia="en-US"/>
        </w:rPr>
        <w:t>In the negligence context, this Court recently held that a defendant has no duty to control the misconduct of third parties.</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 . We agree with the District Court that this logic is equally compelling when applied in the public nuisance context.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 . .</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If independent third parties cause the nuisance, parties that have not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controlled or created the nuisance are not liable.</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w:t>
      </w:r>
      <w:r w:rsidR="005B147F">
        <w:rPr>
          <w:rFonts w:ascii="Times New Roman" w:eastAsia="Times New Roman" w:hAnsi="Times New Roman" w:cs="Times New Roman"/>
          <w:bdr w:val="none" w:sz="0" w:space="0" w:color="auto" w:frame="1"/>
          <w:lang w:eastAsia="en-US"/>
        </w:rPr>
        <w:t> </w:t>
      </w:r>
      <w:r w:rsidRPr="0093755D">
        <w:rPr>
          <w:rFonts w:ascii="Times New Roman" w:eastAsia="Times New Roman" w:hAnsi="Times New Roman" w:cs="Times New Roman"/>
          <w:bdr w:val="none" w:sz="0" w:space="0" w:color="auto" w:frame="1"/>
          <w:lang w:eastAsia="en-US"/>
        </w:rPr>
        <w:t xml:space="preserve">. </w:t>
      </w:r>
    </w:p>
    <w:p w14:paraId="01B1809D"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119FC634" w14:textId="06938974"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Public nuisance is a matter of state law, and the role of a federal court ruling on a matter of state law in a diversity case is to follow the precedents of the state</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highest court and predict how that court would decide the issue presented. It is not the role of a federal court to expand or narrow state law in ways not foreshadowed by state precedent. Here, no New Jersey precedents support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public nuisance claim or provide a sound basis for predicting that the Supreme Court of New Jersey would find that claim to be valid. While it is of course conceivable that the Supreme Court of New Jersey may someday</w:t>
      </w:r>
      <w:r w:rsidRPr="750671CE">
        <w:rPr>
          <w:rFonts w:ascii="Times New Roman,ＭＳ ゴシック" w:eastAsia="Times New Roman,ＭＳ ゴシック" w:hAnsi="Times New Roman,ＭＳ ゴシック" w:cs="Times New Roman,ＭＳ ゴシック"/>
          <w:bdr w:val="none" w:sz="0" w:space="0" w:color="auto" w:frame="1"/>
          <w:lang w:eastAsia="en-US"/>
        </w:rPr>
        <w:t xml:space="preserve"> </w:t>
      </w:r>
      <w:r w:rsidRPr="0093755D">
        <w:rPr>
          <w:rFonts w:ascii="Times New Roman" w:eastAsia="Times New Roman" w:hAnsi="Times New Roman" w:cs="Times New Roman"/>
          <w:bdr w:val="none" w:sz="0" w:space="0" w:color="auto" w:frame="1"/>
          <w:lang w:eastAsia="en-US"/>
        </w:rPr>
        <w:t>choose to expand state public nuisance law in the manner that the County urges, we cannot predict at this time that it will do so.</w:t>
      </w:r>
    </w:p>
    <w:p w14:paraId="39837117"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029652AE" w14:textId="77777777" w:rsidR="00C85B70" w:rsidRPr="0093755D" w:rsidRDefault="00C85B70" w:rsidP="750671CE">
      <w:pPr>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III</w:t>
      </w:r>
    </w:p>
    <w:p w14:paraId="5BEE9016" w14:textId="77777777" w:rsidR="00C85B70" w:rsidRPr="0093755D" w:rsidRDefault="00C85B70" w:rsidP="00C85B70">
      <w:pPr>
        <w:textAlignment w:val="baseline"/>
        <w:rPr>
          <w:rFonts w:ascii="Times New Roman" w:eastAsia="Times New Roman" w:hAnsi="Times New Roman" w:cs="Times New Roman"/>
          <w:bdr w:val="none" w:sz="0" w:space="0" w:color="auto" w:frame="1"/>
          <w:lang w:eastAsia="en-US"/>
        </w:rPr>
      </w:pPr>
    </w:p>
    <w:p w14:paraId="6A1A82A5" w14:textId="2A844422" w:rsidR="00C85B70" w:rsidRPr="0093755D" w:rsidRDefault="00C85B70" w:rsidP="750671CE">
      <w:pPr>
        <w:ind w:firstLine="720"/>
        <w:textAlignment w:val="baseline"/>
        <w:rPr>
          <w:rFonts w:ascii="Times New Roman" w:eastAsia="Times New Roman" w:hAnsi="Times New Roman" w:cs="Times New Roman"/>
          <w:lang w:eastAsia="en-US"/>
        </w:rPr>
      </w:pPr>
      <w:r w:rsidRPr="0093755D">
        <w:rPr>
          <w:rFonts w:ascii="Times New Roman" w:eastAsia="Times New Roman" w:hAnsi="Times New Roman" w:cs="Times New Roman"/>
          <w:bdr w:val="none" w:sz="0" w:space="0" w:color="auto" w:frame="1"/>
          <w:lang w:eastAsia="en-US"/>
        </w:rPr>
        <w:t>Because Camden County failed to state a cognizable public nuisance claim against the gun manufacturers under New Jersey law, the District Court</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order dismissing the County</w:t>
      </w:r>
      <w:r w:rsidR="00B05F31">
        <w:rPr>
          <w:rFonts w:ascii="Times New Roman" w:eastAsia="Times New Roman" w:hAnsi="Times New Roman" w:cs="Times New Roman"/>
          <w:bdr w:val="none" w:sz="0" w:space="0" w:color="auto" w:frame="1"/>
          <w:lang w:eastAsia="en-US"/>
        </w:rPr>
        <w:t>’</w:t>
      </w:r>
      <w:r w:rsidRPr="0093755D">
        <w:rPr>
          <w:rFonts w:ascii="Times New Roman" w:eastAsia="Times New Roman" w:hAnsi="Times New Roman" w:cs="Times New Roman"/>
          <w:bdr w:val="none" w:sz="0" w:space="0" w:color="auto" w:frame="1"/>
          <w:lang w:eastAsia="en-US"/>
        </w:rPr>
        <w:t>s complaint</w:t>
      </w:r>
      <w:r w:rsidRPr="750671CE">
        <w:rPr>
          <w:rFonts w:ascii="Times New Roman,ＭＳ ゴシック" w:eastAsia="Times New Roman,ＭＳ ゴシック" w:hAnsi="Times New Roman,ＭＳ ゴシック" w:cs="Times New Roman,ＭＳ ゴシック"/>
          <w:bdr w:val="none" w:sz="0" w:space="0" w:color="auto" w:frame="1"/>
          <w:lang w:eastAsia="en-US"/>
        </w:rPr>
        <w:t> </w:t>
      </w:r>
      <w:r w:rsidRPr="0093755D">
        <w:rPr>
          <w:rFonts w:ascii="Times New Roman" w:eastAsia="Times New Roman" w:hAnsi="Times New Roman" w:cs="Times New Roman"/>
          <w:bdr w:val="none" w:sz="0" w:space="0" w:color="auto" w:frame="1"/>
          <w:lang w:eastAsia="en-US"/>
        </w:rPr>
        <w:t>is AFFIRMED.</w:t>
      </w:r>
    </w:p>
    <w:p w14:paraId="1612DEF1" w14:textId="77777777" w:rsidR="00C85B70" w:rsidRPr="0093755D"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6CFF85B6" w14:textId="305F104F" w:rsidR="00DF43A0" w:rsidRDefault="00DF43A0">
      <w:pPr>
        <w:rPr>
          <w:rFonts w:ascii="Times New Roman" w:eastAsia="Times New Roman" w:hAnsi="Times New Roman" w:cs="Times New Roman"/>
          <w:bdr w:val="none" w:sz="0" w:space="0" w:color="auto" w:frame="1"/>
          <w:lang w:eastAsia="en-US"/>
        </w:rPr>
      </w:pPr>
    </w:p>
    <w:p w14:paraId="21B97FDE" w14:textId="77777777" w:rsidR="00C85B70" w:rsidRPr="0093755D" w:rsidRDefault="00C85B70" w:rsidP="00910387">
      <w:pPr>
        <w:pStyle w:val="Heading5"/>
        <w:rPr>
          <w:bdr w:val="none" w:sz="0" w:space="0" w:color="auto" w:frame="1"/>
        </w:rPr>
      </w:pPr>
      <w:bookmarkStart w:id="970" w:name="_Toc364636272"/>
      <w:bookmarkStart w:id="971" w:name="_Toc518323542"/>
      <w:r w:rsidRPr="0093755D">
        <w:rPr>
          <w:bdr w:val="none" w:sz="0" w:space="0" w:color="auto" w:frame="1"/>
        </w:rPr>
        <w:t>Note</w:t>
      </w:r>
      <w:bookmarkEnd w:id="970"/>
      <w:bookmarkEnd w:id="971"/>
    </w:p>
    <w:p w14:paraId="646B3F16" w14:textId="6DF4753D" w:rsidR="00C85B70" w:rsidRDefault="00C85B70" w:rsidP="00C85B70">
      <w:pPr>
        <w:ind w:firstLine="720"/>
        <w:textAlignment w:val="baseline"/>
        <w:rPr>
          <w:rFonts w:ascii="Times New Roman" w:eastAsia="Times New Roman" w:hAnsi="Times New Roman" w:cs="Times New Roman"/>
          <w:bdr w:val="none" w:sz="0" w:space="0" w:color="auto" w:frame="1"/>
          <w:lang w:eastAsia="en-US"/>
        </w:rPr>
      </w:pPr>
    </w:p>
    <w:p w14:paraId="564290E8" w14:textId="77777777" w:rsidR="00910387" w:rsidRPr="0093755D" w:rsidRDefault="00910387" w:rsidP="00C85B70">
      <w:pPr>
        <w:ind w:firstLine="720"/>
        <w:textAlignment w:val="baseline"/>
        <w:rPr>
          <w:rFonts w:ascii="Times New Roman" w:eastAsia="Times New Roman" w:hAnsi="Times New Roman" w:cs="Times New Roman"/>
          <w:bdr w:val="none" w:sz="0" w:space="0" w:color="auto" w:frame="1"/>
          <w:lang w:eastAsia="en-US"/>
        </w:rPr>
      </w:pPr>
    </w:p>
    <w:p w14:paraId="01602E39" w14:textId="2C5F36AA" w:rsidR="00C85B70" w:rsidRPr="00F94B7E" w:rsidRDefault="00C85B70" w:rsidP="00F94B7E">
      <w:pPr>
        <w:pStyle w:val="ListParagraph"/>
        <w:numPr>
          <w:ilvl w:val="0"/>
          <w:numId w:val="41"/>
        </w:numPr>
        <w:ind w:left="0" w:firstLine="360"/>
        <w:textAlignment w:val="baseline"/>
        <w:rPr>
          <w:rFonts w:ascii="Times New Roman" w:eastAsia="Times New Roman" w:hAnsi="Times New Roman" w:cs="Times New Roman"/>
          <w:lang w:eastAsia="en-US"/>
        </w:rPr>
      </w:pPr>
      <w:r w:rsidRPr="00F94B7E">
        <w:rPr>
          <w:rFonts w:ascii="Times New Roman" w:eastAsia="Times New Roman" w:hAnsi="Times New Roman" w:cs="Times New Roman"/>
          <w:bdr w:val="none" w:sz="0" w:space="0" w:color="auto" w:frame="1"/>
          <w:lang w:eastAsia="en-US"/>
        </w:rPr>
        <w:t>Critics object that the use of public nuisance as a p</w:t>
      </w:r>
      <w:r w:rsidR="00FA5988">
        <w:rPr>
          <w:rFonts w:ascii="Times New Roman" w:eastAsia="Times New Roman" w:hAnsi="Times New Roman" w:cs="Times New Roman"/>
          <w:bdr w:val="none" w:sz="0" w:space="0" w:color="auto" w:frame="1"/>
          <w:lang w:eastAsia="en-US"/>
        </w:rPr>
        <w:t>olicy-</w:t>
      </w:r>
      <w:r w:rsidRPr="00F94B7E">
        <w:rPr>
          <w:rFonts w:ascii="Times New Roman" w:eastAsia="Times New Roman" w:hAnsi="Times New Roman" w:cs="Times New Roman"/>
          <w:bdr w:val="none" w:sz="0" w:space="0" w:color="auto" w:frame="1"/>
          <w:lang w:eastAsia="en-US"/>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F94B7E">
        <w:rPr>
          <w:rFonts w:ascii="Times New Roman" w:eastAsia="Times New Roman" w:hAnsi="Times New Roman" w:cs="Times New Roman"/>
          <w:bdr w:val="none" w:sz="0" w:space="0" w:color="auto" w:frame="1"/>
          <w:lang w:eastAsia="en-US"/>
        </w:rPr>
        <w:t>tessential judicial function.</w:t>
      </w:r>
    </w:p>
    <w:p w14:paraId="61DA0484" w14:textId="77777777" w:rsidR="00C85B70" w:rsidRPr="0093755D" w:rsidRDefault="00C85B70" w:rsidP="00C85B70">
      <w:pPr>
        <w:spacing w:line="264" w:lineRule="auto"/>
        <w:rPr>
          <w:rFonts w:ascii="Times New Roman" w:eastAsia="Times New Roman" w:hAnsi="Times New Roman" w:cs="Times New Roman"/>
          <w:lang w:eastAsia="en-US"/>
        </w:rPr>
      </w:pPr>
    </w:p>
    <w:p w14:paraId="46F041C8"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lang w:eastAsia="en-US"/>
        </w:rPr>
      </w:pPr>
    </w:p>
    <w:p w14:paraId="0A187126"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lang w:eastAsia="en-US"/>
        </w:rPr>
      </w:pPr>
    </w:p>
    <w:p w14:paraId="66B969F6" w14:textId="61B91778" w:rsidR="00C85B70" w:rsidRDefault="00C85B70" w:rsidP="750671CE">
      <w:pPr>
        <w:pStyle w:val="Heading2"/>
        <w:rPr>
          <w:lang w:eastAsia="en-US"/>
        </w:rPr>
      </w:pPr>
      <w:bookmarkStart w:id="972" w:name="_Toc364636273"/>
      <w:bookmarkStart w:id="973" w:name="_Toc518323543"/>
      <w:r w:rsidRPr="00C85B70">
        <w:rPr>
          <w:lang w:eastAsia="en-US"/>
        </w:rPr>
        <w:t>D.  Strict Liability for Products?</w:t>
      </w:r>
      <w:bookmarkEnd w:id="972"/>
      <w:bookmarkEnd w:id="973"/>
    </w:p>
    <w:p w14:paraId="26EF8E7F" w14:textId="77777777" w:rsidR="0050178C" w:rsidRDefault="0050178C" w:rsidP="0050178C">
      <w:pPr>
        <w:rPr>
          <w:lang w:eastAsia="en-US"/>
        </w:rPr>
      </w:pPr>
    </w:p>
    <w:p w14:paraId="52BDF5E9" w14:textId="77777777" w:rsidR="00910387" w:rsidRDefault="00910387" w:rsidP="0050178C">
      <w:pPr>
        <w:rPr>
          <w:lang w:eastAsia="en-US"/>
        </w:rPr>
      </w:pPr>
    </w:p>
    <w:p w14:paraId="4F3A65D8" w14:textId="20D3BABD" w:rsidR="0050178C" w:rsidRPr="0050178C" w:rsidRDefault="0050178C" w:rsidP="00322687">
      <w:pPr>
        <w:pStyle w:val="Heading3"/>
      </w:pPr>
      <w:bookmarkStart w:id="974" w:name="_Toc364636274"/>
      <w:bookmarkStart w:id="975" w:name="_Toc518323544"/>
      <w:r w:rsidRPr="0050178C">
        <w:t>1.</w:t>
      </w:r>
      <w:r>
        <w:t xml:space="preserve"> </w:t>
      </w:r>
      <w:r w:rsidRPr="0050178C">
        <w:t>Beginnings</w:t>
      </w:r>
      <w:bookmarkEnd w:id="974"/>
      <w:bookmarkEnd w:id="975"/>
    </w:p>
    <w:p w14:paraId="7222F42E"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1FE858B" w14:textId="43B19864"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Few areas of twenty-first-century tort law are more important than the law of products liability.  Products cases typically involve deep-pocket defendants.  But proving product defects, especially in the design of a product, can be exceedingly difficult</w:t>
      </w:r>
      <w:r w:rsidR="00A15645">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and exceedingly expensive</w:t>
      </w:r>
      <w:r w:rsidR="00082B05">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to do.  </w:t>
      </w:r>
    </w:p>
    <w:p w14:paraId="5C55F0A6"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67FDF143" w14:textId="77777777"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8CB008A" w14:textId="5B837934"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But we are getting ahead of ourselves and starting with the end of the story.  For a century, the leading case for the old rule of no-duty was the English decision in </w:t>
      </w:r>
      <w:r w:rsidRPr="750671CE">
        <w:rPr>
          <w:rFonts w:ascii="Times New Roman" w:eastAsia="Times New Roman" w:hAnsi="Times New Roman" w:cs="Times New Roman"/>
          <w:i/>
          <w:iCs/>
          <w:lang w:eastAsia="en-US"/>
        </w:rPr>
        <w:t>Winterbottom v. Wright</w:t>
      </w:r>
      <w:r w:rsidR="00B423D6">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p>
    <w:p w14:paraId="2EE07996" w14:textId="77777777" w:rsid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5C8FDF7B" w14:textId="77777777" w:rsidR="00910387" w:rsidRPr="00C85B70" w:rsidRDefault="00910387"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6FC9449B" w14:textId="15508090"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lang w:eastAsia="en-US"/>
        </w:rPr>
      </w:pPr>
      <w:bookmarkStart w:id="976" w:name="_Toc518323545"/>
      <w:r w:rsidRPr="0050178C">
        <w:rPr>
          <w:rStyle w:val="Heading4Char"/>
        </w:rPr>
        <w:t>Winterbottom v. Wright</w:t>
      </w:r>
      <w:bookmarkEnd w:id="976"/>
      <w:r w:rsidR="00F46DE5"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152 Eng. Rep. 402 (Exch. of Pleas. 1842)</w:t>
      </w:r>
    </w:p>
    <w:p w14:paraId="6CE6EE60"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7253D21B" w14:textId="4A061700"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[Defendant was a contractor for the supply of mail-coaches to the Postmaster-General whose agreement with the Postmaster-General specified that defendant would keep the coaches in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 fit, proper, safe, and secure state and condition.</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Plaintiff was a mail coachman employed by a second contractor who had agreed to supply horses and coachmen.  Plaintiff</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declaration alleged that the mail-coach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being then in a frail, weak, and infirm, and dangerous state and condition,</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gave way while he was driving it, that the accident threw him from the coach, that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no other cause, circumstance matter or thing whatsoever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caused the accident, and that he was thereby left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lame for life.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w:t>
      </w:r>
    </w:p>
    <w:p w14:paraId="14B0521E"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B4B0990" w14:textId="26B9FFA8" w:rsidR="00C85B70" w:rsidRPr="00C85B70" w:rsidRDefault="750671CE"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F94B7E">
        <w:rPr>
          <w:rFonts w:ascii="Times New Roman" w:eastAsia="Times New Roman" w:hAnsi="Times New Roman" w:cs="Times New Roman"/>
          <w:smallCaps/>
          <w:lang w:eastAsia="en-US"/>
        </w:rPr>
        <w:t>L</w:t>
      </w:r>
      <w:r w:rsidR="00A15645" w:rsidRPr="00F94B7E">
        <w:rPr>
          <w:rFonts w:ascii="Times New Roman" w:eastAsia="Times New Roman" w:hAnsi="Times New Roman" w:cs="Times New Roman"/>
          <w:smallCaps/>
          <w:lang w:eastAsia="en-US"/>
        </w:rPr>
        <w:t>ord</w:t>
      </w:r>
      <w:r w:rsidRPr="00F94B7E">
        <w:rPr>
          <w:rFonts w:ascii="Times New Roman" w:eastAsia="Times New Roman" w:hAnsi="Times New Roman" w:cs="Times New Roman"/>
          <w:smallCaps/>
          <w:lang w:eastAsia="en-US"/>
        </w:rPr>
        <w:t xml:space="preserve"> A</w:t>
      </w:r>
      <w:r w:rsidR="00A15645" w:rsidRPr="00F94B7E">
        <w:rPr>
          <w:rFonts w:ascii="Times New Roman" w:eastAsia="Times New Roman" w:hAnsi="Times New Roman" w:cs="Times New Roman"/>
          <w:smallCaps/>
          <w:lang w:eastAsia="en-US"/>
        </w:rPr>
        <w:t>binger</w:t>
      </w:r>
      <w:r w:rsidRPr="750671CE">
        <w:rPr>
          <w:rFonts w:ascii="Times New Roman" w:eastAsia="Times New Roman" w:hAnsi="Times New Roman" w:cs="Times New Roman"/>
          <w:lang w:eastAsia="en-US"/>
        </w:rPr>
        <w:t>,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w:t>
      </w:r>
      <w:r w:rsidR="00082B0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he may be remediless altogether. There is no privity of contract between these parties; and if the plaintiff 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4C106101" w14:textId="4891A9F2" w:rsidR="00C85B70" w:rsidRPr="00C85B70" w:rsidRDefault="750671CE"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F94B7E">
        <w:rPr>
          <w:rFonts w:ascii="Times New Roman" w:eastAsia="Times New Roman" w:hAnsi="Times New Roman" w:cs="Times New Roman"/>
          <w:smallCaps/>
          <w:lang w:eastAsia="en-US"/>
        </w:rPr>
        <w:t>A</w:t>
      </w:r>
      <w:r w:rsidR="00A15645" w:rsidRPr="00F94B7E">
        <w:rPr>
          <w:rFonts w:ascii="Times New Roman" w:eastAsia="Times New Roman" w:hAnsi="Times New Roman" w:cs="Times New Roman"/>
          <w:smallCaps/>
          <w:lang w:eastAsia="en-US"/>
        </w:rPr>
        <w:t>lderson</w:t>
      </w:r>
      <w:r w:rsidRPr="750671CE">
        <w:rPr>
          <w:rFonts w:ascii="Times New Roman" w:eastAsia="Times New Roman" w:hAnsi="Times New Roman" w:cs="Times New Roman"/>
          <w:lang w:eastAsia="en-US"/>
        </w:rPr>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0EAB0A05" w14:textId="1731818F" w:rsidR="00C85B70" w:rsidRPr="00C85B70" w:rsidRDefault="750671CE"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G</w:t>
      </w:r>
      <w:r w:rsidR="00A15645" w:rsidRPr="00F94B7E">
        <w:rPr>
          <w:rFonts w:ascii="Times New Roman" w:eastAsia="Times New Roman" w:hAnsi="Times New Roman" w:cs="Times New Roman"/>
          <w:smallCaps/>
          <w:lang w:eastAsia="en-US"/>
        </w:rPr>
        <w:t>urney</w:t>
      </w:r>
      <w:r w:rsidRPr="750671CE">
        <w:rPr>
          <w:rFonts w:ascii="Times New Roman" w:eastAsia="Times New Roman" w:hAnsi="Times New Roman" w:cs="Times New Roman"/>
          <w:lang w:eastAsia="en-US"/>
        </w:rPr>
        <w:t xml:space="preserve">, B., concurred.  </w:t>
      </w:r>
    </w:p>
    <w:p w14:paraId="52AC196A"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2F57C8CE" w14:textId="6143F9DA" w:rsidR="00C85B70" w:rsidRPr="00C85B70" w:rsidRDefault="750671CE"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F94B7E">
        <w:rPr>
          <w:rFonts w:ascii="Times New Roman" w:eastAsia="Times New Roman" w:hAnsi="Times New Roman" w:cs="Times New Roman"/>
          <w:smallCaps/>
          <w:lang w:eastAsia="en-US"/>
        </w:rPr>
        <w:t>R</w:t>
      </w:r>
      <w:r w:rsidR="00A15645" w:rsidRPr="00F94B7E">
        <w:rPr>
          <w:rFonts w:ascii="Times New Roman" w:eastAsia="Times New Roman" w:hAnsi="Times New Roman" w:cs="Times New Roman"/>
          <w:smallCaps/>
          <w:lang w:eastAsia="en-US"/>
        </w:rPr>
        <w:t>olfe</w:t>
      </w:r>
      <w:r w:rsidRPr="750671CE">
        <w:rPr>
          <w:rFonts w:ascii="Times New Roman" w:eastAsia="Times New Roman" w:hAnsi="Times New Roman" w:cs="Times New Roman"/>
          <w:lang w:eastAsia="en-US"/>
        </w:rPr>
        <w:t xml:space="preserve">, B. . . .  This is one of those unfortunate cases in which there certainly has been </w:t>
      </w:r>
      <w:r w:rsidRPr="750671CE">
        <w:rPr>
          <w:rFonts w:ascii="Times New Roman" w:eastAsia="Times New Roman" w:hAnsi="Times New Roman" w:cs="Times New Roman"/>
          <w:i/>
          <w:iCs/>
          <w:lang w:eastAsia="en-US"/>
        </w:rPr>
        <w:t>damnum</w:t>
      </w:r>
      <w:r w:rsidRPr="750671CE">
        <w:rPr>
          <w:rFonts w:ascii="Times New Roman" w:eastAsia="Times New Roman" w:hAnsi="Times New Roman" w:cs="Times New Roman"/>
          <w:lang w:eastAsia="en-US"/>
        </w:rPr>
        <w:t xml:space="preserve">, but it is </w:t>
      </w:r>
      <w:r w:rsidRPr="750671CE">
        <w:rPr>
          <w:rFonts w:ascii="Times New Roman" w:eastAsia="Times New Roman" w:hAnsi="Times New Roman" w:cs="Times New Roman"/>
          <w:i/>
          <w:iCs/>
          <w:lang w:eastAsia="en-US"/>
        </w:rPr>
        <w:t>damnum absque injuria</w:t>
      </w:r>
      <w:r w:rsidRPr="750671CE">
        <w:rPr>
          <w:rFonts w:ascii="Times New Roman" w:eastAsia="Times New Roman" w:hAnsi="Times New Roman" w:cs="Times New Roman"/>
          <w:lang w:eastAsia="en-US"/>
        </w:rPr>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C85B70" w:rsidRDefault="00C85B70" w:rsidP="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p>
    <w:p w14:paraId="2A627938" w14:textId="77777777" w:rsidR="00C85B70" w:rsidRPr="00C85B70" w:rsidRDefault="00C85B70" w:rsidP="750671C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Judgment for the defendant.</w:t>
      </w:r>
    </w:p>
    <w:p w14:paraId="1ED1233A" w14:textId="77777777" w:rsidR="00C85B70" w:rsidRPr="00C85B70" w:rsidRDefault="00C85B70" w:rsidP="00C85B70">
      <w:pPr>
        <w:rPr>
          <w:rFonts w:ascii="Times New Roman" w:eastAsia="Times New Roman" w:hAnsi="Times New Roman" w:cs="Times New Roman"/>
          <w:lang w:eastAsia="en-US"/>
        </w:rPr>
      </w:pPr>
    </w:p>
    <w:p w14:paraId="58411F4B" w14:textId="77777777" w:rsidR="00C85B70" w:rsidRPr="00C85B70" w:rsidRDefault="00C85B70" w:rsidP="00C85B70">
      <w:pPr>
        <w:rPr>
          <w:rFonts w:ascii="Times New Roman" w:eastAsia="Times New Roman" w:hAnsi="Times New Roman" w:cs="Times New Roman"/>
          <w:lang w:eastAsia="en-US"/>
        </w:rPr>
      </w:pPr>
    </w:p>
    <w:p w14:paraId="5449A3D3" w14:textId="77777777" w:rsidR="00910387" w:rsidRDefault="00910387" w:rsidP="00910387">
      <w:pPr>
        <w:pStyle w:val="Heading5"/>
      </w:pPr>
    </w:p>
    <w:p w14:paraId="555A5510" w14:textId="77777777" w:rsidR="00C85B70" w:rsidRPr="00C85B70" w:rsidRDefault="00C85B70" w:rsidP="00910387">
      <w:pPr>
        <w:pStyle w:val="Heading5"/>
      </w:pPr>
      <w:bookmarkStart w:id="977" w:name="_Toc364636275"/>
      <w:bookmarkStart w:id="978" w:name="_Toc518323546"/>
      <w:r w:rsidRPr="00C85B70">
        <w:t>Notes</w:t>
      </w:r>
      <w:bookmarkEnd w:id="977"/>
      <w:bookmarkEnd w:id="978"/>
    </w:p>
    <w:p w14:paraId="057E3855" w14:textId="77777777" w:rsidR="00C85B70" w:rsidRDefault="00C85B70" w:rsidP="00C85B70">
      <w:pPr>
        <w:rPr>
          <w:rFonts w:ascii="Times New Roman" w:eastAsia="Times New Roman" w:hAnsi="Times New Roman" w:cs="Times New Roman"/>
          <w:lang w:eastAsia="en-US"/>
        </w:rPr>
      </w:pPr>
    </w:p>
    <w:p w14:paraId="13AD59FA" w14:textId="77777777" w:rsidR="00910387" w:rsidRPr="00C85B70" w:rsidRDefault="00910387" w:rsidP="00C85B70">
      <w:pPr>
        <w:rPr>
          <w:rFonts w:ascii="Times New Roman" w:eastAsia="Times New Roman" w:hAnsi="Times New Roman" w:cs="Times New Roman"/>
          <w:lang w:eastAsia="en-US"/>
        </w:rPr>
      </w:pPr>
    </w:p>
    <w:p w14:paraId="5643CF79" w14:textId="751CA257" w:rsidR="00C85B70" w:rsidRPr="00F94B7E" w:rsidRDefault="750671CE" w:rsidP="00F94B7E">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Liability by contract?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regime was not a regime of no liability for injuries arising out of products.  It was a regime of liability by contract</w:t>
      </w:r>
      <w:r w:rsidR="00082B0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and liability by contract only.  Had the plaintiff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made an arrangement by contract with his employer for compensation in the event of injury arising out of work, including injury caused by the negligence of the coach</w:t>
      </w:r>
      <w:r w:rsidR="00D873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he would have had an action for damages under the contract.  </w:t>
      </w:r>
    </w:p>
    <w:p w14:paraId="027B3073" w14:textId="77777777" w:rsidR="00C85B70" w:rsidRPr="00C85B70" w:rsidRDefault="00C85B70" w:rsidP="00C85B70">
      <w:pPr>
        <w:rPr>
          <w:rFonts w:ascii="Times New Roman" w:eastAsia="Times New Roman" w:hAnsi="Times New Roman" w:cs="Times New Roman"/>
          <w:lang w:eastAsia="en-US"/>
        </w:rPr>
      </w:pPr>
    </w:p>
    <w:p w14:paraId="4AFE56F0" w14:textId="7525A8BE"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Why limit damages to actions on contracts?  Are there things to be said for such a limitation?  Note that the existence of tort liability for products is still controversial today.  Some scholars contend that tort liability for products is misguided and that we would be better off in the regime of Winterbottom against Wright.  </w:t>
      </w:r>
      <w:r w:rsidR="00821641">
        <w:rPr>
          <w:rFonts w:ascii="Times New Roman" w:eastAsia="Times New Roman" w:hAnsi="Times New Roman" w:cs="Times New Roman"/>
          <w:lang w:eastAsia="en-US"/>
        </w:rPr>
        <w:t xml:space="preserve">Professors </w:t>
      </w:r>
      <w:r w:rsidRPr="00C85B70">
        <w:rPr>
          <w:rFonts w:ascii="Times New Roman" w:eastAsia="Times New Roman" w:hAnsi="Times New Roman" w:cs="Times New Roman"/>
          <w:lang w:eastAsia="en-US"/>
        </w:rPr>
        <w:t>Polinsky and Shavell, for example, argue that product sellers and manufacturers are motivated to produce safe products by market forces: consumer products that are unreasona</w:t>
      </w:r>
      <w:r w:rsidR="00821641">
        <w:rPr>
          <w:rFonts w:ascii="Times New Roman" w:eastAsia="Times New Roman" w:hAnsi="Times New Roman" w:cs="Times New Roman"/>
          <w:lang w:eastAsia="en-US"/>
        </w:rPr>
        <w:t>bly dangerous will go unsold.  They observe further that m</w:t>
      </w:r>
      <w:r w:rsidRPr="00C85B70">
        <w:rPr>
          <w:rFonts w:ascii="Times New Roman" w:eastAsia="Times New Roman" w:hAnsi="Times New Roman" w:cs="Times New Roman"/>
          <w:lang w:eastAsia="en-US"/>
        </w:rPr>
        <w:t xml:space="preserve">any products, such as pharmacueticals, are designed, manufactured, and marketed under strict regulations.  </w:t>
      </w:r>
    </w:p>
    <w:p w14:paraId="1A5A00A5" w14:textId="77777777" w:rsidR="00C85B70" w:rsidRPr="00C85B70" w:rsidRDefault="00C85B70" w:rsidP="00C85B70">
      <w:pPr>
        <w:rPr>
          <w:rFonts w:ascii="Times New Roman" w:eastAsia="Times New Roman" w:hAnsi="Times New Roman" w:cs="Times New Roman"/>
          <w:lang w:eastAsia="en-US"/>
        </w:rPr>
      </w:pPr>
    </w:p>
    <w:p w14:paraId="09D7810D" w14:textId="668CD8DE"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Consequently, product liability might not exert a significant additional influence on product safety for many products</w:t>
      </w:r>
      <w:r w:rsidR="00FC791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C85B70" w:rsidRDefault="00C85B70" w:rsidP="00C85B70">
      <w:pPr>
        <w:rPr>
          <w:rFonts w:ascii="Times New Roman" w:eastAsia="Times New Roman" w:hAnsi="Times New Roman" w:cs="Times New Roman"/>
          <w:lang w:eastAsia="en-US"/>
        </w:rPr>
      </w:pPr>
    </w:p>
    <w:p w14:paraId="31A6D43E"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 Mitchell Polinsky &amp; Steven Shavell, </w:t>
      </w:r>
      <w:r w:rsidRPr="750671CE">
        <w:rPr>
          <w:rFonts w:ascii="Times New Roman" w:eastAsia="Times New Roman" w:hAnsi="Times New Roman" w:cs="Times New Roman"/>
          <w:i/>
          <w:iCs/>
          <w:lang w:eastAsia="en-US"/>
        </w:rPr>
        <w:t>The Uneasy Case for Product Liability</w:t>
      </w:r>
      <w:r w:rsidRPr="750671CE">
        <w:rPr>
          <w:rFonts w:ascii="Times New Roman" w:eastAsia="Times New Roman" w:hAnsi="Times New Roman" w:cs="Times New Roman"/>
          <w:lang w:eastAsia="en-US"/>
        </w:rPr>
        <w:t xml:space="preserve">, 123 </w:t>
      </w:r>
      <w:r w:rsidRPr="750671CE">
        <w:rPr>
          <w:rFonts w:ascii="Times New Roman" w:eastAsia="Times New Roman" w:hAnsi="Times New Roman" w:cs="Times New Roman"/>
          <w:smallCaps/>
          <w:lang w:eastAsia="en-US"/>
        </w:rPr>
        <w:t>Harv. L. Rev</w:t>
      </w:r>
      <w:r w:rsidRPr="750671CE">
        <w:rPr>
          <w:rFonts w:ascii="Times New Roman" w:eastAsia="Times New Roman" w:hAnsi="Times New Roman" w:cs="Times New Roman"/>
          <w:lang w:eastAsia="en-US"/>
        </w:rPr>
        <w:t xml:space="preserve">. 1437 (2010).  </w:t>
      </w:r>
    </w:p>
    <w:p w14:paraId="68290BD0" w14:textId="77777777" w:rsidR="00C85B70" w:rsidRPr="00C85B70" w:rsidRDefault="00C85B70" w:rsidP="00C85B70">
      <w:pPr>
        <w:rPr>
          <w:rFonts w:ascii="Times New Roman" w:eastAsia="Times New Roman" w:hAnsi="Times New Roman" w:cs="Times New Roman"/>
          <w:lang w:eastAsia="en-US"/>
        </w:rPr>
      </w:pPr>
    </w:p>
    <w:p w14:paraId="09B71ABC" w14:textId="77777777" w:rsidR="00C85B70" w:rsidRPr="00C85B70" w:rsidRDefault="00C85B70" w:rsidP="00C85B70">
      <w:pPr>
        <w:rPr>
          <w:rFonts w:ascii="Times New Roman" w:eastAsia="Times New Roman" w:hAnsi="Times New Roman" w:cs="Times New Roman"/>
          <w:lang w:eastAsia="en-US"/>
        </w:rPr>
      </w:pPr>
    </w:p>
    <w:p w14:paraId="50894E8D" w14:textId="6D4512ED" w:rsidR="00C85B70" w:rsidRPr="00F94B7E" w:rsidRDefault="750671CE" w:rsidP="00F94B7E">
      <w:pPr>
        <w:pStyle w:val="ListParagraph"/>
        <w:numPr>
          <w:ilvl w:val="0"/>
          <w:numId w:val="4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bystander problem</w:t>
      </w:r>
      <w:r w:rsidRPr="00F94B7E">
        <w:rPr>
          <w:rFonts w:ascii="Times New Roman" w:eastAsia="Times New Roman" w:hAnsi="Times New Roman" w:cs="Times New Roman"/>
          <w:lang w:eastAsia="en-US"/>
        </w:rPr>
        <w:t xml:space="preserve">.  What would the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rule mean for injured bystanders and other injured third</w:t>
      </w:r>
      <w:r w:rsidR="00D873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parties?  Take for example a bystander to the coach accident in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who is injured by the collapsing coach.  Should such a person have an action against the coach-maker for injuries caused by the coach-maker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maker?   </w:t>
      </w:r>
    </w:p>
    <w:p w14:paraId="3E97502A" w14:textId="77777777" w:rsidR="00C85B70" w:rsidRPr="00C85B70" w:rsidRDefault="00C85B70" w:rsidP="00C85B70">
      <w:pPr>
        <w:rPr>
          <w:rFonts w:ascii="Times New Roman" w:eastAsia="Times New Roman" w:hAnsi="Times New Roman" w:cs="Times New Roman"/>
          <w:lang w:eastAsia="en-US"/>
        </w:rPr>
      </w:pPr>
    </w:p>
    <w:p w14:paraId="4DEB2609" w14:textId="0DF4101A"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Regardless of the merits, the caselaw on product injuries began to develop certain exceptions to the </w:t>
      </w:r>
      <w:r w:rsidRPr="750671CE">
        <w:rPr>
          <w:rFonts w:ascii="Times New Roman" w:eastAsia="Times New Roman" w:hAnsi="Times New Roman" w:cs="Times New Roman"/>
          <w:i/>
          <w:iCs/>
          <w:lang w:eastAsia="en-US"/>
        </w:rPr>
        <w:t>Winterbottom</w:t>
      </w:r>
      <w:r w:rsidRPr="750671CE">
        <w:rPr>
          <w:rFonts w:ascii="Times New Roman" w:eastAsia="Times New Roman" w:hAnsi="Times New Roman" w:cs="Times New Roman"/>
          <w:lang w:eastAsia="en-US"/>
        </w:rPr>
        <w:t xml:space="preserve"> privity rule.  Eventually, the exceptions culminated in a decision by Judge Cardozo in the New York Court of Appeals.  </w:t>
      </w:r>
    </w:p>
    <w:p w14:paraId="2F128E7B" w14:textId="77777777" w:rsidR="00C85B70" w:rsidRPr="00C85B70" w:rsidRDefault="00C85B70" w:rsidP="00C85B70">
      <w:pPr>
        <w:rPr>
          <w:rFonts w:ascii="Times New Roman" w:eastAsia="Times New Roman" w:hAnsi="Times New Roman" w:cs="Times New Roman"/>
          <w:lang w:eastAsia="en-US"/>
        </w:rPr>
      </w:pPr>
    </w:p>
    <w:p w14:paraId="75F0D454" w14:textId="77777777" w:rsidR="00C85B70" w:rsidRPr="00C85B70" w:rsidRDefault="00C85B70" w:rsidP="00C85B70">
      <w:pPr>
        <w:rPr>
          <w:rFonts w:ascii="Times New Roman" w:eastAsia="Times New Roman" w:hAnsi="Times New Roman" w:cs="Times New Roman"/>
          <w:lang w:eastAsia="en-US"/>
        </w:rPr>
      </w:pPr>
    </w:p>
    <w:p w14:paraId="41A76862" w14:textId="671A6E9D"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bookmarkStart w:id="979" w:name="_Toc518323547"/>
      <w:r w:rsidRPr="0050178C">
        <w:rPr>
          <w:rStyle w:val="Heading4Char"/>
        </w:rPr>
        <w:t>MacPherson v. Buick Motor Company</w:t>
      </w:r>
      <w:bookmarkEnd w:id="979"/>
      <w:r w:rsidR="00EE1134" w:rsidRPr="750671CE">
        <w:rPr>
          <w:rFonts w:ascii="Times New Roman" w:eastAsia="Times New Roman" w:hAnsi="Times New Roman" w:cs="Times New Roman"/>
          <w:b/>
          <w:bCs/>
          <w:color w:val="000000"/>
          <w:lang w:eastAsia="en-US"/>
        </w:rPr>
        <w:t xml:space="preserve">, </w:t>
      </w:r>
      <w:r w:rsidRPr="750671CE">
        <w:rPr>
          <w:rFonts w:ascii="Times New Roman" w:eastAsia="Times New Roman" w:hAnsi="Times New Roman" w:cs="Times New Roman"/>
          <w:b/>
          <w:bCs/>
          <w:color w:val="000000"/>
          <w:lang w:eastAsia="en-US"/>
        </w:rPr>
        <w:t>111 N.E. 1050 (N.Y. 1916)</w:t>
      </w:r>
    </w:p>
    <w:p w14:paraId="4E5C4DB2" w14:textId="77777777" w:rsidR="00C85B70" w:rsidRPr="00C85B70" w:rsidRDefault="00C85B70" w:rsidP="750671CE">
      <w:pPr>
        <w:widowControl w:val="0"/>
        <w:autoSpaceDE w:val="0"/>
        <w:autoSpaceDN w:val="0"/>
        <w:adjustRightInd w:val="0"/>
        <w:spacing w:before="200" w:after="200"/>
        <w:rPr>
          <w:rFonts w:ascii="Times New Roman" w:eastAsia="Times New Roman" w:hAnsi="Times New Roman" w:cs="Times New Roman"/>
          <w:color w:val="000000" w:themeColor="text1"/>
          <w:lang w:eastAsia="en-US"/>
        </w:rPr>
      </w:pPr>
      <w:r w:rsidRPr="00850CF9">
        <w:rPr>
          <w:rFonts w:ascii="Times New Roman" w:eastAsia="Times New Roman" w:hAnsi="Times New Roman" w:cs="Times New Roman"/>
          <w:smallCaps/>
          <w:color w:val="000000"/>
          <w:lang w:eastAsia="en-US"/>
        </w:rPr>
        <w:t>Cardozo</w:t>
      </w:r>
      <w:r w:rsidRPr="00C85B70">
        <w:rPr>
          <w:rFonts w:ascii="Times New Roman" w:eastAsia="Times New Roman" w:hAnsi="Times New Roman" w:cs="Times New Roman"/>
          <w:color w:val="000000"/>
          <w:lang w:eastAsia="en-US"/>
        </w:rPr>
        <w:t>, J.</w:t>
      </w:r>
      <w:bookmarkStart w:id="980" w:name="co_anchor_I9c02f93fa3dc11e38578f7ccc38dc"/>
      <w:bookmarkEnd w:id="980"/>
    </w:p>
    <w:p w14:paraId="461D7430" w14:textId="77777777"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The defendant is a manufacturer of automobiles. It sold an automobile to a retail dealer. The retail dealer resold to the plaintiff. While the plaintiff was in the car, it suddenly collapsed. He was </w:t>
      </w:r>
      <w:bookmarkStart w:id="981" w:name="co_pp_sp_596_385_1"/>
      <w:bookmarkEnd w:id="981"/>
      <w:r w:rsidRPr="00C85B70">
        <w:rPr>
          <w:rFonts w:ascii="Times New Roman" w:eastAsia="Times New Roman" w:hAnsi="Times New Roman" w:cs="Times New Roman"/>
          <w:color w:val="000000"/>
          <w:lang w:eastAsia="en-US"/>
        </w:rPr>
        <w:t>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vigilance to any one but the immediate purchaser.</w:t>
      </w:r>
    </w:p>
    <w:p w14:paraId="72FF3D0F" w14:textId="7C126D93"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foundations of this branch of the law, at least in this state, were laid in </w:t>
      </w:r>
      <w:r w:rsidRPr="750671CE">
        <w:rPr>
          <w:rFonts w:ascii="Times New Roman" w:eastAsia="Times New Roman" w:hAnsi="Times New Roman" w:cs="Times New Roman"/>
          <w:i/>
          <w:iCs/>
          <w:color w:val="000000" w:themeColor="text1"/>
          <w:lang w:eastAsia="en-US"/>
        </w:rPr>
        <w:t>Thomas v. Winchester</w:t>
      </w:r>
      <w:r w:rsidRPr="750671CE">
        <w:rPr>
          <w:rFonts w:ascii="Times New Roman" w:eastAsia="Times New Roman" w:hAnsi="Times New Roman" w:cs="Times New Roman"/>
          <w:color w:val="000000" w:themeColor="text1"/>
          <w:lang w:eastAsia="en-US"/>
        </w:rPr>
        <w:t xml:space="preserve"> [6 N.Y. 397 (1852)].  A poison was falsely labeled. The sale was made to a druggist, who in turn sold to a customer. The customer recovered damages from the seller who affixed the label.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The defendant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negligence,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it was said,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put human life in imminent danger.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 poison falsely labeled is likely to injure any one who gets it. Because the danger is to be foreseen, there is a duty to avoid the injury. . . . </w:t>
      </w:r>
    </w:p>
    <w:p w14:paraId="44D670AB" w14:textId="40FD3C82"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i/>
          <w:iCs/>
          <w:color w:val="000000"/>
          <w:lang w:eastAsia="en-US"/>
        </w:rPr>
        <w:t>Thomas v. Winchester</w:t>
      </w:r>
      <w:r w:rsidRPr="00C85B70">
        <w:rPr>
          <w:rFonts w:ascii="Times New Roman" w:eastAsia="Times New Roman" w:hAnsi="Times New Roman" w:cs="Times New Roman"/>
          <w:color w:val="000000"/>
          <w:lang w:eastAsia="en-US"/>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982" w:name="co_pp_sp_596_386_1"/>
      <w:bookmarkEnd w:id="982"/>
      <w:r w:rsidRPr="00C85B70">
        <w:rPr>
          <w:rFonts w:ascii="Times New Roman" w:eastAsia="Times New Roman" w:hAnsi="Times New Roman" w:cs="Times New Roman"/>
          <w:color w:val="000000"/>
          <w:lang w:eastAsia="en-US"/>
        </w:rPr>
        <w:t xml:space="preserve">some of them will be helpful.  </w:t>
      </w:r>
      <w:r w:rsidRPr="750671CE">
        <w:rPr>
          <w:rFonts w:ascii="Times New Roman" w:eastAsia="Times New Roman" w:hAnsi="Times New Roman" w:cs="Times New Roman"/>
          <w:i/>
          <w:iCs/>
          <w:color w:val="000000"/>
          <w:lang w:eastAsia="en-US"/>
        </w:rPr>
        <w:t>Loop v. Litchfield</w:t>
      </w:r>
      <w:r w:rsidRPr="00C85B70">
        <w:rPr>
          <w:rFonts w:ascii="Times New Roman" w:eastAsia="Times New Roman" w:hAnsi="Times New Roman" w:cs="Times New Roman"/>
          <w:color w:val="000000"/>
          <w:lang w:eastAsia="en-US"/>
        </w:rPr>
        <w:t xml:space="preserve"> is the earliest. It was the case of a defect in a small balance wheel used on a circular saw. The manufa</w:t>
      </w:r>
      <w:r w:rsidR="00821641">
        <w:rPr>
          <w:rFonts w:ascii="Times New Roman" w:eastAsia="Times New Roman" w:hAnsi="Times New Roman" w:cs="Times New Roman"/>
          <w:color w:val="000000"/>
          <w:lang w:eastAsia="en-US"/>
        </w:rPr>
        <w:t>cturer pointed out the defect to</w:t>
      </w:r>
      <w:r w:rsidRPr="00C85B70">
        <w:rPr>
          <w:rFonts w:ascii="Times New Roman" w:eastAsia="Times New Roman" w:hAnsi="Times New Roman" w:cs="Times New Roman"/>
          <w:color w:val="000000"/>
          <w:lang w:eastAsia="en-US"/>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These early cases suggest a narrow construction of the rule. Later cases, however, evince a more liberal spirit. First in importance is </w:t>
      </w:r>
      <w:r w:rsidRPr="750671CE">
        <w:rPr>
          <w:rFonts w:ascii="Times New Roman" w:eastAsia="Times New Roman" w:hAnsi="Times New Roman" w:cs="Times New Roman"/>
          <w:i/>
          <w:iCs/>
          <w:color w:val="000000" w:themeColor="text1"/>
          <w:lang w:eastAsia="en-US"/>
        </w:rPr>
        <w:t>Devlin v. Smith</w:t>
      </w:r>
      <w:hyperlink r:id="rId79">
        <w:r w:rsidRPr="750671CE">
          <w:rPr>
            <w:rFonts w:ascii="Times New Roman" w:eastAsia="Times New Roman" w:hAnsi="Times New Roman" w:cs="Times New Roman"/>
            <w:i/>
            <w:iCs/>
            <w:color w:val="0000FF"/>
            <w:lang w:eastAsia="en-US"/>
          </w:rPr>
          <w:t>.</w:t>
        </w:r>
      </w:hyperlink>
      <w:r w:rsidRPr="750671CE">
        <w:rPr>
          <w:rFonts w:ascii="Times New Roman" w:eastAsia="Times New Roman" w:hAnsi="Times New Roman" w:cs="Times New Roman"/>
          <w:color w:val="000000" w:themeColor="text1"/>
          <w:lang w:eastAsia="en-US"/>
        </w:rPr>
        <w:t xml:space="preserve"> The defendant, a contractor, built a scaffold for a painter. The painter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From </w:t>
      </w:r>
      <w:r w:rsidRPr="750671CE">
        <w:rPr>
          <w:rFonts w:ascii="Times New Roman" w:eastAsia="Times New Roman" w:hAnsi="Times New Roman" w:cs="Times New Roman"/>
          <w:i/>
          <w:iCs/>
          <w:color w:val="000000" w:themeColor="text1"/>
          <w:lang w:eastAsia="en-US"/>
        </w:rPr>
        <w:t>Devlin v. Smith</w:t>
      </w:r>
      <w:r w:rsidRPr="750671CE">
        <w:rPr>
          <w:rFonts w:ascii="Times New Roman" w:eastAsia="Times New Roman" w:hAnsi="Times New Roman" w:cs="Times New Roman"/>
          <w:color w:val="000000" w:themeColor="text1"/>
          <w:lang w:eastAsia="en-US"/>
        </w:rPr>
        <w:t xml:space="preserve"> we pass over intermediate cases and turn to the latest case in this court in which </w:t>
      </w:r>
      <w:r w:rsidRPr="750671CE">
        <w:rPr>
          <w:rFonts w:ascii="Times New Roman" w:eastAsia="Times New Roman" w:hAnsi="Times New Roman" w:cs="Times New Roman"/>
          <w:i/>
          <w:iCs/>
          <w:color w:val="000000" w:themeColor="text1"/>
          <w:lang w:eastAsia="en-US"/>
        </w:rPr>
        <w:t>Thomas v. Winchester</w:t>
      </w:r>
      <w:r w:rsidRPr="750671CE">
        <w:rPr>
          <w:rFonts w:ascii="Times New Roman" w:eastAsia="Times New Roman" w:hAnsi="Times New Roman" w:cs="Times New Roman"/>
          <w:color w:val="000000" w:themeColor="text1"/>
          <w:lang w:eastAsia="en-US"/>
        </w:rPr>
        <w:t xml:space="preserve"> was followed. That case is </w:t>
      </w:r>
      <w:r w:rsidRPr="750671CE">
        <w:rPr>
          <w:rFonts w:ascii="Times New Roman" w:eastAsia="Times New Roman" w:hAnsi="Times New Roman" w:cs="Times New Roman"/>
          <w:i/>
          <w:iCs/>
          <w:color w:val="000000" w:themeColor="text1"/>
          <w:lang w:eastAsia="en-US"/>
        </w:rPr>
        <w:t>Statler v. Ray Mfg. Co.</w:t>
      </w:r>
      <w:r w:rsidRPr="750671CE">
        <w:rPr>
          <w:rFonts w:ascii="Times New Roman" w:eastAsia="Times New Roman" w:hAnsi="Times New Roman" w:cs="Times New Roman"/>
          <w:color w:val="000000" w:themeColor="text1"/>
          <w:lang w:eastAsia="en-US"/>
        </w:rPr>
        <w:t xml:space="preserve">, [88 N.E. 1063 (N.Y. 1909)]. The defendant manufactured a large coffee urn. It was installed in a restaurant. When heated, the urn exploded and injured the plaintiff. We held that the manufacturer was liable. We said that the urn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was of such a character inherently that, when applied to the purposes for which it was designed, it was liable to become a source of great danger to many people if not carefully and properly constructed.</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It may be that </w:t>
      </w:r>
      <w:r w:rsidRPr="750671CE">
        <w:rPr>
          <w:rFonts w:ascii="Times New Roman" w:eastAsia="Times New Roman" w:hAnsi="Times New Roman" w:cs="Times New Roman"/>
          <w:i/>
          <w:iCs/>
          <w:color w:val="000000" w:themeColor="text1"/>
          <w:lang w:eastAsia="en-US"/>
        </w:rPr>
        <w:t>Devlin v. Smith</w:t>
      </w:r>
      <w:r w:rsidRPr="750671CE">
        <w:rPr>
          <w:rFonts w:ascii="Times New Roman" w:eastAsia="Times New Roman" w:hAnsi="Times New Roman" w:cs="Times New Roman"/>
          <w:color w:val="000000" w:themeColor="text1"/>
          <w:lang w:eastAsia="en-US"/>
        </w:rPr>
        <w:t xml:space="preserve"> and </w:t>
      </w:r>
      <w:r w:rsidRPr="750671CE">
        <w:rPr>
          <w:rFonts w:ascii="Times New Roman" w:eastAsia="Times New Roman" w:hAnsi="Times New Roman" w:cs="Times New Roman"/>
          <w:i/>
          <w:iCs/>
          <w:color w:val="000000" w:themeColor="text1"/>
          <w:lang w:eastAsia="en-US"/>
        </w:rPr>
        <w:t>Statler v. Ray Mfg. Co</w:t>
      </w:r>
      <w:r w:rsidRPr="750671CE">
        <w:rPr>
          <w:rFonts w:ascii="Times New Roman" w:eastAsia="Times New Roman" w:hAnsi="Times New Roman" w:cs="Times New Roman"/>
          <w:color w:val="000000" w:themeColor="text1"/>
          <w:lang w:eastAsia="en-US"/>
        </w:rPr>
        <w:t xml:space="preserve">. have extended the rule of </w:t>
      </w:r>
      <w:r w:rsidRPr="750671CE">
        <w:rPr>
          <w:rFonts w:ascii="Times New Roman" w:eastAsia="Times New Roman" w:hAnsi="Times New Roman" w:cs="Times New Roman"/>
          <w:i/>
          <w:iCs/>
          <w:color w:val="000000" w:themeColor="text1"/>
          <w:lang w:eastAsia="en-US"/>
        </w:rPr>
        <w:t>Thomas v. Winchester</w:t>
      </w:r>
      <w:r w:rsidRPr="750671CE">
        <w:rPr>
          <w:rFonts w:ascii="Times New Roman" w:eastAsia="Times New Roman" w:hAnsi="Times New Roman" w:cs="Times New Roman"/>
          <w:color w:val="000000" w:themeColor="text1"/>
          <w:lang w:eastAsia="en-US"/>
        </w:rPr>
        <w:t>. If so, this court is committed to the extension. The defendant argues that things imminently dangerous to life are poisons, explosives, deadly weapons</w:t>
      </w:r>
      <w:r w:rsidR="00082B05">
        <w:rPr>
          <w:rFonts w:ascii="Times New Roman" w:eastAsia="Times New Roman" w:hAnsi="Times New Roman" w:cs="Times New Roman"/>
          <w:lang w:eastAsia="en-US"/>
        </w:rPr>
        <w:t>—</w:t>
      </w:r>
      <w:r w:rsidRPr="750671CE">
        <w:rPr>
          <w:rFonts w:ascii="Times New Roman" w:eastAsia="Times New Roman" w:hAnsi="Times New Roman" w:cs="Times New Roman"/>
          <w:color w:val="000000" w:themeColor="text1"/>
          <w:lang w:eastAsia="en-US"/>
        </w:rPr>
        <w:t xml:space="preserve">things whose normal function it is to injure or destroy. But whatever the rule in </w:t>
      </w:r>
      <w:r w:rsidRPr="750671CE">
        <w:rPr>
          <w:rFonts w:ascii="Times New Roman" w:eastAsia="Times New Roman" w:hAnsi="Times New Roman" w:cs="Times New Roman"/>
          <w:i/>
          <w:iCs/>
          <w:color w:val="000000" w:themeColor="text1"/>
          <w:lang w:eastAsia="en-US"/>
        </w:rPr>
        <w:t>Thomas v. Winchester</w:t>
      </w:r>
      <w:r w:rsidRPr="750671CE">
        <w:rPr>
          <w:rFonts w:ascii="Times New Roman" w:eastAsia="Times New Roman" w:hAnsi="Times New Roman" w:cs="Times New Roman"/>
          <w:color w:val="000000" w:themeColor="text1"/>
          <w:lang w:eastAsia="en-US"/>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We hold, then, that the principle of </w:t>
      </w:r>
      <w:r w:rsidRPr="750671CE">
        <w:rPr>
          <w:rFonts w:ascii="Times New Roman" w:eastAsia="Times New Roman" w:hAnsi="Times New Roman" w:cs="Times New Roman"/>
          <w:i/>
          <w:iCs/>
          <w:color w:val="000000" w:themeColor="text1"/>
          <w:lang w:eastAsia="en-US"/>
        </w:rPr>
        <w:t>Thomas v. Winchester</w:t>
      </w:r>
      <w:r w:rsidRPr="750671CE">
        <w:rPr>
          <w:rFonts w:ascii="Times New Roman" w:eastAsia="Times New Roman" w:hAnsi="Times New Roman" w:cs="Times New Roman"/>
          <w:color w:val="000000" w:themeColor="text1"/>
          <w:lang w:eastAsia="en-US"/>
        </w:rPr>
        <w:t xml:space="preserve"> is not limited to poisons, explosives, and things of like nature, to things which in their normal operation are implements of destruction. If the nature of a thing is such that it is reasonably certain to place </w:t>
      </w:r>
      <w:r w:rsidR="00D8737E">
        <w:rPr>
          <w:rFonts w:ascii="Times New Roman" w:eastAsia="Times New Roman" w:hAnsi="Times New Roman" w:cs="Times New Roman"/>
          <w:color w:val="000000" w:themeColor="text1"/>
          <w:lang w:eastAsia="en-US"/>
        </w:rPr>
        <w:t>[a]</w:t>
      </w:r>
      <w:r w:rsidR="00D8737E" w:rsidRPr="750671CE">
        <w:rPr>
          <w:rFonts w:ascii="Times New Roman" w:eastAsia="Times New Roman" w:hAnsi="Times New Roman" w:cs="Times New Roman"/>
          <w:color w:val="000000" w:themeColor="text1"/>
          <w:lang w:eastAsia="en-US"/>
        </w:rPr>
        <w:t xml:space="preserve"> </w:t>
      </w:r>
      <w:r w:rsidRPr="750671CE">
        <w:rPr>
          <w:rFonts w:ascii="Times New Roman" w:eastAsia="Times New Roman" w:hAnsi="Times New Roman" w:cs="Times New Roman"/>
          <w:color w:val="000000" w:themeColor="text1"/>
          <w:lang w:eastAsia="en-US"/>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Whether a given thing is dangerous may be sometimes a question for the court and sometimes a question for the jury. There must also be knowledge that in the usual course of events the danger will be shared by others than the buyer. Such knowledge may often be </w:t>
      </w:r>
      <w:bookmarkStart w:id="983" w:name="co_pp_sp_596_390_1"/>
      <w:bookmarkEnd w:id="983"/>
      <w:r w:rsidRPr="00C85B70">
        <w:rPr>
          <w:rFonts w:ascii="Times New Roman" w:eastAsia="Times New Roman" w:hAnsi="Times New Roman" w:cs="Times New Roman"/>
          <w:color w:val="000000"/>
          <w:lang w:eastAsia="en-US"/>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From this survey of the decisions, there thus emerges a definition of the duty of a manufacturer which enables us to measure this defendant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liability. Beyond all question, the nature of an automobile gives warning of probable danger if its construction is defective. This </w:t>
      </w:r>
      <w:bookmarkStart w:id="984" w:name="co_pp_sp_596_391_1"/>
      <w:bookmarkEnd w:id="984"/>
      <w:r w:rsidRPr="00C85B70">
        <w:rPr>
          <w:rFonts w:ascii="Times New Roman" w:eastAsia="Times New Roman" w:hAnsi="Times New Roman" w:cs="Times New Roman"/>
          <w:color w:val="000000"/>
          <w:lang w:eastAsia="en-US"/>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750671CE">
        <w:rPr>
          <w:rFonts w:ascii="Times New Roman" w:eastAsia="Times New Roman" w:hAnsi="Times New Roman" w:cs="Times New Roman"/>
          <w:i/>
          <w:iCs/>
          <w:color w:val="000000"/>
          <w:lang w:eastAsia="en-US"/>
        </w:rPr>
        <w:t>Devlin v. Smith</w:t>
      </w:r>
      <w:r w:rsidRPr="00C85B70">
        <w:rPr>
          <w:rFonts w:ascii="Times New Roman" w:eastAsia="Times New Roman" w:hAnsi="Times New Roman" w:cs="Times New Roman"/>
          <w:color w:val="000000"/>
          <w:lang w:eastAsia="en-US"/>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985" w:name="co_pp_sp_596_395_1"/>
      <w:bookmarkEnd w:id="985"/>
      <w:r w:rsidRPr="00C85B70">
        <w:rPr>
          <w:rFonts w:ascii="Times New Roman" w:eastAsia="Times New Roman" w:hAnsi="Times New Roman" w:cs="Times New Roman"/>
          <w:color w:val="000000"/>
          <w:lang w:eastAsia="en-US"/>
        </w:rPr>
        <w:t>required of it. The obligation to inspect must vary with the nature of the thing to be inspected. The more probable the danger, the greater the need of caution.</w:t>
      </w:r>
      <w:r w:rsidR="00D8737E">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00D8737E">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00D8737E">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p>
    <w:p w14:paraId="22BD3A39" w14:textId="4DB31144" w:rsidR="00850CF9"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judgment should be affirmed.</w:t>
      </w:r>
    </w:p>
    <w:p w14:paraId="506F65E9" w14:textId="0C4A5DB6" w:rsidR="00C85B70" w:rsidRPr="00C85B70" w:rsidRDefault="750671CE" w:rsidP="750671CE">
      <w:pPr>
        <w:widowControl w:val="0"/>
        <w:autoSpaceDE w:val="0"/>
        <w:autoSpaceDN w:val="0"/>
        <w:adjustRightInd w:val="0"/>
        <w:spacing w:before="40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smallCaps/>
          <w:color w:val="000000" w:themeColor="text1"/>
          <w:lang w:eastAsia="en-US"/>
        </w:rPr>
        <w:t>Bartlett, C</w:t>
      </w:r>
      <w:r w:rsidR="00082B05">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J., </w:t>
      </w:r>
      <w:r w:rsidR="005A5833">
        <w:rPr>
          <w:rFonts w:ascii="Times New Roman" w:eastAsia="Times New Roman" w:hAnsi="Times New Roman" w:cs="Times New Roman"/>
          <w:color w:val="000000" w:themeColor="text1"/>
          <w:lang w:eastAsia="en-US"/>
        </w:rPr>
        <w:t>d</w:t>
      </w:r>
      <w:r w:rsidRPr="750671CE">
        <w:rPr>
          <w:rFonts w:ascii="Times New Roman" w:eastAsia="Times New Roman" w:hAnsi="Times New Roman" w:cs="Times New Roman"/>
          <w:color w:val="000000" w:themeColor="text1"/>
          <w:lang w:eastAsia="en-US"/>
        </w:rPr>
        <w:t xml:space="preserve">issenting. . . . </w:t>
      </w:r>
    </w:p>
    <w:p w14:paraId="5CA5873D" w14:textId="77777777"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bookmarkStart w:id="986" w:name="co_anchor_I9c02f944a3dc11e38578f7ccc38dc"/>
      <w:bookmarkEnd w:id="986"/>
      <w:r w:rsidRPr="00C85B70">
        <w:rPr>
          <w:rFonts w:ascii="Times New Roman" w:eastAsia="Times New Roman" w:hAnsi="Times New Roman" w:cs="Times New Roman"/>
          <w:color w:val="000000"/>
          <w:lang w:eastAsia="en-US"/>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750671CE">
        <w:rPr>
          <w:rFonts w:ascii="Times New Roman" w:eastAsia="Times New Roman" w:hAnsi="Times New Roman" w:cs="Times New Roman"/>
          <w:i/>
          <w:iCs/>
          <w:color w:val="000000"/>
          <w:lang w:eastAsia="en-US"/>
        </w:rPr>
        <w:t>Winterbottom v. Wright</w:t>
      </w:r>
      <w:r w:rsidRPr="00C85B70">
        <w:rPr>
          <w:rFonts w:ascii="Times New Roman" w:eastAsia="Times New Roman" w:hAnsi="Times New Roman" w:cs="Times New Roman"/>
          <w:color w:val="000000"/>
          <w:lang w:eastAsia="en-US"/>
        </w:rPr>
        <w:t xml:space="preserve">, and the . . . opinion of Chief Judge Ruggles in </w:t>
      </w:r>
      <w:r w:rsidRPr="750671CE">
        <w:rPr>
          <w:rFonts w:ascii="Times New Roman" w:eastAsia="Times New Roman" w:hAnsi="Times New Roman" w:cs="Times New Roman"/>
          <w:i/>
          <w:iCs/>
          <w:color w:val="000000"/>
          <w:lang w:eastAsia="en-US"/>
        </w:rPr>
        <w:t>Thomas v. Winchester</w:t>
      </w:r>
      <w:r w:rsidRPr="00C85B70">
        <w:rPr>
          <w:rFonts w:ascii="Times New Roman" w:eastAsia="Times New Roman" w:hAnsi="Times New Roman" w:cs="Times New Roman"/>
          <w:color w:val="000000"/>
          <w:lang w:eastAsia="en-US"/>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C85B70" w:rsidRDefault="00C85B70" w:rsidP="00B17A59">
      <w:pPr>
        <w:rPr>
          <w:rFonts w:ascii="Times New Roman" w:eastAsia="Times New Roman" w:hAnsi="Times New Roman" w:cs="Times New Roman"/>
          <w:color w:val="000000"/>
          <w:lang w:eastAsia="en-US"/>
        </w:rPr>
      </w:pPr>
    </w:p>
    <w:p w14:paraId="662E5F52" w14:textId="03BEE398" w:rsidR="00C85B70" w:rsidRPr="00C85B70" w:rsidRDefault="750671CE" w:rsidP="750671CE">
      <w:pPr>
        <w:rPr>
          <w:rFonts w:ascii="Times New Roman" w:eastAsia="Times New Roman" w:hAnsi="Times New Roman" w:cs="Times New Roman"/>
          <w:lang w:eastAsia="en-US"/>
        </w:rPr>
      </w:pPr>
      <w:r w:rsidRPr="00F94B7E">
        <w:rPr>
          <w:rFonts w:ascii="Times New Roman" w:eastAsia="Times New Roman" w:hAnsi="Times New Roman" w:cs="Times New Roman"/>
          <w:smallCaps/>
          <w:color w:val="000000" w:themeColor="text1"/>
          <w:lang w:eastAsia="en-US"/>
        </w:rPr>
        <w:t>Hiscock, Chase</w:t>
      </w:r>
      <w:r w:rsidRPr="750671CE">
        <w:rPr>
          <w:rFonts w:ascii="Times New Roman" w:eastAsia="Times New Roman" w:hAnsi="Times New Roman" w:cs="Times New Roman"/>
          <w:color w:val="000000" w:themeColor="text1"/>
          <w:lang w:eastAsia="en-US"/>
        </w:rPr>
        <w:t xml:space="preserve"> and </w:t>
      </w:r>
      <w:r w:rsidRPr="00F94B7E">
        <w:rPr>
          <w:rFonts w:ascii="Times New Roman" w:eastAsia="Times New Roman" w:hAnsi="Times New Roman" w:cs="Times New Roman"/>
          <w:smallCaps/>
          <w:color w:val="000000" w:themeColor="text1"/>
          <w:lang w:eastAsia="en-US"/>
        </w:rPr>
        <w:t>Cuddeback</w:t>
      </w:r>
      <w:r w:rsidRPr="750671CE">
        <w:rPr>
          <w:rFonts w:ascii="Times New Roman" w:eastAsia="Times New Roman" w:hAnsi="Times New Roman" w:cs="Times New Roman"/>
          <w:color w:val="000000" w:themeColor="text1"/>
          <w:lang w:eastAsia="en-US"/>
        </w:rPr>
        <w:t xml:space="preserve">, JJ., concur with </w:t>
      </w:r>
      <w:r w:rsidRPr="00F94B7E">
        <w:rPr>
          <w:rFonts w:ascii="Times New Roman" w:eastAsia="Times New Roman" w:hAnsi="Times New Roman" w:cs="Times New Roman"/>
          <w:smallCaps/>
          <w:color w:val="000000" w:themeColor="text1"/>
          <w:lang w:eastAsia="en-US"/>
        </w:rPr>
        <w:t>Cardozo, J.</w:t>
      </w:r>
      <w:r w:rsidRPr="750671CE">
        <w:rPr>
          <w:rFonts w:ascii="Times New Roman" w:eastAsia="Times New Roman" w:hAnsi="Times New Roman" w:cs="Times New Roman"/>
          <w:color w:val="000000" w:themeColor="text1"/>
          <w:lang w:eastAsia="en-US"/>
        </w:rPr>
        <w:t xml:space="preserve">, and </w:t>
      </w:r>
      <w:r w:rsidRPr="00F94B7E">
        <w:rPr>
          <w:rFonts w:ascii="Times New Roman" w:eastAsia="Times New Roman" w:hAnsi="Times New Roman" w:cs="Times New Roman"/>
          <w:smallCaps/>
          <w:color w:val="000000" w:themeColor="text1"/>
          <w:lang w:eastAsia="en-US"/>
        </w:rPr>
        <w:t>Hogan, J.</w:t>
      </w:r>
      <w:r w:rsidRPr="750671CE">
        <w:rPr>
          <w:rFonts w:ascii="Times New Roman" w:eastAsia="Times New Roman" w:hAnsi="Times New Roman" w:cs="Times New Roman"/>
          <w:color w:val="000000" w:themeColor="text1"/>
          <w:lang w:eastAsia="en-US"/>
        </w:rPr>
        <w:t xml:space="preserve">, concurs in result; </w:t>
      </w:r>
      <w:r w:rsidRPr="00F94B7E">
        <w:rPr>
          <w:rFonts w:ascii="Times New Roman" w:eastAsia="Times New Roman" w:hAnsi="Times New Roman" w:cs="Times New Roman"/>
          <w:smallCaps/>
          <w:color w:val="000000" w:themeColor="text1"/>
          <w:lang w:eastAsia="en-US"/>
        </w:rPr>
        <w:t>Willard Bartlett, C.J.</w:t>
      </w:r>
      <w:r w:rsidRPr="750671CE">
        <w:rPr>
          <w:rFonts w:ascii="Times New Roman" w:eastAsia="Times New Roman" w:hAnsi="Times New Roman" w:cs="Times New Roman"/>
          <w:color w:val="000000" w:themeColor="text1"/>
          <w:lang w:eastAsia="en-US"/>
        </w:rPr>
        <w:t xml:space="preserve">, reads dissenting opinion; </w:t>
      </w:r>
      <w:r w:rsidRPr="00F94B7E">
        <w:rPr>
          <w:rFonts w:ascii="Times New Roman" w:eastAsia="Times New Roman" w:hAnsi="Times New Roman" w:cs="Times New Roman"/>
          <w:smallCaps/>
          <w:color w:val="000000" w:themeColor="text1"/>
          <w:lang w:eastAsia="en-US"/>
        </w:rPr>
        <w:t>Pound, J.</w:t>
      </w:r>
      <w:r w:rsidRPr="750671CE">
        <w:rPr>
          <w:rFonts w:ascii="Times New Roman" w:eastAsia="Times New Roman" w:hAnsi="Times New Roman" w:cs="Times New Roman"/>
          <w:color w:val="000000" w:themeColor="text1"/>
          <w:lang w:eastAsia="en-US"/>
        </w:rPr>
        <w:t>, not voting</w:t>
      </w:r>
      <w:r w:rsidR="00082B05">
        <w:rPr>
          <w:rFonts w:ascii="Times New Roman" w:eastAsia="Times New Roman" w:hAnsi="Times New Roman" w:cs="Times New Roman"/>
          <w:color w:val="000000" w:themeColor="text1"/>
          <w:lang w:eastAsia="en-US"/>
        </w:rPr>
        <w:t>.</w:t>
      </w:r>
    </w:p>
    <w:p w14:paraId="1C0BA715" w14:textId="77777777" w:rsidR="00C85B70" w:rsidRDefault="00C85B70" w:rsidP="00B17A59">
      <w:pPr>
        <w:rPr>
          <w:rFonts w:ascii="Times New Roman" w:eastAsia="Times New Roman" w:hAnsi="Times New Roman" w:cs="Times New Roman"/>
          <w:lang w:eastAsia="en-US"/>
        </w:rPr>
      </w:pPr>
    </w:p>
    <w:p w14:paraId="0E907AF8" w14:textId="77777777" w:rsidR="00C67030" w:rsidRPr="00C85B70" w:rsidRDefault="00C67030" w:rsidP="00B17A59">
      <w:pPr>
        <w:rPr>
          <w:rFonts w:ascii="Times New Roman" w:eastAsia="Times New Roman" w:hAnsi="Times New Roman" w:cs="Times New Roman"/>
          <w:lang w:eastAsia="en-US"/>
        </w:rPr>
      </w:pPr>
    </w:p>
    <w:p w14:paraId="01C4B9A2" w14:textId="77777777" w:rsidR="00C85B70" w:rsidRPr="00C85B70" w:rsidRDefault="00C85B70" w:rsidP="00B17A59">
      <w:pPr>
        <w:rPr>
          <w:rFonts w:ascii="Times New Roman" w:eastAsia="Times New Roman" w:hAnsi="Times New Roman" w:cs="Times New Roman"/>
          <w:lang w:eastAsia="en-US"/>
        </w:rPr>
      </w:pPr>
    </w:p>
    <w:p w14:paraId="1A472B5C" w14:textId="77777777" w:rsidR="00C85B70" w:rsidRPr="00C85B70" w:rsidRDefault="00C85B70" w:rsidP="00910387">
      <w:pPr>
        <w:pStyle w:val="Heading5"/>
      </w:pPr>
      <w:bookmarkStart w:id="987" w:name="_Toc364636276"/>
      <w:bookmarkStart w:id="988" w:name="_Toc518323548"/>
      <w:r w:rsidRPr="00C85B70">
        <w:t>Notes</w:t>
      </w:r>
      <w:bookmarkEnd w:id="987"/>
      <w:bookmarkEnd w:id="988"/>
    </w:p>
    <w:p w14:paraId="37571C7F" w14:textId="77777777" w:rsidR="00C85B70" w:rsidRDefault="00C85B70" w:rsidP="00B17A59">
      <w:pPr>
        <w:rPr>
          <w:rFonts w:ascii="Times New Roman" w:eastAsia="Times New Roman" w:hAnsi="Times New Roman" w:cs="Times New Roman"/>
          <w:lang w:eastAsia="en-US"/>
        </w:rPr>
      </w:pPr>
    </w:p>
    <w:p w14:paraId="57CA28D3" w14:textId="77777777" w:rsidR="00C67030" w:rsidRDefault="00C67030" w:rsidP="00B17A59">
      <w:pPr>
        <w:rPr>
          <w:rFonts w:ascii="Times New Roman" w:eastAsia="Times New Roman" w:hAnsi="Times New Roman" w:cs="Times New Roman"/>
          <w:lang w:eastAsia="en-US"/>
        </w:rPr>
      </w:pPr>
    </w:p>
    <w:p w14:paraId="23ED1732" w14:textId="3319F910" w:rsidR="00C85B70" w:rsidRPr="00F94B7E" w:rsidRDefault="750671CE" w:rsidP="00F94B7E">
      <w:pPr>
        <w:pStyle w:val="ListParagraph"/>
        <w:numPr>
          <w:ilvl w:val="0"/>
          <w:numId w:val="4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dawn of the automobile</w:t>
      </w:r>
      <w:r w:rsidRPr="00F94B7E">
        <w:rPr>
          <w:rFonts w:ascii="Times New Roman" w:eastAsia="Times New Roman" w:hAnsi="Times New Roman" w:cs="Times New Roman"/>
          <w:lang w:eastAsia="en-US"/>
        </w:rPr>
        <w:t xml:space="preserve">.  So many of the founding moments in tort law arise out of the railroad.  In </w:t>
      </w:r>
      <w:r w:rsidRPr="00F94B7E">
        <w:rPr>
          <w:rFonts w:ascii="Times New Roman" w:eastAsia="Times New Roman" w:hAnsi="Times New Roman" w:cs="Times New Roman"/>
          <w:i/>
          <w:iCs/>
          <w:lang w:eastAsia="en-US"/>
        </w:rPr>
        <w:t>MacPherson</w:t>
      </w:r>
      <w:r w:rsidR="001D4DDD">
        <w:rPr>
          <w:rFonts w:ascii="Times New Roman" w:eastAsia="Times New Roman" w:hAnsi="Times New Roman" w:cs="Times New Roman"/>
          <w:iCs/>
          <w:lang w:eastAsia="en-US"/>
        </w:rPr>
        <w:t>,</w:t>
      </w:r>
      <w:r w:rsidRPr="00F94B7E">
        <w:rPr>
          <w:rFonts w:ascii="Times New Roman" w:eastAsia="Times New Roman" w:hAnsi="Times New Roman" w:cs="Times New Roman"/>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C85B70" w:rsidRDefault="00C85B70" w:rsidP="00B17A59">
      <w:pPr>
        <w:rPr>
          <w:rFonts w:ascii="Times New Roman" w:eastAsia="Times New Roman" w:hAnsi="Times New Roman" w:cs="Times New Roman"/>
          <w:lang w:eastAsia="en-US"/>
        </w:rPr>
      </w:pPr>
    </w:p>
    <w:p w14:paraId="0F725A6D" w14:textId="77777777" w:rsidR="00C85B70" w:rsidRPr="00C85B70" w:rsidRDefault="00C85B70" w:rsidP="00B17A59">
      <w:pPr>
        <w:rPr>
          <w:rFonts w:ascii="Times New Roman" w:eastAsia="Times New Roman" w:hAnsi="Times New Roman" w:cs="Times New Roman"/>
          <w:lang w:eastAsia="en-US"/>
        </w:rPr>
      </w:pPr>
      <w:r w:rsidRPr="00C85B70">
        <w:rPr>
          <w:rFonts w:ascii="Times New Roman" w:eastAsia="Times New Roman" w:hAnsi="Times New Roman" w:cs="Times New Roman"/>
          <w:noProof/>
          <w:lang w:eastAsia="en-US"/>
        </w:rPr>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C85B70" w:rsidRDefault="750671CE" w:rsidP="750671CE">
      <w:pPr>
        <w:rPr>
          <w:rFonts w:ascii="Times New Roman" w:eastAsia="Times New Roman" w:hAnsi="Times New Roman" w:cs="Times New Roman"/>
          <w:i/>
          <w:iCs/>
          <w:sz w:val="20"/>
          <w:szCs w:val="20"/>
          <w:lang w:eastAsia="en-US"/>
        </w:rPr>
      </w:pPr>
      <w:r w:rsidRPr="750671CE">
        <w:rPr>
          <w:rFonts w:ascii="Times New Roman" w:eastAsia="Times New Roman" w:hAnsi="Times New Roman" w:cs="Times New Roman"/>
          <w:i/>
          <w:iCs/>
          <w:sz w:val="20"/>
          <w:szCs w:val="20"/>
          <w:lang w:eastAsia="en-US"/>
        </w:rPr>
        <w:t>Source: Library of Congress, Prints and Photographs Division</w:t>
      </w:r>
    </w:p>
    <w:p w14:paraId="672ED8A8" w14:textId="77777777" w:rsidR="00C85B70" w:rsidRPr="00C85B70" w:rsidRDefault="00C85B70" w:rsidP="00B17A59">
      <w:pPr>
        <w:rPr>
          <w:rFonts w:ascii="Times New Roman" w:eastAsia="Times New Roman" w:hAnsi="Times New Roman" w:cs="Times New Roman"/>
          <w:lang w:eastAsia="en-US"/>
        </w:rPr>
      </w:pPr>
    </w:p>
    <w:p w14:paraId="6077E7C8" w14:textId="06749C14" w:rsidR="00C85B70" w:rsidRDefault="750671CE" w:rsidP="00C85B70">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As the caption to the image suggests, reliability was much discussed in the early days of the automobile.  </w:t>
      </w:r>
    </w:p>
    <w:p w14:paraId="30021A95" w14:textId="77777777" w:rsidR="00C67030" w:rsidRDefault="00C67030" w:rsidP="00C85B70">
      <w:pPr>
        <w:rPr>
          <w:rFonts w:ascii="Times New Roman" w:eastAsia="Times New Roman" w:hAnsi="Times New Roman" w:cs="Times New Roman"/>
          <w:lang w:eastAsia="en-US"/>
        </w:rPr>
      </w:pPr>
    </w:p>
    <w:p w14:paraId="5BC28824" w14:textId="77777777" w:rsidR="00C67030" w:rsidRPr="00C85B70" w:rsidRDefault="00C67030" w:rsidP="00C85B70">
      <w:pPr>
        <w:rPr>
          <w:rFonts w:ascii="Times New Roman" w:eastAsia="Times New Roman" w:hAnsi="Times New Roman" w:cs="Times New Roman"/>
          <w:lang w:eastAsia="en-US"/>
        </w:rPr>
      </w:pPr>
    </w:p>
    <w:p w14:paraId="7303D638" w14:textId="2375785B" w:rsidR="00C85B70" w:rsidRPr="00F94B7E" w:rsidRDefault="750671CE" w:rsidP="00F94B7E">
      <w:pPr>
        <w:pStyle w:val="ListParagraph"/>
        <w:numPr>
          <w:ilvl w:val="0"/>
          <w:numId w:val="4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How radical is MacPherson</w:t>
      </w:r>
      <w:r w:rsidRPr="00F94B7E">
        <w:rPr>
          <w:rFonts w:ascii="Times New Roman" w:eastAsia="Times New Roman" w:hAnsi="Times New Roman" w:cs="Times New Roman"/>
          <w:lang w:eastAsia="en-US"/>
        </w:rPr>
        <w:t xml:space="preserve">? One view of the </w:t>
      </w:r>
      <w:r w:rsidRPr="00F94B7E">
        <w:rPr>
          <w:rFonts w:ascii="Times New Roman" w:eastAsia="Times New Roman" w:hAnsi="Times New Roman" w:cs="Times New Roman"/>
          <w:i/>
          <w:iCs/>
          <w:lang w:eastAsia="en-US"/>
        </w:rPr>
        <w:t>MacPherson</w:t>
      </w:r>
      <w:r w:rsidRPr="00F94B7E">
        <w:rPr>
          <w:rFonts w:ascii="Times New Roman" w:eastAsia="Times New Roman" w:hAnsi="Times New Roman" w:cs="Times New Roman"/>
          <w:lang w:eastAsia="en-US"/>
        </w:rPr>
        <w:t xml:space="preserve"> case is that it utterly rejects the old privity rule of </w:t>
      </w:r>
      <w:r w:rsidRPr="00F94B7E">
        <w:rPr>
          <w:rFonts w:ascii="Times New Roman" w:eastAsia="Times New Roman" w:hAnsi="Times New Roman" w:cs="Times New Roman"/>
          <w:i/>
          <w:iCs/>
          <w:lang w:eastAsia="en-US"/>
        </w:rPr>
        <w:t>Winterbottom</w:t>
      </w:r>
      <w:r w:rsidRPr="00F94B7E">
        <w:rPr>
          <w:rFonts w:ascii="Times New Roman" w:eastAsia="Times New Roman" w:hAnsi="Times New Roman" w:cs="Times New Roman"/>
          <w:lang w:eastAsia="en-US"/>
        </w:rPr>
        <w:t xml:space="preserve">.  After the exceptions of </w:t>
      </w:r>
      <w:r w:rsidRPr="00F94B7E">
        <w:rPr>
          <w:rFonts w:ascii="Times New Roman" w:eastAsia="Times New Roman" w:hAnsi="Times New Roman" w:cs="Times New Roman"/>
          <w:i/>
          <w:iCs/>
          <w:lang w:eastAsia="en-US"/>
        </w:rPr>
        <w:t>Devlin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Statler</w:t>
      </w:r>
      <w:r w:rsidRPr="00F94B7E">
        <w:rPr>
          <w:rFonts w:ascii="Times New Roman" w:eastAsia="Times New Roman" w:hAnsi="Times New Roman" w:cs="Times New Roman"/>
          <w:lang w:eastAsia="en-US"/>
        </w:rPr>
        <w:t xml:space="preserve">, Cardozo seems to say, the old privity rule has given way to the kind of reasonable foreseeability test we saw in </w:t>
      </w:r>
      <w:r w:rsidR="00082B05">
        <w:rPr>
          <w:rFonts w:ascii="Times New Roman" w:eastAsia="Times New Roman" w:hAnsi="Times New Roman" w:cs="Times New Roman"/>
          <w:lang w:eastAsia="en-US"/>
        </w:rPr>
        <w:t>C</w:t>
      </w:r>
      <w:r w:rsidRPr="00F94B7E">
        <w:rPr>
          <w:rFonts w:ascii="Times New Roman" w:eastAsia="Times New Roman" w:hAnsi="Times New Roman" w:cs="Times New Roman"/>
          <w:lang w:eastAsia="en-US"/>
        </w:rPr>
        <w:t xml:space="preserve">hapter 8 in cases like </w:t>
      </w:r>
      <w:r w:rsidRPr="00F94B7E">
        <w:rPr>
          <w:rFonts w:ascii="Times New Roman" w:eastAsia="Times New Roman" w:hAnsi="Times New Roman" w:cs="Times New Roman"/>
          <w:i/>
          <w:iCs/>
          <w:lang w:eastAsia="en-US"/>
        </w:rPr>
        <w:t>Rowland v. Christian</w:t>
      </w:r>
      <w:r w:rsidRPr="00F94B7E">
        <w:rPr>
          <w:rFonts w:ascii="Times New Roman" w:eastAsia="Times New Roman" w:hAnsi="Times New Roman" w:cs="Times New Roman"/>
          <w:lang w:eastAsia="en-US"/>
        </w:rPr>
        <w:t>, 443</w:t>
      </w:r>
      <w:r w:rsidRPr="00F94B7E">
        <w:rPr>
          <w:rFonts w:ascii="Times New Roman" w:eastAsia="Times New Roman" w:hAnsi="Times New Roman" w:cs="Times New Roman"/>
          <w:iCs/>
          <w:lang w:eastAsia="en-US"/>
        </w:rPr>
        <w:t xml:space="preserve"> P.2d</w:t>
      </w:r>
      <w:r w:rsidRPr="00F94B7E">
        <w:rPr>
          <w:rFonts w:ascii="Times New Roman" w:eastAsia="Times New Roman" w:hAnsi="Times New Roman" w:cs="Times New Roman"/>
          <w:lang w:eastAsia="en-US"/>
        </w:rPr>
        <w:t xml:space="preserve"> 561 (Cal. 1968) (replacing the common law rules for trespassers, licensees, and invitees in landowner and occupier liability with a reasonable foreseeability standard) and </w:t>
      </w:r>
      <w:r w:rsidRPr="00F94B7E">
        <w:rPr>
          <w:rFonts w:ascii="Times New Roman" w:eastAsia="Times New Roman" w:hAnsi="Times New Roman" w:cs="Times New Roman"/>
          <w:i/>
          <w:iCs/>
          <w:lang w:eastAsia="en-US"/>
        </w:rPr>
        <w:t>Dillon v. Legg</w:t>
      </w:r>
      <w:r w:rsidRPr="00F94B7E">
        <w:rPr>
          <w:rFonts w:ascii="Times New Roman" w:eastAsia="Times New Roman" w:hAnsi="Times New Roman" w:cs="Times New Roman"/>
          <w:lang w:eastAsia="en-US"/>
        </w:rPr>
        <w:t xml:space="preserve">, 441 P.2d 912 (Cal. 1968) (replacing the common law bar on actions for the infliction of negligent emotional distress with a reasonable foreseeability standard). </w:t>
      </w:r>
    </w:p>
    <w:p w14:paraId="753E1821" w14:textId="77777777" w:rsidR="00C85B70" w:rsidRPr="00C85B70" w:rsidRDefault="00C85B70" w:rsidP="00C85B70">
      <w:pPr>
        <w:rPr>
          <w:rFonts w:ascii="Times New Roman" w:eastAsia="Times New Roman" w:hAnsi="Times New Roman" w:cs="Times New Roman"/>
          <w:lang w:eastAsia="en-US"/>
        </w:rPr>
      </w:pPr>
    </w:p>
    <w:p w14:paraId="6A309881" w14:textId="14A56415"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But other observers contend that Cardozo</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opinion does not substitute what Holmes called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 featureless generality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of the reasonableness standard for the old crystal clarity of the privity rule.  In this latter view, the </w:t>
      </w:r>
      <w:r w:rsidRPr="750671CE">
        <w:rPr>
          <w:rFonts w:ascii="Times New Roman" w:eastAsia="Times New Roman" w:hAnsi="Times New Roman" w:cs="Times New Roman"/>
          <w:i/>
          <w:iCs/>
          <w:lang w:eastAsia="en-US"/>
        </w:rPr>
        <w:t>MacPherson</w:t>
      </w:r>
      <w:r w:rsidRPr="00C85B70">
        <w:rPr>
          <w:rFonts w:ascii="Times New Roman" w:eastAsia="Times New Roman" w:hAnsi="Times New Roman" w:cs="Times New Roman"/>
          <w:lang w:eastAsia="en-US"/>
        </w:rPr>
        <w:t xml:space="preserve"> case aims to craft a new approach to the duty of the product manufacturer, one that does not abandon </w:t>
      </w:r>
      <w:r w:rsidRPr="00F94B7E">
        <w:rPr>
          <w:rFonts w:ascii="Times New Roman" w:eastAsia="Times New Roman" w:hAnsi="Times New Roman" w:cs="Times New Roman"/>
          <w:i/>
          <w:lang w:eastAsia="en-US"/>
        </w:rPr>
        <w:t>Winterbottom</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effort to be attentive to the specific moral obligations arising out of the particular kind of relationship at issue in products cases:</w:t>
      </w:r>
    </w:p>
    <w:p w14:paraId="65578A11" w14:textId="77777777" w:rsidR="00C85B70" w:rsidRPr="00C85B70" w:rsidRDefault="00C85B70" w:rsidP="00C85B70">
      <w:pPr>
        <w:rPr>
          <w:rFonts w:ascii="Times New Roman" w:eastAsia="Times New Roman" w:hAnsi="Times New Roman" w:cs="Times New Roman"/>
          <w:lang w:eastAsia="en-US"/>
        </w:rPr>
      </w:pPr>
    </w:p>
    <w:p w14:paraId="6A589C05" w14:textId="6C970B01"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For Cardozo . . . the resolution . . . turned on the duty issue </w:t>
      </w:r>
      <w:r w:rsidR="001D4DDD">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[that] itself had meaning for him apart from the question of liability. Moreover, its meaning did not concern whether a manufacturer does, or should, have a duty to </w:t>
      </w:r>
      <w:r w:rsidRPr="750671CE">
        <w:rPr>
          <w:rFonts w:ascii="Times New Roman" w:eastAsia="Times New Roman" w:hAnsi="Times New Roman" w:cs="Times New Roman"/>
          <w:i/>
          <w:iCs/>
          <w:lang w:eastAsia="en-US"/>
        </w:rPr>
        <w:t>compensate</w:t>
      </w:r>
      <w:r w:rsidRPr="750671CE">
        <w:rPr>
          <w:rFonts w:ascii="Times New Roman" w:eastAsia="Times New Roman" w:hAnsi="Times New Roman" w:cs="Times New Roman"/>
          <w:lang w:eastAsia="en-US"/>
        </w:rPr>
        <w:t xml:space="preserve"> such a plaintiff. The questions, according to the court, were whether Buick had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duty of vigilance,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whether it bore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obligation to inspect,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how great was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need of caution,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how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strict[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was the duty to which Buick had to conform its conduct.</w:t>
      </w:r>
    </w:p>
    <w:p w14:paraId="64665098" w14:textId="77777777" w:rsidR="00C85B70" w:rsidRPr="00C85B70" w:rsidRDefault="00C85B70" w:rsidP="00C85B70">
      <w:pPr>
        <w:rPr>
          <w:rFonts w:ascii="Times New Roman" w:eastAsia="Times New Roman" w:hAnsi="Times New Roman" w:cs="Times New Roman"/>
          <w:lang w:eastAsia="en-US"/>
        </w:rPr>
      </w:pPr>
    </w:p>
    <w:p w14:paraId="442EBCD2"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John C. P. Goldberg &amp; Benjamin C. Zipursky, </w:t>
      </w:r>
      <w:r w:rsidRPr="750671CE">
        <w:rPr>
          <w:rFonts w:ascii="Times New Roman" w:eastAsia="Times New Roman" w:hAnsi="Times New Roman" w:cs="Times New Roman"/>
          <w:i/>
          <w:iCs/>
          <w:lang w:eastAsia="en-US"/>
        </w:rPr>
        <w:t>The Moral of</w:t>
      </w:r>
      <w:r w:rsidRPr="750671CE">
        <w:rPr>
          <w:rFonts w:ascii="Times New Roman" w:eastAsia="Times New Roman" w:hAnsi="Times New Roman" w:cs="Times New Roman"/>
          <w:lang w:eastAsia="en-US"/>
        </w:rPr>
        <w:t xml:space="preserve"> MacPherson, 146 </w:t>
      </w:r>
      <w:r w:rsidRPr="750671CE">
        <w:rPr>
          <w:rFonts w:ascii="Times New Roman" w:eastAsia="Times New Roman" w:hAnsi="Times New Roman" w:cs="Times New Roman"/>
          <w:smallCaps/>
          <w:lang w:eastAsia="en-US"/>
        </w:rPr>
        <w:t>U. Pa. L. Rev.</w:t>
      </w:r>
      <w:r w:rsidRPr="750671CE">
        <w:rPr>
          <w:rFonts w:ascii="Times New Roman" w:eastAsia="Times New Roman" w:hAnsi="Times New Roman" w:cs="Times New Roman"/>
          <w:lang w:eastAsia="en-US"/>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D95957C" w14:textId="2C8E9CD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Many, however, argued that neither of these interpretations of Cardozo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opinion in </w:t>
      </w:r>
      <w:r w:rsidRPr="750671CE">
        <w:rPr>
          <w:rFonts w:ascii="Times New Roman" w:eastAsia="Times New Roman" w:hAnsi="Times New Roman" w:cs="Times New Roman"/>
          <w:i/>
          <w:iCs/>
          <w:lang w:eastAsia="en-US"/>
        </w:rPr>
        <w:t>MacPherson</w:t>
      </w:r>
      <w:r w:rsidRPr="750671CE">
        <w:rPr>
          <w:rFonts w:ascii="Times New Roman" w:eastAsia="Times New Roman" w:hAnsi="Times New Roman" w:cs="Times New Roman"/>
          <w:lang w:eastAsia="en-US"/>
        </w:rPr>
        <w:t xml:space="preserve"> went far enough.  What was the basis for incursions on the </w:t>
      </w:r>
      <w:r w:rsidRPr="750671CE">
        <w:rPr>
          <w:rFonts w:ascii="Times New Roman" w:eastAsia="Times New Roman" w:hAnsi="Times New Roman" w:cs="Times New Roman"/>
          <w:i/>
          <w:iCs/>
          <w:lang w:eastAsia="en-US"/>
        </w:rPr>
        <w:t>Winterbottom</w:t>
      </w:r>
      <w:r w:rsidRPr="750671CE">
        <w:rPr>
          <w:rFonts w:ascii="Times New Roman" w:eastAsia="Times New Roman" w:hAnsi="Times New Roman" w:cs="Times New Roman"/>
          <w:lang w:eastAsia="en-US"/>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negligence or fault?  A California Supreme Court decision in 1944 extending the res ipsa loquitor doctrine in the products area seemed to embrace this policy intuition.  And one justice, in his concurring opinion, took the idea a step further:</w:t>
      </w:r>
    </w:p>
    <w:p w14:paraId="35B3F9E1" w14:textId="77777777" w:rsidR="00C85B70" w:rsidRPr="00C85B70" w:rsidRDefault="00C85B70" w:rsidP="00C85B70">
      <w:pPr>
        <w:rPr>
          <w:rFonts w:ascii="Times New Roman" w:eastAsia="Times New Roman" w:hAnsi="Times New Roman" w:cs="Times New Roman"/>
          <w:lang w:eastAsia="en-US"/>
        </w:rPr>
      </w:pPr>
    </w:p>
    <w:p w14:paraId="5485EC34" w14:textId="77777777" w:rsidR="00C85B70" w:rsidRPr="00C85B70" w:rsidRDefault="00C85B70" w:rsidP="00C85B70">
      <w:pPr>
        <w:rPr>
          <w:rFonts w:ascii="Times New Roman" w:eastAsia="Times New Roman" w:hAnsi="Times New Roman" w:cs="Times New Roman"/>
          <w:lang w:eastAsia="en-US"/>
        </w:rPr>
      </w:pPr>
    </w:p>
    <w:p w14:paraId="51856190" w14:textId="6BCAB0CE" w:rsidR="00C85B70" w:rsidRPr="00C85B70" w:rsidRDefault="00C85B70" w:rsidP="750671CE">
      <w:pPr>
        <w:widowControl w:val="0"/>
        <w:autoSpaceDE w:val="0"/>
        <w:autoSpaceDN w:val="0"/>
        <w:adjustRightInd w:val="0"/>
        <w:jc w:val="both"/>
        <w:rPr>
          <w:rFonts w:ascii="Times New Roman" w:eastAsia="Times New Roman" w:hAnsi="Times New Roman" w:cs="Times New Roman"/>
          <w:b/>
          <w:bCs/>
          <w:color w:val="000000" w:themeColor="text1"/>
          <w:lang w:eastAsia="en-US"/>
        </w:rPr>
      </w:pPr>
      <w:bookmarkStart w:id="989" w:name="_Toc518323549"/>
      <w:r w:rsidRPr="0050178C">
        <w:rPr>
          <w:rStyle w:val="Heading4Char"/>
        </w:rPr>
        <w:t>Escola v. Coca Cola Bottling Co. of Fresno</w:t>
      </w:r>
      <w:bookmarkEnd w:id="989"/>
      <w:r w:rsidR="00B17A59" w:rsidRPr="750671CE">
        <w:rPr>
          <w:rFonts w:ascii="Times New Roman" w:eastAsia="Times New Roman" w:hAnsi="Times New Roman" w:cs="Times New Roman"/>
          <w:b/>
          <w:bCs/>
          <w:color w:val="000000"/>
          <w:lang w:eastAsia="en-US"/>
        </w:rPr>
        <w:t xml:space="preserve">, </w:t>
      </w:r>
      <w:r w:rsidRPr="750671CE">
        <w:rPr>
          <w:rFonts w:ascii="Times New Roman" w:eastAsia="Times New Roman" w:hAnsi="Times New Roman" w:cs="Times New Roman"/>
          <w:b/>
          <w:bCs/>
          <w:color w:val="000000"/>
          <w:lang w:eastAsia="en-US"/>
        </w:rPr>
        <w:t xml:space="preserve">24 Cal. 2d </w:t>
      </w:r>
      <w:r w:rsidR="00717E65">
        <w:rPr>
          <w:rFonts w:ascii="Times New Roman" w:eastAsia="Times New Roman" w:hAnsi="Times New Roman" w:cs="Times New Roman"/>
          <w:b/>
          <w:bCs/>
          <w:color w:val="000000"/>
          <w:lang w:eastAsia="en-US"/>
        </w:rPr>
        <w:t>4</w:t>
      </w:r>
      <w:r w:rsidRPr="750671CE">
        <w:rPr>
          <w:rFonts w:ascii="Times New Roman" w:eastAsia="Times New Roman" w:hAnsi="Times New Roman" w:cs="Times New Roman"/>
          <w:b/>
          <w:bCs/>
          <w:color w:val="000000"/>
          <w:lang w:eastAsia="en-US"/>
        </w:rPr>
        <w:t>53 (1944)</w:t>
      </w:r>
    </w:p>
    <w:p w14:paraId="04FCB51F" w14:textId="5C2D2A0A" w:rsidR="00C85B70" w:rsidRPr="00C85B70" w:rsidRDefault="00C85B70" w:rsidP="750671CE">
      <w:pPr>
        <w:widowControl w:val="0"/>
        <w:autoSpaceDE w:val="0"/>
        <w:autoSpaceDN w:val="0"/>
        <w:adjustRightInd w:val="0"/>
        <w:spacing w:before="200" w:after="200"/>
        <w:jc w:val="both"/>
        <w:rPr>
          <w:rFonts w:ascii="Times New Roman" w:eastAsia="Times New Roman" w:hAnsi="Times New Roman" w:cs="Times New Roman"/>
          <w:color w:val="000000" w:themeColor="text1"/>
          <w:lang w:eastAsia="en-US"/>
        </w:rPr>
      </w:pPr>
      <w:r w:rsidRPr="00850CF9">
        <w:rPr>
          <w:rFonts w:ascii="Times New Roman" w:eastAsia="Times New Roman" w:hAnsi="Times New Roman" w:cs="Times New Roman"/>
          <w:smallCaps/>
          <w:color w:val="000000"/>
          <w:lang w:eastAsia="en-US"/>
        </w:rPr>
        <w:t>G</w:t>
      </w:r>
      <w:r w:rsidR="00850CF9">
        <w:rPr>
          <w:rFonts w:ascii="Times New Roman" w:eastAsia="Times New Roman" w:hAnsi="Times New Roman" w:cs="Times New Roman"/>
          <w:smallCaps/>
          <w:color w:val="000000"/>
          <w:lang w:eastAsia="en-US"/>
        </w:rPr>
        <w:t>ibson</w:t>
      </w:r>
      <w:r w:rsidRPr="00C85B70">
        <w:rPr>
          <w:rFonts w:ascii="Times New Roman" w:eastAsia="Times New Roman" w:hAnsi="Times New Roman" w:cs="Times New Roman"/>
          <w:color w:val="000000"/>
          <w:lang w:eastAsia="en-US"/>
        </w:rPr>
        <w:t>, C</w:t>
      </w:r>
      <w:r w:rsidR="0068562F">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J.</w:t>
      </w:r>
      <w:bookmarkStart w:id="990" w:name="co_anchor_Id77ad6725ce611e08b05fdf15589d"/>
      <w:bookmarkEnd w:id="990"/>
    </w:p>
    <w:p w14:paraId="6DBD17A3"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Plaintiff, a waitress in a restaurant, was injured when a bottle of Coca Cola broke in her hand. . . . This appeal is from a judgment upon a jury verdict in favor of plaintiff.</w:t>
      </w:r>
    </w:p>
    <w:p w14:paraId="0A40BCF5" w14:textId="68E0B1ED"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Defendant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it exploded in my hand.</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The bottle broke into two jagged pieces and inflicted a deep five-inch cut, severing blood vessels, nerves and muscles of the thumb and palm of the hand.</w:t>
      </w:r>
    </w:p>
    <w:p w14:paraId="709DB67A"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res ipsa loquitur. . . .</w:t>
      </w:r>
    </w:p>
    <w:p w14:paraId="6D6E5E5A"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E26A299" w14:textId="7777777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76F179C4" w14:textId="7777777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28D94353"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1F88904"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judgment is affirmed.</w:t>
      </w:r>
    </w:p>
    <w:p w14:paraId="26AD2B55" w14:textId="22758F6B"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smallCaps/>
          <w:color w:val="000000" w:themeColor="text1"/>
          <w:lang w:eastAsia="en-US"/>
        </w:rPr>
        <w:t>T</w:t>
      </w:r>
      <w:r w:rsidR="0068562F" w:rsidRPr="00F94B7E">
        <w:rPr>
          <w:rFonts w:ascii="Times New Roman" w:eastAsia="Times New Roman" w:hAnsi="Times New Roman" w:cs="Times New Roman"/>
          <w:smallCaps/>
          <w:color w:val="000000" w:themeColor="text1"/>
          <w:lang w:eastAsia="en-US"/>
        </w:rPr>
        <w:t>raynor</w:t>
      </w:r>
      <w:r w:rsidRPr="750671CE">
        <w:rPr>
          <w:rFonts w:ascii="Times New Roman" w:eastAsia="Times New Roman" w:hAnsi="Times New Roman" w:cs="Times New Roman"/>
          <w:color w:val="000000" w:themeColor="text1"/>
          <w:lang w:eastAsia="en-US"/>
        </w:rPr>
        <w:t>, J.</w:t>
      </w:r>
    </w:p>
    <w:p w14:paraId="5C641D4A" w14:textId="77777777" w:rsidR="00C85B70" w:rsidRPr="00C85B70" w:rsidRDefault="00C85B70" w:rsidP="00B17A59">
      <w:pPr>
        <w:widowControl w:val="0"/>
        <w:autoSpaceDE w:val="0"/>
        <w:autoSpaceDN w:val="0"/>
        <w:adjustRightInd w:val="0"/>
        <w:rPr>
          <w:rFonts w:ascii="Times New Roman" w:eastAsia="Times New Roman" w:hAnsi="Times New Roman" w:cs="Times New Roman"/>
          <w:color w:val="000000"/>
          <w:lang w:eastAsia="en-US"/>
        </w:rPr>
      </w:pPr>
      <w:bookmarkStart w:id="991" w:name="co_anchor_Id77ad6785ce611e08b05fdf15589d"/>
      <w:bookmarkEnd w:id="991"/>
    </w:p>
    <w:p w14:paraId="07C48FAE" w14:textId="71A5AF69"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I concur in the judgment, but I believe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negligence should no longer be singled out as the basis of a plaintiff</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750671CE">
        <w:rPr>
          <w:rFonts w:ascii="Times New Roman" w:eastAsia="Times New Roman" w:hAnsi="Times New Roman" w:cs="Times New Roman"/>
          <w:i/>
          <w:iCs/>
          <w:color w:val="000000"/>
          <w:lang w:eastAsia="en-US"/>
        </w:rPr>
        <w:t>MacPherson v. Buick</w:t>
      </w:r>
      <w:r w:rsidRPr="00C85B70">
        <w:rPr>
          <w:rFonts w:ascii="Times New Roman" w:eastAsia="Times New Roman" w:hAnsi="Times New Roman" w:cs="Times New Roman"/>
          <w:color w:val="000000"/>
          <w:lang w:eastAsia="en-US"/>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992" w:name="co_pp_sp_661_441_1"/>
      <w:bookmarkEnd w:id="992"/>
      <w:r w:rsidRPr="00C85B70">
        <w:rPr>
          <w:rFonts w:ascii="Times New Roman" w:eastAsia="Times New Roman" w:hAnsi="Times New Roman" w:cs="Times New Roman"/>
          <w:color w:val="000000"/>
          <w:lang w:eastAsia="en-US"/>
        </w:rPr>
        <w:t>some hazards and guard against the recurrence of others, as the public cannot. Those who suffer injury from defective products are unprepared to meet its consequences. 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9AD693F"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res ipsa loquitur cannot be classified as negligence of the manufacturer. The inference of negligence may be dispelled by an affirmative showing of proper care. If the evidence against the fact inferred is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clear, positive, uncontradicted, and of such a nature that it can not rationally be disbelieved, the court must instruct the jury that the nonexistence of the fact has been established as a matter of law.</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 . . .</w:t>
      </w:r>
    </w:p>
    <w:p w14:paraId="2193E618" w14:textId="45353D37"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The retailer, even though not equipped to test a product, is under an absolute liability to his customer, for the implied warranties of fitness for proposed use and merchantable quality include a warranty of </w:t>
      </w:r>
      <w:bookmarkStart w:id="993" w:name="co_pp_sp_661_442_1"/>
      <w:bookmarkEnd w:id="993"/>
      <w:r w:rsidRPr="00C85B70">
        <w:rPr>
          <w:rFonts w:ascii="Times New Roman" w:eastAsia="Times New Roman" w:hAnsi="Times New Roman" w:cs="Times New Roman"/>
          <w:color w:val="000000"/>
          <w:lang w:eastAsia="en-US"/>
        </w:rPr>
        <w:t>safety of the product. This warranty is not necessarily a contractual one, for public policy requires that the buyer be insured at the seller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expense against injury. . . . The courts recognize, however, that the retailer cannot bear the burden of this warranty, and allow him to recoup any losses by means of the warranty of safety attending the wholesaler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or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sale to him. . . . Such a procedure, however, is needlessly circuitous and engenders wasteful litigation. Much would be gained if the injured person could base his action directly on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warranty.</w:t>
      </w:r>
    </w:p>
    <w:p w14:paraId="41EEEFA0"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Default="00E87A1E">
      <w:pPr>
        <w:rPr>
          <w:rFonts w:ascii="Times New Roman" w:eastAsia="Times New Roman" w:hAnsi="Times New Roman" w:cs="Times New Roman"/>
          <w:color w:val="000000"/>
          <w:lang w:eastAsia="en-US"/>
        </w:rPr>
      </w:pPr>
    </w:p>
    <w:p w14:paraId="066B9CDA" w14:textId="3C37DCE6" w:rsidR="00C85B70" w:rsidRPr="00C85B70" w:rsidRDefault="00C85B70" w:rsidP="00F94B7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obligation to the consumer must keep pace with the changing relationship between them; it cannot be escaped because the marketing of a product has become so complicated as to require one or more </w:t>
      </w:r>
      <w:bookmarkStart w:id="994" w:name="co_pp_sp_231_468_1"/>
      <w:bookmarkEnd w:id="994"/>
      <w:r w:rsidRPr="00C85B70">
        <w:rPr>
          <w:rFonts w:ascii="Times New Roman" w:eastAsia="Times New Roman" w:hAnsi="Times New Roman" w:cs="Times New Roman"/>
          <w:color w:val="000000"/>
          <w:lang w:eastAsia="en-US"/>
        </w:rPr>
        <w:t xml:space="preserve">intermediaries. Certainly there is greater reason to impose liability on the </w:t>
      </w:r>
      <w:bookmarkStart w:id="995" w:name="co_pp_sp_661_444_1"/>
      <w:bookmarkEnd w:id="995"/>
      <w:r w:rsidRPr="00C85B70">
        <w:rPr>
          <w:rFonts w:ascii="Times New Roman" w:eastAsia="Times New Roman" w:hAnsi="Times New Roman" w:cs="Times New Roman"/>
          <w:color w:val="000000"/>
          <w:lang w:eastAsia="en-US"/>
        </w:rPr>
        <w:t xml:space="preserve">manufacturer than on the retailer who is but a conduit of a product that he is not himself able to test. </w:t>
      </w:r>
    </w:p>
    <w:p w14:paraId="696D14DC" w14:textId="2B66342F"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liability should, of course, be defined in terms of the safety of the product in normal and proper use, and should not extend to injuries that cannot be traced to the product as it reached the market.</w:t>
      </w:r>
    </w:p>
    <w:p w14:paraId="18C62892" w14:textId="77777777" w:rsidR="00C85B70" w:rsidRPr="00C85B70" w:rsidRDefault="00C85B70" w:rsidP="00B17A59">
      <w:pPr>
        <w:widowControl w:val="0"/>
        <w:autoSpaceDE w:val="0"/>
        <w:autoSpaceDN w:val="0"/>
        <w:adjustRightInd w:val="0"/>
        <w:spacing w:before="200"/>
        <w:rPr>
          <w:rFonts w:ascii="Times New Roman" w:eastAsia="Times New Roman" w:hAnsi="Times New Roman" w:cs="Times New Roman"/>
          <w:color w:val="000000"/>
          <w:lang w:eastAsia="en-US"/>
        </w:rPr>
      </w:pPr>
    </w:p>
    <w:p w14:paraId="31F36C89" w14:textId="0E20119C" w:rsidR="00C85B70" w:rsidRPr="00C85B70" w:rsidRDefault="750671CE" w:rsidP="00B17A59">
      <w:pPr>
        <w:rPr>
          <w:rFonts w:ascii="Times New Roman" w:eastAsia="Times New Roman" w:hAnsi="Times New Roman" w:cs="Times New Roman"/>
          <w:lang w:eastAsia="en-US"/>
        </w:rPr>
      </w:pPr>
      <w:r w:rsidRPr="750671CE">
        <w:rPr>
          <w:rFonts w:ascii="Times New Roman" w:eastAsia="Times New Roman" w:hAnsi="Times New Roman" w:cs="Times New Roman"/>
          <w:color w:val="000000" w:themeColor="text1"/>
          <w:lang w:eastAsia="en-US"/>
        </w:rPr>
        <w:t xml:space="preserve">Rehearing denied; </w:t>
      </w:r>
      <w:r w:rsidR="0068562F" w:rsidRPr="00F94B7E">
        <w:rPr>
          <w:rFonts w:ascii="Times New Roman" w:eastAsia="Times New Roman" w:hAnsi="Times New Roman" w:cs="Times New Roman"/>
          <w:smallCaps/>
          <w:color w:val="000000" w:themeColor="text1"/>
          <w:lang w:eastAsia="en-US"/>
        </w:rPr>
        <w:t>Edmonds</w:t>
      </w:r>
      <w:r w:rsidRPr="750671CE">
        <w:rPr>
          <w:rFonts w:ascii="Times New Roman" w:eastAsia="Times New Roman" w:hAnsi="Times New Roman" w:cs="Times New Roman"/>
          <w:color w:val="000000" w:themeColor="text1"/>
          <w:lang w:eastAsia="en-US"/>
        </w:rPr>
        <w:t>, J., dissenting</w:t>
      </w:r>
      <w:r w:rsidR="005A5833">
        <w:rPr>
          <w:rFonts w:ascii="Times New Roman" w:eastAsia="Times New Roman" w:hAnsi="Times New Roman" w:cs="Times New Roman"/>
          <w:color w:val="000000" w:themeColor="text1"/>
          <w:lang w:eastAsia="en-US"/>
        </w:rPr>
        <w:t>.</w:t>
      </w:r>
    </w:p>
    <w:p w14:paraId="6297A34D" w14:textId="77777777" w:rsidR="00C85B70" w:rsidRPr="00C85B70" w:rsidRDefault="00C85B70" w:rsidP="00B17A59">
      <w:pPr>
        <w:rPr>
          <w:rFonts w:ascii="Times New Roman" w:eastAsia="Times New Roman" w:hAnsi="Times New Roman" w:cs="Times New Roman"/>
          <w:lang w:eastAsia="en-US"/>
        </w:rPr>
      </w:pPr>
    </w:p>
    <w:p w14:paraId="6E60B183" w14:textId="77777777" w:rsidR="00C85B70" w:rsidRPr="00C85B70" w:rsidRDefault="00C85B70" w:rsidP="00C85B70">
      <w:pPr>
        <w:rPr>
          <w:rFonts w:ascii="Times New Roman" w:eastAsia="Times New Roman" w:hAnsi="Times New Roman" w:cs="Times New Roman"/>
          <w:lang w:eastAsia="en-US"/>
        </w:rPr>
      </w:pPr>
    </w:p>
    <w:p w14:paraId="0E86E80D" w14:textId="77777777" w:rsidR="00C85B70" w:rsidRPr="00C85B70" w:rsidRDefault="00C85B70" w:rsidP="00910387">
      <w:pPr>
        <w:pStyle w:val="Heading5"/>
      </w:pPr>
      <w:bookmarkStart w:id="996" w:name="_Toc364636277"/>
      <w:bookmarkStart w:id="997" w:name="_Toc518323550"/>
      <w:r w:rsidRPr="00C85B70">
        <w:t>Notes</w:t>
      </w:r>
      <w:bookmarkEnd w:id="996"/>
      <w:bookmarkEnd w:id="997"/>
    </w:p>
    <w:p w14:paraId="6880FF21" w14:textId="77777777" w:rsidR="00C85B70" w:rsidRDefault="00C85B70" w:rsidP="00C85B70">
      <w:pPr>
        <w:rPr>
          <w:rFonts w:ascii="Times New Roman" w:eastAsia="Times New Roman" w:hAnsi="Times New Roman" w:cs="Times New Roman"/>
          <w:lang w:eastAsia="en-US"/>
        </w:rPr>
      </w:pPr>
    </w:p>
    <w:p w14:paraId="7A0C53D8" w14:textId="77777777" w:rsidR="00945FB9" w:rsidRPr="00C85B70" w:rsidRDefault="00945FB9" w:rsidP="00C85B70">
      <w:pPr>
        <w:rPr>
          <w:rFonts w:ascii="Times New Roman" w:eastAsia="Times New Roman" w:hAnsi="Times New Roman" w:cs="Times New Roman"/>
          <w:lang w:eastAsia="en-US"/>
        </w:rPr>
      </w:pPr>
    </w:p>
    <w:p w14:paraId="37C88EF9" w14:textId="7F503EF9" w:rsidR="00C85B70" w:rsidRPr="00F94B7E" w:rsidRDefault="750671CE" w:rsidP="00F94B7E">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Justice Traynor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concurring opinion in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proposed to go a good deal further than Judge Cardozo had in </w:t>
      </w:r>
      <w:r w:rsidRPr="00F94B7E">
        <w:rPr>
          <w:rFonts w:ascii="Times New Roman" w:eastAsia="Times New Roman" w:hAnsi="Times New Roman" w:cs="Times New Roman"/>
          <w:i/>
          <w:iCs/>
          <w:lang w:eastAsia="en-US"/>
        </w:rPr>
        <w:t>MacPherson</w:t>
      </w:r>
      <w:r w:rsidRPr="00F94B7E">
        <w:rPr>
          <w:rFonts w:ascii="Times New Roman" w:eastAsia="Times New Roman" w:hAnsi="Times New Roman" w:cs="Times New Roman"/>
          <w:lang w:eastAsia="en-US"/>
        </w:rPr>
        <w:t>.  What features of products cases would warrant such a step?</w:t>
      </w:r>
    </w:p>
    <w:p w14:paraId="2421B535" w14:textId="77777777" w:rsidR="00C85B70" w:rsidRPr="00C85B70" w:rsidRDefault="00C85B70" w:rsidP="00C85B70">
      <w:pPr>
        <w:rPr>
          <w:rFonts w:ascii="Times New Roman" w:eastAsia="Times New Roman" w:hAnsi="Times New Roman" w:cs="Times New Roman"/>
          <w:lang w:eastAsia="en-US"/>
        </w:rPr>
      </w:pPr>
    </w:p>
    <w:p w14:paraId="3C31886C" w14:textId="77777777" w:rsidR="00C85B70" w:rsidRPr="00C85B70" w:rsidRDefault="00C85B70" w:rsidP="00C85B70">
      <w:pPr>
        <w:rPr>
          <w:rFonts w:ascii="Times New Roman" w:eastAsia="Times New Roman" w:hAnsi="Times New Roman" w:cs="Times New Roman"/>
          <w:lang w:eastAsia="en-US"/>
        </w:rPr>
      </w:pPr>
    </w:p>
    <w:p w14:paraId="534B6CBA" w14:textId="6750C2F4" w:rsidR="00C85B70" w:rsidRPr="00F94B7E" w:rsidRDefault="750671CE" w:rsidP="00F94B7E">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One reason Traynor may have been skeptical of the negligence cause of action in the products context emerged in </w:t>
      </w:r>
      <w:r w:rsidRPr="00F94B7E">
        <w:rPr>
          <w:rFonts w:ascii="Times New Roman" w:eastAsia="Times New Roman" w:hAnsi="Times New Roman" w:cs="Times New Roman"/>
          <w:i/>
          <w:iCs/>
          <w:lang w:eastAsia="en-US"/>
        </w:rPr>
        <w:t>Henningsen v. Bloomfield Motors</w:t>
      </w:r>
      <w:r w:rsidRPr="00F94B7E">
        <w:rPr>
          <w:rFonts w:ascii="Times New Roman" w:eastAsia="Times New Roman" w:hAnsi="Times New Roman" w:cs="Times New Roman"/>
          <w:lang w:eastAsia="en-US"/>
        </w:rPr>
        <w:t xml:space="preserve"> decided in New Jersey in 1960.  In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husband and wife purchased a new Plymouth from a dealer in 1955.  Ten days later, while Mrs. Henningsen was driving the vehicle, it made a loud cracking noise, the steering wheel spun, and the car veered off the roadway and into a brick wall.  When the Henningsens sued for damages, however, they were hard</w:t>
      </w:r>
      <w:r w:rsidR="00717E6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C85B70" w:rsidRDefault="00C85B70" w:rsidP="00C85B70">
      <w:pPr>
        <w:rPr>
          <w:rFonts w:ascii="Times New Roman" w:eastAsia="Times New Roman" w:hAnsi="Times New Roman" w:cs="Times New Roman"/>
          <w:lang w:eastAsia="en-US"/>
        </w:rPr>
      </w:pPr>
    </w:p>
    <w:p w14:paraId="2EC45E22" w14:textId="55BE71B8" w:rsidR="00C85B70" w:rsidRPr="00C85B70" w:rsidRDefault="00C85B70" w:rsidP="750671CE">
      <w:pPr>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lang w:eastAsia="en-US"/>
        </w:rPr>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warranty action faced an obstacle of its own.  In fine print, the back of the sales agreement provided that</w:t>
      </w:r>
      <w:r w:rsidRPr="00C85B70">
        <w:rPr>
          <w:rFonts w:ascii="Times New Roman" w:eastAsia="Times New Roman" w:hAnsi="Times New Roman" w:cs="Times New Roman"/>
          <w:color w:val="000000"/>
          <w:lang w:eastAsia="en-US"/>
        </w:rPr>
        <w:t xml:space="preserve"> there were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no warranties, express or implied</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other than that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the manufacturer agrees to replace defective parts for 90 days after the sale or until the car has been driven 4,000 miles, whichever is first to occur.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750671CE">
        <w:rPr>
          <w:rFonts w:ascii="Times New Roman" w:eastAsia="Times New Roman" w:hAnsi="Times New Roman" w:cs="Times New Roman"/>
          <w:i/>
          <w:iCs/>
          <w:color w:val="000000"/>
          <w:lang w:eastAsia="en-US"/>
        </w:rPr>
        <w:t>MacPherson</w:t>
      </w:r>
      <w:r w:rsidRPr="00C85B70">
        <w:rPr>
          <w:rFonts w:ascii="Times New Roman" w:eastAsia="Times New Roman" w:hAnsi="Times New Roman" w:cs="Times New Roman"/>
          <w:color w:val="000000"/>
          <w:lang w:eastAsia="en-US"/>
        </w:rPr>
        <w:t xml:space="preserve">. </w:t>
      </w:r>
    </w:p>
    <w:p w14:paraId="3E5C1D36" w14:textId="77777777" w:rsidR="00C85B70" w:rsidRPr="00C85B70" w:rsidRDefault="00C85B70" w:rsidP="00C85B70">
      <w:pPr>
        <w:rPr>
          <w:rFonts w:ascii="Times New Roman" w:eastAsia="Times New Roman" w:hAnsi="Times New Roman" w:cs="Times New Roman"/>
          <w:color w:val="000000"/>
          <w:lang w:eastAsia="en-US"/>
        </w:rPr>
      </w:pPr>
    </w:p>
    <w:p w14:paraId="6ED978CE" w14:textId="12BB9725" w:rsidR="00C85B70" w:rsidRPr="00C85B70" w:rsidRDefault="00C85B70" w:rsidP="750671CE">
      <w:pPr>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ab/>
        <w:t xml:space="preserve">The </w:t>
      </w:r>
      <w:r w:rsidRPr="750671CE">
        <w:rPr>
          <w:rFonts w:ascii="Times New Roman" w:eastAsia="Times New Roman" w:hAnsi="Times New Roman" w:cs="Times New Roman"/>
          <w:i/>
          <w:iCs/>
          <w:color w:val="000000"/>
          <w:lang w:eastAsia="en-US"/>
        </w:rPr>
        <w:t>Henningsen</w:t>
      </w:r>
      <w:r w:rsidRPr="00C85B70">
        <w:rPr>
          <w:rFonts w:ascii="Times New Roman" w:eastAsia="Times New Roman" w:hAnsi="Times New Roman" w:cs="Times New Roman"/>
          <w:color w:val="000000"/>
          <w:lang w:eastAsia="en-US"/>
        </w:rPr>
        <w:t xml:space="preserve"> court smashed through both of these obstacles.  First</w:t>
      </w:r>
      <w:r w:rsidR="00717E65">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it held that third parties could bring actions on the warranty:</w:t>
      </w:r>
    </w:p>
    <w:p w14:paraId="27FC6F06" w14:textId="77777777" w:rsidR="00C85B70" w:rsidRPr="00C85B70" w:rsidRDefault="00C85B70" w:rsidP="00C85B70">
      <w:pPr>
        <w:rPr>
          <w:rFonts w:ascii="Times New Roman" w:eastAsia="Times New Roman" w:hAnsi="Times New Roman" w:cs="Times New Roman"/>
          <w:color w:val="000000"/>
          <w:lang w:eastAsia="en-US"/>
        </w:rPr>
      </w:pPr>
    </w:p>
    <w:p w14:paraId="1A3BFA25" w14:textId="5C8A573B" w:rsidR="00C85B70" w:rsidRPr="00C85B70" w:rsidRDefault="750671CE" w:rsidP="00F94B7E">
      <w:pPr>
        <w:ind w:left="720" w:right="720"/>
        <w:jc w:val="both"/>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C85B70" w:rsidRDefault="00C85B70" w:rsidP="00C85B70">
      <w:pPr>
        <w:rPr>
          <w:rFonts w:ascii="Times New Roman" w:eastAsia="Times New Roman" w:hAnsi="Times New Roman" w:cs="Times New Roman"/>
          <w:color w:val="000000"/>
          <w:lang w:eastAsia="en-US"/>
        </w:rPr>
      </w:pPr>
    </w:p>
    <w:p w14:paraId="0F73D91A" w14:textId="2053FB56" w:rsidR="00C85B70" w:rsidRPr="00C85B70" w:rsidRDefault="750671CE" w:rsidP="750671CE">
      <w:pPr>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i/>
          <w:iCs/>
          <w:color w:val="000000" w:themeColor="text1"/>
          <w:lang w:eastAsia="en-US"/>
        </w:rPr>
        <w:t>Henningsen v. Bloomfield Motors, Inc.</w:t>
      </w:r>
      <w:r w:rsidRPr="750671CE">
        <w:rPr>
          <w:rFonts w:ascii="Times New Roman" w:eastAsia="Times New Roman" w:hAnsi="Times New Roman" w:cs="Times New Roman"/>
          <w:color w:val="000000" w:themeColor="text1"/>
          <w:lang w:eastAsia="en-US"/>
        </w:rPr>
        <w:t xml:space="preserve">, 161 A.2d 69, 83 (N.J. 1960) (quotations and citations omitted).  Then the court held that the warranty of merchantability was not disclaimable.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Automobile manufacturers,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the court observed,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undertake large scale advertising programs over television, radio, in newspapers, magazines and all media of communication in order to persuade the public to buy their products,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r w:rsidRPr="750671CE">
        <w:rPr>
          <w:rFonts w:ascii="Times New Roman" w:eastAsia="Times New Roman" w:hAnsi="Times New Roman" w:cs="Times New Roman"/>
          <w:i/>
          <w:iCs/>
          <w:color w:val="000000" w:themeColor="text1"/>
          <w:lang w:eastAsia="en-US"/>
        </w:rPr>
        <w:t>Id.</w:t>
      </w:r>
      <w:r w:rsidRPr="750671CE">
        <w:rPr>
          <w:rFonts w:ascii="Times New Roman" w:eastAsia="Times New Roman" w:hAnsi="Times New Roman" w:cs="Times New Roman"/>
          <w:color w:val="000000" w:themeColor="text1"/>
          <w:lang w:eastAsia="en-US"/>
        </w:rPr>
        <w:t xml:space="preserve"> at 84.  Citing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the gross inequality of bargaining position occupied by the consumer in the automobile industry</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and claiming that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there is no competition among the motor vehicle manufacturers with respect to the scope of protection guaranteed to the buyer,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the court struck the express disclaimer of the warranty and allowed the plaintiffs to recover on an implied warranty of merchantability.  </w:t>
      </w:r>
      <w:r w:rsidRPr="750671CE">
        <w:rPr>
          <w:rFonts w:ascii="Times New Roman" w:eastAsia="Times New Roman" w:hAnsi="Times New Roman" w:cs="Times New Roman"/>
          <w:i/>
          <w:iCs/>
          <w:color w:val="000000" w:themeColor="text1"/>
          <w:lang w:eastAsia="en-US"/>
        </w:rPr>
        <w:t>Id.</w:t>
      </w:r>
      <w:r w:rsidRPr="750671CE">
        <w:rPr>
          <w:rFonts w:ascii="Times New Roman" w:eastAsia="Times New Roman" w:hAnsi="Times New Roman" w:cs="Times New Roman"/>
          <w:color w:val="000000" w:themeColor="text1"/>
          <w:lang w:eastAsia="en-US"/>
        </w:rPr>
        <w:t xml:space="preserve"> at 87.</w:t>
      </w:r>
    </w:p>
    <w:p w14:paraId="6A5C7F61" w14:textId="77777777" w:rsidR="00C85B70" w:rsidRPr="00C85B70" w:rsidRDefault="00C85B70" w:rsidP="00C85B70">
      <w:pPr>
        <w:rPr>
          <w:rFonts w:ascii="Times New Roman" w:eastAsia="Times New Roman" w:hAnsi="Times New Roman" w:cs="Times New Roman"/>
          <w:color w:val="000000"/>
          <w:lang w:eastAsia="en-US"/>
        </w:rPr>
      </w:pPr>
    </w:p>
    <w:p w14:paraId="798F8A45" w14:textId="5F56FCBF" w:rsidR="00C85B70" w:rsidRPr="00C85B70" w:rsidRDefault="00C85B70" w:rsidP="750671CE">
      <w:pPr>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ab/>
        <w:t xml:space="preserve">After </w:t>
      </w:r>
      <w:r w:rsidRPr="750671CE">
        <w:rPr>
          <w:rFonts w:ascii="Times New Roman" w:eastAsia="Times New Roman" w:hAnsi="Times New Roman" w:cs="Times New Roman"/>
          <w:i/>
          <w:iCs/>
          <w:color w:val="000000"/>
          <w:lang w:eastAsia="en-US"/>
        </w:rPr>
        <w:t>Henningsen</w:t>
      </w:r>
      <w:r w:rsidRPr="00C85B70">
        <w:rPr>
          <w:rFonts w:ascii="Times New Roman" w:eastAsia="Times New Roman" w:hAnsi="Times New Roman" w:cs="Times New Roman"/>
          <w:color w:val="000000"/>
          <w:lang w:eastAsia="en-US"/>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Pr>
          <w:rFonts w:ascii="Times New Roman" w:eastAsia="Times New Roman" w:hAnsi="Times New Roman" w:cs="Times New Roman"/>
          <w:color w:val="000000"/>
          <w:lang w:eastAsia="en-US"/>
        </w:rPr>
        <w:t>Meanwhile,</w:t>
      </w:r>
      <w:r w:rsidRPr="00C85B70">
        <w:rPr>
          <w:rFonts w:ascii="Times New Roman" w:eastAsia="Times New Roman" w:hAnsi="Times New Roman" w:cs="Times New Roman"/>
          <w:color w:val="000000"/>
          <w:lang w:eastAsia="en-US"/>
        </w:rPr>
        <w:t xml:space="preserve"> back in California, Justice Traynor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w:t>
      </w:r>
      <w:r w:rsidR="000039AA">
        <w:rPr>
          <w:rFonts w:ascii="Times New Roman" w:eastAsia="Times New Roman" w:hAnsi="Times New Roman" w:cs="Times New Roman"/>
          <w:color w:val="000000"/>
          <w:lang w:eastAsia="en-US"/>
        </w:rPr>
        <w:t>idea</w:t>
      </w:r>
      <w:r w:rsidRPr="00C85B70">
        <w:rPr>
          <w:rFonts w:ascii="Times New Roman" w:eastAsia="Times New Roman" w:hAnsi="Times New Roman" w:cs="Times New Roman"/>
          <w:color w:val="000000"/>
          <w:lang w:eastAsia="en-US"/>
        </w:rPr>
        <w:t xml:space="preserve"> in </w:t>
      </w:r>
      <w:r w:rsidRPr="750671CE">
        <w:rPr>
          <w:rFonts w:ascii="Times New Roman" w:eastAsia="Times New Roman" w:hAnsi="Times New Roman" w:cs="Times New Roman"/>
          <w:i/>
          <w:iCs/>
          <w:color w:val="000000"/>
          <w:lang w:eastAsia="en-US"/>
        </w:rPr>
        <w:t>Escola</w:t>
      </w:r>
      <w:r w:rsidRPr="00C85B70">
        <w:rPr>
          <w:rFonts w:ascii="Times New Roman" w:eastAsia="Times New Roman" w:hAnsi="Times New Roman" w:cs="Times New Roman"/>
          <w:color w:val="000000"/>
          <w:lang w:eastAsia="en-US"/>
        </w:rPr>
        <w:t xml:space="preserve"> </w:t>
      </w:r>
      <w:r w:rsidR="000039AA">
        <w:rPr>
          <w:rFonts w:ascii="Times New Roman" w:eastAsia="Times New Roman" w:hAnsi="Times New Roman" w:cs="Times New Roman"/>
          <w:color w:val="000000"/>
          <w:lang w:eastAsia="en-US"/>
        </w:rPr>
        <w:t>soon made its way</w:t>
      </w:r>
      <w:r w:rsidRPr="00C85B70">
        <w:rPr>
          <w:rFonts w:ascii="Times New Roman" w:eastAsia="Times New Roman" w:hAnsi="Times New Roman" w:cs="Times New Roman"/>
          <w:color w:val="000000"/>
          <w:lang w:eastAsia="en-US"/>
        </w:rPr>
        <w:t xml:space="preserve"> into a majority opinion in tort.</w:t>
      </w:r>
    </w:p>
    <w:p w14:paraId="12B877B3" w14:textId="77777777" w:rsidR="00C85B70" w:rsidRPr="00C85B70" w:rsidRDefault="00C85B70" w:rsidP="00C85B70">
      <w:pPr>
        <w:rPr>
          <w:rFonts w:ascii="Times New Roman" w:eastAsia="Times New Roman" w:hAnsi="Times New Roman" w:cs="Times New Roman"/>
          <w:lang w:eastAsia="en-US"/>
        </w:rPr>
      </w:pPr>
    </w:p>
    <w:p w14:paraId="49D4C09B" w14:textId="77777777" w:rsidR="00C85B70" w:rsidRPr="00C85B70" w:rsidRDefault="00C85B70" w:rsidP="00C85B70">
      <w:pPr>
        <w:rPr>
          <w:rFonts w:ascii="Times New Roman" w:eastAsia="Times New Roman" w:hAnsi="Times New Roman" w:cs="Times New Roman"/>
          <w:lang w:eastAsia="en-US"/>
        </w:rPr>
      </w:pPr>
    </w:p>
    <w:p w14:paraId="01EDC517" w14:textId="059D57DA" w:rsidR="00C85B70" w:rsidRPr="00F94B7E" w:rsidRDefault="750671CE" w:rsidP="00F94B7E">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Greenman v. Yuba Power Products</w:t>
      </w:r>
      <w:r w:rsidRPr="00F94B7E">
        <w:rPr>
          <w:rFonts w:ascii="Times New Roman" w:eastAsia="Times New Roman" w:hAnsi="Times New Roman" w:cs="Times New Roman"/>
          <w:lang w:eastAsia="en-US"/>
        </w:rPr>
        <w:t xml:space="preserve">.  Traynor had the opportunity to convert his </w:t>
      </w:r>
      <w:r w:rsidRPr="00F94B7E">
        <w:rPr>
          <w:rFonts w:ascii="Times New Roman" w:eastAsia="Times New Roman" w:hAnsi="Times New Roman" w:cs="Times New Roman"/>
          <w:i/>
          <w:lang w:eastAsia="en-US"/>
        </w:rPr>
        <w:t>Escola</w:t>
      </w:r>
      <w:r w:rsidRPr="00F94B7E">
        <w:rPr>
          <w:rFonts w:ascii="Times New Roman" w:eastAsia="Times New Roman" w:hAnsi="Times New Roman" w:cs="Times New Roman"/>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Pr>
          <w:rFonts w:ascii="Times New Roman" w:eastAsia="Times New Roman" w:hAnsi="Times New Roman" w:cs="Times New Roman"/>
          <w:lang w:eastAsia="en-US"/>
        </w:rPr>
        <w:t>“</w:t>
      </w:r>
      <w:r w:rsidR="00717E65">
        <w:rPr>
          <w:rFonts w:ascii="Times New Roman" w:eastAsia="Times New Roman" w:hAnsi="Times New Roman" w:cs="Times New Roman"/>
          <w:color w:val="000000" w:themeColor="text1"/>
          <w:lang w:eastAsia="en-US"/>
        </w:rPr>
        <w:t>[t]</w:t>
      </w:r>
      <w:r w:rsidRPr="00F94B7E">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he held that injured consumers were not subject to the notice requirement of the traditional law of warranties.  </w:t>
      </w:r>
      <w:r w:rsidRPr="00F94B7E">
        <w:rPr>
          <w:rFonts w:ascii="Times New Roman" w:eastAsia="Times New Roman" w:hAnsi="Times New Roman" w:cs="Times New Roman"/>
          <w:i/>
          <w:iCs/>
          <w:lang w:eastAsia="en-US"/>
        </w:rPr>
        <w:t>Greenman v. Yuba Power Products, Inc</w:t>
      </w:r>
      <w:r w:rsidRPr="00F94B7E">
        <w:rPr>
          <w:rFonts w:ascii="Times New Roman" w:eastAsia="Times New Roman" w:hAnsi="Times New Roman" w:cs="Times New Roman"/>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C85B70" w:rsidRDefault="00C85B70" w:rsidP="00C85B70">
      <w:pPr>
        <w:rPr>
          <w:rFonts w:ascii="Times New Roman" w:eastAsia="Times New Roman" w:hAnsi="Times New Roman" w:cs="Times New Roman"/>
          <w:lang w:eastAsia="en-US"/>
        </w:rPr>
      </w:pPr>
    </w:p>
    <w:p w14:paraId="604108B0" w14:textId="7777777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color w:val="000000" w:themeColor="text1"/>
          <w:lang w:eastAsia="en-US"/>
        </w:rPr>
        <w:t>The purpose of such liability is to insure that the costs of injuries resulting from defective products are borne by the manufacturers that put such products on the market rather than by the injured persons who are powerless to protect themselves.</w:t>
      </w:r>
      <w:r w:rsidRPr="750671CE">
        <w:rPr>
          <w:rFonts w:ascii="Times New Roman" w:eastAsia="Times New Roman" w:hAnsi="Times New Roman" w:cs="Times New Roman"/>
          <w:lang w:eastAsia="en-US"/>
        </w:rPr>
        <w:t xml:space="preserve">    </w:t>
      </w:r>
    </w:p>
    <w:p w14:paraId="39F72E97" w14:textId="77777777" w:rsidR="00C85B70" w:rsidRPr="00C85B70" w:rsidRDefault="00C85B70" w:rsidP="00C85B70">
      <w:pPr>
        <w:rPr>
          <w:rFonts w:ascii="Times New Roman" w:eastAsia="Times New Roman" w:hAnsi="Times New Roman" w:cs="Times New Roman"/>
          <w:lang w:eastAsia="en-US"/>
        </w:rPr>
      </w:pPr>
    </w:p>
    <w:p w14:paraId="5AC32AD9" w14:textId="3E844C3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w:t>
      </w:r>
    </w:p>
    <w:p w14:paraId="0C4FB86D" w14:textId="77777777" w:rsidR="00C85B70" w:rsidRPr="00C85B70" w:rsidRDefault="00C85B70" w:rsidP="00C85B70">
      <w:pPr>
        <w:rPr>
          <w:rFonts w:ascii="Times New Roman" w:eastAsia="Times New Roman" w:hAnsi="Times New Roman" w:cs="Times New Roman"/>
          <w:lang w:eastAsia="en-US"/>
        </w:rPr>
      </w:pPr>
    </w:p>
    <w:p w14:paraId="6962EF28" w14:textId="77777777" w:rsidR="00C85B70" w:rsidRPr="00C85B70" w:rsidRDefault="00C85B70" w:rsidP="00C85B70">
      <w:pPr>
        <w:rPr>
          <w:rFonts w:ascii="Times New Roman" w:eastAsia="Times New Roman" w:hAnsi="Times New Roman" w:cs="Times New Roman"/>
          <w:lang w:eastAsia="en-US"/>
        </w:rPr>
      </w:pPr>
    </w:p>
    <w:p w14:paraId="137DCF44" w14:textId="759E68F8" w:rsidR="00C85B70" w:rsidRPr="00F94B7E" w:rsidRDefault="750671CE" w:rsidP="00F94B7E">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Corrective justice without fault?</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Escola</w:t>
      </w:r>
      <w:r w:rsidRPr="00F94B7E">
        <w:rPr>
          <w:rFonts w:ascii="Times New Roman" w:eastAsia="Times New Roman" w:hAnsi="Times New Roman" w:cs="Times New Roman"/>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distinctive wrong,</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namely, the wrong of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harming-without-repairing.</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Gregory C. Keating, </w:t>
      </w:r>
      <w:r w:rsidRPr="00F94B7E">
        <w:rPr>
          <w:rFonts w:ascii="Times New Roman" w:eastAsia="Times New Roman" w:hAnsi="Times New Roman" w:cs="Times New Roman"/>
          <w:i/>
          <w:iCs/>
          <w:lang w:eastAsia="en-US"/>
        </w:rPr>
        <w:t>Strict Liability Wrongs</w:t>
      </w:r>
      <w:r w:rsidRPr="00F94B7E">
        <w:rPr>
          <w:rFonts w:ascii="Times New Roman" w:eastAsia="Times New Roman" w:hAnsi="Times New Roman" w:cs="Times New Roman"/>
          <w:lang w:eastAsia="en-US"/>
        </w:rPr>
        <w:t>,</w:t>
      </w:r>
      <w:r w:rsidRPr="00F94B7E">
        <w:rPr>
          <w:rFonts w:ascii="Times New Roman" w:eastAsia="Times New Roman" w:hAnsi="Times New Roman" w:cs="Times New Roman"/>
          <w:i/>
          <w:iCs/>
          <w:lang w:eastAsia="en-US"/>
        </w:rPr>
        <w:t xml:space="preserve"> in </w:t>
      </w:r>
      <w:r w:rsidRPr="00F94B7E">
        <w:rPr>
          <w:rFonts w:ascii="Times New Roman" w:eastAsia="Times New Roman" w:hAnsi="Times New Roman" w:cs="Times New Roman"/>
          <w:smallCaps/>
          <w:lang w:eastAsia="en-US"/>
        </w:rPr>
        <w:t>Philosophical Foundations of the Law of Torts</w:t>
      </w:r>
      <w:r w:rsidRPr="00F94B7E">
        <w:rPr>
          <w:rFonts w:ascii="Times New Roman" w:eastAsia="Times New Roman" w:hAnsi="Times New Roman" w:cs="Times New Roman"/>
          <w:lang w:eastAsia="en-US"/>
        </w:rPr>
        <w:t xml:space="preserve"> 292 (2014); </w:t>
      </w:r>
      <w:r w:rsidRPr="00F94B7E">
        <w:rPr>
          <w:rFonts w:ascii="Times New Roman" w:eastAsia="Times New Roman" w:hAnsi="Times New Roman" w:cs="Times New Roman"/>
          <w:i/>
          <w:iCs/>
          <w:lang w:eastAsia="en-US"/>
        </w:rPr>
        <w:t xml:space="preserve">see also </w:t>
      </w:r>
      <w:r w:rsidRPr="00F94B7E">
        <w:rPr>
          <w:rFonts w:ascii="Times New Roman" w:eastAsia="Times New Roman" w:hAnsi="Times New Roman" w:cs="Times New Roman"/>
          <w:lang w:eastAsia="en-US"/>
        </w:rPr>
        <w:t xml:space="preserve">Jules L. Coleman, </w:t>
      </w:r>
      <w:r w:rsidRPr="00F94B7E">
        <w:rPr>
          <w:rFonts w:ascii="Times New Roman" w:eastAsia="Times New Roman" w:hAnsi="Times New Roman" w:cs="Times New Roman"/>
          <w:i/>
          <w:iCs/>
          <w:lang w:eastAsia="en-US"/>
        </w:rPr>
        <w:t>Some Reflections on Richard Brooks</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s </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Efficient Performance Hypothesis</w:t>
      </w:r>
      <w:r w:rsidRPr="00F94B7E">
        <w:rPr>
          <w:rFonts w:ascii="Times New Roman" w:eastAsia="Times New Roman" w:hAnsi="Times New Roman" w:cs="Times New Roman"/>
          <w:lang w:eastAsia="en-US"/>
        </w:rPr>
        <w:t>,</w:t>
      </w:r>
      <w:r w:rsidR="00B05F31">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Pr="00F94B7E">
        <w:rPr>
          <w:rFonts w:ascii="Times New Roman" w:eastAsia="Times New Roman" w:hAnsi="Times New Roman" w:cs="Times New Roman"/>
          <w:lang w:eastAsia="en-US"/>
        </w:rPr>
        <w:t xml:space="preserve">116 </w:t>
      </w:r>
      <w:r w:rsidRPr="00F94B7E">
        <w:rPr>
          <w:rFonts w:ascii="Times New Roman" w:eastAsia="Times New Roman" w:hAnsi="Times New Roman" w:cs="Times New Roman"/>
          <w:smallCaps/>
          <w:lang w:eastAsia="en-US"/>
        </w:rPr>
        <w:t>Yale L.J. Pocket Part</w:t>
      </w:r>
      <w:r w:rsidRPr="00F94B7E">
        <w:rPr>
          <w:rFonts w:ascii="Times New Roman" w:eastAsia="Times New Roman" w:hAnsi="Times New Roman" w:cs="Times New Roman"/>
          <w:lang w:eastAsia="en-US"/>
        </w:rPr>
        <w:t xml:space="preserve"> 416 (2007), </w:t>
      </w:r>
      <w:hyperlink r:id="rId81" w:history="1">
        <w:r w:rsidRPr="00291FE7">
          <w:rPr>
            <w:rStyle w:val="Hyperlink"/>
            <w:rFonts w:ascii="Times New Roman" w:eastAsia="Times New Roman" w:hAnsi="Times New Roman" w:cs="Times New Roman"/>
            <w:lang w:eastAsia="en-US"/>
          </w:rPr>
          <w:t>http://yalelawjournal.org/forum/some-reflections-on-richard-brookss-efficient-performance-hypothesis</w:t>
        </w:r>
      </w:hyperlink>
      <w:r w:rsidRPr="00F94B7E">
        <w:rPr>
          <w:rFonts w:ascii="Times New Roman" w:eastAsia="Times New Roman" w:hAnsi="Times New Roman" w:cs="Times New Roman"/>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C85B70" w:rsidRDefault="00C85B70" w:rsidP="00C85B70">
      <w:pPr>
        <w:rPr>
          <w:rFonts w:ascii="Times New Roman" w:eastAsia="Times New Roman" w:hAnsi="Times New Roman" w:cs="Times New Roman"/>
          <w:lang w:eastAsia="en-US"/>
        </w:rPr>
      </w:pPr>
    </w:p>
    <w:p w14:paraId="77A65F17"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John Goldberg and Benjamin Zipursky justify the modern doctrine of strict liability by arguing that sometimes we simply owe duties to refrain from injuring others. In this view, a defendant acts wrongly when she fails to live up to her obligation not to injure.</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 xml:space="preserve">John C.P. Goldberg &amp; Benjamin C. Zipursky, </w:t>
      </w:r>
      <w:r w:rsidRPr="750671CE">
        <w:rPr>
          <w:rFonts w:ascii="Times New Roman" w:eastAsia="Times New Roman" w:hAnsi="Times New Roman" w:cs="Times New Roman"/>
          <w:i/>
          <w:iCs/>
          <w:lang w:eastAsia="en-US"/>
        </w:rPr>
        <w:t>Torts as Wrongs</w:t>
      </w:r>
      <w:r w:rsidRPr="750671CE">
        <w:rPr>
          <w:rFonts w:ascii="Times New Roman" w:eastAsia="Times New Roman" w:hAnsi="Times New Roman" w:cs="Times New Roman"/>
          <w:lang w:eastAsia="en-US"/>
        </w:rPr>
        <w:t xml:space="preserve">, 88 </w:t>
      </w:r>
      <w:r w:rsidRPr="750671CE">
        <w:rPr>
          <w:rFonts w:ascii="Times New Roman" w:eastAsia="Times New Roman" w:hAnsi="Times New Roman" w:cs="Times New Roman"/>
          <w:smallCaps/>
          <w:lang w:eastAsia="en-US"/>
        </w:rPr>
        <w:t xml:space="preserve">Tex. L. Rev. 917, 918-19 </w:t>
      </w:r>
      <w:r w:rsidRPr="750671CE">
        <w:rPr>
          <w:rFonts w:ascii="Times New Roman" w:eastAsia="Times New Roman" w:hAnsi="Times New Roman" w:cs="Times New Roman"/>
          <w:lang w:eastAsia="en-US"/>
        </w:rPr>
        <w:t>(2010).</w:t>
      </w:r>
    </w:p>
    <w:p w14:paraId="04336A16" w14:textId="77777777" w:rsidR="00C85B70" w:rsidRPr="00C85B70" w:rsidRDefault="00C85B70" w:rsidP="00C85B70">
      <w:pPr>
        <w:rPr>
          <w:rFonts w:ascii="Times New Roman" w:eastAsia="Times New Roman" w:hAnsi="Times New Roman" w:cs="Times New Roman"/>
          <w:lang w:eastAsia="en-US"/>
        </w:rPr>
      </w:pPr>
    </w:p>
    <w:p w14:paraId="43797002" w14:textId="77777777" w:rsidR="00C85B70" w:rsidRPr="00C85B70" w:rsidRDefault="00C85B70" w:rsidP="00C85B70">
      <w:pPr>
        <w:rPr>
          <w:rFonts w:ascii="Times New Roman" w:eastAsia="Times New Roman" w:hAnsi="Times New Roman" w:cs="Times New Roman"/>
          <w:lang w:eastAsia="en-US"/>
        </w:rPr>
      </w:pPr>
    </w:p>
    <w:p w14:paraId="24CAE867" w14:textId="682DED49" w:rsidR="00C85B70" w:rsidRPr="00F94B7E" w:rsidRDefault="750671CE" w:rsidP="00F94B7E">
      <w:pPr>
        <w:pStyle w:val="ListParagraph"/>
        <w:numPr>
          <w:ilvl w:val="0"/>
          <w:numId w:val="4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Second Restatement Revolution</w:t>
      </w:r>
      <w:r w:rsidRPr="00F94B7E">
        <w:rPr>
          <w:rFonts w:ascii="Times New Roman" w:eastAsia="Times New Roman" w:hAnsi="Times New Roman" w:cs="Times New Roman"/>
          <w:lang w:eastAsia="en-US"/>
        </w:rPr>
        <w:t xml:space="preserve">.  Torts scholar William Prosser at the University of California at Berkeley called cases like Henningsen and Greenman an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assault on the citadel</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privity and negligence in products cases.  William L. Prosser, </w:t>
      </w:r>
      <w:r w:rsidRPr="00F94B7E">
        <w:rPr>
          <w:rFonts w:ascii="Times New Roman" w:eastAsia="Times New Roman" w:hAnsi="Times New Roman" w:cs="Times New Roman"/>
          <w:i/>
          <w:iCs/>
          <w:lang w:eastAsia="en-US"/>
        </w:rPr>
        <w:t>The Assault Upon the Citadel</w:t>
      </w:r>
      <w:r w:rsidRPr="00F94B7E">
        <w:rPr>
          <w:rFonts w:ascii="Times New Roman" w:eastAsia="Times New Roman" w:hAnsi="Times New Roman" w:cs="Times New Roman"/>
          <w:lang w:eastAsia="en-US"/>
        </w:rPr>
        <w:t xml:space="preserve">, 69 </w:t>
      </w:r>
      <w:r w:rsidRPr="00F94B7E">
        <w:rPr>
          <w:rFonts w:ascii="Times New Roman" w:eastAsia="Times New Roman" w:hAnsi="Times New Roman" w:cs="Times New Roman"/>
          <w:smallCaps/>
          <w:lang w:eastAsia="en-US"/>
        </w:rPr>
        <w:t>Yale L.J</w:t>
      </w:r>
      <w:r w:rsidRPr="00F94B7E">
        <w:rPr>
          <w:rFonts w:ascii="Times New Roman" w:eastAsia="Times New Roman" w:hAnsi="Times New Roman" w:cs="Times New Roman"/>
          <w:lang w:eastAsia="en-US"/>
        </w:rPr>
        <w:t xml:space="preserve">. 1099, 1124-34 (1960).  Prosser himself led the charge forward in 1965, when the American Law Institute published the </w:t>
      </w:r>
      <w:r w:rsidR="00717E6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 of the law of torts</w:t>
      </w:r>
      <w:r w:rsidR="00A1564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 restatement for which Prosser was the reporter.  In section 402A, the Restatement set out a new account of the law of a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C85B70" w:rsidRDefault="00C85B70" w:rsidP="00C85B70">
      <w:pPr>
        <w:rPr>
          <w:rFonts w:ascii="Times New Roman" w:eastAsia="Times New Roman" w:hAnsi="Times New Roman" w:cs="Times New Roman"/>
          <w:lang w:eastAsia="en-US"/>
        </w:rPr>
      </w:pPr>
    </w:p>
    <w:p w14:paraId="6A2583B2" w14:textId="44F4F4BE"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Pay special attention to the </w:t>
      </w:r>
      <w:r w:rsidRPr="00F94B7E">
        <w:rPr>
          <w:rFonts w:ascii="Times New Roman" w:eastAsia="Times New Roman" w:hAnsi="Times New Roman" w:cs="Times New Roman"/>
          <w:i/>
          <w:lang w:eastAsia="en-US"/>
        </w:rPr>
        <w:t>Restatement</w:t>
      </w:r>
      <w:r w:rsidRPr="00C85B70">
        <w:rPr>
          <w:rFonts w:ascii="Times New Roman" w:eastAsia="Times New Roman" w:hAnsi="Times New Roman" w:cs="Times New Roman"/>
          <w:lang w:eastAsia="en-US"/>
        </w:rPr>
        <w:t xml:space="preserve"> section (</w:t>
      </w:r>
      <w:r w:rsidR="0068562F">
        <w:rPr>
          <w:rFonts w:ascii="Times New Roman" w:eastAsia="Times New Roman" w:hAnsi="Times New Roman" w:cs="Times New Roman"/>
          <w:lang w:eastAsia="en-US"/>
        </w:rPr>
        <w:t>S</w:t>
      </w:r>
      <w:r w:rsidRPr="00C85B70">
        <w:rPr>
          <w:rFonts w:ascii="Times New Roman" w:eastAsia="Times New Roman" w:hAnsi="Times New Roman" w:cs="Times New Roman"/>
          <w:lang w:eastAsia="en-US"/>
        </w:rPr>
        <w:t>ection 402A) set o</w:t>
      </w:r>
      <w:r w:rsidR="00850CF9">
        <w:rPr>
          <w:rFonts w:ascii="Times New Roman" w:eastAsia="Times New Roman" w:hAnsi="Times New Roman" w:cs="Times New Roman"/>
          <w:lang w:eastAsia="en-US"/>
        </w:rPr>
        <w:t>ut by the court in footnote 2.</w:t>
      </w:r>
    </w:p>
    <w:p w14:paraId="3C3A44B1" w14:textId="77777777" w:rsidR="00C85B70" w:rsidRPr="00C85B70" w:rsidRDefault="00C85B70" w:rsidP="00C85B70">
      <w:pPr>
        <w:rPr>
          <w:rFonts w:ascii="Times New Roman" w:eastAsia="Times New Roman" w:hAnsi="Times New Roman" w:cs="Times New Roman"/>
          <w:lang w:eastAsia="en-US"/>
        </w:rPr>
      </w:pPr>
    </w:p>
    <w:p w14:paraId="595748F9" w14:textId="77777777" w:rsidR="00C85B70" w:rsidRPr="00C85B70" w:rsidRDefault="00C85B70" w:rsidP="00C85B70">
      <w:pPr>
        <w:rPr>
          <w:rFonts w:ascii="Times New Roman" w:eastAsia="Times New Roman" w:hAnsi="Times New Roman" w:cs="Times New Roman"/>
          <w:lang w:eastAsia="en-US"/>
        </w:rPr>
      </w:pPr>
    </w:p>
    <w:p w14:paraId="40DD4A00" w14:textId="6528C80A" w:rsidR="00C85B70" w:rsidRPr="00C85B70" w:rsidRDefault="00C85B70" w:rsidP="750671CE">
      <w:pPr>
        <w:widowControl w:val="0"/>
        <w:autoSpaceDE w:val="0"/>
        <w:autoSpaceDN w:val="0"/>
        <w:adjustRightInd w:val="0"/>
        <w:jc w:val="both"/>
        <w:rPr>
          <w:rFonts w:ascii="Times New Roman" w:eastAsia="Times New Roman" w:hAnsi="Times New Roman" w:cs="Times New Roman"/>
          <w:color w:val="000000" w:themeColor="text1"/>
          <w:lang w:eastAsia="en-US"/>
        </w:rPr>
      </w:pPr>
      <w:bookmarkStart w:id="998" w:name="_Toc518323551"/>
      <w:r w:rsidRPr="0050178C">
        <w:rPr>
          <w:rStyle w:val="Heading4Char"/>
        </w:rPr>
        <w:t>Temple v. Wean United, Inc</w:t>
      </w:r>
      <w:bookmarkEnd w:id="998"/>
      <w:r w:rsidRPr="750671CE">
        <w:rPr>
          <w:rFonts w:ascii="Times New Roman" w:eastAsia="Times New Roman" w:hAnsi="Times New Roman" w:cs="Times New Roman"/>
          <w:b/>
          <w:bCs/>
          <w:color w:val="000000"/>
          <w:lang w:eastAsia="en-US"/>
        </w:rPr>
        <w:t>.</w:t>
      </w:r>
      <w:r w:rsidR="00FE7B7F" w:rsidRPr="750671CE">
        <w:rPr>
          <w:rFonts w:ascii="Times New Roman" w:eastAsia="Times New Roman" w:hAnsi="Times New Roman" w:cs="Times New Roman"/>
          <w:b/>
          <w:bCs/>
          <w:color w:val="000000"/>
          <w:lang w:eastAsia="en-US"/>
        </w:rPr>
        <w:t xml:space="preserve">, </w:t>
      </w:r>
      <w:r w:rsidRPr="750671CE">
        <w:rPr>
          <w:rFonts w:ascii="Times New Roman" w:eastAsia="Times New Roman" w:hAnsi="Times New Roman" w:cs="Times New Roman"/>
          <w:b/>
          <w:bCs/>
          <w:color w:val="000000"/>
          <w:lang w:eastAsia="en-US"/>
        </w:rPr>
        <w:t>364 N.E.2d 267 (Ohio 1977)</w:t>
      </w:r>
    </w:p>
    <w:p w14:paraId="046CB181" w14:textId="77777777" w:rsidR="00C85B70" w:rsidRPr="00C85B70" w:rsidRDefault="00C85B70" w:rsidP="00C85B70">
      <w:pPr>
        <w:widowControl w:val="0"/>
        <w:autoSpaceDE w:val="0"/>
        <w:autoSpaceDN w:val="0"/>
        <w:adjustRightInd w:val="0"/>
        <w:jc w:val="both"/>
        <w:rPr>
          <w:rFonts w:ascii="Times New Roman" w:eastAsia="Times New Roman" w:hAnsi="Times New Roman" w:cs="Times New Roman"/>
          <w:color w:val="000000"/>
          <w:lang w:eastAsia="en-US"/>
        </w:rPr>
      </w:pPr>
    </w:p>
    <w:p w14:paraId="58E24AA0" w14:textId="045DF418" w:rsidR="00C85B70" w:rsidRPr="00C85B70" w:rsidRDefault="750671CE" w:rsidP="750671CE">
      <w:pPr>
        <w:widowControl w:val="0"/>
        <w:autoSpaceDE w:val="0"/>
        <w:autoSpaceDN w:val="0"/>
        <w:adjustRightInd w:val="0"/>
        <w:jc w:val="both"/>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smallCaps/>
          <w:color w:val="000000" w:themeColor="text1"/>
          <w:lang w:eastAsia="en-US"/>
        </w:rPr>
        <w:t>Celebrezze</w:t>
      </w:r>
      <w:r w:rsidRPr="750671CE">
        <w:rPr>
          <w:rFonts w:ascii="Times New Roman" w:eastAsia="Times New Roman" w:hAnsi="Times New Roman" w:cs="Times New Roman"/>
          <w:color w:val="000000" w:themeColor="text1"/>
          <w:lang w:eastAsia="en-US"/>
        </w:rPr>
        <w:t>, J.</w:t>
      </w:r>
    </w:p>
    <w:p w14:paraId="7C55AEC4" w14:textId="54A1039D"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bookmarkStart w:id="999" w:name="co_anchor_I091eef8fb28511de9b8c850332338"/>
      <w:bookmarkEnd w:id="999"/>
      <w:r w:rsidRPr="00C85B70">
        <w:rPr>
          <w:rFonts w:ascii="Times New Roman" w:eastAsia="Times New Roman" w:hAnsi="Times New Roman" w:cs="Times New Roman"/>
          <w:color w:val="000000"/>
          <w:lang w:eastAsia="en-US"/>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hands and forearms were crushed, requiring amputation of both arms just below the elbow.</w:t>
      </w:r>
    </w:p>
    <w:p w14:paraId="7E1EA2D0" w14:textId="2369F2BE"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 . . The press was manufactured and sold in 1954 by Federal Machine &amp; Welder Company, now Wean United, Inc. (Wean), to a division of the General Motors Corporation (G. M.). At the time of manufacture two hand-operated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run</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buttons were mounted on the uprights of the press, at shoulder level. In July of 1971, the press was sold by G. M. to Turner Industries, and Turner immediately sold the press to Temple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employer.</w:t>
      </w:r>
    </w:p>
    <w:p w14:paraId="78591173" w14:textId="0AD9FDF7"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000" w:name="co_pp_sp_634_319_1"/>
      <w:bookmarkEnd w:id="1000"/>
      <w:r w:rsidRPr="00C85B70">
        <w:rPr>
          <w:rFonts w:ascii="Times New Roman" w:eastAsia="Times New Roman" w:hAnsi="Times New Roman" w:cs="Times New Roman"/>
          <w:color w:val="000000"/>
          <w:lang w:eastAsia="en-US"/>
        </w:rPr>
        <w:t>buttons which were manufactured by the Square D Company (Square D). Pursuant to a standard company policy, Superior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engineers positioned the buttons waist high, in an upward position, 24 inches apart. The press was then put into operation, stamping out metal bowls, no larger than nine inches in diameter.</w:t>
      </w:r>
    </w:p>
    <w:p w14:paraId="0BFF6DC7"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[Mrs. Temple, along with her husband, sued the defendant as manufacturer of the press.  The trial court granted summary judgment to the defendants; plaintiff appealed.] </w:t>
      </w:r>
    </w:p>
    <w:p w14:paraId="1DC1A1D3" w14:textId="77777777" w:rsidR="00C85B70" w:rsidRPr="00C85B70" w:rsidRDefault="750671CE" w:rsidP="750671CE">
      <w:pPr>
        <w:widowControl w:val="0"/>
        <w:autoSpaceDE w:val="0"/>
        <w:autoSpaceDN w:val="0"/>
        <w:adjustRightInd w:val="0"/>
        <w:spacing w:before="400" w:after="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I.</w:t>
      </w:r>
    </w:p>
    <w:p w14:paraId="2869D75F" w14:textId="5A122010" w:rsidR="00C85B70" w:rsidRPr="00C85B70" w:rsidRDefault="00C85B70" w:rsidP="00F94B7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This is a products liability action brought under theories of negligence, implied warranty, and strict liability in tort. The latter two counts are virtually indistinguishable</w:t>
      </w:r>
      <w:bookmarkStart w:id="1001" w:name="co_footnoteReference_B00111977109880_ID0"/>
      <w:bookmarkEnd w:id="1001"/>
      <w:r w:rsidR="00717E65">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00717E65">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00717E65">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00717E65">
        <w:rPr>
          <w:rFonts w:ascii="Times New Roman" w:eastAsia="Times New Roman" w:hAnsi="Times New Roman" w:cs="Times New Roman"/>
          <w:color w:val="000000"/>
          <w:lang w:eastAsia="en-US"/>
        </w:rPr>
        <w:t> </w:t>
      </w:r>
      <w:r w:rsidRPr="00C85B70">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vertAlign w:val="superscript"/>
          <w:lang w:eastAsia="en-US"/>
        </w:rPr>
        <w:footnoteReference w:customMarkFollows="1" w:id="28"/>
        <w:t>1</w:t>
      </w:r>
    </w:p>
    <w:p w14:paraId="7F78286E" w14:textId="21B2F4F6"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paramount Ohio decision in the law of products liability is </w:t>
      </w:r>
      <w:r w:rsidRPr="750671CE">
        <w:rPr>
          <w:rFonts w:ascii="Times New Roman" w:eastAsia="Times New Roman" w:hAnsi="Times New Roman" w:cs="Times New Roman"/>
          <w:i/>
          <w:iCs/>
          <w:color w:val="000000" w:themeColor="text1"/>
          <w:lang w:eastAsia="en-US"/>
        </w:rPr>
        <w:t>Lonzrick v. Republic Steel Corp.</w:t>
      </w:r>
      <w:r w:rsidRPr="750671CE">
        <w:rPr>
          <w:rFonts w:ascii="Times New Roman" w:eastAsia="Times New Roman" w:hAnsi="Times New Roman" w:cs="Times New Roman"/>
          <w:color w:val="000000" w:themeColor="text1"/>
          <w:lang w:eastAsia="en-US"/>
        </w:rPr>
        <w:t xml:space="preserve">, 218 N.E.2d 185 (Ohio 1966).  In </w:t>
      </w:r>
      <w:r w:rsidRPr="750671CE">
        <w:rPr>
          <w:rFonts w:ascii="Times New Roman" w:eastAsia="Times New Roman" w:hAnsi="Times New Roman" w:cs="Times New Roman"/>
          <w:i/>
          <w:iCs/>
          <w:color w:val="000000" w:themeColor="text1"/>
          <w:lang w:eastAsia="en-US"/>
        </w:rPr>
        <w:t>Lonzrick</w:t>
      </w:r>
      <w:r w:rsidRPr="750671CE">
        <w:rPr>
          <w:rFonts w:ascii="Times New Roman" w:eastAsia="Times New Roman" w:hAnsi="Times New Roman" w:cs="Times New Roman"/>
          <w:color w:val="000000" w:themeColor="text1"/>
          <w:lang w:eastAsia="en-US"/>
        </w:rPr>
        <w:t xml:space="preserve"> this court traced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slow, orderly and evolutionary development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in this area . . . . Whereas [earlier cases had] imposed a warranty upon the manufacturer because of its advertising</w:t>
      </w:r>
      <w:r w:rsidRPr="750671CE">
        <w:rPr>
          <w:rFonts w:ascii="Times New Roman" w:eastAsia="Times New Roman" w:hAnsi="Times New Roman" w:cs="Times New Roman"/>
          <w:b/>
          <w:bCs/>
          <w:color w:val="000000" w:themeColor="text1"/>
          <w:lang w:eastAsia="en-US"/>
        </w:rPr>
        <w:t xml:space="preserve"> </w:t>
      </w:r>
      <w:r w:rsidRPr="750671CE">
        <w:rPr>
          <w:rFonts w:ascii="Times New Roman" w:eastAsia="Times New Roman" w:hAnsi="Times New Roman" w:cs="Times New Roman"/>
          <w:color w:val="000000" w:themeColor="text1"/>
          <w:lang w:eastAsia="en-US"/>
        </w:rPr>
        <w:t xml:space="preserve">to the public, </w:t>
      </w:r>
      <w:r w:rsidRPr="750671CE">
        <w:rPr>
          <w:rFonts w:ascii="Times New Roman" w:eastAsia="Times New Roman" w:hAnsi="Times New Roman" w:cs="Times New Roman"/>
          <w:i/>
          <w:iCs/>
          <w:color w:val="000000" w:themeColor="text1"/>
          <w:lang w:eastAsia="en-US"/>
        </w:rPr>
        <w:t>Lonzrick</w:t>
      </w:r>
      <w:r w:rsidRPr="750671CE">
        <w:rPr>
          <w:rFonts w:ascii="Times New Roman" w:eastAsia="Times New Roman" w:hAnsi="Times New Roman" w:cs="Times New Roman"/>
          <w:color w:val="000000" w:themeColor="text1"/>
          <w:lang w:eastAsia="en-US"/>
        </w:rPr>
        <w:t xml:space="preserve"> dispensed with this rationalization, and thus the doctrine of strict liability in tort was adopted by Ohio.</w:t>
      </w:r>
    </w:p>
    <w:p w14:paraId="3FB40AC2"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p>
    <w:p w14:paraId="790D859F" w14:textId="2333A44D"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It is now well established that, in order for a party to recover based upon a strict liability in tort theory, it must be proven that: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(1) There was, in fact, a defect in the product manufactured and sold by the defendant; (2) such defect existed at the time the product left the hands of the defendant; and (3) the defect was the direct and proximate cause of the plaintiff</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injuries or loss.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 . . </w:t>
      </w:r>
    </w:p>
    <w:p w14:paraId="16CC1A1A"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2F121C4E" w14:textId="32E8B704" w:rsidR="00C85B70" w:rsidRPr="00C85B70" w:rsidRDefault="00C85B70" w:rsidP="00F94B7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F94B7E">
        <w:rPr>
          <w:rFonts w:ascii="Times New Roman" w:eastAsia="Times New Roman" w:hAnsi="Times New Roman" w:cs="Times New Roman"/>
          <w:i/>
          <w:color w:val="000000"/>
          <w:lang w:eastAsia="en-US"/>
        </w:rPr>
        <w:t xml:space="preserve">Restatement of </w:t>
      </w:r>
      <w:bookmarkStart w:id="1002" w:name="co_pp_sp_578_271_1"/>
      <w:bookmarkEnd w:id="1002"/>
      <w:r w:rsidRPr="00F94B7E">
        <w:rPr>
          <w:rFonts w:ascii="Times New Roman" w:eastAsia="Times New Roman" w:hAnsi="Times New Roman" w:cs="Times New Roman"/>
          <w:i/>
          <w:color w:val="000000"/>
          <w:lang w:eastAsia="en-US"/>
        </w:rPr>
        <w:t>Torts 2d</w:t>
      </w:r>
      <w:r w:rsidRPr="00C85B70">
        <w:rPr>
          <w:rFonts w:ascii="Times New Roman" w:eastAsia="Times New Roman" w:hAnsi="Times New Roman" w:cs="Times New Roman"/>
          <w:color w:val="000000"/>
          <w:lang w:eastAsia="en-US"/>
        </w:rPr>
        <w:t>,</w:t>
      </w:r>
      <w:bookmarkStart w:id="1003" w:name="co_footnoteReference_B00221977109880_ID0"/>
      <w:bookmarkEnd w:id="1003"/>
      <w:r w:rsidRPr="00C85B70">
        <w:rPr>
          <w:rFonts w:ascii="Times New Roman" w:eastAsia="Times New Roman" w:hAnsi="Times New Roman" w:cs="Times New Roman"/>
          <w:color w:val="000000"/>
          <w:vertAlign w:val="superscript"/>
          <w:lang w:eastAsia="en-US"/>
        </w:rPr>
        <w:footnoteReference w:customMarkFollows="1" w:id="29"/>
        <w:t>2</w:t>
      </w:r>
      <w:r w:rsidRPr="00C85B70">
        <w:rPr>
          <w:rFonts w:ascii="Times New Roman" w:eastAsia="Times New Roman" w:hAnsi="Times New Roman" w:cs="Times New Roman"/>
          <w:color w:val="000000"/>
          <w:lang w:eastAsia="en-US"/>
        </w:rPr>
        <w:t xml:space="preserve"> Comment J, which states that: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In order to prevent the product from being unreasonably dangerous, the seller may be required to give directions or warning</w:t>
      </w:r>
      <w:bookmarkStart w:id="1004" w:name="co_pp_sp_634_322_1"/>
      <w:bookmarkEnd w:id="1004"/>
      <w:r w:rsidRPr="00C85B70">
        <w:rPr>
          <w:rFonts w:ascii="Times New Roman" w:eastAsia="Times New Roman" w:hAnsi="Times New Roman" w:cs="Times New Roman"/>
          <w:color w:val="000000"/>
          <w:lang w:eastAsia="en-US"/>
        </w:rPr>
        <w:t xml:space="preserve"> . . . as to its use.</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Although this court has never expressly adopted Section 402A as the standard for strict liability in tort, we did, in </w:t>
      </w:r>
      <w:r w:rsidRPr="750671CE">
        <w:rPr>
          <w:rFonts w:ascii="Times New Roman" w:eastAsia="Times New Roman" w:hAnsi="Times New Roman" w:cs="Times New Roman"/>
          <w:i/>
          <w:iCs/>
          <w:color w:val="000000"/>
          <w:lang w:eastAsia="en-US"/>
        </w:rPr>
        <w:t>Lonzrick</w:t>
      </w:r>
      <w:r w:rsidRPr="00C85B70">
        <w:rPr>
          <w:rFonts w:ascii="Times New Roman" w:eastAsia="Times New Roman" w:hAnsi="Times New Roman" w:cs="Times New Roman"/>
          <w:color w:val="000000"/>
          <w:lang w:eastAsia="en-US"/>
        </w:rPr>
        <w:t xml:space="preserve">, supra, cite Section 402A, as well as </w:t>
      </w:r>
      <w:r w:rsidRPr="750671CE">
        <w:rPr>
          <w:rFonts w:ascii="Times New Roman" w:eastAsia="Times New Roman" w:hAnsi="Times New Roman" w:cs="Times New Roman"/>
          <w:i/>
          <w:iCs/>
          <w:color w:val="000000"/>
          <w:lang w:eastAsia="en-US"/>
        </w:rPr>
        <w:t>Greenman v. Yuba Power Products</w:t>
      </w:r>
      <w:r w:rsidRPr="00C85B70">
        <w:rPr>
          <w:rFonts w:ascii="Times New Roman" w:eastAsia="Times New Roman" w:hAnsi="Times New Roman" w:cs="Times New Roman"/>
          <w:color w:val="000000"/>
          <w:lang w:eastAsia="en-US"/>
        </w:rPr>
        <w:t xml:space="preserve">, the first case to apply the principles underlying the section. Since </w:t>
      </w:r>
      <w:r w:rsidRPr="750671CE">
        <w:rPr>
          <w:rFonts w:ascii="Times New Roman" w:eastAsia="Times New Roman" w:hAnsi="Times New Roman" w:cs="Times New Roman"/>
          <w:i/>
          <w:iCs/>
          <w:color w:val="000000"/>
          <w:lang w:eastAsia="en-US"/>
        </w:rPr>
        <w:t>Greenman</w:t>
      </w:r>
      <w:r w:rsidRPr="00C85B70">
        <w:rPr>
          <w:rFonts w:ascii="Times New Roman" w:eastAsia="Times New Roman" w:hAnsi="Times New Roman" w:cs="Times New Roman"/>
          <w:color w:val="000000"/>
          <w:lang w:eastAsia="en-US"/>
        </w:rPr>
        <w:t xml:space="preserve"> was decided, the rule of the Restatement has been adopted or approved by the vast majority of courts which have considered it.</w:t>
      </w:r>
      <w:bookmarkStart w:id="1005" w:name="co_footnoteReference_B00331977109880_ID0"/>
      <w:bookmarkEnd w:id="1005"/>
      <w:r w:rsidRPr="00C85B70">
        <w:rPr>
          <w:rFonts w:ascii="Times New Roman" w:eastAsia="Times New Roman" w:hAnsi="Times New Roman" w:cs="Times New Roman"/>
          <w:color w:val="000000"/>
          <w:lang w:eastAsia="en-US"/>
        </w:rPr>
        <w:t xml:space="preserve"> Because there are virtually no distinctions between Ohio</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implied warranty in tort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theory and the Restatement version of strict liability in tort,</w:t>
      </w:r>
      <w:bookmarkStart w:id="1006" w:name="co_footnoteReference_B00441977109880_ID0"/>
      <w:bookmarkEnd w:id="1006"/>
      <w:r w:rsidRPr="00C85B70">
        <w:rPr>
          <w:rFonts w:ascii="Times New Roman" w:eastAsia="Times New Roman" w:hAnsi="Times New Roman" w:cs="Times New Roman"/>
          <w:color w:val="000000"/>
          <w:lang w:eastAsia="en-US"/>
        </w:rPr>
        <w:t xml:space="preserve"> and because the Restatement formulation, together with its numerous illustrative comments, greatly facilitates analysis in this area, we hereby approve Section 402A of </w:t>
      </w:r>
      <w:r w:rsidRPr="0068562F">
        <w:rPr>
          <w:rFonts w:ascii="Times New Roman" w:eastAsia="Times New Roman" w:hAnsi="Times New Roman" w:cs="Times New Roman"/>
          <w:color w:val="000000"/>
          <w:lang w:eastAsia="en-US"/>
        </w:rPr>
        <w:t xml:space="preserve">the </w:t>
      </w:r>
      <w:r w:rsidRPr="00F94B7E">
        <w:rPr>
          <w:rFonts w:ascii="Times New Roman" w:eastAsia="Times New Roman" w:hAnsi="Times New Roman" w:cs="Times New Roman"/>
          <w:i/>
          <w:color w:val="000000"/>
          <w:lang w:eastAsia="en-US"/>
        </w:rPr>
        <w:t>Restatement of Torts 2d</w:t>
      </w:r>
      <w:r w:rsidRPr="00C85B70">
        <w:rPr>
          <w:rFonts w:ascii="Times New Roman" w:eastAsia="Times New Roman" w:hAnsi="Times New Roman" w:cs="Times New Roman"/>
          <w:color w:val="000000"/>
          <w:lang w:eastAsia="en-US"/>
        </w:rPr>
        <w:t>.</w:t>
      </w:r>
    </w:p>
    <w:p w14:paraId="64D4B367" w14:textId="77777777" w:rsidR="00C85B70" w:rsidRPr="00C85B70" w:rsidRDefault="00C85B70" w:rsidP="00945FB9">
      <w:pPr>
        <w:widowControl w:val="0"/>
        <w:autoSpaceDE w:val="0"/>
        <w:autoSpaceDN w:val="0"/>
        <w:adjustRightInd w:val="0"/>
        <w:rPr>
          <w:rFonts w:ascii="Times New Roman" w:eastAsia="Times New Roman" w:hAnsi="Times New Roman" w:cs="Times New Roman"/>
          <w:color w:val="000000"/>
          <w:lang w:eastAsia="en-US"/>
        </w:rPr>
      </w:pPr>
      <w:bookmarkStart w:id="1007" w:name="co_anchor_I091eef90b28511de9b8c850332338"/>
      <w:bookmarkEnd w:id="1007"/>
    </w:p>
    <w:p w14:paraId="4EF352CE" w14:textId="77777777" w:rsidR="00C85B70" w:rsidRDefault="750671CE" w:rsidP="00F94B7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II.</w:t>
      </w:r>
    </w:p>
    <w:p w14:paraId="2FA78DE2" w14:textId="77777777" w:rsidR="00945FB9" w:rsidRPr="00C85B70" w:rsidRDefault="00945FB9" w:rsidP="00F94B7E">
      <w:pPr>
        <w:widowControl w:val="0"/>
        <w:autoSpaceDE w:val="0"/>
        <w:autoSpaceDN w:val="0"/>
        <w:adjustRightInd w:val="0"/>
        <w:rPr>
          <w:rFonts w:ascii="Times New Roman" w:eastAsia="Times New Roman" w:hAnsi="Times New Roman" w:cs="Times New Roman"/>
          <w:color w:val="000000" w:themeColor="text1"/>
          <w:lang w:eastAsia="en-US"/>
        </w:rPr>
      </w:pPr>
    </w:p>
    <w:p w14:paraId="67BC8140" w14:textId="1BAD2D48" w:rsidR="00C85B70" w:rsidRPr="00C85B70" w:rsidRDefault="750671CE" w:rsidP="00945FB9">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Under Section 402A, as well as under our case law, a plaintiff must prove that the product was defective at the time it left the seller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hands. . . . Section 402A(1)(b) imposes strict liability only where the defective product reaches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the user or consumer without substantial change in the condition in which it is sold.</w:t>
      </w:r>
      <w:r w:rsidR="00B05F31">
        <w:rPr>
          <w:rFonts w:ascii="Times New Roman" w:eastAsia="Times New Roman" w:hAnsi="Times New Roman" w:cs="Times New Roman"/>
          <w:color w:val="000000" w:themeColor="text1"/>
          <w:lang w:eastAsia="en-US"/>
        </w:rPr>
        <w:t>”</w:t>
      </w:r>
    </w:p>
    <w:p w14:paraId="45B75AFA"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262A03C9" w14:textId="0464EE1E"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substantial change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within the meaning of Section 402A(1)(b). Indeed, it is our conclusion that there was no original defect of any sort in the punch press, and that, as a matter of law, Superior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alteration of the safety device, coupled with the utilization of the press for the stamping of stock long enough to bridge the </w:t>
      </w:r>
      <w:r w:rsidR="000E283D" w:rsidRPr="750671CE">
        <w:rPr>
          <w:rFonts w:ascii="Times New Roman" w:eastAsia="Times New Roman" w:hAnsi="Times New Roman" w:cs="Times New Roman"/>
          <w:color w:val="000000" w:themeColor="text1"/>
          <w:lang w:eastAsia="en-US"/>
        </w:rPr>
        <w:t>24</w:t>
      </w:r>
      <w:r w:rsidR="000E283D">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inch gap between the buttons, was the sole responsible cause of the maiming of Mrs. Temple.</w:t>
      </w:r>
    </w:p>
    <w:p w14:paraId="34DFFD21"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0FFE9CEE" w14:textId="2F0FA262"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35D703F2"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For the foregoing reasons, the judgment of the Court of Appeals is affirmed.</w:t>
      </w:r>
    </w:p>
    <w:p w14:paraId="14BF1835"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color w:val="000000" w:themeColor="text1"/>
          <w:lang w:eastAsia="en-US"/>
        </w:rPr>
        <w:t>Judgment affirmed.</w:t>
      </w:r>
    </w:p>
    <w:p w14:paraId="02107310" w14:textId="77777777" w:rsidR="00C85B70" w:rsidRPr="00C85B70" w:rsidRDefault="00C85B70" w:rsidP="00FE7B7F">
      <w:pPr>
        <w:rPr>
          <w:rFonts w:ascii="Times New Roman" w:eastAsia="Times New Roman" w:hAnsi="Times New Roman" w:cs="Times New Roman"/>
          <w:lang w:eastAsia="en-US"/>
        </w:rPr>
      </w:pPr>
    </w:p>
    <w:p w14:paraId="4C1ADD11" w14:textId="77777777" w:rsidR="00C85B70" w:rsidRPr="00C85B70" w:rsidRDefault="00C85B70" w:rsidP="00FE7B7F">
      <w:pPr>
        <w:rPr>
          <w:rFonts w:ascii="Times New Roman" w:eastAsia="Times New Roman" w:hAnsi="Times New Roman" w:cs="Times New Roman"/>
          <w:lang w:eastAsia="en-US"/>
        </w:rPr>
      </w:pPr>
    </w:p>
    <w:p w14:paraId="3D9FAE1E" w14:textId="77777777" w:rsidR="00C85B70" w:rsidRPr="00C85B70" w:rsidRDefault="00C85B70" w:rsidP="00910387">
      <w:pPr>
        <w:pStyle w:val="Heading5"/>
      </w:pPr>
      <w:bookmarkStart w:id="1008" w:name="_Toc364636278"/>
      <w:bookmarkStart w:id="1009" w:name="_Toc518323552"/>
      <w:r w:rsidRPr="00C85B70">
        <w:t>Notes</w:t>
      </w:r>
      <w:bookmarkEnd w:id="1008"/>
      <w:bookmarkEnd w:id="1009"/>
    </w:p>
    <w:p w14:paraId="31E796AE" w14:textId="77777777" w:rsidR="00C85B70" w:rsidRDefault="00C85B70" w:rsidP="00FE7B7F">
      <w:pPr>
        <w:rPr>
          <w:rFonts w:ascii="Times New Roman" w:eastAsia="Times New Roman" w:hAnsi="Times New Roman" w:cs="Times New Roman"/>
          <w:color w:val="000000"/>
          <w:lang w:eastAsia="en-US"/>
        </w:rPr>
      </w:pPr>
    </w:p>
    <w:p w14:paraId="49FAE301" w14:textId="77777777" w:rsidR="00945FB9" w:rsidRPr="00C85B70" w:rsidRDefault="00945FB9" w:rsidP="00FE7B7F">
      <w:pPr>
        <w:rPr>
          <w:rFonts w:ascii="Times New Roman" w:eastAsia="Times New Roman" w:hAnsi="Times New Roman" w:cs="Times New Roman"/>
          <w:color w:val="000000"/>
          <w:lang w:eastAsia="en-US"/>
        </w:rPr>
      </w:pPr>
    </w:p>
    <w:p w14:paraId="1C8C6CA0" w14:textId="3C4D7541" w:rsidR="00C85B70" w:rsidRPr="00F94B7E" w:rsidRDefault="750671CE" w:rsidP="00F94B7E">
      <w:pPr>
        <w:pStyle w:val="ListParagraph"/>
        <w:numPr>
          <w:ilvl w:val="0"/>
          <w:numId w:val="45"/>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t>Completing the revolution</w:t>
      </w:r>
      <w:r w:rsidRPr="00F94B7E">
        <w:rPr>
          <w:rFonts w:ascii="Times New Roman" w:eastAsia="Times New Roman" w:hAnsi="Times New Roman" w:cs="Times New Roman"/>
          <w:color w:val="000000" w:themeColor="text1"/>
          <w:lang w:eastAsia="en-US"/>
        </w:rPr>
        <w:t>.  Mrs. Temple may have lost her suit.  But the Second Restatement nonetheless helped to touch off a transformation in product liability law.  Before the Restatement, there had been a number of influential products liability decisions rejecting the long-standing negligence standard</w:t>
      </w:r>
      <w:r w:rsidR="00717E65">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opinions such as Traynor</w:t>
      </w:r>
      <w:r w:rsidR="00B05F31">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color w:val="000000" w:themeColor="text1"/>
          <w:lang w:eastAsia="en-US"/>
        </w:rPr>
        <w:t xml:space="preserve">s opinions in </w:t>
      </w:r>
      <w:r w:rsidRPr="00F94B7E">
        <w:rPr>
          <w:rFonts w:ascii="Times New Roman" w:eastAsia="Times New Roman" w:hAnsi="Times New Roman" w:cs="Times New Roman"/>
          <w:i/>
          <w:iCs/>
          <w:color w:val="000000" w:themeColor="text1"/>
          <w:lang w:eastAsia="en-US"/>
        </w:rPr>
        <w:t>Henningsen</w:t>
      </w:r>
      <w:r w:rsidRPr="00F94B7E">
        <w:rPr>
          <w:rFonts w:ascii="Times New Roman" w:eastAsia="Times New Roman" w:hAnsi="Times New Roman" w:cs="Times New Roman"/>
          <w:color w:val="000000" w:themeColor="text1"/>
          <w:lang w:eastAsia="en-US"/>
        </w:rPr>
        <w:t xml:space="preserve"> and </w:t>
      </w:r>
      <w:r w:rsidRPr="00F94B7E">
        <w:rPr>
          <w:rFonts w:ascii="Times New Roman" w:eastAsia="Times New Roman" w:hAnsi="Times New Roman" w:cs="Times New Roman"/>
          <w:i/>
          <w:iCs/>
          <w:color w:val="000000" w:themeColor="text1"/>
          <w:lang w:eastAsia="en-US"/>
        </w:rPr>
        <w:t>Greenman</w:t>
      </w:r>
      <w:r w:rsidRPr="00F94B7E">
        <w:rPr>
          <w:rFonts w:ascii="Times New Roman" w:eastAsia="Times New Roman" w:hAnsi="Times New Roman" w:cs="Times New Roman"/>
          <w:color w:val="000000" w:themeColor="text1"/>
          <w:lang w:eastAsia="en-US"/>
        </w:rPr>
        <w:t xml:space="preserve">.  But the Restatement provision proved to be highly influential.  Before long, Prosser expressed confidence that the assault had completely destroyed the seller defenses of privity and non-negligence.  </w:t>
      </w:r>
      <w:r w:rsidRPr="00F94B7E">
        <w:rPr>
          <w:rFonts w:ascii="Times New Roman" w:eastAsia="Times New Roman" w:hAnsi="Times New Roman" w:cs="Times New Roman"/>
          <w:i/>
          <w:iCs/>
          <w:color w:val="000000" w:themeColor="text1"/>
          <w:lang w:eastAsia="en-US"/>
        </w:rPr>
        <w:t>See</w:t>
      </w:r>
      <w:r w:rsidRPr="00F94B7E">
        <w:rPr>
          <w:rFonts w:ascii="Times New Roman" w:eastAsia="Times New Roman" w:hAnsi="Times New Roman" w:cs="Times New Roman"/>
          <w:color w:val="000000" w:themeColor="text1"/>
          <w:lang w:eastAsia="en-US"/>
        </w:rPr>
        <w:t xml:space="preserve"> William L. Prosser, </w:t>
      </w:r>
      <w:r w:rsidRPr="00F94B7E">
        <w:rPr>
          <w:rFonts w:ascii="Times New Roman" w:eastAsia="Times New Roman" w:hAnsi="Times New Roman" w:cs="Times New Roman"/>
          <w:i/>
          <w:iCs/>
          <w:color w:val="000000" w:themeColor="text1"/>
          <w:lang w:eastAsia="en-US"/>
        </w:rPr>
        <w:t>The Fall of the Citadel</w:t>
      </w:r>
      <w:r w:rsidRPr="00F94B7E">
        <w:rPr>
          <w:rFonts w:ascii="Times New Roman" w:eastAsia="Times New Roman" w:hAnsi="Times New Roman" w:cs="Times New Roman"/>
          <w:color w:val="000000" w:themeColor="text1"/>
          <w:lang w:eastAsia="en-US"/>
        </w:rPr>
        <w:t xml:space="preserve">, 50 </w:t>
      </w:r>
      <w:r w:rsidRPr="00F94B7E">
        <w:rPr>
          <w:rFonts w:ascii="Times New Roman" w:eastAsia="Times New Roman" w:hAnsi="Times New Roman" w:cs="Times New Roman"/>
          <w:smallCaps/>
          <w:color w:val="000000" w:themeColor="text1"/>
          <w:lang w:eastAsia="en-US"/>
        </w:rPr>
        <w:t>Minn. L. Rev</w:t>
      </w:r>
      <w:r w:rsidRPr="00F94B7E">
        <w:rPr>
          <w:rFonts w:ascii="Times New Roman" w:eastAsia="Times New Roman" w:hAnsi="Times New Roman" w:cs="Times New Roman"/>
          <w:color w:val="000000" w:themeColor="text1"/>
          <w:lang w:eastAsia="en-US"/>
        </w:rPr>
        <w:t>. 791 (1966).</w:t>
      </w:r>
    </w:p>
    <w:p w14:paraId="523000AE" w14:textId="77777777" w:rsidR="00C85B70" w:rsidRPr="00C85B70" w:rsidRDefault="00C85B70" w:rsidP="00FE7B7F">
      <w:pPr>
        <w:rPr>
          <w:rFonts w:ascii="Times New Roman" w:eastAsia="Times New Roman" w:hAnsi="Times New Roman" w:cs="Times New Roman"/>
          <w:color w:val="000000"/>
          <w:lang w:eastAsia="en-US"/>
        </w:rPr>
      </w:pPr>
    </w:p>
    <w:p w14:paraId="1696E2CA" w14:textId="77777777" w:rsidR="00C85B70" w:rsidRPr="00C85B70" w:rsidRDefault="00C85B70" w:rsidP="00FE7B7F">
      <w:pPr>
        <w:rPr>
          <w:rFonts w:ascii="Times New Roman" w:eastAsia="Times New Roman" w:hAnsi="Times New Roman" w:cs="Times New Roman"/>
          <w:color w:val="000000"/>
          <w:lang w:eastAsia="en-US"/>
        </w:rPr>
      </w:pPr>
    </w:p>
    <w:p w14:paraId="35870F1D" w14:textId="008C6D45" w:rsidR="00C85B70" w:rsidRPr="00F94B7E" w:rsidRDefault="750671CE" w:rsidP="00F94B7E">
      <w:pPr>
        <w:pStyle w:val="ListParagraph"/>
        <w:numPr>
          <w:ilvl w:val="0"/>
          <w:numId w:val="45"/>
        </w:numPr>
        <w:ind w:left="0" w:firstLine="360"/>
        <w:rPr>
          <w:rFonts w:ascii="Times New Roman" w:eastAsia="Times New Roman" w:hAnsi="Times New Roman" w:cs="Times New Roman"/>
          <w:color w:val="000000" w:themeColor="text1"/>
          <w:lang w:eastAsia="en-US"/>
        </w:rPr>
      </w:pPr>
      <w:r w:rsidRPr="00F94B7E">
        <w:rPr>
          <w:rFonts w:ascii="Times New Roman" w:eastAsia="Times New Roman" w:hAnsi="Times New Roman" w:cs="Times New Roman"/>
          <w:i/>
          <w:iCs/>
          <w:color w:val="000000" w:themeColor="text1"/>
          <w:lang w:eastAsia="en-US"/>
        </w:rPr>
        <w:t>Consumer expectations versus ex post cost benefit</w:t>
      </w:r>
      <w:r w:rsidRPr="00F94B7E">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Pr>
          <w:rFonts w:ascii="Times New Roman" w:eastAsia="Times New Roman" w:hAnsi="Times New Roman" w:cs="Times New Roman"/>
          <w:color w:val="000000" w:themeColor="text1"/>
          <w:lang w:eastAsia="en-US"/>
        </w:rPr>
        <w:t>S</w:t>
      </w:r>
      <w:r w:rsidRPr="00F94B7E">
        <w:rPr>
          <w:rFonts w:ascii="Times New Roman" w:eastAsia="Times New Roman" w:hAnsi="Times New Roman" w:cs="Times New Roman"/>
          <w:color w:val="000000" w:themeColor="text1"/>
          <w:lang w:eastAsia="en-US"/>
        </w:rPr>
        <w:t xml:space="preserve">econd Restatement turned out to present a number of puzzles.  </w:t>
      </w:r>
    </w:p>
    <w:p w14:paraId="6A321913" w14:textId="22982A9E" w:rsidR="00C85B70" w:rsidRPr="00C85B70" w:rsidRDefault="750671CE" w:rsidP="750671CE">
      <w:pPr>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One leading puzzle in 402A</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treatment of defective products was how to determine whether a product was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i/>
          <w:iCs/>
          <w:color w:val="000000" w:themeColor="text1"/>
          <w:lang w:eastAsia="en-US"/>
        </w:rPr>
        <w:t>defective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i/>
          <w:iCs/>
          <w:color w:val="000000" w:themeColor="text1"/>
          <w:lang w:eastAsia="en-US"/>
        </w:rPr>
        <w:t>unreasonably dangerous to the user.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750671CE">
        <w:rPr>
          <w:rFonts w:ascii="Times New Roman" w:eastAsia="Times New Roman" w:hAnsi="Times New Roman" w:cs="Times New Roman"/>
          <w:i/>
          <w:iCs/>
          <w:color w:val="000000" w:themeColor="text1"/>
          <w:lang w:eastAsia="en-US"/>
        </w:rPr>
        <w:t>defective</w:t>
      </w:r>
      <w:r w:rsidRPr="750671CE">
        <w:rPr>
          <w:rFonts w:ascii="Times New Roman" w:eastAsia="Times New Roman" w:hAnsi="Times New Roman" w:cs="Times New Roman"/>
          <w:color w:val="000000" w:themeColor="text1"/>
          <w:lang w:eastAsia="en-US"/>
        </w:rPr>
        <w:t xml:space="preserve"> products, the strict liability rule of 402A would threaten to create a liability so sweeping as to include even obviously absurd cases.  </w:t>
      </w:r>
    </w:p>
    <w:p w14:paraId="1EF8CFC3" w14:textId="77777777" w:rsidR="00C85B70" w:rsidRPr="00C85B70" w:rsidRDefault="00C85B70" w:rsidP="00FE7B7F">
      <w:pPr>
        <w:rPr>
          <w:rFonts w:ascii="Times New Roman" w:eastAsia="Times New Roman" w:hAnsi="Times New Roman" w:cs="Times New Roman"/>
          <w:color w:val="000000"/>
          <w:lang w:eastAsia="en-US"/>
        </w:rPr>
      </w:pPr>
    </w:p>
    <w:p w14:paraId="4A4727DB" w14:textId="1C891DD9" w:rsidR="00C85B70" w:rsidRPr="00C85B70" w:rsidRDefault="750671CE" w:rsidP="750671CE">
      <w:pPr>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Here is the puzzle: Subsection (2)(a) indicates that liability exists even though the seller has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exercised all possible care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C85B70" w:rsidRDefault="00C85B70" w:rsidP="00FE7B7F">
      <w:pPr>
        <w:rPr>
          <w:rFonts w:ascii="Times New Roman" w:eastAsia="Times New Roman" w:hAnsi="Times New Roman" w:cs="Times New Roman"/>
          <w:color w:val="000000"/>
          <w:lang w:eastAsia="en-US"/>
        </w:rPr>
      </w:pPr>
    </w:p>
    <w:p w14:paraId="37951802" w14:textId="491DCFF9" w:rsidR="00C85B70" w:rsidRPr="00C85B70" w:rsidRDefault="00C85B70" w:rsidP="750671CE">
      <w:pPr>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expectations would be the yardstick for determining defectiveness.  </w:t>
      </w:r>
    </w:p>
    <w:p w14:paraId="6DC6D74C" w14:textId="77777777" w:rsidR="00C85B70" w:rsidRPr="00C85B70" w:rsidRDefault="00C85B70" w:rsidP="00FE7B7F">
      <w:pPr>
        <w:rPr>
          <w:rFonts w:ascii="Times New Roman" w:eastAsia="Times New Roman" w:hAnsi="Times New Roman" w:cs="Times New Roman"/>
          <w:color w:val="000000"/>
          <w:lang w:eastAsia="en-US"/>
        </w:rPr>
      </w:pPr>
    </w:p>
    <w:p w14:paraId="003E5EE5" w14:textId="629DAD74"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color w:val="000000"/>
          <w:lang w:eastAsia="en-US"/>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rPr>
          <w:rFonts w:ascii="Times New Roman" w:eastAsia="Times New Roman" w:hAnsi="Times New Roman" w:cs="Times New Roman"/>
          <w:lang w:eastAsia="en-US"/>
        </w:rPr>
        <w:t>—</w:t>
      </w:r>
      <w:r w:rsidRPr="00C85B70">
        <w:rPr>
          <w:rFonts w:ascii="Times New Roman" w:eastAsia="Times New Roman" w:hAnsi="Times New Roman" w:cs="Times New Roman"/>
          <w:color w:val="000000"/>
          <w:lang w:eastAsia="en-US"/>
        </w:rPr>
        <w:t>given what we know now</w:t>
      </w:r>
      <w:r w:rsidR="0068562F">
        <w:rPr>
          <w:rFonts w:ascii="Times New Roman" w:eastAsia="Times New Roman" w:hAnsi="Times New Roman" w:cs="Times New Roman"/>
          <w:lang w:eastAsia="en-US"/>
        </w:rPr>
        <w:t>—</w:t>
      </w:r>
      <w:r w:rsidRPr="00C85B70">
        <w:rPr>
          <w:rFonts w:ascii="Times New Roman" w:eastAsia="Times New Roman" w:hAnsi="Times New Roman" w:cs="Times New Roman"/>
          <w:color w:val="000000"/>
          <w:lang w:eastAsia="en-US"/>
        </w:rPr>
        <w:t xml:space="preserve">substandard.  This approach is essentially an ex post Learned Hand test: it takes the ex ante reasonable person test of the </w:t>
      </w:r>
      <w:r w:rsidRPr="750671CE">
        <w:rPr>
          <w:rFonts w:ascii="Times New Roman" w:eastAsia="Times New Roman" w:hAnsi="Times New Roman" w:cs="Times New Roman"/>
          <w:i/>
          <w:iCs/>
          <w:color w:val="000000"/>
          <w:lang w:eastAsia="en-US"/>
        </w:rPr>
        <w:t>Carroll Towing</w:t>
      </w:r>
      <w:r w:rsidRPr="00C85B70">
        <w:rPr>
          <w:rFonts w:ascii="Times New Roman" w:eastAsia="Times New Roman" w:hAnsi="Times New Roman" w:cs="Times New Roman"/>
          <w:color w:val="000000"/>
          <w:lang w:eastAsia="en-US"/>
        </w:rPr>
        <w:t xml:space="preserve"> case we read back in </w:t>
      </w:r>
      <w:r w:rsidR="00C21D6E">
        <w:rPr>
          <w:rFonts w:ascii="Times New Roman" w:eastAsia="Times New Roman" w:hAnsi="Times New Roman" w:cs="Times New Roman"/>
          <w:color w:val="000000"/>
          <w:lang w:eastAsia="en-US"/>
        </w:rPr>
        <w:t>C</w:t>
      </w:r>
      <w:r w:rsidRPr="00C85B70">
        <w:rPr>
          <w:rFonts w:ascii="Times New Roman" w:eastAsia="Times New Roman" w:hAnsi="Times New Roman" w:cs="Times New Roman"/>
          <w:color w:val="000000"/>
          <w:lang w:eastAsia="en-US"/>
        </w:rPr>
        <w:t>hapter 4 and turns it around such that the cost-benefit test takes into account all that we know at the time of trial about the costs and benefits of the product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features.   </w:t>
      </w:r>
    </w:p>
    <w:p w14:paraId="73CB3A66" w14:textId="77777777" w:rsidR="00C85B70" w:rsidRPr="00C85B70" w:rsidRDefault="00C85B70" w:rsidP="00FE7B7F">
      <w:pPr>
        <w:rPr>
          <w:rFonts w:ascii="Times New Roman" w:eastAsia="Times New Roman" w:hAnsi="Times New Roman" w:cs="Times New Roman"/>
          <w:lang w:eastAsia="en-US"/>
        </w:rPr>
      </w:pPr>
    </w:p>
    <w:p w14:paraId="568C58A3" w14:textId="77777777" w:rsidR="00C85B70" w:rsidRPr="00C85B70" w:rsidRDefault="00C85B70" w:rsidP="00FE7B7F">
      <w:pPr>
        <w:rPr>
          <w:rFonts w:ascii="Times New Roman" w:eastAsia="Times New Roman" w:hAnsi="Times New Roman" w:cs="Times New Roman"/>
          <w:lang w:eastAsia="en-US"/>
        </w:rPr>
      </w:pPr>
    </w:p>
    <w:p w14:paraId="6131378F" w14:textId="032E3F8C" w:rsidR="00850CF9" w:rsidRDefault="00850CF9">
      <w:pPr>
        <w:rPr>
          <w:rFonts w:ascii="Times New Roman" w:eastAsia="Times New Roman" w:hAnsi="Times New Roman" w:cs="Times New Roman"/>
          <w:lang w:eastAsia="en-US"/>
        </w:rPr>
      </w:pPr>
    </w:p>
    <w:p w14:paraId="382D5AB1" w14:textId="5E4FCA4A" w:rsidR="00C85B70" w:rsidRPr="00EC7173" w:rsidRDefault="00C85B70" w:rsidP="00322687">
      <w:pPr>
        <w:pStyle w:val="Heading3"/>
      </w:pPr>
      <w:bookmarkStart w:id="1010" w:name="_Toc364636279"/>
      <w:bookmarkStart w:id="1011" w:name="_Toc518323553"/>
      <w:r w:rsidRPr="00511C4B">
        <w:t xml:space="preserve">2.  Manufacturing </w:t>
      </w:r>
      <w:r w:rsidRPr="00E3500C">
        <w:t>Defects</w:t>
      </w:r>
      <w:bookmarkEnd w:id="1010"/>
      <w:bookmarkEnd w:id="1011"/>
    </w:p>
    <w:p w14:paraId="3EFD07CD" w14:textId="77777777" w:rsidR="00C85B70" w:rsidRPr="000D46E0" w:rsidRDefault="00C85B70" w:rsidP="00FE7B7F">
      <w:pPr>
        <w:rPr>
          <w:rFonts w:ascii="Times New Roman" w:eastAsia="Times New Roman" w:hAnsi="Times New Roman" w:cs="Times New Roman"/>
          <w:lang w:eastAsia="en-US"/>
        </w:rPr>
      </w:pPr>
    </w:p>
    <w:p w14:paraId="0C21129A" w14:textId="77777777" w:rsidR="00C85B70" w:rsidRPr="000D46E0" w:rsidRDefault="750671CE" w:rsidP="750671CE">
      <w:pPr>
        <w:ind w:firstLine="720"/>
        <w:rPr>
          <w:rFonts w:ascii="Times New Roman" w:eastAsia="Times New Roman" w:hAnsi="Times New Roman" w:cs="Times New Roman"/>
          <w:lang w:eastAsia="en-US"/>
        </w:rPr>
      </w:pPr>
      <w:r w:rsidRPr="000D46E0">
        <w:rPr>
          <w:rFonts w:ascii="Times New Roman" w:eastAsia="Times New Roman" w:hAnsi="Times New Roman" w:cs="Times New Roman"/>
          <w:lang w:eastAsia="en-US"/>
        </w:rPr>
        <w:t xml:space="preserve">One category of products cases involves allegations of defects in the manufacturing process.  In these cases, the claim is not that the product was ineptly designed, but rather that a perfectly reasonably designed product was made in such a way that rendered it defective.   </w:t>
      </w:r>
      <w:r w:rsidRPr="000D46E0">
        <w:rPr>
          <w:rFonts w:ascii="Times New Roman" w:eastAsia="Times New Roman" w:hAnsi="Times New Roman" w:cs="Times New Roman"/>
          <w:i/>
          <w:iCs/>
          <w:lang w:eastAsia="en-US"/>
        </w:rPr>
        <w:t>Escola</w:t>
      </w:r>
      <w:r w:rsidRPr="000D46E0">
        <w:rPr>
          <w:rFonts w:ascii="Times New Roman" w:eastAsia="Times New Roman" w:hAnsi="Times New Roman" w:cs="Times New Roman"/>
          <w:lang w:eastAsia="en-US"/>
        </w:rPr>
        <w:t xml:space="preserve"> was such a case.  And as </w:t>
      </w:r>
      <w:r w:rsidRPr="000D46E0">
        <w:rPr>
          <w:rFonts w:ascii="Times New Roman" w:eastAsia="Times New Roman" w:hAnsi="Times New Roman" w:cs="Times New Roman"/>
          <w:i/>
          <w:iCs/>
          <w:lang w:eastAsia="en-US"/>
        </w:rPr>
        <w:t>Escola</w:t>
      </w:r>
      <w:r w:rsidRPr="000D46E0">
        <w:rPr>
          <w:rFonts w:ascii="Times New Roman" w:eastAsia="Times New Roman" w:hAnsi="Times New Roman" w:cs="Times New Roman"/>
          <w:lang w:eastAsia="en-US"/>
        </w:rPr>
        <w:t xml:space="preserve"> indicated, a chief problem in these cases is one of proof.  How does a plaintiff prove an error in the production process? </w:t>
      </w:r>
    </w:p>
    <w:p w14:paraId="11584C3C" w14:textId="302EE5A1" w:rsidR="00C85B70" w:rsidRPr="00F94B7E" w:rsidRDefault="00C85B70" w:rsidP="00945FB9">
      <w:pPr>
        <w:widowControl w:val="0"/>
        <w:autoSpaceDE w:val="0"/>
        <w:autoSpaceDN w:val="0"/>
        <w:adjustRightInd w:val="0"/>
        <w:ind w:right="100"/>
        <w:rPr>
          <w:rFonts w:ascii="Times New Roman" w:eastAsia="Times New Roman,,ＭＳ ゴシック" w:hAnsi="Times New Roman" w:cs="Times New Roman"/>
          <w:b/>
          <w:bCs/>
          <w:lang w:eastAsia="en-US"/>
        </w:rPr>
      </w:pPr>
      <w:bookmarkStart w:id="1012" w:name="_Toc518323554"/>
      <w:r w:rsidRPr="000D46E0">
        <w:rPr>
          <w:rStyle w:val="Heading4Char"/>
        </w:rPr>
        <w:t>Speller v. Sears, Roebuck and Co</w:t>
      </w:r>
      <w:bookmarkEnd w:id="1012"/>
      <w:r w:rsidRPr="000D46E0">
        <w:rPr>
          <w:rFonts w:ascii="Times New Roman" w:eastAsia="Times New Roman" w:hAnsi="Times New Roman" w:cs="Times New Roman"/>
          <w:b/>
          <w:bCs/>
          <w:color w:val="252525"/>
          <w:lang w:eastAsia="en-US"/>
        </w:rPr>
        <w:t>.</w:t>
      </w:r>
      <w:r w:rsidR="0050178C" w:rsidRPr="000D46E0">
        <w:rPr>
          <w:rFonts w:ascii="Times New Roman" w:eastAsia="Times New Roman" w:hAnsi="Times New Roman" w:cs="Times New Roman"/>
          <w:b/>
          <w:bCs/>
          <w:color w:val="252525"/>
          <w:lang w:eastAsia="en-US"/>
        </w:rPr>
        <w:t xml:space="preserve">, </w:t>
      </w:r>
      <w:r w:rsidRPr="00F94B7E">
        <w:rPr>
          <w:rFonts w:ascii="Times New Roman" w:eastAsia="Times New Roman,,ＭＳ ゴシック" w:hAnsi="Times New Roman" w:cs="Times New Roman"/>
          <w:b/>
          <w:bCs/>
          <w:lang w:eastAsia="en-US"/>
        </w:rPr>
        <w:t>790 N.E.2d 252 (N.Y. 2003)</w:t>
      </w:r>
    </w:p>
    <w:p w14:paraId="35EA5E8F" w14:textId="77777777" w:rsidR="00945FB9" w:rsidRPr="000D46E0" w:rsidRDefault="00945FB9" w:rsidP="00F94B7E">
      <w:pPr>
        <w:widowControl w:val="0"/>
        <w:autoSpaceDE w:val="0"/>
        <w:autoSpaceDN w:val="0"/>
        <w:adjustRightInd w:val="0"/>
        <w:ind w:right="100"/>
        <w:rPr>
          <w:rFonts w:ascii="Times New Roman" w:eastAsia="Times New Roman" w:hAnsi="Times New Roman" w:cs="Times New Roman"/>
          <w:smallCaps/>
          <w:color w:val="252525"/>
          <w:lang w:eastAsia="en-US"/>
        </w:rPr>
      </w:pPr>
    </w:p>
    <w:p w14:paraId="74825EB3" w14:textId="56141428" w:rsidR="005A5833" w:rsidRPr="00C85B70" w:rsidRDefault="750671CE" w:rsidP="00F94B7E">
      <w:pPr>
        <w:widowControl w:val="0"/>
        <w:autoSpaceDE w:val="0"/>
        <w:autoSpaceDN w:val="0"/>
        <w:adjustRightInd w:val="0"/>
        <w:ind w:right="100"/>
        <w:rPr>
          <w:rFonts w:ascii="Times New Roman" w:eastAsia="Times New Roman" w:hAnsi="Times New Roman" w:cs="Times New Roman"/>
          <w:color w:val="000000"/>
          <w:lang w:eastAsia="en-US"/>
        </w:rPr>
      </w:pPr>
      <w:r w:rsidRPr="000D46E0">
        <w:rPr>
          <w:rFonts w:ascii="Times New Roman" w:eastAsia="Times New Roman" w:hAnsi="Times New Roman" w:cs="Times New Roman"/>
          <w:smallCaps/>
          <w:color w:val="252525"/>
          <w:lang w:eastAsia="en-US"/>
        </w:rPr>
        <w:t>Graffeo</w:t>
      </w:r>
      <w:r w:rsidRPr="000D46E0">
        <w:rPr>
          <w:rFonts w:ascii="Times New Roman" w:eastAsia="Times New Roman" w:hAnsi="Times New Roman" w:cs="Times New Roman"/>
          <w:color w:val="252525"/>
          <w:lang w:eastAsia="en-US"/>
        </w:rPr>
        <w:t>, J.</w:t>
      </w:r>
    </w:p>
    <w:p w14:paraId="7B3A7581" w14:textId="77777777" w:rsidR="00945FB9" w:rsidRDefault="00945FB9" w:rsidP="00945FB9">
      <w:pPr>
        <w:widowControl w:val="0"/>
        <w:autoSpaceDE w:val="0"/>
        <w:autoSpaceDN w:val="0"/>
        <w:adjustRightInd w:val="0"/>
        <w:ind w:firstLine="720"/>
        <w:rPr>
          <w:rFonts w:ascii="Times New Roman" w:eastAsia="Times New Roman" w:hAnsi="Times New Roman" w:cs="Times New Roman"/>
          <w:color w:val="000000" w:themeColor="text1"/>
          <w:lang w:eastAsia="en-US"/>
        </w:rPr>
      </w:pPr>
    </w:p>
    <w:p w14:paraId="13C2D8E6" w14:textId="18445BE1" w:rsidR="00C85B70" w:rsidRPr="000D46E0" w:rsidRDefault="750671CE" w:rsidP="00945FB9">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In this products liability case, defendants—a product manufacturer and retailer—were granted summary judgment dismissing plaintiffs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complaint. Because we conclude that plaintiffs raised a triable issue of fact concerning whether a defective refrigerator caused the fire that resulted in plaintiffs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injuries, we reverse and reinstate the complaint against these defendants.</w:t>
      </w:r>
    </w:p>
    <w:p w14:paraId="35079B50"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7FDE28E5" w14:textId="4CF2B082" w:rsidR="00C85B70" w:rsidRPr="000D46E0" w:rsidRDefault="00C85B70"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lang w:eastAsia="en-US"/>
        </w:rPr>
        <w:t>Plaintiffs</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 xml:space="preserve">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1013" w:name="co_footnoteReference_B0012003327535_ID0E"/>
      <w:bookmarkEnd w:id="1013"/>
      <w:r w:rsidRPr="000D46E0">
        <w:rPr>
          <w:rFonts w:ascii="Times New Roman" w:eastAsia="Times New Roman" w:hAnsi="Times New Roman" w:cs="Times New Roman"/>
          <w:color w:val="000000"/>
          <w:lang w:eastAsia="en-US"/>
        </w:rPr>
        <w:t xml:space="preserve">  Relevant to this appeal, plaintiffs asserted that the fire was caused by defective wiring </w:t>
      </w:r>
      <w:bookmarkStart w:id="1014" w:name="co_pp_sp_602_81_1"/>
      <w:bookmarkEnd w:id="1014"/>
      <w:r w:rsidRPr="000D46E0">
        <w:rPr>
          <w:rFonts w:ascii="Times New Roman" w:eastAsia="Times New Roman" w:hAnsi="Times New Roman" w:cs="Times New Roman"/>
          <w:color w:val="000000"/>
          <w:lang w:eastAsia="en-US"/>
        </w:rPr>
        <w:t>in the refrigerator, a product manufactured by Whirlpool and sold by Sears.</w:t>
      </w:r>
    </w:p>
    <w:p w14:paraId="08D3DB6C"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42956605" w14:textId="29DFA3BA" w:rsidR="00C85B70" w:rsidRPr="000D46E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damages.</w:t>
      </w:r>
    </w:p>
    <w:p w14:paraId="7877B8F6"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23FFABD5" w14:textId="5FBC2E30" w:rsidR="00C85B70" w:rsidRPr="000D46E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In opposition to defendants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motion for summary judgment, plaintiffs submitted excerpts from the depositions of two experts and an affidavit from a third, as well as other materials. Plaintiffs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experts refuted the conclusions reached in the Fire Marshal</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34D60098" w14:textId="5FA024EA" w:rsidR="00C85B70" w:rsidRPr="000D46E0" w:rsidRDefault="00C85B70"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bookmarkStart w:id="1015" w:name="co_pp_sp_605_41_1"/>
      <w:bookmarkEnd w:id="1015"/>
      <w:r w:rsidRPr="000D46E0">
        <w:rPr>
          <w:rFonts w:ascii="Times New Roman" w:eastAsia="Times New Roman" w:hAnsi="Times New Roman" w:cs="Times New Roman"/>
          <w:color w:val="000000"/>
          <w:lang w:eastAsia="en-US"/>
        </w:rPr>
        <w:t>Supreme Court denied defendants</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 xml:space="preserve"> request for summary judgment, holding that plaintiffs</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 xml:space="preserve"> evidence suggesting an alternative cause of the fire shifted the burden to plaintiffs to come forward with specific evidence of a defect. . . .</w:t>
      </w:r>
    </w:p>
    <w:p w14:paraId="10E186FC"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37043B21" w14:textId="46A3F9D8" w:rsidR="00C85B70" w:rsidRPr="000D46E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[P]laintiffs</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theory was that the wiring in the upper right quadrant of the refrigerator 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68091254" w14:textId="7E8EB42D" w:rsidR="00C85B70" w:rsidRPr="000D46E0" w:rsidRDefault="00C85B70"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lang w:eastAsia="en-US"/>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016" w:name="co_pp_sp_602_82_1"/>
      <w:bookmarkEnd w:id="1016"/>
      <w:r w:rsidRPr="000D46E0">
        <w:rPr>
          <w:rFonts w:ascii="Times New Roman" w:eastAsia="Times New Roman" w:hAnsi="Times New Roman" w:cs="Times New Roman"/>
          <w:color w:val="000000"/>
          <w:lang w:eastAsia="en-US"/>
        </w:rPr>
        <w:t>exclude all other causes for the product</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s failure that are not attributable to defendants. In this regard, New York law is consistent with the Restatement, which reads:</w:t>
      </w:r>
    </w:p>
    <w:p w14:paraId="3F111089" w14:textId="798FDB35" w:rsidR="00C85B70" w:rsidRPr="000D46E0" w:rsidRDefault="00C85B70" w:rsidP="000E283D">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bookmarkStart w:id="1017" w:name="co_pp_sp_605_42_1"/>
      <w:bookmarkEnd w:id="1017"/>
      <w:r w:rsidRPr="000D46E0">
        <w:rPr>
          <w:rFonts w:ascii="Times New Roman" w:eastAsia="Times New Roman" w:hAnsi="Times New Roman" w:cs="Times New Roman"/>
          <w:color w:val="000000"/>
          <w:lang w:eastAsia="en-US"/>
        </w:rPr>
        <w:t xml:space="preserve"> </w:t>
      </w:r>
      <w:r w:rsidR="00B05F31" w:rsidRPr="000D46E0">
        <w:rPr>
          <w:rFonts w:ascii="Times New Roman" w:eastAsia="Times New Roman" w:hAnsi="Times New Roman" w:cs="Times New Roman"/>
          <w:color w:val="000000"/>
          <w:lang w:eastAsia="en-US"/>
        </w:rPr>
        <w:t>“</w:t>
      </w:r>
      <w:r w:rsidRPr="000D46E0">
        <w:rPr>
          <w:rFonts w:ascii="Times New Roman" w:eastAsia="Times New Roman" w:hAnsi="Times New Roman" w:cs="Times New Roman"/>
          <w:color w:val="000000"/>
          <w:lang w:eastAsia="en-US"/>
        </w:rPr>
        <w:t>It may be inferred that the harm sustained by the plaintiff was caused by a product defect existing at the time of sale or distribution, without proof of a specific defect, when the incident that harmed the plaintiff:</w:t>
      </w:r>
    </w:p>
    <w:p w14:paraId="0CB42074" w14:textId="18F3DC53" w:rsidR="00C85B70" w:rsidRPr="000D46E0" w:rsidRDefault="00B05F31" w:rsidP="000E283D">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w:t>
      </w:r>
      <w:r w:rsidR="750671CE" w:rsidRPr="000D46E0">
        <w:rPr>
          <w:rFonts w:ascii="Times New Roman" w:eastAsia="Times New Roman" w:hAnsi="Times New Roman" w:cs="Times New Roman"/>
          <w:color w:val="000000" w:themeColor="text1"/>
          <w:lang w:eastAsia="en-US"/>
        </w:rPr>
        <w:t>(a) was of a kind that ordinarily occurs as a result of product defect; and</w:t>
      </w:r>
    </w:p>
    <w:p w14:paraId="754DBCF5" w14:textId="2E90D568" w:rsidR="00C85B70" w:rsidRPr="000D46E0" w:rsidRDefault="00B05F31" w:rsidP="000E283D">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w:t>
      </w:r>
      <w:r w:rsidR="750671CE" w:rsidRPr="000D46E0">
        <w:rPr>
          <w:rFonts w:ascii="Times New Roman" w:eastAsia="Times New Roman" w:hAnsi="Times New Roman" w:cs="Times New Roman"/>
          <w:color w:val="000000" w:themeColor="text1"/>
          <w:lang w:eastAsia="en-US"/>
        </w:rPr>
        <w:t>(b) was not, in the particular case, solely the result of causes other than product defect existing at the time of sale or distribution</w:t>
      </w:r>
      <w:r w:rsidRPr="000D46E0">
        <w:rPr>
          <w:rFonts w:ascii="Times New Roman" w:eastAsia="Times New Roman" w:hAnsi="Times New Roman" w:cs="Times New Roman"/>
          <w:color w:val="000000" w:themeColor="text1"/>
          <w:lang w:eastAsia="en-US"/>
        </w:rPr>
        <w:t>”</w:t>
      </w:r>
      <w:r w:rsidR="750671CE" w:rsidRPr="000D46E0">
        <w:rPr>
          <w:rFonts w:ascii="Times New Roman" w:eastAsia="Times New Roman" w:hAnsi="Times New Roman" w:cs="Times New Roman"/>
          <w:color w:val="000000" w:themeColor="text1"/>
          <w:lang w:eastAsia="en-US"/>
        </w:rPr>
        <w:t xml:space="preserve"> (</w:t>
      </w:r>
      <w:r w:rsidR="750671CE" w:rsidRPr="00F94B7E">
        <w:rPr>
          <w:rFonts w:ascii="Times New Roman" w:eastAsia="Times New Roman" w:hAnsi="Times New Roman" w:cs="Times New Roman"/>
          <w:smallCaps/>
          <w:color w:val="000000" w:themeColor="text1"/>
          <w:lang w:eastAsia="en-US"/>
        </w:rPr>
        <w:t xml:space="preserve">Restatement </w:t>
      </w:r>
      <w:r w:rsidR="000E283D" w:rsidRPr="000D46E0">
        <w:rPr>
          <w:rFonts w:ascii="Times New Roman" w:eastAsia="Times New Roman" w:hAnsi="Times New Roman" w:cs="Times New Roman"/>
          <w:smallCaps/>
          <w:color w:val="000000" w:themeColor="text1"/>
          <w:lang w:eastAsia="en-US"/>
        </w:rPr>
        <w:t>(</w:t>
      </w:r>
      <w:r w:rsidR="750671CE" w:rsidRPr="00F94B7E">
        <w:rPr>
          <w:rFonts w:ascii="Times New Roman" w:eastAsia="Times New Roman" w:hAnsi="Times New Roman" w:cs="Times New Roman"/>
          <w:smallCaps/>
          <w:color w:val="000000" w:themeColor="text1"/>
          <w:lang w:eastAsia="en-US"/>
        </w:rPr>
        <w:t>Third</w:t>
      </w:r>
      <w:r w:rsidR="000E283D" w:rsidRPr="000D46E0">
        <w:rPr>
          <w:rFonts w:ascii="Times New Roman" w:eastAsia="Times New Roman" w:hAnsi="Times New Roman" w:cs="Times New Roman"/>
          <w:smallCaps/>
          <w:color w:val="000000" w:themeColor="text1"/>
          <w:lang w:eastAsia="en-US"/>
        </w:rPr>
        <w:t>)</w:t>
      </w:r>
      <w:r w:rsidR="750671CE" w:rsidRPr="00F94B7E">
        <w:rPr>
          <w:rFonts w:ascii="Times New Roman" w:eastAsia="Times New Roman" w:hAnsi="Times New Roman" w:cs="Times New Roman"/>
          <w:smallCaps/>
          <w:color w:val="000000" w:themeColor="text1"/>
          <w:lang w:eastAsia="en-US"/>
        </w:rPr>
        <w:t xml:space="preserve"> of Torts: Prod</w:t>
      </w:r>
      <w:r w:rsidR="00A73299" w:rsidRPr="000D46E0">
        <w:rPr>
          <w:rFonts w:ascii="Times New Roman" w:eastAsia="Times New Roman" w:hAnsi="Times New Roman" w:cs="Times New Roman"/>
          <w:smallCaps/>
          <w:color w:val="000000" w:themeColor="text1"/>
          <w:lang w:eastAsia="en-US"/>
        </w:rPr>
        <w:t>s.</w:t>
      </w:r>
      <w:r w:rsidR="750671CE" w:rsidRPr="00F94B7E">
        <w:rPr>
          <w:rFonts w:ascii="Times New Roman" w:eastAsia="Times New Roman" w:hAnsi="Times New Roman" w:cs="Times New Roman"/>
          <w:smallCaps/>
          <w:color w:val="000000" w:themeColor="text1"/>
          <w:lang w:eastAsia="en-US"/>
        </w:rPr>
        <w:t xml:space="preserve"> </w:t>
      </w:r>
      <w:r w:rsidR="00A73299" w:rsidRPr="00F94B7E">
        <w:rPr>
          <w:rFonts w:ascii="Times New Roman" w:eastAsia="Times New Roman" w:hAnsi="Times New Roman" w:cs="Times New Roman"/>
          <w:smallCaps/>
          <w:color w:val="000000" w:themeColor="text1"/>
          <w:lang w:eastAsia="en-US"/>
        </w:rPr>
        <w:t>Liab</w:t>
      </w:r>
      <w:r w:rsidR="00A73299" w:rsidRPr="000D46E0">
        <w:rPr>
          <w:rFonts w:ascii="Times New Roman" w:eastAsia="Times New Roman" w:hAnsi="Times New Roman" w:cs="Times New Roman"/>
          <w:smallCaps/>
          <w:color w:val="000000" w:themeColor="text1"/>
          <w:lang w:eastAsia="en-US"/>
        </w:rPr>
        <w:t>.</w:t>
      </w:r>
      <w:r w:rsidR="00A73299" w:rsidRPr="000D46E0">
        <w:rPr>
          <w:rFonts w:ascii="Times New Roman" w:eastAsia="Times New Roman" w:hAnsi="Times New Roman" w:cs="Times New Roman"/>
          <w:color w:val="000000" w:themeColor="text1"/>
          <w:lang w:eastAsia="en-US"/>
        </w:rPr>
        <w:t xml:space="preserve"> </w:t>
      </w:r>
      <w:r w:rsidR="750671CE" w:rsidRPr="000D46E0">
        <w:rPr>
          <w:rFonts w:ascii="Times New Roman" w:eastAsia="Times New Roman" w:hAnsi="Times New Roman" w:cs="Times New Roman"/>
          <w:b/>
          <w:bCs/>
          <w:color w:val="000000" w:themeColor="text1"/>
          <w:lang w:eastAsia="en-US"/>
        </w:rPr>
        <w:t>§</w:t>
      </w:r>
      <w:r w:rsidR="750671CE" w:rsidRPr="000D46E0">
        <w:rPr>
          <w:rFonts w:ascii="Times New Roman" w:eastAsia="Times New Roman" w:hAnsi="Times New Roman" w:cs="Times New Roman"/>
          <w:color w:val="000000" w:themeColor="text1"/>
          <w:lang w:eastAsia="en-US"/>
        </w:rPr>
        <w:t xml:space="preserve"> 3 [1998]).</w:t>
      </w:r>
      <w:r w:rsidRPr="000D46E0">
        <w:rPr>
          <w:rFonts w:ascii="Times New Roman" w:eastAsia="Times New Roman" w:hAnsi="Times New Roman" w:cs="Times New Roman"/>
          <w:color w:val="000000" w:themeColor="text1"/>
          <w:lang w:eastAsia="en-US"/>
        </w:rPr>
        <w:t>”</w:t>
      </w:r>
    </w:p>
    <w:p w14:paraId="4256F366" w14:textId="77777777" w:rsidR="00C85B70" w:rsidRPr="000D46E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1CC45537" w14:textId="0557C310" w:rsidR="00C85B70" w:rsidRPr="000D46E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xml:space="preserve">.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on</w:t>
      </w:r>
      <w:r w:rsidR="00B05F31"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D46E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 </w:t>
      </w:r>
    </w:p>
    <w:p w14:paraId="052A98DB" w14:textId="77777777" w:rsidR="00C85B70" w:rsidRPr="000D46E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color w:val="000000" w:themeColor="text1"/>
          <w:lang w:eastAsia="en-US"/>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2501B3D0" w14:textId="12E2ECD8"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4D5C07D5"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5EA544FA" w14:textId="549D7D7D"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Upon review of these expert depositions and affidavit, we conclude that plaintiffs raised a triable question of fact by offering competent evidence which, if credited by the jury, was sufficient to rebut defendants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alternative cause evidence. In other words, based on plaintiffs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proof, a reasonable jury could conclude that plaintiffs excluded all other causes of the fire.</w:t>
      </w:r>
    </w:p>
    <w:p w14:paraId="0554196B"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065FD53F" w14:textId="26A4DE81" w:rsidR="00C85B70" w:rsidRPr="00C85B70" w:rsidRDefault="00C85B70" w:rsidP="750671CE">
      <w:pPr>
        <w:widowControl w:val="0"/>
        <w:autoSpaceDE w:val="0"/>
        <w:autoSpaceDN w:val="0"/>
        <w:adjustRightInd w:val="0"/>
        <w:rPr>
          <w:rFonts w:ascii="Times New Roman" w:eastAsia="Times New Roman" w:hAnsi="Times New Roman" w:cs="Times New Roman"/>
          <w:color w:val="000000" w:themeColor="text1"/>
          <w:lang w:eastAsia="en-US"/>
        </w:rPr>
      </w:pPr>
      <w:bookmarkStart w:id="1018" w:name="co_pp_sp_605_44_1"/>
      <w:bookmarkEnd w:id="1018"/>
      <w:r w:rsidRPr="00C85B70">
        <w:rPr>
          <w:rFonts w:ascii="Times New Roman" w:eastAsia="Times New Roman" w:hAnsi="Times New Roman" w:cs="Times New Roman"/>
          <w:color w:val="000000"/>
          <w:lang w:eastAsia="en-US"/>
        </w:rPr>
        <w:t>. . .</w:t>
      </w:r>
    </w:p>
    <w:p w14:paraId="25848E48"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69532311"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color w:val="000000" w:themeColor="text1"/>
          <w:lang w:eastAsia="en-US"/>
        </w:rPr>
        <w:t>Accordingly, the order of the Appellate Division should be reversed, with costs, and the motion of defendants Sears, Roebuck and Co. and Whirlpool Corporation for summary judgment denied. . .</w:t>
      </w:r>
    </w:p>
    <w:p w14:paraId="357524E2" w14:textId="77777777" w:rsidR="00C85B70" w:rsidRPr="00C85B70" w:rsidRDefault="00C85B70" w:rsidP="00FE7B7F">
      <w:pPr>
        <w:rPr>
          <w:rFonts w:ascii="Times New Roman" w:eastAsia="Times New Roman" w:hAnsi="Times New Roman" w:cs="Times New Roman"/>
          <w:lang w:eastAsia="en-US"/>
        </w:rPr>
      </w:pPr>
    </w:p>
    <w:p w14:paraId="6A14C68B" w14:textId="77777777" w:rsidR="00C85B70" w:rsidRPr="00C85B70" w:rsidRDefault="00C85B70" w:rsidP="00FE7B7F">
      <w:pPr>
        <w:rPr>
          <w:rFonts w:ascii="Times New Roman" w:eastAsia="Times New Roman" w:hAnsi="Times New Roman" w:cs="Times New Roman"/>
          <w:lang w:eastAsia="en-US"/>
        </w:rPr>
      </w:pPr>
    </w:p>
    <w:p w14:paraId="3A11B789" w14:textId="77777777" w:rsidR="00C85B70" w:rsidRPr="00C85B70" w:rsidRDefault="00C85B70" w:rsidP="00910387">
      <w:pPr>
        <w:pStyle w:val="Heading5"/>
      </w:pPr>
      <w:bookmarkStart w:id="1019" w:name="_Toc364636280"/>
      <w:bookmarkStart w:id="1020" w:name="_Toc518323555"/>
      <w:r w:rsidRPr="00C85B70">
        <w:t>Notes</w:t>
      </w:r>
      <w:bookmarkEnd w:id="1019"/>
      <w:bookmarkEnd w:id="1020"/>
    </w:p>
    <w:p w14:paraId="54BAD1F8" w14:textId="77777777" w:rsidR="00C85B70" w:rsidRDefault="00C85B70" w:rsidP="00FE7B7F">
      <w:pPr>
        <w:rPr>
          <w:rFonts w:ascii="Times New Roman" w:eastAsia="Times New Roman" w:hAnsi="Times New Roman" w:cs="Times New Roman"/>
          <w:lang w:eastAsia="en-US"/>
        </w:rPr>
      </w:pPr>
    </w:p>
    <w:p w14:paraId="0CBAC2BD" w14:textId="77777777" w:rsidR="00945FB9" w:rsidRPr="00C85B70" w:rsidRDefault="00945FB9" w:rsidP="00FE7B7F">
      <w:pPr>
        <w:rPr>
          <w:rFonts w:ascii="Times New Roman" w:eastAsia="Times New Roman" w:hAnsi="Times New Roman" w:cs="Times New Roman"/>
          <w:lang w:eastAsia="en-US"/>
        </w:rPr>
      </w:pPr>
    </w:p>
    <w:p w14:paraId="1E15F0B6" w14:textId="1DF8D202" w:rsidR="00C85B70" w:rsidRPr="00F94B7E" w:rsidRDefault="750671CE" w:rsidP="00F94B7E">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Causation or not?</w:t>
      </w:r>
      <w:r w:rsidRPr="00F94B7E">
        <w:rPr>
          <w:rFonts w:ascii="Times New Roman" w:eastAsia="Times New Roman" w:hAnsi="Times New Roman" w:cs="Times New Roman"/>
          <w:lang w:eastAsia="en-US"/>
        </w:rPr>
        <w:t xml:space="preserve">  Which side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story of causation in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do you think is the right one?  Did the mistake happen in the tightly-controlled environs of the Whirlpool Corporation factory?  Or in the plaintiff</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kitchen, where the burner dial was found to have been set to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after the fire?  Are the facts strong enough on either side to keep the case from a jury? </w:t>
      </w:r>
    </w:p>
    <w:p w14:paraId="4AC032E2" w14:textId="77777777" w:rsidR="00C85B70" w:rsidRPr="00C85B70" w:rsidRDefault="00C85B70" w:rsidP="00FE7B7F">
      <w:pPr>
        <w:rPr>
          <w:rFonts w:ascii="Times New Roman" w:eastAsia="Times New Roman" w:hAnsi="Times New Roman" w:cs="Times New Roman"/>
          <w:lang w:eastAsia="en-US"/>
        </w:rPr>
      </w:pPr>
    </w:p>
    <w:p w14:paraId="4A6CEDDB" w14:textId="77777777" w:rsidR="00C85B70" w:rsidRPr="00C85B70" w:rsidRDefault="00C85B70" w:rsidP="00FE7B7F">
      <w:pPr>
        <w:rPr>
          <w:rFonts w:ascii="Times New Roman" w:eastAsia="Times New Roman" w:hAnsi="Times New Roman" w:cs="Times New Roman"/>
          <w:lang w:eastAsia="en-US"/>
        </w:rPr>
      </w:pPr>
    </w:p>
    <w:p w14:paraId="4FEDB7A9" w14:textId="1BD6BBE5" w:rsidR="00C85B70" w:rsidRPr="00F94B7E" w:rsidRDefault="750671CE" w:rsidP="00F94B7E">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Explaining the </w:t>
      </w:r>
      <w:r w:rsidR="000D46E0">
        <w:rPr>
          <w:rFonts w:ascii="Times New Roman" w:eastAsia="Times New Roman" w:hAnsi="Times New Roman" w:cs="Times New Roman"/>
          <w:i/>
          <w:iCs/>
          <w:lang w:eastAsia="en-US"/>
        </w:rPr>
        <w:t>p</w:t>
      </w:r>
      <w:r w:rsidRPr="00F94B7E">
        <w:rPr>
          <w:rFonts w:ascii="Times New Roman" w:eastAsia="Times New Roman" w:hAnsi="Times New Roman" w:cs="Times New Roman"/>
          <w:i/>
          <w:iCs/>
          <w:lang w:eastAsia="en-US"/>
        </w:rPr>
        <w:t xml:space="preserve">roducts </w:t>
      </w:r>
      <w:r w:rsidR="000D46E0">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ransformation</w:t>
      </w:r>
      <w:r w:rsidRPr="00F94B7E">
        <w:rPr>
          <w:rFonts w:ascii="Times New Roman" w:eastAsia="Times New Roman" w:hAnsi="Times New Roman" w:cs="Times New Roman"/>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F94B7E">
        <w:rPr>
          <w:rFonts w:ascii="Times New Roman" w:eastAsia="Times New Roman" w:hAnsi="Times New Roman" w:cs="Times New Roman"/>
          <w:i/>
          <w:lang w:eastAsia="en-US"/>
        </w:rPr>
        <w:t xml:space="preserve">See </w:t>
      </w:r>
      <w:r w:rsidRPr="00F94B7E">
        <w:rPr>
          <w:rFonts w:ascii="Times New Roman" w:eastAsia="Times New Roman" w:hAnsi="Times New Roman" w:cs="Times New Roman"/>
          <w:lang w:eastAsia="en-US"/>
        </w:rPr>
        <w:t xml:space="preserve">George L. Priest, </w:t>
      </w:r>
      <w:r w:rsidRPr="00F94B7E">
        <w:rPr>
          <w:rFonts w:ascii="Times New Roman" w:eastAsia="Times New Roman" w:hAnsi="Times New Roman" w:cs="Times New Roman"/>
          <w:i/>
          <w:iCs/>
          <w:lang w:eastAsia="en-US"/>
        </w:rPr>
        <w:t>The Invention of Enterprise Liability: A Critical History of the Intellectual Foundations of Modern Tort Law</w:t>
      </w:r>
      <w:r w:rsidRPr="00F94B7E">
        <w:rPr>
          <w:rFonts w:ascii="Times New Roman" w:eastAsia="Times New Roman" w:hAnsi="Times New Roman" w:cs="Times New Roman"/>
          <w:lang w:eastAsia="en-US"/>
        </w:rPr>
        <w:t xml:space="preserve">, 14 </w:t>
      </w:r>
      <w:r w:rsidRPr="00F94B7E">
        <w:rPr>
          <w:rFonts w:ascii="Times New Roman" w:eastAsia="Times New Roman" w:hAnsi="Times New Roman" w:cs="Times New Roman"/>
          <w:smallCaps/>
          <w:lang w:eastAsia="en-US"/>
        </w:rPr>
        <w:t>J. Legal Studs</w:t>
      </w:r>
      <w:r w:rsidRPr="00F94B7E">
        <w:rPr>
          <w:rFonts w:ascii="Times New Roman" w:eastAsia="Times New Roman" w:hAnsi="Times New Roman" w:cs="Times New Roman"/>
          <w:lang w:eastAsia="en-US"/>
        </w:rPr>
        <w:t xml:space="preserve">. 461 (1985).  </w:t>
      </w:r>
    </w:p>
    <w:p w14:paraId="6DABA4B6" w14:textId="77777777" w:rsidR="00C85B70" w:rsidRPr="00C85B70" w:rsidRDefault="00C85B70" w:rsidP="00FE7B7F">
      <w:pPr>
        <w:rPr>
          <w:rFonts w:ascii="Times New Roman" w:eastAsia="Times New Roman" w:hAnsi="Times New Roman" w:cs="Times New Roman"/>
          <w:lang w:eastAsia="en-US"/>
        </w:rPr>
      </w:pPr>
    </w:p>
    <w:p w14:paraId="6CDABD8B" w14:textId="5F2A10E7" w:rsidR="00C85B70" w:rsidRPr="00C85B70" w:rsidRDefault="000039AA" w:rsidP="750671CE">
      <w:pPr>
        <w:rPr>
          <w:rFonts w:ascii="Times New Roman" w:eastAsia="Times New Roman" w:hAnsi="Times New Roman" w:cs="Times New Roman"/>
          <w:lang w:eastAsia="en-US"/>
        </w:rPr>
      </w:pPr>
      <w:r>
        <w:rPr>
          <w:rFonts w:ascii="Times New Roman" w:eastAsia="Times New Roman" w:hAnsi="Times New Roman" w:cs="Times New Roman"/>
          <w:lang w:eastAsia="en-US"/>
        </w:rPr>
        <w:tab/>
        <w:t>Witt offers two comple</w:t>
      </w:r>
      <w:r w:rsidR="00C85B70" w:rsidRPr="00C85B70">
        <w:rPr>
          <w:rFonts w:ascii="Times New Roman" w:eastAsia="Times New Roman" w:hAnsi="Times New Roman" w:cs="Times New Roman"/>
          <w:lang w:eastAsia="en-US"/>
        </w:rPr>
        <w:t>mentary institutional explanations.  The idea that enterprises ought to be liable for all the injuries arising out of their activities</w:t>
      </w:r>
      <w:r w:rsidR="000D46E0">
        <w:rPr>
          <w:rFonts w:ascii="Times New Roman" w:eastAsia="Times New Roman" w:hAnsi="Times New Roman" w:cs="Times New Roman"/>
          <w:lang w:eastAsia="en-US"/>
        </w:rPr>
        <w:t>—</w:t>
      </w:r>
      <w:r w:rsidR="00C85B70" w:rsidRPr="00C85B70">
        <w:rPr>
          <w:rFonts w:ascii="Times New Roman" w:eastAsia="Times New Roman" w:hAnsi="Times New Roman" w:cs="Times New Roman"/>
          <w:lang w:eastAsia="en-US"/>
        </w:rPr>
        <w:t>the idea that Priest and others call enterprise liability</w:t>
      </w:r>
      <w:r w:rsidR="00A73299">
        <w:rPr>
          <w:rFonts w:ascii="Times New Roman" w:eastAsia="Times New Roman" w:hAnsi="Times New Roman" w:cs="Times New Roman"/>
          <w:lang w:eastAsia="en-US"/>
        </w:rPr>
        <w:t>—</w:t>
      </w:r>
      <w:r w:rsidR="00C85B70" w:rsidRPr="00C85B70">
        <w:rPr>
          <w:rFonts w:ascii="Times New Roman" w:eastAsia="Times New Roman" w:hAnsi="Times New Roman" w:cs="Times New Roman"/>
          <w:lang w:eastAsia="en-US"/>
        </w:rPr>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rPr>
          <w:rFonts w:ascii="Times New Roman" w:eastAsia="Times New Roman" w:hAnsi="Times New Roman" w:cs="Times New Roman"/>
          <w:lang w:eastAsia="en-US"/>
        </w:rPr>
        <w:t>,</w:t>
      </w:r>
      <w:r w:rsidR="00C85B70" w:rsidRPr="00C85B70">
        <w:rPr>
          <w:rFonts w:ascii="Times New Roman" w:eastAsia="Times New Roman" w:hAnsi="Times New Roman" w:cs="Times New Roman"/>
          <w:lang w:eastAsia="en-US"/>
        </w:rPr>
        <w:t xml:space="preserve"> they urged that firms be deemed responsible for all the injuries with which they were connected.  This idea soon became the basic principle of workmen</w:t>
      </w:r>
      <w:r w:rsidR="00B05F31">
        <w:rPr>
          <w:rFonts w:ascii="Times New Roman" w:eastAsia="Times New Roman" w:hAnsi="Times New Roman" w:cs="Times New Roman"/>
          <w:lang w:eastAsia="en-US"/>
        </w:rPr>
        <w:t>’</w:t>
      </w:r>
      <w:r w:rsidR="00C85B70" w:rsidRPr="00C85B70">
        <w:rPr>
          <w:rFonts w:ascii="Times New Roman" w:eastAsia="Times New Roman" w:hAnsi="Times New Roman" w:cs="Times New Roman"/>
          <w:lang w:eastAsia="en-US"/>
        </w:rPr>
        <w:t>s compensation programs.  And the same idea of managerial domination was soon associated with the relationship between firms and their consumers.  (Just think of Traynor</w:t>
      </w:r>
      <w:r w:rsidR="00B05F31">
        <w:rPr>
          <w:rFonts w:ascii="Times New Roman" w:eastAsia="Times New Roman" w:hAnsi="Times New Roman" w:cs="Times New Roman"/>
          <w:lang w:eastAsia="en-US"/>
        </w:rPr>
        <w:t>’</w:t>
      </w:r>
      <w:r w:rsidR="00C85B70" w:rsidRPr="00C85B70">
        <w:rPr>
          <w:rFonts w:ascii="Times New Roman" w:eastAsia="Times New Roman" w:hAnsi="Times New Roman" w:cs="Times New Roman"/>
          <w:lang w:eastAsia="en-US"/>
        </w:rPr>
        <w:t xml:space="preserve">s language of consumer helplessness in </w:t>
      </w:r>
      <w:r w:rsidR="00C85B70" w:rsidRPr="750671CE">
        <w:rPr>
          <w:rFonts w:ascii="Times New Roman" w:eastAsia="Times New Roman" w:hAnsi="Times New Roman" w:cs="Times New Roman"/>
          <w:i/>
          <w:iCs/>
          <w:lang w:eastAsia="en-US"/>
        </w:rPr>
        <w:t>Escola</w:t>
      </w:r>
      <w:r w:rsidR="00C85B70" w:rsidRPr="00C85B70">
        <w:rPr>
          <w:rFonts w:ascii="Times New Roman" w:eastAsia="Times New Roman" w:hAnsi="Times New Roman" w:cs="Times New Roman"/>
          <w:lang w:eastAsia="en-US"/>
        </w:rPr>
        <w:t xml:space="preserve"> and </w:t>
      </w:r>
      <w:r w:rsidR="00C85B70" w:rsidRPr="750671CE">
        <w:rPr>
          <w:rFonts w:ascii="Times New Roman" w:eastAsia="Times New Roman" w:hAnsi="Times New Roman" w:cs="Times New Roman"/>
          <w:i/>
          <w:iCs/>
          <w:lang w:eastAsia="en-US"/>
        </w:rPr>
        <w:t>Greenman</w:t>
      </w:r>
      <w:r w:rsidR="00C85B70" w:rsidRPr="00C85B70">
        <w:rPr>
          <w:rFonts w:ascii="Times New Roman" w:eastAsia="Times New Roman" w:hAnsi="Times New Roman" w:cs="Times New Roman"/>
          <w:lang w:eastAsia="en-US"/>
        </w:rPr>
        <w:t xml:space="preserve">.)  </w:t>
      </w:r>
      <w:r w:rsidR="00C85B70" w:rsidRPr="750671CE">
        <w:rPr>
          <w:rFonts w:ascii="Times New Roman" w:eastAsia="Times New Roman" w:hAnsi="Times New Roman" w:cs="Times New Roman"/>
          <w:i/>
          <w:iCs/>
          <w:lang w:eastAsia="en-US"/>
        </w:rPr>
        <w:t>See</w:t>
      </w:r>
      <w:r w:rsidR="00C85B70" w:rsidRPr="00C85B70">
        <w:rPr>
          <w:rFonts w:ascii="Times New Roman" w:eastAsia="Times New Roman" w:hAnsi="Times New Roman" w:cs="Times New Roman"/>
          <w:lang w:eastAsia="en-US"/>
        </w:rPr>
        <w:t xml:space="preserve"> </w:t>
      </w:r>
      <w:r w:rsidR="00A73299">
        <w:rPr>
          <w:rFonts w:ascii="Times New Roman" w:eastAsia="Times New Roman" w:hAnsi="Times New Roman" w:cs="Times New Roman"/>
          <w:lang w:eastAsia="en-US"/>
        </w:rPr>
        <w:t xml:space="preserve">John Fabian </w:t>
      </w:r>
      <w:r w:rsidR="00C85B70" w:rsidRPr="00C85B70">
        <w:rPr>
          <w:rFonts w:ascii="Times New Roman" w:eastAsia="Times New Roman" w:hAnsi="Times New Roman" w:cs="Times New Roman"/>
          <w:lang w:eastAsia="en-US"/>
        </w:rPr>
        <w:t xml:space="preserve">Witt, </w:t>
      </w:r>
      <w:r w:rsidR="00C85B70" w:rsidRPr="750671CE">
        <w:rPr>
          <w:rFonts w:ascii="Times New Roman" w:eastAsia="Times New Roman" w:hAnsi="Times New Roman" w:cs="Times New Roman"/>
          <w:i/>
          <w:iCs/>
          <w:lang w:eastAsia="en-US"/>
        </w:rPr>
        <w:t>Speedy Fred Taylor and the Ironies of Enterprise Liability</w:t>
      </w:r>
      <w:r w:rsidR="00C85B70" w:rsidRPr="00C85B70">
        <w:rPr>
          <w:rFonts w:ascii="Times New Roman" w:eastAsia="Times New Roman" w:hAnsi="Times New Roman" w:cs="Times New Roman"/>
          <w:lang w:eastAsia="en-US"/>
        </w:rPr>
        <w:t xml:space="preserve">, 103 </w:t>
      </w:r>
      <w:r w:rsidR="00C85B70" w:rsidRPr="00C85B70">
        <w:rPr>
          <w:rFonts w:ascii="Times New Roman" w:eastAsia="Times New Roman" w:hAnsi="Times New Roman" w:cs="Times New Roman"/>
          <w:smallCaps/>
          <w:lang w:eastAsia="en-US"/>
        </w:rPr>
        <w:t>Colum. L. Rev.</w:t>
      </w:r>
      <w:r w:rsidR="00C85B70" w:rsidRPr="00C85B70">
        <w:rPr>
          <w:rFonts w:ascii="Times New Roman" w:eastAsia="Times New Roman" w:hAnsi="Times New Roman" w:cs="Times New Roman"/>
          <w:lang w:eastAsia="en-US"/>
        </w:rPr>
        <w:t xml:space="preserve"> 1 (2003).</w:t>
      </w:r>
    </w:p>
    <w:p w14:paraId="1EA67F33" w14:textId="77777777" w:rsidR="00C85B70" w:rsidRPr="00C85B70" w:rsidRDefault="00C85B70" w:rsidP="00FE7B7F">
      <w:pPr>
        <w:rPr>
          <w:rFonts w:ascii="Times New Roman" w:eastAsia="Times New Roman" w:hAnsi="Times New Roman" w:cs="Times New Roman"/>
          <w:lang w:eastAsia="en-US"/>
        </w:rPr>
      </w:pPr>
    </w:p>
    <w:p w14:paraId="746A8B2F" w14:textId="692DA22E"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Attorneys, or NACCA, brought </w:t>
      </w:r>
      <w:r w:rsidR="000039AA">
        <w:rPr>
          <w:rFonts w:ascii="Times New Roman" w:eastAsia="Times New Roman" w:hAnsi="Times New Roman" w:cs="Times New Roman"/>
          <w:lang w:eastAsia="en-US"/>
        </w:rPr>
        <w:t xml:space="preserve">work accident </w:t>
      </w:r>
      <w:r w:rsidRPr="00C85B70">
        <w:rPr>
          <w:rFonts w:ascii="Times New Roman" w:eastAsia="Times New Roman" w:hAnsi="Times New Roman" w:cs="Times New Roman"/>
          <w:lang w:eastAsia="en-US"/>
        </w:rPr>
        <w:t>claimants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representatives together starting in the early 1940s.  The group initially aimed to work collectively to combat employers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000039AA">
        <w:rPr>
          <w:rFonts w:ascii="Times New Roman" w:eastAsia="Times New Roman" w:hAnsi="Times New Roman" w:cs="Times New Roman"/>
          <w:lang w:eastAsia="en-US"/>
        </w:rPr>
        <w:t>groups</w:t>
      </w:r>
      <w:r w:rsidRPr="00C85B70">
        <w:rPr>
          <w:rFonts w:ascii="Times New Roman" w:eastAsia="Times New Roman" w:hAnsi="Times New Roman" w:cs="Times New Roman"/>
          <w:lang w:eastAsia="en-US"/>
        </w:rPr>
        <w:t xml:space="preserve">, which </w:t>
      </w:r>
      <w:r w:rsidR="000039AA">
        <w:rPr>
          <w:rFonts w:ascii="Times New Roman" w:eastAsia="Times New Roman" w:hAnsi="Times New Roman" w:cs="Times New Roman"/>
          <w:lang w:eastAsia="en-US"/>
        </w:rPr>
        <w:t xml:space="preserve">lobbied state legislatures </w:t>
      </w:r>
      <w:r w:rsidRPr="00C85B70">
        <w:rPr>
          <w:rFonts w:ascii="Times New Roman" w:eastAsia="Times New Roman" w:hAnsi="Times New Roman" w:cs="Times New Roman"/>
          <w:lang w:eastAsia="en-US"/>
        </w:rPr>
        <w:t>to reduce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benefits.  But when it became clear that common law of torts offered claimants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lawyers better prospects than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claims (which had sharply limited lawyers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fees), the claimants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lawyers began to advocate for broader common law liability as well as higher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benefits.  Within a few years, the group renamed itself the Association of Trial Lawyers of America, or ATLA.</w:t>
      </w:r>
    </w:p>
    <w:p w14:paraId="366A8B1A" w14:textId="77777777" w:rsidR="00C85B70" w:rsidRPr="00C85B70" w:rsidRDefault="00C85B70" w:rsidP="00FE7B7F">
      <w:pPr>
        <w:rPr>
          <w:rFonts w:ascii="Times New Roman" w:eastAsia="Times New Roman" w:hAnsi="Times New Roman" w:cs="Times New Roman"/>
          <w:lang w:eastAsia="en-US"/>
        </w:rPr>
      </w:pPr>
    </w:p>
    <w:p w14:paraId="30673631" w14:textId="57E8F5CF"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NACCA and ATLA lawyers litigated many of the most important products liability cases, including </w:t>
      </w:r>
      <w:r w:rsidRPr="750671CE">
        <w:rPr>
          <w:rFonts w:ascii="Times New Roman" w:eastAsia="Times New Roman" w:hAnsi="Times New Roman" w:cs="Times New Roman"/>
          <w:i/>
          <w:iCs/>
          <w:lang w:eastAsia="en-US"/>
        </w:rPr>
        <w:t>Escola</w:t>
      </w:r>
      <w:r w:rsidRPr="00C85B70">
        <w:rPr>
          <w:rFonts w:ascii="Times New Roman" w:eastAsia="Times New Roman" w:hAnsi="Times New Roman" w:cs="Times New Roman"/>
          <w:lang w:eastAsia="en-US"/>
        </w:rPr>
        <w:t xml:space="preserve">.  They also began to turn their attention to helping friendly judges get elected in the state supreme courts.  And their project seems to have worked, at least through the 1970s.  For an account, see </w:t>
      </w:r>
      <w:r w:rsidR="00A73299">
        <w:rPr>
          <w:rFonts w:ascii="Times New Roman" w:eastAsia="Times New Roman" w:hAnsi="Times New Roman" w:cs="Times New Roman"/>
          <w:lang w:eastAsia="en-US"/>
        </w:rPr>
        <w:t xml:space="preserve">John Fabian </w:t>
      </w:r>
      <w:r w:rsidRPr="00C85B70">
        <w:rPr>
          <w:rFonts w:ascii="Times New Roman" w:eastAsia="Times New Roman" w:hAnsi="Times New Roman" w:cs="Times New Roman"/>
          <w:lang w:eastAsia="en-US"/>
        </w:rPr>
        <w:t xml:space="preserve">Witt, </w:t>
      </w:r>
      <w:r w:rsidRPr="750671CE">
        <w:rPr>
          <w:rFonts w:ascii="Times New Roman" w:eastAsia="Times New Roman" w:hAnsi="Times New Roman" w:cs="Times New Roman"/>
          <w:i/>
          <w:iCs/>
          <w:lang w:eastAsia="en-US"/>
        </w:rPr>
        <w:t>The King and the Dean: Melvin Belli, Roscoe Pound, and the Common Law Nation</w:t>
      </w:r>
      <w:r w:rsidRPr="00C85B70">
        <w:rPr>
          <w:rFonts w:ascii="Times New Roman" w:eastAsia="Times New Roman" w:hAnsi="Times New Roman" w:cs="Times New Roman"/>
          <w:lang w:eastAsia="en-US"/>
        </w:rPr>
        <w:t xml:space="preserve">, </w:t>
      </w:r>
      <w:r w:rsidRPr="00F94B7E">
        <w:rPr>
          <w:rFonts w:ascii="Times New Roman" w:eastAsia="Times New Roman" w:hAnsi="Times New Roman" w:cs="Times New Roman"/>
          <w:i/>
          <w:lang w:eastAsia="en-US"/>
        </w:rPr>
        <w:t>in</w:t>
      </w:r>
      <w:r w:rsidRPr="00C85B70">
        <w:rPr>
          <w:rFonts w:ascii="Times New Roman" w:eastAsia="Times New Roman" w:hAnsi="Times New Roman" w:cs="Times New Roman"/>
          <w:lang w:eastAsia="en-US"/>
        </w:rPr>
        <w:t xml:space="preserve"> </w:t>
      </w:r>
      <w:r w:rsidR="00A73299" w:rsidRPr="00F94B7E">
        <w:rPr>
          <w:rFonts w:ascii="Times New Roman" w:eastAsia="Times New Roman" w:hAnsi="Times New Roman" w:cs="Times New Roman"/>
          <w:smallCaps/>
          <w:lang w:eastAsia="en-US"/>
        </w:rPr>
        <w:t xml:space="preserve">John Fabian </w:t>
      </w:r>
      <w:r w:rsidRPr="00C85B70">
        <w:rPr>
          <w:rFonts w:ascii="Times New Roman" w:eastAsia="Times New Roman" w:hAnsi="Times New Roman" w:cs="Times New Roman"/>
          <w:smallCaps/>
          <w:lang w:eastAsia="en-US"/>
        </w:rPr>
        <w:t>Witt, Patriots and Cosmopolitans: Hidden Histories of American Law</w:t>
      </w:r>
      <w:r w:rsidRPr="00C85B70">
        <w:rPr>
          <w:rFonts w:ascii="Times New Roman" w:eastAsia="Times New Roman" w:hAnsi="Times New Roman" w:cs="Times New Roman"/>
          <w:lang w:eastAsia="en-US"/>
        </w:rPr>
        <w:t xml:space="preserve"> (2007).  </w:t>
      </w:r>
    </w:p>
    <w:p w14:paraId="0296D62A" w14:textId="77777777" w:rsidR="00C85B70" w:rsidRPr="00C85B70" w:rsidRDefault="00C85B70" w:rsidP="00FE7B7F">
      <w:pPr>
        <w:rPr>
          <w:rFonts w:ascii="Times New Roman" w:eastAsia="Times New Roman" w:hAnsi="Times New Roman" w:cs="Times New Roman"/>
          <w:lang w:eastAsia="en-US"/>
        </w:rPr>
      </w:pPr>
    </w:p>
    <w:p w14:paraId="6FA2ACFF" w14:textId="77777777" w:rsidR="00C85B70" w:rsidRPr="00C85B70" w:rsidRDefault="00C85B70" w:rsidP="00FE7B7F">
      <w:pPr>
        <w:rPr>
          <w:rFonts w:ascii="Times New Roman" w:eastAsia="Times New Roman" w:hAnsi="Times New Roman" w:cs="Times New Roman"/>
          <w:lang w:eastAsia="en-US"/>
        </w:rPr>
      </w:pPr>
    </w:p>
    <w:p w14:paraId="4ED3A521" w14:textId="6BD75877" w:rsidR="00C85B70" w:rsidRPr="00F94B7E" w:rsidRDefault="750671CE" w:rsidP="00F94B7E">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makes apparent one important feature of products liability after </w:t>
      </w:r>
      <w:r w:rsidRPr="00F94B7E">
        <w:rPr>
          <w:rFonts w:ascii="Times New Roman" w:eastAsia="Times New Roman" w:hAnsi="Times New Roman" w:cs="Times New Roman"/>
          <w:i/>
          <w:iCs/>
          <w:lang w:eastAsia="en-US"/>
        </w:rPr>
        <w:t>Greenman</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Henningsen</w:t>
      </w:r>
      <w:r w:rsidRPr="00F94B7E">
        <w:rPr>
          <w:rFonts w:ascii="Times New Roman" w:eastAsia="Times New Roman" w:hAnsi="Times New Roman" w:cs="Times New Roman"/>
          <w:lang w:eastAsia="en-US"/>
        </w:rPr>
        <w:t xml:space="preserve">.  Modern products liability is a form of compulsory insurance for all product purchasers and users.  When a consumer buys a product, she is also buying an insurance policy from the seller, one that she may not waive or decline, even if she would like to do so.  That insurance policy covers her injuries, or the injuries of other users or third parties, in the event of injury arising out of the use of the product.  </w:t>
      </w:r>
    </w:p>
    <w:p w14:paraId="2872C286" w14:textId="77777777" w:rsidR="00C85B70" w:rsidRPr="00C85B70" w:rsidRDefault="00C85B70" w:rsidP="00FE7B7F">
      <w:pPr>
        <w:rPr>
          <w:rFonts w:ascii="Times New Roman" w:eastAsia="Times New Roman" w:hAnsi="Times New Roman" w:cs="Times New Roman"/>
          <w:lang w:eastAsia="en-US"/>
        </w:rPr>
      </w:pPr>
    </w:p>
    <w:p w14:paraId="559D58DC" w14:textId="6A5C65AC"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But note that this is not like the insurance our consumer would purchase from her friendly neighborhood insurance broker.  For example, unlike health or accident insurance, this insurance does not set the premium on the basis of the consumer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own risk profile.  Sellers rarely possess information about the purchaser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C85B70" w:rsidRDefault="00C85B70" w:rsidP="00FE7B7F">
      <w:pPr>
        <w:rPr>
          <w:rFonts w:ascii="Times New Roman" w:eastAsia="Times New Roman" w:hAnsi="Times New Roman" w:cs="Times New Roman"/>
          <w:lang w:eastAsia="en-US"/>
        </w:rPr>
      </w:pPr>
    </w:p>
    <w:p w14:paraId="51545B26"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C85B70" w:rsidRDefault="00C85B70" w:rsidP="00FE7B7F">
      <w:pPr>
        <w:ind w:firstLine="720"/>
        <w:rPr>
          <w:rFonts w:ascii="Times New Roman" w:eastAsia="Times New Roman" w:hAnsi="Times New Roman" w:cs="Times New Roman"/>
          <w:lang w:eastAsia="en-US"/>
        </w:rPr>
      </w:pPr>
    </w:p>
    <w:p w14:paraId="3CB45229" w14:textId="3F69B24F"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result is that sellers of products have to charge all purchasers the same premium in the purchase price</w:t>
      </w:r>
      <w:r w:rsidR="00A14B7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C85B70" w:rsidRDefault="00C85B70" w:rsidP="00FE7B7F">
      <w:pPr>
        <w:ind w:firstLine="720"/>
        <w:rPr>
          <w:rFonts w:ascii="Times New Roman" w:eastAsia="Times New Roman" w:hAnsi="Times New Roman" w:cs="Times New Roman"/>
          <w:lang w:eastAsia="en-US"/>
        </w:rPr>
      </w:pPr>
    </w:p>
    <w:p w14:paraId="3A466CF4" w14:textId="54EA5BE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Cross-subsidies alone might not be bad.  They can be useful policy devices, as in health insurance regimes, </w:t>
      </w:r>
      <w:r w:rsidR="000D46E0">
        <w:rPr>
          <w:rFonts w:ascii="Times New Roman" w:eastAsia="Times New Roman" w:hAnsi="Times New Roman" w:cs="Times New Roman"/>
          <w:lang w:eastAsia="en-US"/>
        </w:rPr>
        <w:t xml:space="preserve">for example, </w:t>
      </w:r>
      <w:r w:rsidRPr="750671CE">
        <w:rPr>
          <w:rFonts w:ascii="Times New Roman" w:eastAsia="Times New Roman" w:hAnsi="Times New Roman" w:cs="Times New Roman"/>
          <w:lang w:eastAsia="en-US"/>
        </w:rPr>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750671CE">
        <w:rPr>
          <w:rFonts w:ascii="Times New Roman" w:eastAsia="Times New Roman" w:hAnsi="Times New Roman" w:cs="Times New Roman"/>
          <w:i/>
          <w:iCs/>
          <w:lang w:eastAsia="en-US"/>
        </w:rPr>
        <w:t>See generally</w:t>
      </w:r>
      <w:r w:rsidRPr="750671CE">
        <w:rPr>
          <w:rFonts w:ascii="Times New Roman" w:eastAsia="Times New Roman" w:hAnsi="Times New Roman" w:cs="Times New Roman"/>
          <w:lang w:eastAsia="en-US"/>
        </w:rPr>
        <w:t xml:space="preserve"> George L. Priest, </w:t>
      </w:r>
      <w:r w:rsidRPr="750671CE">
        <w:rPr>
          <w:rFonts w:ascii="Times New Roman" w:eastAsia="Times New Roman" w:hAnsi="Times New Roman" w:cs="Times New Roman"/>
          <w:i/>
          <w:iCs/>
          <w:lang w:eastAsia="en-US"/>
        </w:rPr>
        <w:t>The Current Insurance Crisis and Modern Tort Law</w:t>
      </w:r>
      <w:r w:rsidRPr="750671CE">
        <w:rPr>
          <w:rFonts w:ascii="Times New Roman" w:eastAsia="Times New Roman" w:hAnsi="Times New Roman" w:cs="Times New Roman"/>
          <w:lang w:eastAsia="en-US"/>
        </w:rPr>
        <w:t xml:space="preserve">, 96 </w:t>
      </w:r>
      <w:r w:rsidRPr="00F94B7E">
        <w:rPr>
          <w:rFonts w:ascii="Times New Roman" w:eastAsia="Times New Roman" w:hAnsi="Times New Roman" w:cs="Times New Roman"/>
          <w:smallCaps/>
          <w:lang w:eastAsia="en-US"/>
        </w:rPr>
        <w:t>Yale L.J.</w:t>
      </w:r>
      <w:r w:rsidRPr="750671CE">
        <w:rPr>
          <w:rFonts w:ascii="Times New Roman" w:eastAsia="Times New Roman" w:hAnsi="Times New Roman" w:cs="Times New Roman"/>
          <w:lang w:eastAsia="en-US"/>
        </w:rPr>
        <w:t xml:space="preserve"> 1521 (1987).</w:t>
      </w:r>
    </w:p>
    <w:p w14:paraId="3ACE9E63" w14:textId="77777777" w:rsidR="00C85B70" w:rsidRPr="00C85B70" w:rsidRDefault="00C85B70" w:rsidP="00FE7B7F">
      <w:pPr>
        <w:rPr>
          <w:rFonts w:ascii="Times New Roman" w:eastAsia="Times New Roman" w:hAnsi="Times New Roman" w:cs="Times New Roman"/>
          <w:lang w:eastAsia="en-US"/>
        </w:rPr>
      </w:pPr>
    </w:p>
    <w:p w14:paraId="239F1C53" w14:textId="78544D92"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Pr>
          <w:rFonts w:ascii="Times New Roman" w:eastAsia="Times New Roman" w:hAnsi="Times New Roman" w:cs="Times New Roman"/>
          <w:lang w:eastAsia="en-US"/>
        </w:rPr>
        <w:t>h</w:t>
      </w:r>
      <w:r w:rsidR="000D46E0">
        <w:rPr>
          <w:rFonts w:ascii="Times New Roman" w:eastAsia="Times New Roman" w:hAnsi="Times New Roman" w:cs="Times New Roman"/>
          <w:lang w:eastAsia="en-US"/>
        </w:rPr>
        <w:t>-</w:t>
      </w:r>
      <w:r w:rsidR="000039AA">
        <w:rPr>
          <w:rFonts w:ascii="Times New Roman" w:eastAsia="Times New Roman" w:hAnsi="Times New Roman" w:cs="Times New Roman"/>
          <w:lang w:eastAsia="en-US"/>
        </w:rPr>
        <w:t>income car purchasers buy BMW</w:t>
      </w:r>
      <w:r w:rsidRPr="00C85B70">
        <w:rPr>
          <w:rFonts w:ascii="Times New Roman" w:eastAsia="Times New Roman" w:hAnsi="Times New Roman" w:cs="Times New Roman"/>
          <w:lang w:eastAsia="en-US"/>
        </w:rPr>
        <w:t>s, while lo</w:t>
      </w:r>
      <w:r w:rsidR="000039AA">
        <w:rPr>
          <w:rFonts w:ascii="Times New Roman" w:eastAsia="Times New Roman" w:hAnsi="Times New Roman" w:cs="Times New Roman"/>
          <w:lang w:eastAsia="en-US"/>
        </w:rPr>
        <w:t>w</w:t>
      </w:r>
      <w:r w:rsidR="000D46E0">
        <w:rPr>
          <w:rFonts w:ascii="Times New Roman" w:eastAsia="Times New Roman" w:hAnsi="Times New Roman" w:cs="Times New Roman"/>
          <w:lang w:eastAsia="en-US"/>
        </w:rPr>
        <w:t>-</w:t>
      </w:r>
      <w:r w:rsidR="000039AA">
        <w:rPr>
          <w:rFonts w:ascii="Times New Roman" w:eastAsia="Times New Roman" w:hAnsi="Times New Roman" w:cs="Times New Roman"/>
          <w:lang w:eastAsia="en-US"/>
        </w:rPr>
        <w:t>income car purchasers buy Kia</w:t>
      </w:r>
      <w:r w:rsidRPr="00C85B70">
        <w:rPr>
          <w:rFonts w:ascii="Times New Roman" w:eastAsia="Times New Roman" w:hAnsi="Times New Roman" w:cs="Times New Roman"/>
          <w:lang w:eastAsia="en-US"/>
        </w:rPr>
        <w:t>s.  High</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risk car purchasers buy sports cars, while low</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risk car purchasers buy station wagons.  But there are lots of product markets that have highly heterogeneous consumers.  Who buys Ford sport utility vehicles?  Well-heeled hunters and middle class soccer moms.  Who buys riding lawn mowers?  Working class garden laborers and the owners of mansions with sweeping lawns.  Both pay the same for the product liability insurance that comes</w:t>
      </w:r>
      <w:r w:rsidR="00A14B78">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by law</w:t>
      </w:r>
      <w:r w:rsidR="00A14B78">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with their product.  </w:t>
      </w:r>
    </w:p>
    <w:p w14:paraId="2A0E6642" w14:textId="77777777" w:rsidR="00C85B70" w:rsidRPr="00C85B70" w:rsidRDefault="00C85B70" w:rsidP="00FE7B7F">
      <w:pPr>
        <w:rPr>
          <w:rFonts w:ascii="Times New Roman" w:eastAsia="Times New Roman" w:hAnsi="Times New Roman" w:cs="Times New Roman"/>
          <w:lang w:eastAsia="en-US"/>
        </w:rPr>
      </w:pPr>
    </w:p>
    <w:p w14:paraId="0575BE1C" w14:textId="77777777" w:rsidR="00C85B70" w:rsidRPr="00C85B70" w:rsidRDefault="00C85B70" w:rsidP="00FE7B7F">
      <w:pPr>
        <w:rPr>
          <w:rFonts w:ascii="Times New Roman" w:eastAsia="Times New Roman" w:hAnsi="Times New Roman" w:cs="Times New Roman"/>
          <w:lang w:eastAsia="en-US"/>
        </w:rPr>
      </w:pPr>
    </w:p>
    <w:p w14:paraId="110ADA44" w14:textId="7BF1BF01" w:rsidR="00C85B70" w:rsidRPr="00F94B7E" w:rsidRDefault="750671CE" w:rsidP="00F94B7E">
      <w:pPr>
        <w:pStyle w:val="ListParagraph"/>
        <w:numPr>
          <w:ilvl w:val="0"/>
          <w:numId w:val="46"/>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Manufacturing versus design</w:t>
      </w:r>
      <w:r w:rsidRPr="00F94B7E">
        <w:rPr>
          <w:rFonts w:ascii="Times New Roman" w:eastAsia="Times New Roman" w:hAnsi="Times New Roman" w:cs="Times New Roman"/>
          <w:lang w:eastAsia="en-US"/>
        </w:rPr>
        <w:t>.  So long as the product liability revolution transpired in the domain of manufacturing defects</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areas where a product was defective because it departed from the manufacturer or seller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design</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it met with widespread acceptance.  There were controversial cases, to be sure: cases like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C85B70" w:rsidRDefault="00C85B70" w:rsidP="00FE7B7F">
      <w:pPr>
        <w:rPr>
          <w:rFonts w:ascii="Times New Roman" w:eastAsia="Times New Roman" w:hAnsi="Times New Roman" w:cs="Times New Roman"/>
          <w:lang w:eastAsia="en-US"/>
        </w:rPr>
      </w:pPr>
    </w:p>
    <w:p w14:paraId="666B2993" w14:textId="6BA6350D" w:rsidR="004573AD" w:rsidRDefault="004573AD">
      <w:pPr>
        <w:rPr>
          <w:rFonts w:ascii="Times New Roman" w:eastAsia="Times New Roman" w:hAnsi="Times New Roman" w:cs="Times New Roman"/>
          <w:lang w:eastAsia="en-US"/>
        </w:rPr>
      </w:pPr>
    </w:p>
    <w:p w14:paraId="450B4D9D" w14:textId="26EB77A5" w:rsidR="00C85B70" w:rsidRPr="00E3500C" w:rsidRDefault="00C85B70" w:rsidP="00322687">
      <w:pPr>
        <w:pStyle w:val="Heading3"/>
      </w:pPr>
      <w:bookmarkStart w:id="1021" w:name="_Toc364636281"/>
      <w:bookmarkStart w:id="1022" w:name="_Toc518323556"/>
      <w:r w:rsidRPr="00511C4B">
        <w:t>3.  Design Defects</w:t>
      </w:r>
      <w:bookmarkEnd w:id="1021"/>
      <w:bookmarkEnd w:id="1022"/>
    </w:p>
    <w:p w14:paraId="5DAD6363" w14:textId="77777777" w:rsidR="00C85B70" w:rsidRPr="000D46E0" w:rsidRDefault="00C85B70" w:rsidP="00FE7B7F">
      <w:pPr>
        <w:rPr>
          <w:rFonts w:ascii="Times New Roman" w:eastAsia="Times New Roman" w:hAnsi="Times New Roman" w:cs="Times New Roman"/>
          <w:lang w:eastAsia="en-US"/>
        </w:rPr>
      </w:pPr>
    </w:p>
    <w:p w14:paraId="5FCAC79F" w14:textId="77777777" w:rsidR="00C85B70" w:rsidRPr="000D46E0" w:rsidRDefault="00C85B70" w:rsidP="00FE7B7F">
      <w:pPr>
        <w:rPr>
          <w:rFonts w:ascii="Times New Roman" w:eastAsia="Times New Roman" w:hAnsi="Times New Roman" w:cs="Times New Roman"/>
          <w:lang w:eastAsia="en-US"/>
        </w:rPr>
      </w:pPr>
    </w:p>
    <w:p w14:paraId="4F42C6BA" w14:textId="3259CDBC" w:rsidR="00C85B70" w:rsidRPr="000D46E0" w:rsidRDefault="00C85B70" w:rsidP="750671CE">
      <w:pPr>
        <w:widowControl w:val="0"/>
        <w:autoSpaceDE w:val="0"/>
        <w:autoSpaceDN w:val="0"/>
        <w:adjustRightInd w:val="0"/>
        <w:rPr>
          <w:rFonts w:ascii="Times New Roman" w:eastAsia="Times New Roman" w:hAnsi="Times New Roman" w:cs="Times New Roman"/>
          <w:b/>
          <w:bCs/>
          <w:color w:val="252525"/>
          <w:lang w:eastAsia="en-US"/>
        </w:rPr>
      </w:pPr>
      <w:bookmarkStart w:id="1023" w:name="_Toc518323557"/>
      <w:r w:rsidRPr="000D46E0">
        <w:rPr>
          <w:rStyle w:val="Heading4Char"/>
        </w:rPr>
        <w:t>Barker v. Lull Engineering Company, Inc</w:t>
      </w:r>
      <w:bookmarkEnd w:id="1023"/>
      <w:r w:rsidRPr="000D46E0">
        <w:rPr>
          <w:rFonts w:ascii="Times New Roman" w:eastAsia="Times New Roman" w:hAnsi="Times New Roman" w:cs="Times New Roman"/>
          <w:b/>
          <w:bCs/>
          <w:color w:val="252525"/>
          <w:lang w:eastAsia="en-US"/>
        </w:rPr>
        <w:t>., 573 P.2d 443 (Cal. 1978)</w:t>
      </w:r>
    </w:p>
    <w:p w14:paraId="4FCEA670" w14:textId="77777777" w:rsidR="00C85B70" w:rsidRPr="000D46E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45D3E5F6" w14:textId="2CE9A23D" w:rsidR="00C85B70" w:rsidRPr="000D46E0" w:rsidRDefault="750671CE" w:rsidP="750671CE">
      <w:pPr>
        <w:widowControl w:val="0"/>
        <w:autoSpaceDE w:val="0"/>
        <w:autoSpaceDN w:val="0"/>
        <w:adjustRightInd w:val="0"/>
        <w:spacing w:before="200" w:after="200"/>
        <w:rPr>
          <w:rFonts w:ascii="Times New Roman" w:eastAsia="Times New Roman" w:hAnsi="Times New Roman" w:cs="Times New Roman"/>
          <w:color w:val="000000" w:themeColor="text1"/>
          <w:lang w:eastAsia="en-US"/>
        </w:rPr>
      </w:pPr>
      <w:r w:rsidRPr="000D46E0">
        <w:rPr>
          <w:rFonts w:ascii="Times New Roman" w:eastAsia="Times New Roman" w:hAnsi="Times New Roman" w:cs="Times New Roman"/>
          <w:smallCaps/>
          <w:color w:val="000000" w:themeColor="text1"/>
          <w:lang w:eastAsia="en-US"/>
        </w:rPr>
        <w:t>Tobriner</w:t>
      </w:r>
      <w:r w:rsidRPr="000D46E0">
        <w:rPr>
          <w:rFonts w:ascii="Times New Roman" w:eastAsia="Times New Roman" w:hAnsi="Times New Roman" w:cs="Times New Roman"/>
          <w:color w:val="000000" w:themeColor="text1"/>
          <w:lang w:eastAsia="en-US"/>
        </w:rPr>
        <w:t>, Acting C</w:t>
      </w:r>
      <w:r w:rsidR="000E283D" w:rsidRPr="000D46E0">
        <w:rPr>
          <w:rFonts w:ascii="Times New Roman" w:eastAsia="Times New Roman" w:hAnsi="Times New Roman" w:cs="Times New Roman"/>
          <w:color w:val="000000" w:themeColor="text1"/>
          <w:lang w:eastAsia="en-US"/>
        </w:rPr>
        <w:t>.</w:t>
      </w:r>
      <w:r w:rsidRPr="000D46E0">
        <w:rPr>
          <w:rFonts w:ascii="Times New Roman" w:eastAsia="Times New Roman" w:hAnsi="Times New Roman" w:cs="Times New Roman"/>
          <w:color w:val="000000" w:themeColor="text1"/>
          <w:lang w:eastAsia="en-US"/>
        </w:rPr>
        <w:t>J.</w:t>
      </w:r>
    </w:p>
    <w:p w14:paraId="6D29EEF3" w14:textId="1A01B6CF"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bookmarkStart w:id="1024" w:name="co_anchor_I706fa26673f911e08b05fdf15589d"/>
      <w:bookmarkEnd w:id="1024"/>
      <w:r w:rsidRPr="00C85B70">
        <w:rPr>
          <w:rFonts w:ascii="Times New Roman" w:eastAsia="Times New Roman" w:hAnsi="Times New Roman" w:cs="Times New Roman"/>
          <w:color w:val="000000"/>
          <w:lang w:eastAsia="en-US"/>
        </w:rPr>
        <w:t xml:space="preserve">In August 1970, plaintiff Ray Barker was injured at a construction site at the University of California at Santa </w:t>
      </w:r>
      <w:bookmarkStart w:id="1025" w:name="co_pp_sp_233_417_1"/>
      <w:bookmarkEnd w:id="1025"/>
      <w:r w:rsidRPr="00C85B70">
        <w:rPr>
          <w:rFonts w:ascii="Times New Roman" w:eastAsia="Times New Roman" w:hAnsi="Times New Roman" w:cs="Times New Roman"/>
          <w:color w:val="000000"/>
          <w:lang w:eastAsia="en-US"/>
        </w:rPr>
        <w:t>Cruz while operating a high-lift loader manufactured by defendant Lull Engineering Co. and leased to plaintiff</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risk by trapping him in his seat, and that roll bars were unnecessary because the machine was too bulky to roll.] . . .</w:t>
      </w:r>
    </w:p>
    <w:p w14:paraId="7CC0BF48" w14:textId="4892C623"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jury returned a verdict in favor of defendants, and plaintiff appeals from the judgment entered upon that verdict, contending primarily that in view of this court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decision in </w:t>
      </w:r>
      <w:r w:rsidRPr="750671CE">
        <w:rPr>
          <w:rFonts w:ascii="Times New Roman" w:eastAsia="Times New Roman" w:hAnsi="Times New Roman" w:cs="Times New Roman"/>
          <w:i/>
          <w:iCs/>
          <w:color w:val="000000" w:themeColor="text1"/>
          <w:lang w:eastAsia="en-US"/>
        </w:rPr>
        <w:t>Cronin v. J. B. R. Olson Corp</w:t>
      </w:r>
      <w:r w:rsidRPr="750671CE">
        <w:rPr>
          <w:rFonts w:ascii="Times New Roman" w:eastAsia="Times New Roman" w:hAnsi="Times New Roman" w:cs="Times New Roman"/>
          <w:color w:val="000000" w:themeColor="text1"/>
          <w:lang w:eastAsia="en-US"/>
        </w:rPr>
        <w:t xml:space="preserve">., 501 P.2d 1153 (Cal. 1972), the trial court erred in instructing the jury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that strict liability for a defect in design of a product is based on a finding that the product was unreasonably dangerous for its intended use . . . .</w:t>
      </w:r>
      <w:r w:rsidR="00B05F31">
        <w:rPr>
          <w:rFonts w:ascii="Times New Roman" w:eastAsia="Times New Roman" w:hAnsi="Times New Roman" w:cs="Times New Roman"/>
          <w:color w:val="000000" w:themeColor="text1"/>
          <w:lang w:eastAsia="en-US"/>
        </w:rPr>
        <w:t>”</w:t>
      </w:r>
    </w:p>
    <w:p w14:paraId="6EBAC8E9" w14:textId="77777777" w:rsidR="00E87A1E" w:rsidRDefault="00E87A1E" w:rsidP="0050178C">
      <w:pPr>
        <w:widowControl w:val="0"/>
        <w:autoSpaceDE w:val="0"/>
        <w:autoSpaceDN w:val="0"/>
        <w:adjustRightInd w:val="0"/>
        <w:ind w:firstLine="720"/>
        <w:rPr>
          <w:rFonts w:ascii="Times New Roman" w:eastAsia="Times New Roman" w:hAnsi="Times New Roman" w:cs="Times New Roman"/>
          <w:color w:val="000000"/>
          <w:lang w:eastAsia="en-US"/>
        </w:rPr>
      </w:pPr>
    </w:p>
    <w:p w14:paraId="3DEB5EF6" w14:textId="40217EE9"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As we explain, we agree with plaintiff</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objection to the challenged instruction and conclude that the judgment must be reversed. In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xml:space="preserve">, we reviewed the development of the strict product liability doctrine in California at some length, and concluded that, for a variety of reasons,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element which section 402A of the </w:t>
      </w:r>
      <w:r w:rsidRPr="00F94B7E">
        <w:rPr>
          <w:rFonts w:ascii="Times New Roman" w:eastAsia="Times New Roman" w:hAnsi="Times New Roman" w:cs="Times New Roman"/>
          <w:i/>
          <w:color w:val="000000" w:themeColor="text1"/>
          <w:lang w:eastAsia="en-US"/>
        </w:rPr>
        <w:t xml:space="preserve">Restatement </w:t>
      </w:r>
      <w:r w:rsidR="00A14B78">
        <w:rPr>
          <w:rFonts w:ascii="Times New Roman" w:eastAsia="Times New Roman" w:hAnsi="Times New Roman" w:cs="Times New Roman"/>
          <w:i/>
          <w:color w:val="000000" w:themeColor="text1"/>
          <w:lang w:eastAsia="en-US"/>
        </w:rPr>
        <w:t>(</w:t>
      </w:r>
      <w:r w:rsidRPr="00F94B7E">
        <w:rPr>
          <w:rFonts w:ascii="Times New Roman" w:eastAsia="Times New Roman" w:hAnsi="Times New Roman" w:cs="Times New Roman"/>
          <w:i/>
          <w:color w:val="000000" w:themeColor="text1"/>
          <w:lang w:eastAsia="en-US"/>
        </w:rPr>
        <w:t>Second</w:t>
      </w:r>
      <w:r w:rsidR="00A14B78">
        <w:rPr>
          <w:rFonts w:ascii="Times New Roman" w:eastAsia="Times New Roman" w:hAnsi="Times New Roman" w:cs="Times New Roman"/>
          <w:i/>
          <w:color w:val="000000" w:themeColor="text1"/>
          <w:lang w:eastAsia="en-US"/>
        </w:rPr>
        <w:t>)</w:t>
      </w:r>
      <w:r w:rsidRPr="00F94B7E">
        <w:rPr>
          <w:rFonts w:ascii="Times New Roman" w:eastAsia="Times New Roman" w:hAnsi="Times New Roman" w:cs="Times New Roman"/>
          <w:i/>
          <w:color w:val="000000" w:themeColor="text1"/>
          <w:lang w:eastAsia="en-US"/>
        </w:rPr>
        <w:t xml:space="preserve"> of Torts</w:t>
      </w:r>
      <w:r w:rsidRPr="750671CE">
        <w:rPr>
          <w:rFonts w:ascii="Times New Roman" w:eastAsia="Times New Roman" w:hAnsi="Times New Roman" w:cs="Times New Roman"/>
          <w:color w:val="000000" w:themeColor="text1"/>
          <w:lang w:eastAsia="en-US"/>
        </w:rPr>
        <w:t xml:space="preserve"> had introduced into the definition of a defective product should not be incorporated into a plaintiff</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burden of proof in a product liability action in this state. Although defendants maintain that our </w:t>
      </w:r>
      <w:r w:rsidRPr="004F06C9">
        <w:rPr>
          <w:rFonts w:ascii="Times New Roman" w:eastAsia="Times New Roman" w:hAnsi="Times New Roman" w:cs="Times New Roman"/>
          <w:i/>
          <w:color w:val="000000" w:themeColor="text1"/>
          <w:lang w:eastAsia="en-US"/>
        </w:rPr>
        <w:t>Cronin</w:t>
      </w:r>
      <w:r w:rsidRPr="750671CE">
        <w:rPr>
          <w:rFonts w:ascii="Times New Roman" w:eastAsia="Times New Roman" w:hAnsi="Times New Roman" w:cs="Times New Roman"/>
          <w:color w:val="000000" w:themeColor="text1"/>
          <w:lang w:eastAsia="en-US"/>
        </w:rPr>
        <w:t xml:space="preserve"> decision should properly be interpreted as applying only to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manufacturing defects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and not to the alleged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design defects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at issue here, we shall point out that the </w:t>
      </w:r>
      <w:r w:rsidRPr="004F06C9">
        <w:rPr>
          <w:rFonts w:ascii="Times New Roman" w:eastAsia="Times New Roman" w:hAnsi="Times New Roman" w:cs="Times New Roman"/>
          <w:i/>
          <w:color w:val="000000" w:themeColor="text1"/>
          <w:lang w:eastAsia="en-US"/>
        </w:rPr>
        <w:t>Cronin</w:t>
      </w:r>
      <w:r w:rsidRPr="750671CE">
        <w:rPr>
          <w:rFonts w:ascii="Times New Roman" w:eastAsia="Times New Roman" w:hAnsi="Times New Roman" w:cs="Times New Roman"/>
          <w:color w:val="000000" w:themeColor="text1"/>
          <w:lang w:eastAsia="en-US"/>
        </w:rPr>
        <w:t xml:space="preserve"> decision itself refutes any such distinction. Consequently, we conclude that the instruction was erroneous and that the judgment in favor of defendants must be reversed.</w:t>
      </w:r>
    </w:p>
    <w:p w14:paraId="09A6CC0D"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09B6A387" w14:textId="1BE7A9C7" w:rsidR="00C85B70" w:rsidRPr="00C85B70" w:rsidRDefault="750671CE" w:rsidP="00F94B7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 . . Although in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xml:space="preserve"> we rejected the Restatement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gloss on the defectiveness concept as potentially confusing and unduly restrictive, we shall explain that our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xml:space="preserve"> decision did not dictate that the term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defect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be left undefined in jury instructions given in all product liability cases.</w:t>
      </w:r>
    </w:p>
    <w:p w14:paraId="3EAC3734" w14:textId="48DFB2BF"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As </w:t>
      </w:r>
      <w:r w:rsidRPr="750671CE">
        <w:rPr>
          <w:rFonts w:ascii="Times New Roman" w:eastAsia="Times New Roman" w:hAnsi="Times New Roman" w:cs="Times New Roman"/>
          <w:i/>
          <w:iCs/>
          <w:color w:val="000000"/>
          <w:lang w:eastAsia="en-US"/>
        </w:rPr>
        <w:t>Cronin</w:t>
      </w:r>
      <w:r w:rsidRPr="00C85B70">
        <w:rPr>
          <w:rFonts w:ascii="Times New Roman" w:eastAsia="Times New Roman" w:hAnsi="Times New Roman" w:cs="Times New Roman"/>
          <w:color w:val="000000"/>
          <w:lang w:eastAsia="en-US"/>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defect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will require little or no elaboration, in other instances, as when </w:t>
      </w:r>
      <w:bookmarkStart w:id="1026" w:name="co_pp_sp_233_418_1"/>
      <w:bookmarkEnd w:id="1026"/>
      <w:r w:rsidRPr="00C85B70">
        <w:rPr>
          <w:rFonts w:ascii="Times New Roman" w:eastAsia="Times New Roman" w:hAnsi="Times New Roman" w:cs="Times New Roman"/>
          <w:color w:val="000000"/>
          <w:lang w:eastAsia="en-US"/>
        </w:rPr>
        <w:t xml:space="preserve">a product is claimed to be defective because of an unsafe design or an inadequate warning, the contours of the defect concept may not be self-evident. In such a case a trial judge may find it necessary to explain more fully to the jury the legal meaning of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defect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or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defective.</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p>
    <w:p w14:paraId="6FCE9277" w14:textId="1394926D"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As numerous recent judicial decisions and academic commentaries have recognized, the formulation of a satisfactory definition of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design defect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has proven a formidable task; trial judges have repeatedly confronted difficulties in attempting to devise accurate and helpful instructions in design defect cases. Aware of these problems, we have undertaken a review of the past California decisions which have grappled with the design defect issue, and have measured their conclusions against the fundamental policies which underlie the entire strict product liability doctrine.</w:t>
      </w:r>
    </w:p>
    <w:p w14:paraId="62D5D17F" w14:textId="6CF091D4"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As we explain in more detail below, we have concluded from this review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In addition, we explain how the burden of proof with respect to the latter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risk-benefit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standard should be allocated.</w:t>
      </w:r>
    </w:p>
    <w:p w14:paraId="3FD2CF20" w14:textId="75B3E209"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This dual standard for design defect assures an injured plaintiff protection from products that either fall below ordinary </w:t>
      </w:r>
      <w:bookmarkStart w:id="1027" w:name="co_pp_sp_227_229_1"/>
      <w:bookmarkEnd w:id="1027"/>
      <w:r w:rsidRPr="00C85B70">
        <w:rPr>
          <w:rFonts w:ascii="Times New Roman" w:eastAsia="Times New Roman" w:hAnsi="Times New Roman" w:cs="Times New Roman"/>
          <w:color w:val="000000"/>
          <w:lang w:eastAsia="en-US"/>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conduct, and that the plaintiff need not prove that the manufacturer acted unreasonably or negligently in order to prevail in such an action. . . .</w:t>
      </w:r>
    </w:p>
    <w:p w14:paraId="1560DE3D"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1028" w:name="co_anchor_I706fa26773f911e08b05fdf15589d"/>
      <w:bookmarkEnd w:id="1028"/>
    </w:p>
    <w:p w14:paraId="403A74F2" w14:textId="5E806B04" w:rsidR="00C85B70" w:rsidRPr="00C85B70" w:rsidRDefault="00C85B70" w:rsidP="750671CE">
      <w:pPr>
        <w:widowControl w:val="0"/>
        <w:autoSpaceDE w:val="0"/>
        <w:autoSpaceDN w:val="0"/>
        <w:adjustRightInd w:val="0"/>
        <w:spacing w:before="200"/>
        <w:rPr>
          <w:rFonts w:ascii="Times New Roman" w:eastAsia="Times New Roman" w:hAnsi="Times New Roman" w:cs="Times New Roman"/>
          <w:i/>
          <w:iCs/>
          <w:color w:val="000000" w:themeColor="text1"/>
          <w:lang w:eastAsia="en-US"/>
        </w:rPr>
      </w:pPr>
      <w:bookmarkStart w:id="1029" w:name="co_pp_sp_233_419_1"/>
      <w:bookmarkEnd w:id="1029"/>
      <w:r w:rsidRPr="750671CE">
        <w:rPr>
          <w:rFonts w:ascii="Times New Roman" w:eastAsia="Times New Roman" w:hAnsi="Times New Roman" w:cs="Times New Roman"/>
          <w:i/>
          <w:iCs/>
          <w:color w:val="000000"/>
          <w:lang w:eastAsia="en-US"/>
        </w:rPr>
        <w:t xml:space="preserve">2. The trial court erred in instructing the jurors that </w:t>
      </w:r>
      <w:r w:rsidR="00B05F31">
        <w:rPr>
          <w:rFonts w:ascii="Times New Roman" w:eastAsia="Times New Roman" w:hAnsi="Times New Roman" w:cs="Times New Roman"/>
          <w:i/>
          <w:iCs/>
          <w:color w:val="000000"/>
          <w:lang w:eastAsia="en-US"/>
        </w:rPr>
        <w:t>“</w:t>
      </w:r>
      <w:r w:rsidRPr="750671CE">
        <w:rPr>
          <w:rFonts w:ascii="Times New Roman" w:eastAsia="Times New Roman" w:hAnsi="Times New Roman" w:cs="Times New Roman"/>
          <w:i/>
          <w:iCs/>
          <w:color w:val="000000"/>
          <w:lang w:eastAsia="en-US"/>
        </w:rPr>
        <w:t>strict liability for a defect in design . . . is based on a finding that the product was unreasonably dangerous for its intended use.</w:t>
      </w:r>
      <w:r w:rsidR="00B05F31">
        <w:rPr>
          <w:rFonts w:ascii="Times New Roman" w:eastAsia="Times New Roman" w:hAnsi="Times New Roman" w:cs="Times New Roman"/>
          <w:i/>
          <w:iCs/>
          <w:color w:val="000000"/>
          <w:lang w:eastAsia="en-US"/>
        </w:rPr>
        <w:t>”</w:t>
      </w:r>
    </w:p>
    <w:p w14:paraId="1DA536E4" w14:textId="227744C9" w:rsidR="00C85B70" w:rsidRPr="009E54E4"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9E54E4">
        <w:rPr>
          <w:rFonts w:ascii="Times New Roman" w:eastAsia="Times New Roman" w:hAnsi="Times New Roman" w:cs="Times New Roman"/>
          <w:color w:val="000000"/>
          <w:lang w:eastAsia="en-US"/>
        </w:rPr>
        <w:t xml:space="preserve">Plaintiff principally contends that the trial court committed prejudicial error in instructing the jury </w:t>
      </w:r>
      <w:r w:rsidR="00B05F31" w:rsidRPr="00735627">
        <w:rPr>
          <w:rFonts w:ascii="Times New Roman" w:eastAsia="Times New Roman" w:hAnsi="Times New Roman" w:cs="Times New Roman"/>
          <w:color w:val="000000"/>
          <w:lang w:eastAsia="en-US"/>
        </w:rPr>
        <w:t>“</w:t>
      </w:r>
      <w:r w:rsidRPr="009E54E4">
        <w:rPr>
          <w:rFonts w:ascii="Times New Roman" w:eastAsia="Times New Roman" w:hAnsi="Times New Roman" w:cs="Times New Roman"/>
          <w:color w:val="000000"/>
          <w:lang w:eastAsia="en-US"/>
        </w:rPr>
        <w:t>that strict liability for a defect in design of a product is based on a finding that the product was unreasonably dangerous for its intended use. . . .</w:t>
      </w:r>
      <w:r w:rsidR="00B05F31" w:rsidRPr="009E54E4">
        <w:rPr>
          <w:rFonts w:ascii="Times New Roman" w:eastAsia="Times New Roman" w:hAnsi="Times New Roman" w:cs="Times New Roman"/>
          <w:color w:val="000000"/>
          <w:lang w:eastAsia="en-US"/>
        </w:rPr>
        <w:t>”</w:t>
      </w:r>
      <w:bookmarkStart w:id="1030" w:name="co_footnoteReference_B00441978108003_ID0"/>
      <w:bookmarkEnd w:id="1030"/>
      <w:r w:rsidRPr="00F94B7E">
        <w:rPr>
          <w:rFonts w:ascii="Times New Roman" w:hAnsi="Times New Roman" w:cs="Times New Roman"/>
        </w:rPr>
        <w:fldChar w:fldCharType="begin"/>
      </w:r>
      <w:r w:rsidRPr="009E54E4">
        <w:rPr>
          <w:rFonts w:ascii="Times New Roman" w:eastAsia="Times New Roman" w:hAnsi="Times New Roman" w:cs="Times New Roman"/>
          <w:color w:val="000000"/>
          <w:lang w:eastAsia="en-US"/>
        </w:rPr>
        <w:instrText xml:space="preserve">HYPERLINK "#co_footnote_B00441978108003_1" </w:instrText>
      </w:r>
      <w:r w:rsidRPr="00F94B7E">
        <w:rPr>
          <w:rFonts w:ascii="Times New Roman" w:eastAsia="Times New Roman" w:hAnsi="Times New Roman" w:cs="Times New Roman"/>
          <w:color w:val="000000"/>
          <w:lang w:eastAsia="en-US"/>
        </w:rPr>
        <w:fldChar w:fldCharType="separate"/>
      </w:r>
      <w:r w:rsidRPr="009E54E4">
        <w:rPr>
          <w:rFonts w:ascii="Times New Roman" w:eastAsia="Times New Roman" w:hAnsi="Times New Roman" w:cs="Times New Roman"/>
          <w:color w:val="0000FF"/>
          <w:vertAlign w:val="superscript"/>
          <w:lang w:eastAsia="en-US"/>
        </w:rPr>
        <w:t>4</w:t>
      </w:r>
      <w:r w:rsidRPr="00F94B7E">
        <w:rPr>
          <w:rFonts w:ascii="Times New Roman" w:hAnsi="Times New Roman" w:cs="Times New Roman"/>
        </w:rPr>
        <w:fldChar w:fldCharType="end"/>
      </w:r>
      <w:r w:rsidRPr="009E54E4">
        <w:rPr>
          <w:rFonts w:ascii="Times New Roman" w:eastAsia="Times New Roman" w:hAnsi="Times New Roman" w:cs="Times New Roman"/>
          <w:color w:val="000000"/>
          <w:lang w:eastAsia="en-US"/>
        </w:rPr>
        <w:t xml:space="preserve"> Plaintiff maintains that this instruction conflicts directly with this court</w:t>
      </w:r>
      <w:r w:rsidR="00B05F31" w:rsidRPr="00735627">
        <w:rPr>
          <w:rFonts w:ascii="Times New Roman" w:eastAsia="Times New Roman" w:hAnsi="Times New Roman" w:cs="Times New Roman"/>
          <w:color w:val="000000"/>
          <w:lang w:eastAsia="en-US"/>
        </w:rPr>
        <w:t>’</w:t>
      </w:r>
      <w:r w:rsidRPr="009E54E4">
        <w:rPr>
          <w:rFonts w:ascii="Times New Roman" w:eastAsia="Times New Roman" w:hAnsi="Times New Roman" w:cs="Times New Roman"/>
          <w:color w:val="000000"/>
          <w:lang w:eastAsia="en-US"/>
        </w:rPr>
        <w:t xml:space="preserve">s decision in </w:t>
      </w:r>
      <w:r w:rsidRPr="009E54E4">
        <w:rPr>
          <w:rFonts w:ascii="Times New Roman" w:eastAsia="Times New Roman" w:hAnsi="Times New Roman" w:cs="Times New Roman"/>
          <w:i/>
          <w:iCs/>
          <w:color w:val="000000"/>
          <w:lang w:eastAsia="en-US"/>
        </w:rPr>
        <w:t>Cronin</w:t>
      </w:r>
      <w:r w:rsidRPr="009E54E4">
        <w:rPr>
          <w:rFonts w:ascii="Times New Roman" w:eastAsia="Times New Roman" w:hAnsi="Times New Roman" w:cs="Times New Roman"/>
          <w:color w:val="000000"/>
          <w:lang w:eastAsia="en-US"/>
        </w:rPr>
        <w:t xml:space="preserve">, decided </w:t>
      </w:r>
      <w:bookmarkStart w:id="1031" w:name="co_pp_sp_233_423_1"/>
      <w:bookmarkEnd w:id="1031"/>
      <w:r w:rsidRPr="009E54E4">
        <w:rPr>
          <w:rFonts w:ascii="Times New Roman" w:eastAsia="Times New Roman" w:hAnsi="Times New Roman" w:cs="Times New Roman"/>
          <w:color w:val="000000"/>
          <w:lang w:eastAsia="en-US"/>
        </w:rPr>
        <w:t xml:space="preserve">subsequently to the instant trial, and mandates a reversal of the judgment. Defendants argue, in response, that our </w:t>
      </w:r>
      <w:r w:rsidRPr="009E54E4">
        <w:rPr>
          <w:rFonts w:ascii="Times New Roman" w:eastAsia="Times New Roman" w:hAnsi="Times New Roman" w:cs="Times New Roman"/>
          <w:i/>
          <w:iCs/>
          <w:color w:val="000000"/>
          <w:lang w:eastAsia="en-US"/>
        </w:rPr>
        <w:t>Cronin</w:t>
      </w:r>
      <w:r w:rsidRPr="009E54E4">
        <w:rPr>
          <w:rFonts w:ascii="Times New Roman" w:eastAsia="Times New Roman" w:hAnsi="Times New Roman" w:cs="Times New Roman"/>
          <w:color w:val="000000"/>
          <w:lang w:eastAsia="en-US"/>
        </w:rPr>
        <w:t xml:space="preserve"> decision should not be applied to product liability actions which involve </w:t>
      </w:r>
      <w:r w:rsidR="00B05F31" w:rsidRPr="009E54E4">
        <w:rPr>
          <w:rFonts w:ascii="Times New Roman" w:eastAsia="Times New Roman" w:hAnsi="Times New Roman" w:cs="Times New Roman"/>
          <w:color w:val="000000"/>
          <w:lang w:eastAsia="en-US"/>
        </w:rPr>
        <w:t>“</w:t>
      </w:r>
      <w:r w:rsidRPr="009E54E4">
        <w:rPr>
          <w:rFonts w:ascii="Times New Roman" w:eastAsia="Times New Roman" w:hAnsi="Times New Roman" w:cs="Times New Roman"/>
          <w:color w:val="000000"/>
          <w:lang w:eastAsia="en-US"/>
        </w:rPr>
        <w:t>design defects</w:t>
      </w:r>
      <w:r w:rsidR="00B05F31" w:rsidRPr="009E54E4">
        <w:rPr>
          <w:rFonts w:ascii="Times New Roman" w:eastAsia="Times New Roman" w:hAnsi="Times New Roman" w:cs="Times New Roman"/>
          <w:color w:val="000000"/>
          <w:lang w:eastAsia="en-US"/>
        </w:rPr>
        <w:t>”</w:t>
      </w:r>
      <w:r w:rsidRPr="009E54E4">
        <w:rPr>
          <w:rFonts w:ascii="Times New Roman" w:eastAsia="Times New Roman" w:hAnsi="Times New Roman" w:cs="Times New Roman"/>
          <w:color w:val="000000"/>
          <w:lang w:eastAsia="en-US"/>
        </w:rPr>
        <w:t xml:space="preserve"> as distinguished from </w:t>
      </w:r>
      <w:r w:rsidR="00B05F31" w:rsidRPr="009E54E4">
        <w:rPr>
          <w:rFonts w:ascii="Times New Roman" w:eastAsia="Times New Roman" w:hAnsi="Times New Roman" w:cs="Times New Roman"/>
          <w:color w:val="000000"/>
          <w:lang w:eastAsia="en-US"/>
        </w:rPr>
        <w:t>“</w:t>
      </w:r>
      <w:r w:rsidRPr="009E54E4">
        <w:rPr>
          <w:rFonts w:ascii="Times New Roman" w:eastAsia="Times New Roman" w:hAnsi="Times New Roman" w:cs="Times New Roman"/>
          <w:color w:val="000000"/>
          <w:lang w:eastAsia="en-US"/>
        </w:rPr>
        <w:t>manufacturing defects.</w:t>
      </w:r>
      <w:r w:rsidR="00B05F31" w:rsidRPr="009E54E4">
        <w:rPr>
          <w:rFonts w:ascii="Times New Roman" w:eastAsia="Times New Roman" w:hAnsi="Times New Roman" w:cs="Times New Roman"/>
          <w:color w:val="000000"/>
          <w:lang w:eastAsia="en-US"/>
        </w:rPr>
        <w:t>”</w:t>
      </w:r>
    </w:p>
    <w:p w14:paraId="66378D89" w14:textId="18D7A6C2"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plaintiff in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a driver of a bread delivery truck, was seriously injured when, during an accident, a metal hasp which held the truck</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bread trays in place broke, permitting the trays to slide forward and propel plaintiff through the truck</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because it was extremely porous and had a significantly lower tolerance to force than a non-flawed aluminum hasp would have had,</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and, on the basis of this evidence, the jury returned a verdict in favor of plaintiff.</w:t>
      </w:r>
    </w:p>
    <w:p w14:paraId="7C3DB042" w14:textId="3D54569B"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bookmarkStart w:id="1032" w:name="co_pp_sp_227_232_1"/>
      <w:bookmarkEnd w:id="1032"/>
      <w:r w:rsidRPr="00C85B70">
        <w:rPr>
          <w:rFonts w:ascii="Times New Roman" w:eastAsia="Times New Roman" w:hAnsi="Times New Roman" w:cs="Times New Roman"/>
          <w:color w:val="000000"/>
          <w:lang w:eastAsia="en-US"/>
        </w:rPr>
        <w:t xml:space="preserve">On appeal, defendant in Cronin argued that the trial court had erred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by submitting a definition of strict liability which failed to include, as defendant requested, the element that the defect found in the product be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unreasonably dangerous.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Relying upon section 402A of the Restatement Second of Torts</w:t>
      </w:r>
      <w:bookmarkStart w:id="1033" w:name="co_footnoteReference_B00551978108003_ID0"/>
      <w:bookmarkEnd w:id="1033"/>
      <w:r w:rsidRPr="00C85B70">
        <w:rPr>
          <w:rFonts w:ascii="Times New Roman" w:eastAsia="Times New Roman" w:hAnsi="Times New Roman" w:cs="Times New Roman"/>
          <w:color w:val="000000"/>
          <w:lang w:eastAsia="en-US"/>
        </w:rPr>
        <w:t xml:space="preserve"> and a number of California decisions which had utilized the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unreasonably dangerous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terminology in the product liability context,</w:t>
      </w:r>
      <w:bookmarkStart w:id="1034" w:name="co_footnoteReference_B00661978108003_ID0"/>
      <w:bookmarkEnd w:id="1034"/>
      <w:r w:rsidRPr="00C85B70">
        <w:rPr>
          <w:rFonts w:ascii="Times New Roman" w:eastAsia="Times New Roman" w:hAnsi="Times New Roman" w:cs="Times New Roman"/>
          <w:color w:val="000000"/>
          <w:lang w:eastAsia="en-US"/>
        </w:rPr>
        <w:t xml:space="preserve"> the defendant in Cronin maintained that a product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unreasonable dangerousness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was an essential element that a plaintiff must establish in any product liability action.</w:t>
      </w:r>
    </w:p>
    <w:p w14:paraId="1E8DC669" w14:textId="77777777" w:rsidR="001B6B42" w:rsidRDefault="001B6B42" w:rsidP="00E754BB">
      <w:pPr>
        <w:widowControl w:val="0"/>
        <w:autoSpaceDE w:val="0"/>
        <w:autoSpaceDN w:val="0"/>
        <w:adjustRightInd w:val="0"/>
        <w:ind w:firstLine="720"/>
        <w:rPr>
          <w:rFonts w:ascii="Times New Roman" w:eastAsia="Times New Roman" w:hAnsi="Times New Roman" w:cs="Times New Roman"/>
          <w:color w:val="000000"/>
          <w:lang w:eastAsia="en-US"/>
        </w:rPr>
      </w:pPr>
    </w:p>
    <w:p w14:paraId="4139A7D6" w14:textId="2168F64F"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After undertaking a thorough review of the origins and development of both California product liability doctrine and the Restatement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criterion, we rejected the defendant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contention, concluding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750671CE">
        <w:rPr>
          <w:rFonts w:ascii="Times New Roman" w:eastAsia="Times New Roman" w:hAnsi="Times New Roman" w:cs="Times New Roman"/>
          <w:i/>
          <w:iCs/>
          <w:color w:val="000000" w:themeColor="text1"/>
          <w:lang w:eastAsia="en-US"/>
        </w:rPr>
        <w:t>Greenman v. Yuba Power Products</w:t>
      </w:r>
      <w:r w:rsidRPr="750671CE">
        <w:rPr>
          <w:rFonts w:ascii="Times New Roman" w:eastAsia="Times New Roman" w:hAnsi="Times New Roman" w:cs="Times New Roman"/>
          <w:color w:val="000000" w:themeColor="text1"/>
          <w:lang w:eastAsia="en-US"/>
        </w:rPr>
        <w:t>, California</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seminal product liability decision . . . . </w:t>
      </w:r>
    </w:p>
    <w:p w14:paraId="5BE88B1E" w14:textId="7C5038F9"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As we noted in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xml:space="preserve">, the Restatement draftsmen adopted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language primarily as a means of confining the application of strict tort liability to an article which is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dangerous to an extent beyond that which would be contemplated by the ordinary consumer who purchases it, with the ordinary knowledge common to the community as to its characteristics.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r w:rsidRPr="00F94B7E">
        <w:rPr>
          <w:rFonts w:ascii="Times New Roman" w:eastAsia="Times New Roman" w:hAnsi="Times New Roman" w:cs="Times New Roman"/>
          <w:smallCaps/>
          <w:color w:val="000000" w:themeColor="text1"/>
          <w:lang w:eastAsia="en-US"/>
        </w:rPr>
        <w:t>Rest</w:t>
      </w:r>
      <w:r w:rsidR="00A14B78" w:rsidRPr="00F94B7E">
        <w:rPr>
          <w:rFonts w:ascii="Times New Roman" w:eastAsia="Times New Roman" w:hAnsi="Times New Roman" w:cs="Times New Roman"/>
          <w:smallCaps/>
          <w:color w:val="000000" w:themeColor="text1"/>
          <w:lang w:eastAsia="en-US"/>
        </w:rPr>
        <w:t>atement (Second)</w:t>
      </w:r>
      <w:r w:rsidRPr="00F94B7E">
        <w:rPr>
          <w:rFonts w:ascii="Times New Roman" w:eastAsia="Times New Roman" w:hAnsi="Times New Roman" w:cs="Times New Roman"/>
          <w:smallCaps/>
          <w:color w:val="000000" w:themeColor="text1"/>
          <w:lang w:eastAsia="en-US"/>
        </w:rPr>
        <w:t xml:space="preserve"> Torts</w:t>
      </w:r>
      <w:r w:rsidRPr="750671CE">
        <w:rPr>
          <w:rFonts w:ascii="Times New Roman" w:eastAsia="Times New Roman" w:hAnsi="Times New Roman" w:cs="Times New Roman"/>
          <w:color w:val="000000" w:themeColor="text1"/>
          <w:lang w:eastAsia="en-US"/>
        </w:rPr>
        <w:t xml:space="preserve">, </w:t>
      </w:r>
      <w:r w:rsidR="00A14B78">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402A, com. i.  In </w:t>
      </w:r>
      <w:r w:rsidRPr="750671CE">
        <w:rPr>
          <w:rFonts w:ascii="Times New Roman" w:eastAsia="Times New Roman" w:hAnsi="Times New Roman" w:cs="Times New Roman"/>
          <w:i/>
          <w:iCs/>
          <w:color w:val="000000" w:themeColor="text1"/>
          <w:lang w:eastAsia="en-US"/>
        </w:rPr>
        <w:t>Cronin</w:t>
      </w:r>
      <w:r w:rsidRPr="750671CE">
        <w:rPr>
          <w:rFonts w:ascii="Times New Roman" w:eastAsia="Times New Roman" w:hAnsi="Times New Roman" w:cs="Times New Roman"/>
          <w:color w:val="000000" w:themeColor="text1"/>
          <w:lang w:eastAsia="en-US"/>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responsibility for injuries caused by that product. . . .</w:t>
      </w:r>
    </w:p>
    <w:p w14:paraId="032DD797" w14:textId="28F9DBC0"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Thus, our rejection of the use of the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unreasonably dangerous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terminology in </w:t>
      </w:r>
      <w:r w:rsidRPr="750671CE">
        <w:rPr>
          <w:rFonts w:ascii="Times New Roman" w:eastAsia="Times New Roman" w:hAnsi="Times New Roman" w:cs="Times New Roman"/>
          <w:i/>
          <w:iCs/>
          <w:color w:val="000000"/>
          <w:lang w:eastAsia="en-US"/>
        </w:rPr>
        <w:t>Cronin</w:t>
      </w:r>
      <w:r w:rsidRPr="00C85B70">
        <w:rPr>
          <w:rFonts w:ascii="Times New Roman" w:eastAsia="Times New Roman" w:hAnsi="Times New Roman" w:cs="Times New Roman"/>
          <w:color w:val="000000"/>
          <w:lang w:eastAsia="en-US"/>
        </w:rPr>
        <w:t xml:space="preserve"> rested in part on a concern that a jury might interpret such an instruction, as the Restatement draftsman had indeed intended, as shielding a defendant from liability so long as the product did not fall below the ordinary consumer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expectations as to the product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safety.</w:t>
      </w:r>
      <w:bookmarkStart w:id="1035" w:name="co_footnoteReference_B00771978108003_ID0"/>
      <w:bookmarkEnd w:id="1035"/>
      <w:r w:rsidRPr="00C85B70">
        <w:rPr>
          <w:rFonts w:ascii="Times New Roman" w:eastAsia="Times New Roman" w:hAnsi="Times New Roman" w:cs="Times New Roman"/>
          <w:color w:val="000000"/>
          <w:lang w:eastAsia="en-US"/>
        </w:rPr>
        <w:t xml:space="preserve"> [T]he dangers posed by such a misconception by the jury extend to cases involving design defects as well as to actions involving manufacturing defects: indeed, the danger of confusion is perhaps more pronounced in design cases in which the manufacturer could frequently argue that its product satisfied ordinary consumer expectations since it was identical to other items of the same product line with which the consumer may well have been familiar. . . .</w:t>
      </w:r>
    </w:p>
    <w:p w14:paraId="10B47F98" w14:textId="77777777" w:rsidR="00C85B70" w:rsidRPr="00C85B70" w:rsidRDefault="00C85B70" w:rsidP="750671CE">
      <w:pPr>
        <w:widowControl w:val="0"/>
        <w:autoSpaceDE w:val="0"/>
        <w:autoSpaceDN w:val="0"/>
        <w:adjustRightInd w:val="0"/>
        <w:spacing w:before="100" w:beforeAutospacing="1"/>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Consequently, we conclude that the design defect instruction given in the instant case was erroneous.</w:t>
      </w:r>
      <w:bookmarkStart w:id="1036" w:name="co_footnoteReference_B00991978108003_ID0"/>
      <w:bookmarkEnd w:id="1036"/>
      <w:r w:rsidRPr="00C85B70">
        <w:rPr>
          <w:rFonts w:ascii="Times New Roman" w:eastAsia="Times New Roman" w:hAnsi="Times New Roman" w:cs="Times New Roman"/>
          <w:color w:val="000000"/>
          <w:lang w:eastAsia="en-US"/>
        </w:rPr>
        <w:t xml:space="preserve"> </w:t>
      </w:r>
      <w:bookmarkStart w:id="1037" w:name="co_anchor_I706fa26973f911e08b05fdf15589d"/>
      <w:bookmarkEnd w:id="1037"/>
    </w:p>
    <w:p w14:paraId="778FA57C" w14:textId="3C42E8B4" w:rsidR="00C85B70" w:rsidRPr="00C85B70" w:rsidRDefault="750671CE" w:rsidP="750671CE">
      <w:pPr>
        <w:widowControl w:val="0"/>
        <w:autoSpaceDE w:val="0"/>
        <w:autoSpaceDN w:val="0"/>
        <w:adjustRightInd w:val="0"/>
        <w:spacing w:before="100" w:beforeAutospacing="1"/>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Defendants contend, however, that if </w:t>
      </w:r>
      <w:r w:rsidRPr="00F94B7E">
        <w:rPr>
          <w:rFonts w:ascii="Times New Roman" w:eastAsia="Times New Roman" w:hAnsi="Times New Roman" w:cs="Times New Roman"/>
          <w:i/>
          <w:color w:val="000000" w:themeColor="text1"/>
          <w:lang w:eastAsia="en-US"/>
        </w:rPr>
        <w:t>Cronin</w:t>
      </w:r>
      <w:r w:rsidRPr="750671CE">
        <w:rPr>
          <w:rFonts w:ascii="Times New Roman" w:eastAsia="Times New Roman" w:hAnsi="Times New Roman" w:cs="Times New Roman"/>
          <w:color w:val="000000" w:themeColor="text1"/>
          <w:lang w:eastAsia="en-US"/>
        </w:rPr>
        <w:t xml:space="preserve"> is interpreted as precluding the use of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language in defining a design defect, the jury in all such cases will inevitably be left without any guidance whatsoever in determining whether a product is defective in design or not. . . . In reaching this conclusion, however, </w:t>
      </w:r>
      <w:r w:rsidRPr="00F94B7E">
        <w:rPr>
          <w:rFonts w:ascii="Times New Roman" w:eastAsia="Times New Roman" w:hAnsi="Times New Roman" w:cs="Times New Roman"/>
          <w:i/>
          <w:color w:val="000000" w:themeColor="text1"/>
          <w:lang w:eastAsia="en-US"/>
        </w:rPr>
        <w:t>Cronin</w:t>
      </w:r>
      <w:r w:rsidRPr="750671CE">
        <w:rPr>
          <w:rFonts w:ascii="Times New Roman" w:eastAsia="Times New Roman" w:hAnsi="Times New Roman" w:cs="Times New Roman"/>
          <w:color w:val="000000" w:themeColor="text1"/>
          <w:lang w:eastAsia="en-US"/>
        </w:rPr>
        <w:t xml:space="preserve"> did not purport to hold that the term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defect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must remain undefined in all contexts . . . .</w:t>
      </w:r>
    </w:p>
    <w:p w14:paraId="12D2A782" w14:textId="77777777" w:rsidR="001B6B42" w:rsidRDefault="001B6B42" w:rsidP="00F94B7E">
      <w:pPr>
        <w:widowControl w:val="0"/>
        <w:autoSpaceDE w:val="0"/>
        <w:autoSpaceDN w:val="0"/>
        <w:adjustRightInd w:val="0"/>
        <w:rPr>
          <w:rFonts w:ascii="Times New Roman" w:eastAsia="Times New Roman" w:hAnsi="Times New Roman" w:cs="Times New Roman"/>
          <w:color w:val="000000"/>
          <w:lang w:eastAsia="en-US"/>
        </w:rPr>
      </w:pPr>
      <w:bookmarkStart w:id="1038" w:name="co_pp_sp_227_235_1"/>
      <w:bookmarkEnd w:id="1038"/>
    </w:p>
    <w:p w14:paraId="2EDF44A2" w14:textId="7777777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As this court has recognized on numerous occasions, the term defect as utilized in the strict liability context is neither self-defining nor susceptible to a single definition applicable in all contexts. . . .</w:t>
      </w:r>
    </w:p>
    <w:p w14:paraId="4658D178" w14:textId="0EEC40CD"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defect or defectiveness concept has embraced a great variety of injury-producing deficiencies, ranging from products that cause injury because they deviate from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intended result (e.g., the one soda bottle in ten thousand that explodes without explanation), to products which, though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perfectly</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manufactured, are unsafe because of the absence of a safety device (e. g., a paydozer without rear view mirrors), and including products that are dangerous because they lack adequate warnings or instructions (e.g., a telescope that contains inadequate instructions for assembling a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sun filter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attachment).</w:t>
      </w:r>
    </w:p>
    <w:p w14:paraId="5868C188" w14:textId="187EBF0F"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45D56F8C" w14:textId="349A9C8D"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In general, a manufacturing or production defect is readily identifiable because a defective product is one that differs from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C85B70" w:rsidRDefault="750671CE" w:rsidP="00F94B7E">
      <w:pPr>
        <w:widowControl w:val="0"/>
        <w:autoSpaceDE w:val="0"/>
        <w:autoSpaceDN w:val="0"/>
        <w:adjustRightInd w:val="0"/>
        <w:spacing w:before="200"/>
        <w:ind w:firstLine="720"/>
        <w:rPr>
          <w:rFonts w:ascii="Times New Roman" w:eastAsia="Times New Roman" w:hAnsi="Times New Roman" w:cs="Times New Roman"/>
          <w:color w:val="000000"/>
          <w:lang w:eastAsia="en-US"/>
        </w:rPr>
      </w:pPr>
      <w:r w:rsidRPr="750671CE">
        <w:rPr>
          <w:rFonts w:ascii="Times New Roman" w:eastAsia="Times New Roman" w:hAnsi="Times New Roman" w:cs="Times New Roman"/>
          <w:color w:val="000000" w:themeColor="text1"/>
          <w:lang w:eastAsia="en-US"/>
        </w:rPr>
        <w:t>A design defect, by contrast, cannot be identified simply by comparing the injury-producing product with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Default="00A14B78"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p>
    <w:p w14:paraId="11EB9BE5" w14:textId="40F11DFC" w:rsidR="00C85B70" w:rsidRPr="00C85B70" w:rsidRDefault="750671CE" w:rsidP="00F94B7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warranty of</w:t>
      </w:r>
      <w:r w:rsidR="000D46E0">
        <w:rPr>
          <w:rFonts w:ascii="Times New Roman" w:eastAsia="Times New Roman" w:hAnsi="Times New Roman" w:cs="Times New Roman"/>
          <w:color w:val="000000" w:themeColor="text1"/>
          <w:lang w:eastAsia="en-US"/>
        </w:rPr>
        <w:t> </w:t>
      </w:r>
      <w:r w:rsidRPr="750671CE">
        <w:rPr>
          <w:rFonts w:ascii="Times New Roman" w:eastAsia="Times New Roman" w:hAnsi="Times New Roman" w:cs="Times New Roman"/>
          <w:color w:val="000000" w:themeColor="text1"/>
          <w:lang w:eastAsia="en-US"/>
        </w:rPr>
        <w:t>fitness and merchantability, reflects the warranty heritage upon which California product liability doctrine in part rests. . . .</w:t>
      </w:r>
    </w:p>
    <w:p w14:paraId="16C856E4" w14:textId="77777777" w:rsid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73CD7D49" w14:textId="77777777" w:rsidR="00945FB9" w:rsidRPr="00C85B70" w:rsidRDefault="00945FB9" w:rsidP="00FE7B7F">
      <w:pPr>
        <w:widowControl w:val="0"/>
        <w:autoSpaceDE w:val="0"/>
        <w:autoSpaceDN w:val="0"/>
        <w:adjustRightInd w:val="0"/>
        <w:rPr>
          <w:rFonts w:ascii="Times New Roman" w:eastAsia="Times New Roman" w:hAnsi="Times New Roman" w:cs="Times New Roman"/>
          <w:color w:val="000000"/>
          <w:lang w:eastAsia="en-US"/>
        </w:rPr>
      </w:pPr>
    </w:p>
    <w:p w14:paraId="1EBA333C" w14:textId="55B6E29C"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As Professor Wade has pointed out, however, the expectations of the ordinary consumer cannot be viewed as the exclusive yardstick for evaluating design defectiveness because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(i)n many situations . . . the consumer would not know what to expect, because he would have no idea how safe the product could be made.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r w:rsidR="000D46E0">
        <w:rPr>
          <w:rFonts w:ascii="Times New Roman" w:eastAsia="Times New Roman" w:hAnsi="Times New Roman" w:cs="Times New Roman"/>
          <w:color w:val="000000" w:themeColor="text1"/>
          <w:lang w:eastAsia="en-US"/>
        </w:rPr>
        <w:t xml:space="preserve">[John] </w:t>
      </w:r>
      <w:r w:rsidRPr="750671CE">
        <w:rPr>
          <w:rFonts w:ascii="Times New Roman" w:eastAsia="Times New Roman" w:hAnsi="Times New Roman" w:cs="Times New Roman"/>
          <w:color w:val="000000" w:themeColor="text1"/>
          <w:lang w:eastAsia="en-US"/>
        </w:rPr>
        <w:t xml:space="preserve">Wade, </w:t>
      </w:r>
      <w:r w:rsidRPr="00F94B7E">
        <w:rPr>
          <w:rFonts w:ascii="Times New Roman" w:eastAsia="Times New Roman" w:hAnsi="Times New Roman" w:cs="Times New Roman"/>
          <w:i/>
          <w:color w:val="000000" w:themeColor="text1"/>
          <w:lang w:eastAsia="en-US"/>
        </w:rPr>
        <w:t>On the Nature of Strict Tort Liability for Products</w:t>
      </w:r>
      <w:r w:rsidRPr="750671CE">
        <w:rPr>
          <w:rFonts w:ascii="Times New Roman" w:eastAsia="Times New Roman" w:hAnsi="Times New Roman" w:cs="Times New Roman"/>
          <w:color w:val="000000" w:themeColor="text1"/>
          <w:lang w:eastAsia="en-US"/>
        </w:rPr>
        <w:t xml:space="preserve">, 44 </w:t>
      </w:r>
      <w:r w:rsidRPr="00F94B7E">
        <w:rPr>
          <w:rFonts w:ascii="Times New Roman" w:eastAsia="Times New Roman" w:hAnsi="Times New Roman" w:cs="Times New Roman"/>
          <w:smallCaps/>
          <w:color w:val="000000" w:themeColor="text1"/>
          <w:lang w:eastAsia="en-US"/>
        </w:rPr>
        <w:t>Miss. L.J.</w:t>
      </w:r>
      <w:r w:rsidRPr="750671CE">
        <w:rPr>
          <w:rFonts w:ascii="Times New Roman" w:eastAsia="Times New Roman" w:hAnsi="Times New Roman" w:cs="Times New Roman"/>
          <w:color w:val="000000" w:themeColor="text1"/>
          <w:lang w:eastAsia="en-US"/>
        </w:rPr>
        <w:t xml:space="preserve"> 825, 829. . . .</w:t>
      </w:r>
    </w:p>
    <w:p w14:paraId="684C466F"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436E972C" w14:textId="642065BE" w:rsidR="00C85B70" w:rsidRPr="00C85B70" w:rsidRDefault="750671CE" w:rsidP="00656026">
      <w:pPr>
        <w:widowControl w:val="0"/>
        <w:autoSpaceDE w:val="0"/>
        <w:autoSpaceDN w:val="0"/>
        <w:adjustRightInd w:val="0"/>
        <w:ind w:firstLine="720"/>
        <w:rPr>
          <w:rFonts w:ascii="Times New Roman" w:eastAsia="Times New Roman" w:hAnsi="Times New Roman" w:cs="Times New Roman"/>
          <w:color w:val="000000"/>
          <w:lang w:eastAsia="en-US"/>
        </w:rPr>
      </w:pPr>
      <w:r w:rsidRPr="750671CE">
        <w:rPr>
          <w:rFonts w:ascii="Times New Roman" w:eastAsia="Times New Roman" w:hAnsi="Times New Roman" w:cs="Times New Roman"/>
          <w:color w:val="000000" w:themeColor="text1"/>
          <w:lang w:eastAsia="en-US"/>
        </w:rPr>
        <w:t>A review of past cases indicates that in evaluating the adequacy of a product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Pr>
          <w:rFonts w:ascii="Times New Roman" w:eastAsia="Times New Roman" w:hAnsi="Times New Roman" w:cs="Times New Roman"/>
          <w:color w:val="000000" w:themeColor="text1"/>
          <w:lang w:eastAsia="en-US"/>
        </w:rPr>
        <w:t xml:space="preserve"> </w:t>
      </w:r>
      <w:r w:rsidRPr="750671CE">
        <w:rPr>
          <w:rFonts w:ascii="Times New Roman" w:eastAsia="Times New Roman" w:hAnsi="Times New Roman" w:cs="Times New Roman"/>
          <w:color w:val="000000" w:themeColor="text1"/>
          <w:lang w:eastAsia="en-US"/>
        </w:rPr>
        <w:t>. . . [A] product may alternatively be found defective in design if the plaintiff demonstrates that the product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11B16A97" w14:textId="7777777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BAD4447" w14:textId="3028DCD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[But] an instruction which advises the jury that it may evaluate the adequacy of a product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focus is properly directed to the condition of the product itself, and not to the reasonableness of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conduct.</w:t>
      </w:r>
    </w:p>
    <w:p w14:paraId="31210F9E"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5C60E03C" w14:textId="4533112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design is unsafe to consumers, users, or bystanders.</w:t>
      </w:r>
    </w:p>
    <w:p w14:paraId="0B8754B6"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1039" w:name="co_anchor_I706fa26a73f911e08b05fdf15589d"/>
      <w:bookmarkEnd w:id="1039"/>
    </w:p>
    <w:p w14:paraId="61C987B5"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i/>
          <w:iCs/>
          <w:color w:val="000000" w:themeColor="text1"/>
          <w:lang w:eastAsia="en-US"/>
        </w:rPr>
      </w:pPr>
      <w:r w:rsidRPr="750671CE">
        <w:rPr>
          <w:rFonts w:ascii="Times New Roman" w:eastAsia="Times New Roman" w:hAnsi="Times New Roman" w:cs="Times New Roman"/>
          <w:i/>
          <w:iCs/>
          <w:color w:val="000000" w:themeColor="text1"/>
          <w:lang w:eastAsia="en-US"/>
        </w:rPr>
        <w:t>Conclusion</w:t>
      </w:r>
    </w:p>
    <w:p w14:paraId="0B68106F" w14:textId="77777777" w:rsidR="00C85B70" w:rsidRPr="00C85B70" w:rsidRDefault="00C85B70"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The technological revolution has created a society that contains dangers to the individual never before contemplated. The individual </w:t>
      </w:r>
      <w:bookmarkStart w:id="1040" w:name="co_pp_sp_233_435_1"/>
      <w:bookmarkEnd w:id="1040"/>
      <w:r w:rsidRPr="00C85B70">
        <w:rPr>
          <w:rFonts w:ascii="Times New Roman" w:eastAsia="Times New Roman" w:hAnsi="Times New Roman" w:cs="Times New Roman"/>
          <w:color w:val="000000"/>
          <w:lang w:eastAsia="en-US"/>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77777777" w:rsidR="00C85B70" w:rsidRPr="00C85B70" w:rsidRDefault="00C85B70" w:rsidP="00FE7B7F">
      <w:pPr>
        <w:widowControl w:val="0"/>
        <w:autoSpaceDE w:val="0"/>
        <w:autoSpaceDN w:val="0"/>
        <w:adjustRightInd w:val="0"/>
        <w:spacing w:before="200"/>
        <w:rPr>
          <w:rFonts w:ascii="Times New Roman" w:eastAsia="Times New Roman" w:hAnsi="Times New Roman" w:cs="Times New Roman"/>
          <w:color w:val="000000"/>
          <w:lang w:eastAsia="en-US"/>
        </w:rPr>
      </w:pPr>
    </w:p>
    <w:p w14:paraId="0AC1BAF2" w14:textId="3B4BAB25"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intended use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rather than its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reasonably foreseeable use,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 . . we cannot find that the error was harmless on the facts of this case. In light of this conclusion, we need not address plaintiff</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s additional claims of error, for such issues may not arise on retrial.</w:t>
      </w:r>
    </w:p>
    <w:p w14:paraId="452D929B"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67520F1" w14:textId="49EC1984" w:rsidR="00C85B70" w:rsidRPr="00C85B70" w:rsidRDefault="00C85B70" w:rsidP="00FE7B7F">
      <w:pPr>
        <w:rPr>
          <w:rFonts w:ascii="Times New Roman" w:eastAsia="Times New Roman" w:hAnsi="Times New Roman" w:cs="Times New Roman"/>
          <w:lang w:eastAsia="en-US"/>
        </w:rPr>
      </w:pPr>
      <w:bookmarkStart w:id="1041" w:name="co_pp_sp_233_436_1"/>
      <w:bookmarkEnd w:id="1041"/>
      <w:r w:rsidRPr="00C85B70">
        <w:rPr>
          <w:rFonts w:ascii="Times New Roman" w:eastAsia="Times New Roman" w:hAnsi="Times New Roman" w:cs="Times New Roman"/>
          <w:color w:val="000000"/>
          <w:lang w:eastAsia="en-US"/>
        </w:rPr>
        <w:t>The judgment in favor of defendants is reversed</w:t>
      </w:r>
      <w:r w:rsidR="000D46E0">
        <w:rPr>
          <w:rFonts w:ascii="Times New Roman" w:eastAsia="Times New Roman" w:hAnsi="Times New Roman" w:cs="Times New Roman"/>
          <w:color w:val="000000"/>
          <w:lang w:eastAsia="en-US"/>
        </w:rPr>
        <w:t>.</w:t>
      </w:r>
      <w:r w:rsidRPr="00C85B70">
        <w:rPr>
          <w:rFonts w:ascii="Times New Roman" w:eastAsia="Times New Roman" w:hAnsi="Times New Roman" w:cs="Times New Roman"/>
          <w:b/>
          <w:lang w:eastAsia="en-US"/>
        </w:rPr>
        <w:br/>
      </w:r>
    </w:p>
    <w:p w14:paraId="467D937F" w14:textId="77777777" w:rsidR="00C85B70" w:rsidRPr="00C85B70" w:rsidRDefault="00C85B70" w:rsidP="00FE7B7F">
      <w:pPr>
        <w:rPr>
          <w:rFonts w:ascii="Times New Roman" w:eastAsia="Times New Roman" w:hAnsi="Times New Roman" w:cs="Times New Roman"/>
          <w:lang w:eastAsia="en-US"/>
        </w:rPr>
      </w:pPr>
    </w:p>
    <w:p w14:paraId="5A903E1C" w14:textId="77777777" w:rsidR="00C85B70" w:rsidRPr="00C85B70" w:rsidRDefault="00C85B70" w:rsidP="00910387">
      <w:pPr>
        <w:pStyle w:val="Heading5"/>
      </w:pPr>
      <w:bookmarkStart w:id="1042" w:name="_Toc364636282"/>
      <w:bookmarkStart w:id="1043" w:name="_Toc518323558"/>
      <w:r w:rsidRPr="00C85B70">
        <w:t>Notes</w:t>
      </w:r>
      <w:bookmarkEnd w:id="1042"/>
      <w:bookmarkEnd w:id="1043"/>
    </w:p>
    <w:p w14:paraId="6AABA33E" w14:textId="77777777" w:rsidR="00C85B70" w:rsidRDefault="00C85B70" w:rsidP="00FE7B7F">
      <w:pPr>
        <w:rPr>
          <w:rFonts w:ascii="Times New Roman" w:eastAsia="Times New Roman" w:hAnsi="Times New Roman" w:cs="Times New Roman"/>
          <w:lang w:eastAsia="en-US"/>
        </w:rPr>
      </w:pPr>
    </w:p>
    <w:p w14:paraId="2D4C554D" w14:textId="77777777" w:rsidR="00945FB9" w:rsidRPr="00C85B70" w:rsidRDefault="00945FB9" w:rsidP="00FE7B7F">
      <w:pPr>
        <w:rPr>
          <w:rFonts w:ascii="Times New Roman" w:eastAsia="Times New Roman" w:hAnsi="Times New Roman" w:cs="Times New Roman"/>
          <w:lang w:eastAsia="en-US"/>
        </w:rPr>
      </w:pPr>
    </w:p>
    <w:p w14:paraId="55A27104" w14:textId="019BC196" w:rsidR="00C85B70" w:rsidRPr="00F94B7E" w:rsidRDefault="750671CE" w:rsidP="00F94B7E">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Burdens of persuasion</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went even further than this excerpt indicates: it held that the burden of persuasion as to whether a product satisfies the risk-utility balancing test lies with the defendant, who is better positioned to offer evidence about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virtues and vices than the plaintiff.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573 P.2d at 452. Few courts, if any, followed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in this.  </w:t>
      </w:r>
      <w:r w:rsidRPr="00F94B7E">
        <w:rPr>
          <w:rFonts w:ascii="Times New Roman" w:eastAsia="Times New Roman" w:hAnsi="Times New Roman" w:cs="Times New Roman"/>
          <w:i/>
          <w:lang w:eastAsia="en-US"/>
        </w:rPr>
        <w:t>See, e.g.</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Ray v. BIC Corp</w:t>
      </w:r>
      <w:r w:rsidRPr="00F94B7E">
        <w:rPr>
          <w:rFonts w:ascii="Times New Roman" w:eastAsia="Times New Roman" w:hAnsi="Times New Roman" w:cs="Times New Roman"/>
          <w:lang w:eastAsia="en-US"/>
        </w:rPr>
        <w:t>., 925 S.W.2d 527, 532-33 (Tenn. 1996).</w:t>
      </w:r>
    </w:p>
    <w:p w14:paraId="53D68B15" w14:textId="77777777" w:rsidR="00C85B70" w:rsidRPr="00C85B70" w:rsidRDefault="00C85B70" w:rsidP="00FE7B7F">
      <w:pPr>
        <w:rPr>
          <w:rFonts w:ascii="Times New Roman" w:eastAsia="Times New Roman" w:hAnsi="Times New Roman" w:cs="Times New Roman"/>
          <w:lang w:eastAsia="en-US"/>
        </w:rPr>
      </w:pPr>
    </w:p>
    <w:p w14:paraId="68A27C4B" w14:textId="77777777" w:rsidR="00C85B70" w:rsidRPr="00C85B70" w:rsidRDefault="00C85B70" w:rsidP="00FE7B7F">
      <w:pPr>
        <w:rPr>
          <w:rFonts w:ascii="Times New Roman" w:eastAsia="Times New Roman" w:hAnsi="Times New Roman" w:cs="Times New Roman"/>
          <w:lang w:eastAsia="en-US"/>
        </w:rPr>
      </w:pPr>
    </w:p>
    <w:p w14:paraId="3C873704" w14:textId="6F1B8184" w:rsidR="00C85B70" w:rsidRPr="00F94B7E" w:rsidRDefault="750671CE" w:rsidP="00F94B7E">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Risk-utility and consumer expectations</w:t>
      </w:r>
      <w:r w:rsidRPr="00F94B7E">
        <w:rPr>
          <w:rFonts w:ascii="Times New Roman" w:eastAsia="Times New Roman" w:hAnsi="Times New Roman" w:cs="Times New Roman"/>
          <w:lang w:eastAsia="en-US"/>
        </w:rPr>
        <w:t xml:space="preserve">. Other features of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have produced controversy, too.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offers the two answers we discussed above to the puzzle of how to understand when a product is defective for purposes of strict liability determinations under the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econd Restatement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section 402A. The first is the risk-utility balancing test that compares the costs and benefits of the challenged design feature. On first glance, this approach might seem to reproduce the basic cost-benefit reasoning of Learned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approach to the negligence standard.  But look closely at the end of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opinion: the question, 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puts it, is whether in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hindsight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costs outweigh its benefits. This, as we noted, is an ex post Learned Hand test, one that asks about the risks and utility of the product in question not knowing what a reasonable manufacturer would have known at the time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F94B7E">
        <w:rPr>
          <w:rFonts w:ascii="Times New Roman" w:eastAsia="Times New Roman" w:hAnsi="Times New Roman" w:cs="Times New Roman"/>
          <w:i/>
          <w:iCs/>
          <w:lang w:eastAsia="en-US"/>
        </w:rPr>
        <w:t>Barker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ex post cost-benefit analysis is that the absence of information at the time of product design may not be sufficient reason to relieve manufacturers of the costs of their product design decisions. If the manufacturer or designer of the product is in a better position to generate the kinds of information required to make products safe for consumer use, perhaps we should adopt the ex post rather than the ex ante view. See, for example, </w:t>
      </w:r>
      <w:r w:rsidRPr="00F94B7E">
        <w:rPr>
          <w:rFonts w:ascii="Times New Roman" w:eastAsia="Times New Roman" w:hAnsi="Times New Roman" w:cs="Times New Roman"/>
          <w:i/>
          <w:iCs/>
          <w:lang w:eastAsia="en-US"/>
        </w:rPr>
        <w:t>Halphen v. Johns-Manville Sales Corp</w:t>
      </w:r>
      <w:r w:rsidRPr="00F94B7E">
        <w:rPr>
          <w:rFonts w:ascii="Times New Roman" w:eastAsia="Times New Roman" w:hAnsi="Times New Roman" w:cs="Times New Roman"/>
          <w:lang w:eastAsia="en-US"/>
        </w:rPr>
        <w:t xml:space="preserve">., 484 So. 2d 110 (La. 1986), where the Louisiana Supreme Court deemed a product design defective because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danger-in-fact of the product, whether foreseeable or not, outweigh[ed] the utility of the product.</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at 114.</w:t>
      </w:r>
    </w:p>
    <w:p w14:paraId="2A567244" w14:textId="77777777" w:rsidR="00C85B70" w:rsidRPr="00C85B70" w:rsidRDefault="00C85B70" w:rsidP="00FE7B7F">
      <w:pPr>
        <w:rPr>
          <w:rFonts w:ascii="Times New Roman" w:eastAsia="Times New Roman" w:hAnsi="Times New Roman" w:cs="Times New Roman"/>
          <w:lang w:eastAsia="en-US"/>
        </w:rPr>
      </w:pPr>
    </w:p>
    <w:p w14:paraId="516A5E10" w14:textId="0D448E3B"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 second approach in </w:t>
      </w:r>
      <w:r w:rsidRPr="750671CE">
        <w:rPr>
          <w:rFonts w:ascii="Times New Roman" w:eastAsia="Times New Roman" w:hAnsi="Times New Roman" w:cs="Times New Roman"/>
          <w:i/>
          <w:iCs/>
          <w:lang w:eastAsia="en-US"/>
        </w:rPr>
        <w:t>Barker</w:t>
      </w:r>
      <w:r w:rsidRPr="00C85B70">
        <w:rPr>
          <w:rFonts w:ascii="Times New Roman" w:eastAsia="Times New Roman" w:hAnsi="Times New Roman" w:cs="Times New Roman"/>
          <w:lang w:eastAsia="en-US"/>
        </w:rPr>
        <w:t xml:space="preserve"> to determining defectiveness is the consumer expectations approach that we noted above.  If a reasonable consumer would have expected the product to be safer than it is, th</w:t>
      </w:r>
      <w:r w:rsidR="000D46E0">
        <w:rPr>
          <w:rFonts w:ascii="Times New Roman" w:eastAsia="Times New Roman" w:hAnsi="Times New Roman" w:cs="Times New Roman"/>
          <w:lang w:eastAsia="en-US"/>
        </w:rPr>
        <w:t>e</w:t>
      </w:r>
      <w:r w:rsidRPr="00C85B70">
        <w:rPr>
          <w:rFonts w:ascii="Times New Roman" w:eastAsia="Times New Roman" w:hAnsi="Times New Roman" w:cs="Times New Roman"/>
          <w:lang w:eastAsia="en-US"/>
        </w:rPr>
        <w:t xml:space="preserve">n the product is defective for purposes of the strict liability of 402A. This approach has the virtue of not reproducing the cost-benefit test of the negligence standard (even as modified in </w:t>
      </w:r>
      <w:r w:rsidRPr="750671CE">
        <w:rPr>
          <w:rFonts w:ascii="Times New Roman" w:eastAsia="Times New Roman" w:hAnsi="Times New Roman" w:cs="Times New Roman"/>
          <w:i/>
          <w:iCs/>
          <w:lang w:eastAsia="en-US"/>
        </w:rPr>
        <w:t>Barker</w:t>
      </w:r>
      <w:r w:rsidRPr="00C85B70">
        <w:rPr>
          <w:rFonts w:ascii="Times New Roman" w:eastAsia="Times New Roman" w:hAnsi="Times New Roman" w:cs="Times New Roman"/>
          <w:lang w:eastAsia="en-US"/>
        </w:rPr>
        <w:t>). But its difficulty is that using consumer expectations as the touchstone of an analysis designed around the premise of consumers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relative ignorance in the marketplace seems perverse.  If there are product designs that could have made a product safer, why should we expect consumers to know about them rather than a manufacturers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ex</w:t>
      </w:r>
      <w:r w:rsidR="001B6B42">
        <w:rPr>
          <w:rFonts w:ascii="Times New Roman" w:eastAsia="Times New Roman" w:hAnsi="Times New Roman" w:cs="Times New Roman"/>
          <w:lang w:eastAsia="en-US"/>
        </w:rPr>
        <w:t>pert engineers and designers?</w:t>
      </w:r>
    </w:p>
    <w:p w14:paraId="78A770F6" w14:textId="77777777" w:rsidR="00C85B70" w:rsidRPr="00C85B70" w:rsidRDefault="00C85B70" w:rsidP="00FE7B7F">
      <w:pPr>
        <w:rPr>
          <w:rFonts w:ascii="Times New Roman" w:eastAsia="Times New Roman" w:hAnsi="Times New Roman" w:cs="Times New Roman"/>
          <w:lang w:eastAsia="en-US"/>
        </w:rPr>
      </w:pPr>
    </w:p>
    <w:p w14:paraId="4AA595D0" w14:textId="2626C34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What have the courts done? Some courts have refused to take up the cost-benefit test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invitation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open-ended balancing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of risk and utility. The Montana Supreme Court, for instance, rejected the cost-benefit analysis and held that if a design fails the consumer expectation test, then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strict liability may be imposed even if the seller has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exercised all possible care,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even though the product was faultlessly manufactured.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Malcolm v. Evenflo Co</w:t>
      </w:r>
      <w:r w:rsidRPr="750671CE">
        <w:rPr>
          <w:rFonts w:ascii="Times New Roman" w:eastAsia="Times New Roman" w:hAnsi="Times New Roman" w:cs="Times New Roman"/>
          <w:lang w:eastAsia="en-US"/>
        </w:rPr>
        <w:t>., 217 P.3d 514, 520 (Mont. 2009).</w:t>
      </w:r>
    </w:p>
    <w:p w14:paraId="4D711D8F" w14:textId="77777777" w:rsidR="00C85B70" w:rsidRPr="00C85B70" w:rsidRDefault="00C85B70" w:rsidP="00FE7B7F">
      <w:pPr>
        <w:rPr>
          <w:rFonts w:ascii="Times New Roman" w:eastAsia="Times New Roman" w:hAnsi="Times New Roman" w:cs="Times New Roman"/>
          <w:lang w:eastAsia="en-US"/>
        </w:rPr>
      </w:pPr>
    </w:p>
    <w:p w14:paraId="0787DE5B" w14:textId="2121FC1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 number of courts have stuck with a test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centered on the reasonable expectations of the ordinary consumer.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Connor v. Skagit Corp</w:t>
      </w:r>
      <w:r w:rsidRPr="750671CE">
        <w:rPr>
          <w:rFonts w:ascii="Times New Roman" w:eastAsia="Times New Roman" w:hAnsi="Times New Roman" w:cs="Times New Roman"/>
          <w:lang w:eastAsia="en-US"/>
        </w:rPr>
        <w:t xml:space="preserve">., 638 P.2d 115 (Wash. 1981); </w:t>
      </w:r>
      <w:r w:rsidRPr="750671CE">
        <w:rPr>
          <w:rFonts w:ascii="Times New Roman" w:eastAsia="Times New Roman" w:hAnsi="Times New Roman" w:cs="Times New Roman"/>
          <w:i/>
          <w:iCs/>
          <w:lang w:eastAsia="en-US"/>
        </w:rPr>
        <w:t>Massey v. Conagra Foods, Inc.</w:t>
      </w:r>
      <w:r w:rsidRPr="750671CE">
        <w:rPr>
          <w:rFonts w:ascii="Times New Roman" w:eastAsia="Times New Roman" w:hAnsi="Times New Roman" w:cs="Times New Roman"/>
          <w:lang w:eastAsia="en-US"/>
        </w:rPr>
        <w:t xml:space="preserve">, 328 P.3d 456 (Idaho 2014).  But even here, some courts insist that we have not completely left costs and benefits behind. These courts insist that consumer expectations are the critical question, but regard risk and utility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guide in determining the expectations of consumers in complex cases.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Delaney v. Deere &amp; Co</w:t>
      </w:r>
      <w:r w:rsidRPr="750671CE">
        <w:rPr>
          <w:rFonts w:ascii="Times New Roman" w:eastAsia="Times New Roman" w:hAnsi="Times New Roman" w:cs="Times New Roman"/>
          <w:lang w:eastAsia="en-US"/>
        </w:rPr>
        <w:t xml:space="preserve">., 999 P.2d 930, 944 (Kan. 2000).  How else, after all, ought a consumer to expect a product to perform other than in a way that the benefits outweigh the costs?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Potter v. Chicago Pneumatic Tool Co</w:t>
      </w:r>
      <w:r w:rsidRPr="750671CE">
        <w:rPr>
          <w:rFonts w:ascii="Times New Roman" w:eastAsia="Times New Roman" w:hAnsi="Times New Roman" w:cs="Times New Roman"/>
          <w:lang w:eastAsia="en-US"/>
        </w:rPr>
        <w:t xml:space="preserve">., 694 A.2d 1319 (Conn. 1997); </w:t>
      </w:r>
      <w:r w:rsidRPr="750671CE">
        <w:rPr>
          <w:rFonts w:ascii="Times New Roman" w:eastAsia="Times New Roman" w:hAnsi="Times New Roman" w:cs="Times New Roman"/>
          <w:i/>
          <w:iCs/>
          <w:lang w:eastAsia="en-US"/>
        </w:rPr>
        <w:t>Jenkins v. Amchem Products, Inc</w:t>
      </w:r>
      <w:r w:rsidRPr="750671CE">
        <w:rPr>
          <w:rFonts w:ascii="Times New Roman" w:eastAsia="Times New Roman" w:hAnsi="Times New Roman" w:cs="Times New Roman"/>
          <w:lang w:eastAsia="en-US"/>
        </w:rPr>
        <w:t>., 886 P.2d 869, 883 (Kan. 1994).</w:t>
      </w:r>
    </w:p>
    <w:p w14:paraId="0269EFA7" w14:textId="77777777" w:rsidR="00C85B70" w:rsidRPr="00C85B70" w:rsidRDefault="00C85B70" w:rsidP="00FE7B7F">
      <w:pPr>
        <w:ind w:firstLine="720"/>
        <w:rPr>
          <w:rFonts w:ascii="Times New Roman" w:eastAsia="Times New Roman" w:hAnsi="Times New Roman" w:cs="Times New Roman"/>
          <w:lang w:eastAsia="en-US"/>
        </w:rPr>
      </w:pPr>
    </w:p>
    <w:p w14:paraId="351B7BB0" w14:textId="6CB2B8E5"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Setting the controversy to one side, however, </w:t>
      </w:r>
      <w:r w:rsidRPr="750671CE">
        <w:rPr>
          <w:rFonts w:ascii="Times New Roman" w:eastAsia="Times New Roman" w:hAnsi="Times New Roman" w:cs="Times New Roman"/>
          <w:i/>
          <w:iCs/>
          <w:lang w:eastAsia="en-US"/>
        </w:rPr>
        <w:t>Barker</w:t>
      </w:r>
      <w:r w:rsidRPr="00C85B70">
        <w:rPr>
          <w:rFonts w:ascii="Times New Roman" w:eastAsia="Times New Roman" w:hAnsi="Times New Roman" w:cs="Times New Roman"/>
          <w:lang w:eastAsia="en-US"/>
        </w:rPr>
        <w:t xml:space="preserve"> has been highly influential.  For in addition to setting out two central tests for defectiveness, it identified three different classes of products cases: manufacturing defect cases, design defect ca</w:t>
      </w:r>
      <w:r w:rsidR="001B6B42">
        <w:rPr>
          <w:rFonts w:ascii="Times New Roman" w:eastAsia="Times New Roman" w:hAnsi="Times New Roman" w:cs="Times New Roman"/>
          <w:lang w:eastAsia="en-US"/>
        </w:rPr>
        <w:t xml:space="preserve">ses, and warning defect cases. </w:t>
      </w:r>
      <w:r w:rsidRPr="00C85B70">
        <w:rPr>
          <w:rFonts w:ascii="Times New Roman" w:eastAsia="Times New Roman" w:hAnsi="Times New Roman" w:cs="Times New Roman"/>
          <w:lang w:eastAsia="en-US"/>
        </w:rPr>
        <w:t xml:space="preserve">That trichotomy has gone on to be highly influential, as we will see shortly. </w:t>
      </w:r>
    </w:p>
    <w:p w14:paraId="7A64D43F" w14:textId="77777777" w:rsidR="00C85B70" w:rsidRPr="00C85B70" w:rsidRDefault="00C85B70" w:rsidP="00FE7B7F">
      <w:pPr>
        <w:rPr>
          <w:rFonts w:ascii="Times New Roman" w:eastAsia="Times New Roman" w:hAnsi="Times New Roman" w:cs="Times New Roman"/>
          <w:lang w:eastAsia="en-US"/>
        </w:rPr>
      </w:pPr>
    </w:p>
    <w:p w14:paraId="092F6668" w14:textId="77777777" w:rsidR="00C85B70" w:rsidRPr="00C85B70" w:rsidRDefault="00C85B70" w:rsidP="00FE7B7F">
      <w:pPr>
        <w:rPr>
          <w:rFonts w:ascii="Times New Roman" w:eastAsia="Times New Roman" w:hAnsi="Times New Roman" w:cs="Times New Roman"/>
          <w:lang w:eastAsia="en-US"/>
        </w:rPr>
      </w:pPr>
    </w:p>
    <w:p w14:paraId="7A785E72" w14:textId="3692413A" w:rsidR="00C85B70" w:rsidRPr="00F94B7E" w:rsidRDefault="750671CE" w:rsidP="00F94B7E">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product features</w:t>
      </w:r>
      <w:r w:rsidRPr="00F94B7E">
        <w:rPr>
          <w:rFonts w:ascii="Times New Roman" w:eastAsia="Times New Roman" w:hAnsi="Times New Roman" w:cs="Times New Roman"/>
          <w:lang w:eastAsia="en-US"/>
        </w:rPr>
        <w:t xml:space="preserve">? Does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offer a sensible approach to regulating the market in lift-loaders? Note that after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a seller of lift-loaders may no longer be willing to sell loaders without outriggers, since to do so is to expose the seller to liability in the event the user deploys the loader on steep slopes. But what does this mean for would-be buyers of lift loaders who plan to use their loaders on even or flat surfaces? It means that they will have to buy loaders with outriggers</w:t>
      </w:r>
      <w:r w:rsidR="0053743C">
        <w:rPr>
          <w:rFonts w:ascii="Times New Roman" w:eastAsia="Times New Roman" w:hAnsi="Times New Roman" w:cs="Times New Roman"/>
          <w:color w:val="000000" w:themeColor="text1"/>
          <w:lang w:eastAsia="en-US"/>
        </w:rPr>
        <w:t>—</w:t>
      </w:r>
      <w:r w:rsidRPr="00F94B7E">
        <w:rPr>
          <w:rFonts w:ascii="Times New Roman" w:eastAsia="Times New Roman" w:hAnsi="Times New Roman" w:cs="Times New Roman"/>
          <w:lang w:eastAsia="en-US"/>
        </w:rPr>
        <w:t>which are doubtlessly more expensive</w:t>
      </w:r>
      <w:r w:rsidR="0053743C">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regardless of their planned uses.  Has the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C85B70" w:rsidRDefault="00C85B70" w:rsidP="00FE7B7F">
      <w:pPr>
        <w:ind w:firstLine="720"/>
        <w:rPr>
          <w:rFonts w:ascii="Times New Roman" w:eastAsia="Times New Roman" w:hAnsi="Times New Roman" w:cs="Times New Roman"/>
          <w:lang w:eastAsia="en-US"/>
        </w:rPr>
      </w:pPr>
    </w:p>
    <w:p w14:paraId="15627F5A" w14:textId="77777777" w:rsidR="00C85B70" w:rsidRPr="00C85B70" w:rsidRDefault="00C85B70" w:rsidP="00FE7B7F">
      <w:pPr>
        <w:rPr>
          <w:rFonts w:ascii="Times New Roman" w:eastAsia="Times New Roman" w:hAnsi="Times New Roman" w:cs="Times New Roman"/>
          <w:lang w:eastAsia="en-US"/>
        </w:rPr>
      </w:pPr>
    </w:p>
    <w:p w14:paraId="7EBC532B" w14:textId="15183CCC" w:rsidR="00C85B70" w:rsidRPr="00F94B7E" w:rsidRDefault="750671CE" w:rsidP="00F94B7E">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Compulsory insurance, adverse selection, and unraveling products markets</w:t>
      </w:r>
      <w:r w:rsidRPr="00F94B7E">
        <w:rPr>
          <w:rFonts w:ascii="Times New Roman" w:eastAsia="Times New Roman" w:hAnsi="Times New Roman" w:cs="Times New Roman"/>
          <w:lang w:eastAsia="en-US"/>
        </w:rPr>
        <w:t xml:space="preserve">? Recall from note 3 after </w:t>
      </w:r>
      <w:r w:rsidRPr="00F94B7E">
        <w:rPr>
          <w:rFonts w:ascii="Times New Roman" w:eastAsia="Times New Roman" w:hAnsi="Times New Roman" w:cs="Times New Roman"/>
          <w:i/>
          <w:iCs/>
          <w:lang w:eastAsia="en-US"/>
        </w:rPr>
        <w:t>Speller</w:t>
      </w:r>
      <w:r w:rsidRPr="00F94B7E">
        <w:rPr>
          <w:rFonts w:ascii="Times New Roman" w:eastAsia="Times New Roman" w:hAnsi="Times New Roman" w:cs="Times New Roman"/>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or high</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low</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purchasers. Sometimes compulsory insurance will cause the product market to break down completely.</w:t>
      </w:r>
    </w:p>
    <w:p w14:paraId="4AED5692" w14:textId="207D615F"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As described in George L. Priest, </w:t>
      </w:r>
      <w:r w:rsidRPr="750671CE">
        <w:rPr>
          <w:rFonts w:ascii="Times New Roman" w:eastAsia="Times New Roman" w:hAnsi="Times New Roman" w:cs="Times New Roman"/>
          <w:i/>
          <w:iCs/>
          <w:lang w:eastAsia="en-US"/>
        </w:rPr>
        <w:t>The Current Insurance Crisis and Modern Tort Law</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mallCaps/>
          <w:lang w:eastAsia="en-US"/>
        </w:rPr>
        <w:t xml:space="preserve"> 96 Yale L.J.</w:t>
      </w:r>
      <w:r w:rsidRPr="00C85B70">
        <w:rPr>
          <w:rFonts w:ascii="Times New Roman" w:eastAsia="Times New Roman" w:hAnsi="Times New Roman" w:cs="Times New Roman"/>
          <w:lang w:eastAsia="en-US"/>
        </w:rPr>
        <w:t xml:space="preserve"> 1521, 1553-60 (1987), the problem goes like this: for certain products, like general aviation airplanes, for example, the implicit in</w:t>
      </w:r>
      <w:r w:rsidR="001B6B42">
        <w:rPr>
          <w:rFonts w:ascii="Times New Roman" w:eastAsia="Times New Roman" w:hAnsi="Times New Roman" w:cs="Times New Roman"/>
          <w:lang w:eastAsia="en-US"/>
        </w:rPr>
        <w:t xml:space="preserve">surance premium is quite high. </w:t>
      </w:r>
      <w:r w:rsidRPr="00C85B70">
        <w:rPr>
          <w:rFonts w:ascii="Times New Roman" w:eastAsia="Times New Roman" w:hAnsi="Times New Roman" w:cs="Times New Roman"/>
          <w:lang w:eastAsia="en-US"/>
        </w:rPr>
        <w:t>But for low</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risk would-be purchasers, a substantial part of that implicit premium will reflect the ri</w:t>
      </w:r>
      <w:r w:rsidR="001B6B42">
        <w:rPr>
          <w:rFonts w:ascii="Times New Roman" w:eastAsia="Times New Roman" w:hAnsi="Times New Roman" w:cs="Times New Roman"/>
          <w:lang w:eastAsia="en-US"/>
        </w:rPr>
        <w:t xml:space="preserve">sks posed by high-risk fliers. </w:t>
      </w:r>
      <w:r w:rsidRPr="00C85B70">
        <w:rPr>
          <w:rFonts w:ascii="Times New Roman" w:eastAsia="Times New Roman" w:hAnsi="Times New Roman" w:cs="Times New Roman"/>
          <w:lang w:eastAsia="en-US"/>
        </w:rPr>
        <w:t>(The seller cannot effectively distinguish between the two when it sells a plane, and moreover will be liable to subsequent high-risk users of the plane even if it initial</w:t>
      </w:r>
      <w:r w:rsidR="001B6B42">
        <w:rPr>
          <w:rFonts w:ascii="Times New Roman" w:eastAsia="Times New Roman" w:hAnsi="Times New Roman" w:cs="Times New Roman"/>
          <w:lang w:eastAsia="en-US"/>
        </w:rPr>
        <w:t xml:space="preserve">ly sells to a low-risk flier.) </w:t>
      </w:r>
      <w:r w:rsidRPr="00C85B70">
        <w:rPr>
          <w:rFonts w:ascii="Times New Roman" w:eastAsia="Times New Roman" w:hAnsi="Times New Roman" w:cs="Times New Roman"/>
          <w:lang w:eastAsia="en-US"/>
        </w:rPr>
        <w:t>As a result, some marginal low-risk would-be purchasers will drop out of the relevant market, because the products and the compulsor</w:t>
      </w:r>
      <w:r w:rsidR="001B6B42">
        <w:rPr>
          <w:rFonts w:ascii="Times New Roman" w:eastAsia="Times New Roman" w:hAnsi="Times New Roman" w:cs="Times New Roman"/>
          <w:lang w:eastAsia="en-US"/>
        </w:rPr>
        <w:t xml:space="preserve">y insurance are too expensive. </w:t>
      </w:r>
      <w:r w:rsidRPr="00C85B70">
        <w:rPr>
          <w:rFonts w:ascii="Times New Roman" w:eastAsia="Times New Roman" w:hAnsi="Times New Roman" w:cs="Times New Roman"/>
          <w:lang w:eastAsia="en-US"/>
        </w:rPr>
        <w:t>But when they do tha</w:t>
      </w:r>
      <w:r w:rsidR="001B6B42">
        <w:rPr>
          <w:rFonts w:ascii="Times New Roman" w:eastAsia="Times New Roman" w:hAnsi="Times New Roman" w:cs="Times New Roman"/>
          <w:lang w:eastAsia="en-US"/>
        </w:rPr>
        <w:t xml:space="preserve">t, the insurance pool changes. </w:t>
      </w:r>
      <w:r w:rsidRPr="00C85B70">
        <w:rPr>
          <w:rFonts w:ascii="Times New Roman" w:eastAsia="Times New Roman" w:hAnsi="Times New Roman" w:cs="Times New Roman"/>
          <w:lang w:eastAsia="en-US"/>
        </w:rPr>
        <w:t>The first consumers to drop out are likely to be among the lowest risk consumers, since they are the ones bearing the highest costs from the cro</w:t>
      </w:r>
      <w:r w:rsidR="001B6B42">
        <w:rPr>
          <w:rFonts w:ascii="Times New Roman" w:eastAsia="Times New Roman" w:hAnsi="Times New Roman" w:cs="Times New Roman"/>
          <w:lang w:eastAsia="en-US"/>
        </w:rPr>
        <w:t xml:space="preserve">ss-subsidy to high-risk users. </w:t>
      </w:r>
      <w:r w:rsidRPr="00C85B70">
        <w:rPr>
          <w:rFonts w:ascii="Times New Roman" w:eastAsia="Times New Roman" w:hAnsi="Times New Roman" w:cs="Times New Roman"/>
          <w:lang w:eastAsia="en-US"/>
        </w:rPr>
        <w:t>The pool of product users is therefore now made up of consumers who are, on balance, a little bit riskier than they were before the lowest risk consumers dr</w:t>
      </w:r>
      <w:r w:rsidR="001B6B42">
        <w:rPr>
          <w:rFonts w:ascii="Times New Roman" w:eastAsia="Times New Roman" w:hAnsi="Times New Roman" w:cs="Times New Roman"/>
          <w:lang w:eastAsia="en-US"/>
        </w:rPr>
        <w:t xml:space="preserve">opped out. </w:t>
      </w:r>
      <w:r w:rsidR="00FD3945">
        <w:rPr>
          <w:rFonts w:ascii="Times New Roman" w:eastAsia="Times New Roman" w:hAnsi="Times New Roman" w:cs="Times New Roman"/>
          <w:lang w:eastAsia="en-US"/>
        </w:rPr>
        <w:t>And if the pool is</w:t>
      </w:r>
      <w:r w:rsidRPr="00C85B70">
        <w:rPr>
          <w:rFonts w:ascii="Times New Roman" w:eastAsia="Times New Roman" w:hAnsi="Times New Roman" w:cs="Times New Roman"/>
          <w:lang w:eastAsia="en-US"/>
        </w:rPr>
        <w:t xml:space="preserve"> riskier than it would have been before the low</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risk consumers dropped out, the insurance seller (here the product seller) will have to increase the price of the implicit insurance policy by increasin</w:t>
      </w:r>
      <w:r w:rsidR="001B6B42">
        <w:rPr>
          <w:rFonts w:ascii="Times New Roman" w:eastAsia="Times New Roman" w:hAnsi="Times New Roman" w:cs="Times New Roman"/>
          <w:lang w:eastAsia="en-US"/>
        </w:rPr>
        <w:t>g the price of the product.</w:t>
      </w:r>
    </w:p>
    <w:p w14:paraId="0E1EFB34" w14:textId="77777777" w:rsidR="00C85B70" w:rsidRPr="00C85B70" w:rsidRDefault="00C85B70" w:rsidP="00FE7B7F">
      <w:pPr>
        <w:rPr>
          <w:rFonts w:ascii="Times New Roman" w:eastAsia="Times New Roman" w:hAnsi="Times New Roman" w:cs="Times New Roman"/>
          <w:lang w:eastAsia="en-US"/>
        </w:rPr>
      </w:pPr>
    </w:p>
    <w:p w14:paraId="5597BD66" w14:textId="050D3589"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It is here that the potential perversity of compulsory insurance risks becomes truly per</w:t>
      </w:r>
      <w:r w:rsidR="00FD3945">
        <w:rPr>
          <w:rFonts w:ascii="Times New Roman" w:eastAsia="Times New Roman" w:hAnsi="Times New Roman" w:cs="Times New Roman"/>
          <w:lang w:eastAsia="en-US"/>
        </w:rPr>
        <w:t>nicious</w:t>
      </w:r>
      <w:r w:rsidR="001B6B42">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For now at the higher price point, a new round of low</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risk consumers may reconsider </w:t>
      </w:r>
      <w:r w:rsidR="001B6B42">
        <w:rPr>
          <w:rFonts w:ascii="Times New Roman" w:eastAsia="Times New Roman" w:hAnsi="Times New Roman" w:cs="Times New Roman"/>
          <w:lang w:eastAsia="en-US"/>
        </w:rPr>
        <w:t xml:space="preserve">their willingness to purchase. </w:t>
      </w:r>
      <w:r w:rsidRPr="00C85B70">
        <w:rPr>
          <w:rFonts w:ascii="Times New Roman" w:eastAsia="Times New Roman" w:hAnsi="Times New Roman" w:cs="Times New Roman"/>
          <w:lang w:eastAsia="en-US"/>
        </w:rPr>
        <w:t>If they drop out of the market, the insurance pool will again become riskier, requiring a second new price poi</w:t>
      </w:r>
      <w:r w:rsidR="001B6B42">
        <w:rPr>
          <w:rFonts w:ascii="Times New Roman" w:eastAsia="Times New Roman" w:hAnsi="Times New Roman" w:cs="Times New Roman"/>
          <w:lang w:eastAsia="en-US"/>
        </w:rPr>
        <w:t xml:space="preserve">nt for the implicit insurance. </w:t>
      </w:r>
      <w:r w:rsidRPr="00C85B70">
        <w:rPr>
          <w:rFonts w:ascii="Times New Roman" w:eastAsia="Times New Roman" w:hAnsi="Times New Roman" w:cs="Times New Roman"/>
          <w:lang w:eastAsia="en-US"/>
        </w:rPr>
        <w:t>But that new price will lead yet another set of consumers to recons</w:t>
      </w:r>
      <w:r w:rsidR="001B6B42">
        <w:rPr>
          <w:rFonts w:ascii="Times New Roman" w:eastAsia="Times New Roman" w:hAnsi="Times New Roman" w:cs="Times New Roman"/>
          <w:lang w:eastAsia="en-US"/>
        </w:rPr>
        <w:t xml:space="preserve">ider their willingness to buy. </w:t>
      </w:r>
      <w:r w:rsidRPr="00C85B70">
        <w:rPr>
          <w:rFonts w:ascii="Times New Roman" w:eastAsia="Times New Roman" w:hAnsi="Times New Roman" w:cs="Times New Roman"/>
          <w:lang w:eastAsia="en-US"/>
        </w:rPr>
        <w:t>Once again, the consumers dropping out of the market will tend to be the lowest risk would-b</w:t>
      </w:r>
      <w:r w:rsidR="001B6B42">
        <w:rPr>
          <w:rFonts w:ascii="Times New Roman" w:eastAsia="Times New Roman" w:hAnsi="Times New Roman" w:cs="Times New Roman"/>
          <w:lang w:eastAsia="en-US"/>
        </w:rPr>
        <w:t xml:space="preserve">e users remaining in the pool. </w:t>
      </w:r>
      <w:r w:rsidRPr="00C85B70">
        <w:rPr>
          <w:rFonts w:ascii="Times New Roman" w:eastAsia="Times New Roman" w:hAnsi="Times New Roman" w:cs="Times New Roman"/>
          <w:lang w:eastAsia="en-US"/>
        </w:rPr>
        <w:t>And once again the riskiness of the pool and the price of the product will have to go up.</w:t>
      </w:r>
    </w:p>
    <w:p w14:paraId="3949E525" w14:textId="77777777" w:rsidR="00C85B70" w:rsidRPr="00C85B70" w:rsidRDefault="00C85B70" w:rsidP="00FE7B7F">
      <w:pPr>
        <w:rPr>
          <w:rFonts w:ascii="Times New Roman" w:eastAsia="Times New Roman" w:hAnsi="Times New Roman" w:cs="Times New Roman"/>
          <w:lang w:eastAsia="en-US"/>
        </w:rPr>
      </w:pPr>
    </w:p>
    <w:p w14:paraId="62E89647" w14:textId="23177BA9"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In theory, this dynamic of adverse selection in the product market</w:t>
      </w:r>
      <w:r w:rsidR="0053743C">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of consumer drop-outs and price hikes</w:t>
      </w:r>
      <w:r w:rsidR="00A14B78">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may continue until there are no cons</w:t>
      </w:r>
      <w:r w:rsidR="001B6B42">
        <w:rPr>
          <w:rFonts w:ascii="Times New Roman" w:eastAsia="Times New Roman" w:hAnsi="Times New Roman" w:cs="Times New Roman"/>
          <w:lang w:eastAsia="en-US"/>
        </w:rPr>
        <w:t xml:space="preserve">umers remaining in the market. </w:t>
      </w:r>
      <w:r w:rsidRPr="00C85B70">
        <w:rPr>
          <w:rFonts w:ascii="Times New Roman" w:eastAsia="Times New Roman" w:hAnsi="Times New Roman" w:cs="Times New Roman"/>
          <w:lang w:eastAsia="en-US"/>
        </w:rPr>
        <w:t>If this were to happen, products liability would have accomplished the goal of improving product safety by eliminating entire classes of products from the market altogether</w:t>
      </w:r>
      <w:r w:rsidR="00A14B78">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often products that are very useful and that we would very much like to have around!  </w:t>
      </w:r>
    </w:p>
    <w:p w14:paraId="0FDA19D5" w14:textId="77777777" w:rsidR="00C85B70" w:rsidRPr="00C85B70" w:rsidRDefault="00C85B70" w:rsidP="00FE7B7F">
      <w:pPr>
        <w:rPr>
          <w:rFonts w:ascii="Times New Roman" w:eastAsia="Times New Roman" w:hAnsi="Times New Roman" w:cs="Times New Roman"/>
          <w:lang w:eastAsia="en-US"/>
        </w:rPr>
      </w:pPr>
    </w:p>
    <w:p w14:paraId="3D1DB368" w14:textId="766CA500"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F94B7E">
        <w:rPr>
          <w:rFonts w:ascii="Times New Roman" w:eastAsia="Times New Roman" w:hAnsi="Times New Roman" w:cs="Times New Roman"/>
          <w:i/>
          <w:lang w:eastAsia="en-US"/>
        </w:rPr>
        <w:t xml:space="preserve">See </w:t>
      </w:r>
      <w:r w:rsidRPr="00C85B70">
        <w:rPr>
          <w:rFonts w:ascii="Times New Roman" w:eastAsia="Times New Roman" w:hAnsi="Times New Roman" w:cs="Times New Roman"/>
          <w:lang w:eastAsia="en-US"/>
        </w:rPr>
        <w:t xml:space="preserve">George L. Priest, </w:t>
      </w:r>
      <w:r w:rsidRPr="750671CE">
        <w:rPr>
          <w:rFonts w:ascii="Times New Roman" w:eastAsia="Times New Roman" w:hAnsi="Times New Roman" w:cs="Times New Roman"/>
          <w:i/>
          <w:iCs/>
          <w:lang w:eastAsia="en-US"/>
        </w:rPr>
        <w:t>Can Absolute Manufacturer Liability be Defended</w:t>
      </w:r>
      <w:r w:rsidRPr="00C85B70">
        <w:rPr>
          <w:rFonts w:ascii="Times New Roman" w:eastAsia="Times New Roman" w:hAnsi="Times New Roman" w:cs="Times New Roman"/>
          <w:lang w:eastAsia="en-US"/>
        </w:rPr>
        <w:t xml:space="preserve">, 9 </w:t>
      </w:r>
      <w:r w:rsidRPr="00C85B70">
        <w:rPr>
          <w:rFonts w:ascii="Times New Roman" w:eastAsia="Times New Roman" w:hAnsi="Times New Roman" w:cs="Times New Roman"/>
          <w:smallCaps/>
          <w:lang w:eastAsia="en-US"/>
        </w:rPr>
        <w:t>Yale J. Reg</w:t>
      </w:r>
      <w:r w:rsidR="001B6B42">
        <w:rPr>
          <w:rFonts w:ascii="Times New Roman" w:eastAsia="Times New Roman" w:hAnsi="Times New Roman" w:cs="Times New Roman"/>
          <w:lang w:eastAsia="en-US"/>
        </w:rPr>
        <w:t>. 237 (1992).</w:t>
      </w:r>
    </w:p>
    <w:p w14:paraId="37786B02" w14:textId="77777777" w:rsidR="00C85B70" w:rsidRPr="00C85B70" w:rsidRDefault="00C85B70" w:rsidP="00FE7B7F">
      <w:pPr>
        <w:rPr>
          <w:rFonts w:ascii="Times New Roman" w:eastAsia="Times New Roman" w:hAnsi="Times New Roman" w:cs="Times New Roman"/>
          <w:lang w:eastAsia="en-US"/>
        </w:rPr>
      </w:pPr>
    </w:p>
    <w:p w14:paraId="21ADF77B" w14:textId="56EFBC5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Others argue that the liability insurance price cycles are the result of interest rate swings, which affect insurers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bottom lines by eroding the returns the insurers can get by investing the premiums in the interim period between when insureds make premium payments, on the one hand, and policy obligations come due, on the other.  </w:t>
      </w:r>
      <w:r w:rsidRPr="00F94B7E">
        <w:rPr>
          <w:rFonts w:ascii="Times New Roman" w:eastAsia="Times New Roman" w:hAnsi="Times New Roman" w:cs="Times New Roman"/>
          <w:i/>
          <w:lang w:eastAsia="en-US"/>
        </w:rPr>
        <w:t>See, e.g.</w:t>
      </w:r>
      <w:r w:rsidRPr="750671CE">
        <w:rPr>
          <w:rFonts w:ascii="Times New Roman" w:eastAsia="Times New Roman" w:hAnsi="Times New Roman" w:cs="Times New Roman"/>
          <w:lang w:eastAsia="en-US"/>
        </w:rPr>
        <w:t xml:space="preserve">, Robert T. McGee, </w:t>
      </w:r>
      <w:r w:rsidRPr="750671CE">
        <w:rPr>
          <w:rFonts w:ascii="Times New Roman" w:eastAsia="Times New Roman" w:hAnsi="Times New Roman" w:cs="Times New Roman"/>
          <w:i/>
          <w:iCs/>
          <w:lang w:eastAsia="en-US"/>
        </w:rPr>
        <w:t>The Cycle in Property / Casualty Insurance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Fed. Res. Bank of N.Y. Q. Rev</w:t>
      </w:r>
      <w:r w:rsidRPr="750671CE">
        <w:rPr>
          <w:rFonts w:ascii="Times New Roman" w:eastAsia="Times New Roman" w:hAnsi="Times New Roman" w:cs="Times New Roman"/>
          <w:lang w:eastAsia="en-US"/>
        </w:rPr>
        <w:t>., Autumn 1986,</w:t>
      </w:r>
      <w:r w:rsidR="00795426">
        <w:rPr>
          <w:rFonts w:ascii="Times New Roman" w:eastAsia="Times New Roman" w:hAnsi="Times New Roman" w:cs="Times New Roman"/>
          <w:lang w:eastAsia="en-US"/>
        </w:rPr>
        <w:t xml:space="preserve"> at</w:t>
      </w:r>
      <w:r w:rsidRPr="750671CE">
        <w:rPr>
          <w:rFonts w:ascii="Times New Roman" w:eastAsia="Times New Roman" w:hAnsi="Times New Roman" w:cs="Times New Roman"/>
          <w:lang w:eastAsia="en-US"/>
        </w:rPr>
        <w:t xml:space="preserve"> 22-30.</w:t>
      </w:r>
    </w:p>
    <w:p w14:paraId="29FBF5AA" w14:textId="77777777" w:rsidR="00C85B70" w:rsidRPr="00C85B70" w:rsidRDefault="00C85B70" w:rsidP="00FE7B7F">
      <w:pPr>
        <w:rPr>
          <w:rFonts w:ascii="Times New Roman" w:eastAsia="Times New Roman" w:hAnsi="Times New Roman" w:cs="Times New Roman"/>
          <w:lang w:eastAsia="en-US"/>
        </w:rPr>
      </w:pPr>
    </w:p>
    <w:p w14:paraId="420C3547" w14:textId="77777777"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Either way, the problem of adverse selection is potentially a serious obstacle to achieving systemic policy goals in products liability cases.  </w:t>
      </w:r>
    </w:p>
    <w:p w14:paraId="6964B94F" w14:textId="77777777" w:rsidR="00C85B70" w:rsidRPr="00C85B70" w:rsidRDefault="00C85B70" w:rsidP="00FE7B7F">
      <w:pPr>
        <w:rPr>
          <w:rFonts w:ascii="Times New Roman" w:eastAsia="Times New Roman" w:hAnsi="Times New Roman" w:cs="Times New Roman"/>
          <w:lang w:eastAsia="en-US"/>
        </w:rPr>
      </w:pPr>
    </w:p>
    <w:p w14:paraId="582607B4" w14:textId="77777777" w:rsidR="00C85B70" w:rsidRPr="00C85B70" w:rsidRDefault="00C85B70" w:rsidP="00FE7B7F">
      <w:pPr>
        <w:rPr>
          <w:rFonts w:ascii="Times New Roman" w:eastAsia="Times New Roman" w:hAnsi="Times New Roman" w:cs="Times New Roman"/>
          <w:lang w:eastAsia="en-US"/>
        </w:rPr>
      </w:pPr>
    </w:p>
    <w:p w14:paraId="460275D5" w14:textId="527E0129" w:rsidR="00C85B70" w:rsidRPr="00F94B7E" w:rsidRDefault="750671CE" w:rsidP="00F94B7E">
      <w:pPr>
        <w:pStyle w:val="ListParagraph"/>
        <w:numPr>
          <w:ilvl w:val="0"/>
          <w:numId w:val="4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Third Restatement Rollback</w:t>
      </w:r>
      <w:r w:rsidRPr="00F94B7E">
        <w:rPr>
          <w:rFonts w:ascii="Times New Roman" w:eastAsia="Times New Roman" w:hAnsi="Times New Roman" w:cs="Times New Roman"/>
          <w:lang w:eastAsia="en-US"/>
        </w:rPr>
        <w:t>?  After three decades of experience with Prosser</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w:t>
      </w:r>
      <w:r w:rsidR="000D46E0">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econd Restatement, the American Law Institute reissued a </w:t>
      </w:r>
      <w:r w:rsidR="000D46E0">
        <w:rPr>
          <w:rFonts w:ascii="Times New Roman" w:eastAsia="Times New Roman" w:hAnsi="Times New Roman" w:cs="Times New Roman"/>
          <w:lang w:eastAsia="en-US"/>
        </w:rPr>
        <w:t>T</w:t>
      </w:r>
      <w:r w:rsidRPr="00F94B7E">
        <w:rPr>
          <w:rFonts w:ascii="Times New Roman" w:eastAsia="Times New Roman" w:hAnsi="Times New Roman" w:cs="Times New Roman"/>
          <w:lang w:eastAsia="en-US"/>
        </w:rPr>
        <w:t xml:space="preserve">hird Restatement dedicated exclusively to products liability in 1998. The </w:t>
      </w:r>
      <w:r w:rsidRPr="00F94B7E">
        <w:rPr>
          <w:rFonts w:ascii="Times New Roman" w:eastAsia="Times New Roman" w:hAnsi="Times New Roman" w:cs="Times New Roman"/>
          <w:i/>
          <w:iCs/>
          <w:lang w:eastAsia="en-US"/>
        </w:rPr>
        <w:t>Restatement of the Law Third, Torts: Products Liability</w:t>
      </w:r>
      <w:r w:rsidRPr="00F94B7E">
        <w:rPr>
          <w:rFonts w:ascii="Times New Roman" w:eastAsia="Times New Roman" w:hAnsi="Times New Roman" w:cs="Times New Roman"/>
          <w:lang w:eastAsia="en-US"/>
        </w:rPr>
        <w:t xml:space="preserve"> almost completely overturned 402A. In its place</w:t>
      </w:r>
      <w:r w:rsidR="000D46E0">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it adopted the three-part structure drawn from cases like </w:t>
      </w:r>
      <w:r w:rsidRPr="00F94B7E">
        <w:rPr>
          <w:rFonts w:ascii="Times New Roman" w:eastAsia="Times New Roman" w:hAnsi="Times New Roman" w:cs="Times New Roman"/>
          <w:i/>
          <w:iCs/>
          <w:lang w:eastAsia="en-US"/>
        </w:rPr>
        <w:t>Barker</w:t>
      </w:r>
      <w:r w:rsidRPr="00F94B7E">
        <w:rPr>
          <w:rFonts w:ascii="Times New Roman" w:eastAsia="Times New Roman" w:hAnsi="Times New Roman" w:cs="Times New Roman"/>
          <w:lang w:eastAsia="en-US"/>
        </w:rPr>
        <w:t xml:space="preserve"> for liability arising out of defective products sold by someone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engaged in the business of selling or otherwise distributing products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when the defect causes harm to persons or property. </w:t>
      </w:r>
      <w:r w:rsidRPr="00F94B7E">
        <w:rPr>
          <w:rFonts w:ascii="Times New Roman" w:eastAsia="Times New Roman" w:hAnsi="Times New Roman" w:cs="Times New Roman"/>
          <w:smallCaps/>
          <w:lang w:eastAsia="en-US"/>
        </w:rPr>
        <w:t>Restatement (Third): Prods</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Liab</w:t>
      </w:r>
      <w:r w:rsidR="00A14B78">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w:t>
      </w:r>
      <w:r w:rsidR="00A14B78">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1 (1998). Consider the next case, which illustrates the Third Restatement approach in action:</w:t>
      </w:r>
    </w:p>
    <w:p w14:paraId="676F465E" w14:textId="77777777" w:rsidR="00C85B70" w:rsidRPr="00C85B70" w:rsidRDefault="00C85B70" w:rsidP="00FE7B7F">
      <w:pPr>
        <w:rPr>
          <w:rFonts w:ascii="Times New Roman" w:eastAsia="Times New Roman" w:hAnsi="Times New Roman" w:cs="Times New Roman"/>
          <w:bCs/>
          <w:lang w:eastAsia="en-US"/>
        </w:rPr>
      </w:pPr>
    </w:p>
    <w:p w14:paraId="50F5FB19" w14:textId="77777777" w:rsidR="00C85B70" w:rsidRPr="00C85B70" w:rsidRDefault="00C85B70" w:rsidP="00FE7B7F">
      <w:pPr>
        <w:rPr>
          <w:rFonts w:ascii="Times New Roman" w:eastAsia="Times New Roman" w:hAnsi="Times New Roman" w:cs="Times New Roman"/>
          <w:bCs/>
          <w:lang w:eastAsia="en-US"/>
        </w:rPr>
      </w:pPr>
    </w:p>
    <w:p w14:paraId="59CD9CA9" w14:textId="46FF603B" w:rsidR="00C85B70" w:rsidRPr="00C85B70" w:rsidRDefault="00C85B70" w:rsidP="750671CE">
      <w:pPr>
        <w:widowControl w:val="0"/>
        <w:autoSpaceDE w:val="0"/>
        <w:autoSpaceDN w:val="0"/>
        <w:adjustRightInd w:val="0"/>
        <w:rPr>
          <w:rFonts w:ascii="Times New Roman" w:eastAsia="Times New Roman" w:hAnsi="Times New Roman" w:cs="Times New Roman"/>
          <w:color w:val="000000" w:themeColor="text1"/>
          <w:lang w:eastAsia="en-US"/>
        </w:rPr>
      </w:pPr>
      <w:bookmarkStart w:id="1044" w:name="_Toc518323559"/>
      <w:r w:rsidRPr="00E754BB">
        <w:rPr>
          <w:rStyle w:val="Heading4Char"/>
        </w:rPr>
        <w:t>Wright v. Brooke Group, Ltd.</w:t>
      </w:r>
      <w:bookmarkEnd w:id="1044"/>
      <w:r w:rsidRPr="750671CE">
        <w:rPr>
          <w:rFonts w:ascii="Times New Roman" w:eastAsia="Times New Roman" w:hAnsi="Times New Roman" w:cs="Times New Roman"/>
          <w:b/>
          <w:bCs/>
          <w:color w:val="000000"/>
          <w:lang w:eastAsia="en-US"/>
        </w:rPr>
        <w:t>, 652 N.W.2d 159 (Iowa 2002)</w:t>
      </w:r>
    </w:p>
    <w:p w14:paraId="56DB91D8"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4076F93D" w14:textId="4E1B8535"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smallCaps/>
          <w:color w:val="000000" w:themeColor="text1"/>
          <w:lang w:eastAsia="en-US"/>
        </w:rPr>
        <w:t>Ternus,</w:t>
      </w:r>
      <w:r w:rsidRPr="750671CE">
        <w:rPr>
          <w:rFonts w:ascii="Times New Roman" w:eastAsia="Times New Roman" w:hAnsi="Times New Roman" w:cs="Times New Roman"/>
          <w:color w:val="000000" w:themeColor="text1"/>
          <w:lang w:eastAsia="en-US"/>
        </w:rPr>
        <w:t xml:space="preserve"> J.</w:t>
      </w:r>
    </w:p>
    <w:p w14:paraId="2F4476F9"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7094F1D1" w14:textId="10D230ED"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United States District Court for the Northern District of Iowa has certified [a question] to this court arising out of a personal injury action filed by a smoker against several cigarette manufacturers. The certified question</w:t>
      </w:r>
      <w:r w:rsidR="00746162">
        <w:rPr>
          <w:rFonts w:ascii="Times New Roman" w:eastAsia="Times New Roman" w:hAnsi="Times New Roman" w:cs="Times New Roman"/>
          <w:color w:val="000000" w:themeColor="text1"/>
          <w:lang w:eastAsia="en-US"/>
        </w:rPr>
        <w:t>. . .</w:t>
      </w:r>
      <w:r w:rsidRPr="750671CE">
        <w:rPr>
          <w:rFonts w:ascii="Times New Roman" w:eastAsia="Times New Roman" w:hAnsi="Times New Roman" w:cs="Times New Roman"/>
          <w:color w:val="000000" w:themeColor="text1"/>
          <w:lang w:eastAsia="en-US"/>
        </w:rPr>
        <w:t xml:space="preserve"> address[es] the nature and extent of the manufacturers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liability under products liability, warranty and tort law. . . . </w:t>
      </w:r>
    </w:p>
    <w:p w14:paraId="1D0DC415" w14:textId="77777777" w:rsidR="00C85B70" w:rsidRPr="00C85B70" w:rsidRDefault="00C85B70" w:rsidP="00945FB9">
      <w:pPr>
        <w:widowControl w:val="0"/>
        <w:autoSpaceDE w:val="0"/>
        <w:autoSpaceDN w:val="0"/>
        <w:adjustRightInd w:val="0"/>
        <w:rPr>
          <w:rFonts w:ascii="Times New Roman" w:eastAsia="Times New Roman" w:hAnsi="Times New Roman" w:cs="Times New Roman"/>
          <w:color w:val="000000"/>
          <w:lang w:eastAsia="en-US"/>
        </w:rPr>
      </w:pPr>
      <w:bookmarkStart w:id="1045" w:name="co_anchor_I0fd1cf6b6a8011df9b8c850332338"/>
      <w:bookmarkEnd w:id="1045"/>
    </w:p>
    <w:p w14:paraId="3428157F" w14:textId="77777777" w:rsidR="00C85B70" w:rsidRPr="00C85B70" w:rsidRDefault="750671CE" w:rsidP="00F94B7E">
      <w:pPr>
        <w:widowControl w:val="0"/>
        <w:autoSpaceDE w:val="0"/>
        <w:autoSpaceDN w:val="0"/>
        <w:adjustRightInd w:val="0"/>
        <w:rPr>
          <w:rFonts w:ascii="Times New Roman" w:eastAsia="Times New Roman" w:hAnsi="Times New Roman" w:cs="Times New Roman"/>
          <w:i/>
          <w:iCs/>
          <w:color w:val="000000" w:themeColor="text1"/>
          <w:lang w:eastAsia="en-US"/>
        </w:rPr>
      </w:pPr>
      <w:r w:rsidRPr="750671CE">
        <w:rPr>
          <w:rFonts w:ascii="Times New Roman" w:eastAsia="Times New Roman" w:hAnsi="Times New Roman" w:cs="Times New Roman"/>
          <w:color w:val="000000" w:themeColor="text1"/>
          <w:lang w:eastAsia="en-US"/>
        </w:rPr>
        <w:t xml:space="preserve">I. </w:t>
      </w:r>
      <w:r w:rsidRPr="750671CE">
        <w:rPr>
          <w:rFonts w:ascii="Times New Roman" w:eastAsia="Times New Roman" w:hAnsi="Times New Roman" w:cs="Times New Roman"/>
          <w:i/>
          <w:iCs/>
          <w:color w:val="000000" w:themeColor="text1"/>
          <w:lang w:eastAsia="en-US"/>
        </w:rPr>
        <w:t>Factual and Procedural Background.</w:t>
      </w:r>
    </w:p>
    <w:p w14:paraId="00CD8800" w14:textId="77777777" w:rsidR="00C85B70" w:rsidRPr="00C85B70" w:rsidRDefault="00C85B70" w:rsidP="00F94B7E">
      <w:pPr>
        <w:widowControl w:val="0"/>
        <w:autoSpaceDE w:val="0"/>
        <w:autoSpaceDN w:val="0"/>
        <w:adjustRightInd w:val="0"/>
        <w:rPr>
          <w:rFonts w:ascii="Times New Roman" w:eastAsia="Times New Roman" w:hAnsi="Times New Roman" w:cs="Times New Roman"/>
          <w:b/>
          <w:bCs/>
          <w:i/>
          <w:iCs/>
          <w:color w:val="000000"/>
          <w:lang w:eastAsia="en-US"/>
        </w:rPr>
      </w:pPr>
    </w:p>
    <w:p w14:paraId="67E719D3" w14:textId="05A7FBEE" w:rsidR="00C85B70" w:rsidRPr="00C85B70" w:rsidRDefault="00C85B70" w:rsidP="00945FB9">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 xml:space="preserve">The plaintiffs, Robert and DeAnn Wright, filed a petition against the defendants, </w:t>
      </w:r>
      <w:bookmarkStart w:id="1046" w:name="co_pp_sp_595_163_1"/>
      <w:bookmarkEnd w:id="1046"/>
      <w:r w:rsidRPr="00C85B70">
        <w:rPr>
          <w:rFonts w:ascii="Times New Roman" w:eastAsia="Times New Roman" w:hAnsi="Times New Roman" w:cs="Times New Roman"/>
          <w:color w:val="000000"/>
          <w:lang w:eastAsia="en-US"/>
        </w:rPr>
        <w:t>all cigarette manufacturers, alleging they had been damaged as a result of Robert</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s cigarette smoking. . . .</w:t>
      </w:r>
    </w:p>
    <w:p w14:paraId="0E35778F" w14:textId="77777777" w:rsidR="00945FB9" w:rsidRDefault="00945FB9" w:rsidP="00F94B7E">
      <w:pPr>
        <w:widowControl w:val="0"/>
        <w:autoSpaceDE w:val="0"/>
        <w:autoSpaceDN w:val="0"/>
        <w:adjustRightInd w:val="0"/>
        <w:rPr>
          <w:rFonts w:ascii="Times New Roman" w:eastAsia="Times New Roman" w:hAnsi="Times New Roman" w:cs="Times New Roman"/>
          <w:color w:val="000000" w:themeColor="text1"/>
          <w:lang w:eastAsia="en-US"/>
        </w:rPr>
      </w:pPr>
    </w:p>
    <w:p w14:paraId="718B2388" w14:textId="2CE1A070" w:rsidR="00C85B70" w:rsidRPr="00C85B70" w:rsidRDefault="00945FB9" w:rsidP="00945FB9">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Thereafter, the defendants asked</w:t>
      </w:r>
      <w:r>
        <w:rPr>
          <w:rFonts w:ascii="Times New Roman" w:eastAsia="Times New Roman" w:hAnsi="Times New Roman" w:cs="Times New Roman"/>
          <w:color w:val="000000" w:themeColor="text1"/>
          <w:lang w:eastAsia="en-US"/>
        </w:rPr>
        <w:t xml:space="preserve"> </w:t>
      </w:r>
      <w:r w:rsidR="750671CE" w:rsidRPr="750671CE">
        <w:rPr>
          <w:rFonts w:ascii="Times New Roman" w:eastAsia="Times New Roman" w:hAnsi="Times New Roman" w:cs="Times New Roman"/>
          <w:color w:val="000000" w:themeColor="text1"/>
          <w:lang w:eastAsia="en-US"/>
        </w:rPr>
        <w:t xml:space="preserve">the federal court to certify questions of law to the Iowa Supreme Court . . . . </w:t>
      </w:r>
      <w:r w:rsidR="000D46E0">
        <w:rPr>
          <w:rFonts w:ascii="Times New Roman" w:eastAsia="Times New Roman" w:hAnsi="Times New Roman" w:cs="Times New Roman"/>
          <w:color w:val="000000" w:themeColor="text1"/>
          <w:lang w:eastAsia="en-US"/>
        </w:rPr>
        <w:t xml:space="preserve"> </w:t>
      </w:r>
      <w:r w:rsidR="750671CE" w:rsidRPr="750671CE">
        <w:rPr>
          <w:rFonts w:ascii="Times New Roman" w:eastAsia="Times New Roman" w:hAnsi="Times New Roman" w:cs="Times New Roman"/>
          <w:color w:val="000000" w:themeColor="text1"/>
          <w:lang w:eastAsia="en-US"/>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62929A87"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[relevant question] certified is:</w:t>
      </w:r>
    </w:p>
    <w:p w14:paraId="2D3F0BE8" w14:textId="77777777" w:rsidR="00C85B70" w:rsidRPr="00C85B70" w:rsidRDefault="750671CE" w:rsidP="750671CE">
      <w:pPr>
        <w:widowControl w:val="0"/>
        <w:autoSpaceDE w:val="0"/>
        <w:autoSpaceDN w:val="0"/>
        <w:adjustRightInd w:val="0"/>
        <w:spacing w:before="200"/>
        <w:ind w:left="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1. In a design defect products liability case, what test applies under Iowa law to determine whether cigarettes are unreasonably dangerous? What requirements must be met under the applicable test?</w:t>
      </w:r>
    </w:p>
    <w:p w14:paraId="66B88C1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bookmarkStart w:id="1047" w:name="co_anchor_I0fd1cf6c6a8011df9b8c850332338"/>
      <w:bookmarkEnd w:id="1047"/>
    </w:p>
    <w:p w14:paraId="50E3FD4A" w14:textId="66D4C6DF"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5578E808"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i/>
          <w:iCs/>
          <w:color w:val="000000" w:themeColor="text1"/>
          <w:lang w:eastAsia="en-US"/>
        </w:rPr>
      </w:pPr>
      <w:r w:rsidRPr="750671CE">
        <w:rPr>
          <w:rFonts w:ascii="Times New Roman" w:eastAsia="Times New Roman" w:hAnsi="Times New Roman" w:cs="Times New Roman"/>
          <w:color w:val="000000" w:themeColor="text1"/>
          <w:lang w:eastAsia="en-US"/>
        </w:rPr>
        <w:t xml:space="preserve">II. </w:t>
      </w:r>
      <w:r w:rsidRPr="750671CE">
        <w:rPr>
          <w:rFonts w:ascii="Times New Roman" w:eastAsia="Times New Roman" w:hAnsi="Times New Roman" w:cs="Times New Roman"/>
          <w:i/>
          <w:iCs/>
          <w:color w:val="000000" w:themeColor="text1"/>
          <w:lang w:eastAsia="en-US"/>
        </w:rPr>
        <w:t>In a Design Defect Products Liability Case, What Test Applies Under Iowa Law to Determine Whether Cigarettes Are Unreasonably Dangerous? What Requirements Must Be Met Under the Applicable Test?</w:t>
      </w:r>
    </w:p>
    <w:p w14:paraId="7F05153E" w14:textId="77777777" w:rsidR="00C85B70" w:rsidRPr="00C85B70" w:rsidRDefault="00C85B70" w:rsidP="00FE7B7F">
      <w:pPr>
        <w:widowControl w:val="0"/>
        <w:autoSpaceDE w:val="0"/>
        <w:autoSpaceDN w:val="0"/>
        <w:adjustRightInd w:val="0"/>
        <w:rPr>
          <w:rFonts w:ascii="Times New Roman" w:eastAsia="Times New Roman" w:hAnsi="Times New Roman" w:cs="Times New Roman"/>
          <w:i/>
          <w:iCs/>
          <w:color w:val="000000"/>
          <w:lang w:eastAsia="en-US"/>
        </w:rPr>
      </w:pPr>
    </w:p>
    <w:p w14:paraId="010CDAF2" w14:textId="61A5100E"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that the costs of injuries resulting from defective products are borne by the manufacturers that put such products on the market.</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p>
    <w:p w14:paraId="65382D49"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72E2C47" w14:textId="1FC2CAA3"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Consistent with this purpose we held that a plaintiff seeking to recover under a strict liability theory need not prove the manufacturer</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negligence. Moreover, we concluded that application of strict liability in tort was not exclusive and did not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preclude liability based on the alternative ground of negligence, when negligence could be proved.</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p>
    <w:p w14:paraId="01656E2C"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2B404150" w14:textId="4A3F1C4D" w:rsid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In </w:t>
      </w:r>
      <w:r w:rsidRPr="750671CE">
        <w:rPr>
          <w:rFonts w:ascii="Times New Roman" w:eastAsia="Times New Roman" w:hAnsi="Times New Roman" w:cs="Times New Roman"/>
          <w:i/>
          <w:iCs/>
          <w:color w:val="000000" w:themeColor="text1"/>
          <w:lang w:eastAsia="en-US"/>
        </w:rPr>
        <w:t>Aller v. Rodgers Machinery Manufacturing Co.,</w:t>
      </w:r>
      <w:r w:rsidRPr="750671CE">
        <w:rPr>
          <w:rFonts w:ascii="Times New Roman" w:eastAsia="Times New Roman" w:hAnsi="Times New Roman" w:cs="Times New Roman"/>
          <w:color w:val="000000" w:themeColor="text1"/>
          <w:lang w:eastAsia="en-US"/>
        </w:rPr>
        <w:t xml:space="preserve"> [1978], a design defect case, our court discussed in more detail the test to be applied in strict liability cases. In that case, the plaintiff asked the court to eliminate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element of strict products liability, arguing that to require proof that the product was </w:t>
      </w:r>
      <w:r w:rsidRPr="750671CE">
        <w:rPr>
          <w:rFonts w:ascii="Times New Roman" w:eastAsia="Times New Roman" w:hAnsi="Times New Roman" w:cs="Times New Roman"/>
          <w:i/>
          <w:iCs/>
          <w:color w:val="000000" w:themeColor="text1"/>
          <w:lang w:eastAsia="en-US"/>
        </w:rPr>
        <w:t>unreasonably</w:t>
      </w:r>
      <w:r w:rsidRPr="750671CE">
        <w:rPr>
          <w:rFonts w:ascii="Times New Roman" w:eastAsia="Times New Roman" w:hAnsi="Times New Roman" w:cs="Times New Roman"/>
          <w:color w:val="000000" w:themeColor="text1"/>
          <w:lang w:eastAsia="en-US"/>
        </w:rPr>
        <w:t xml:space="preserve"> dangerous injected considerations of negligence into strict liability, thwarting the purpose of adopting a strict liability theory. We rejected the plaintiff</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s request to eliminate 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element, concluding the theories of strict liability and negligence were distinguishable . . . .</w:t>
      </w:r>
    </w:p>
    <w:p w14:paraId="34385AB4" w14:textId="77777777" w:rsidR="00945FB9" w:rsidRPr="00C85B70" w:rsidRDefault="00945FB9"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p>
    <w:p w14:paraId="0419483F" w14:textId="333DED0B"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Relying on comment </w:t>
      </w:r>
      <w:r w:rsidRPr="750671CE">
        <w:rPr>
          <w:rFonts w:ascii="Times New Roman" w:eastAsia="Times New Roman" w:hAnsi="Times New Roman" w:cs="Times New Roman"/>
          <w:i/>
          <w:iCs/>
          <w:color w:val="000000" w:themeColor="text1"/>
          <w:lang w:eastAsia="en-US"/>
        </w:rPr>
        <w:t>i</w:t>
      </w:r>
      <w:r w:rsidRPr="750671CE">
        <w:rPr>
          <w:rFonts w:ascii="Times New Roman" w:eastAsia="Times New Roman" w:hAnsi="Times New Roman" w:cs="Times New Roman"/>
          <w:color w:val="000000" w:themeColor="text1"/>
          <w:lang w:eastAsia="en-US"/>
        </w:rPr>
        <w:t xml:space="preserve"> to section 402A, we held that a plaintiff seeking to prove a product was in a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defective condition 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must show that the product was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dangerous to an extent beyond that which would be contemplated by the ordinary consumer who purchases it, with the ordinary knowledge common to the community as to its characteristics.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w:t>
      </w:r>
      <w:r w:rsidRPr="750671CE">
        <w:rPr>
          <w:rFonts w:ascii="Times New Roman" w:eastAsia="Times New Roman" w:hAnsi="Times New Roman" w:cs="Times New Roman"/>
          <w:i/>
          <w:iCs/>
          <w:color w:val="000000" w:themeColor="text1"/>
          <w:lang w:eastAsia="en-US"/>
        </w:rPr>
        <w:t>Id.</w:t>
      </w:r>
      <w:r w:rsidRPr="750671CE">
        <w:rPr>
          <w:rFonts w:ascii="Times New Roman" w:eastAsia="Times New Roman" w:hAnsi="Times New Roman" w:cs="Times New Roman"/>
          <w:color w:val="000000" w:themeColor="text1"/>
          <w:lang w:eastAsia="en-US"/>
        </w:rPr>
        <w:t xml:space="preserve"> at 834 (quoting Restatement (Second) of Torts 402A cmt. </w:t>
      </w:r>
      <w:r w:rsidRPr="750671CE">
        <w:rPr>
          <w:rFonts w:ascii="Times New Roman" w:eastAsia="Times New Roman" w:hAnsi="Times New Roman" w:cs="Times New Roman"/>
          <w:i/>
          <w:iCs/>
          <w:color w:val="000000" w:themeColor="text1"/>
          <w:lang w:eastAsia="en-US"/>
        </w:rPr>
        <w:t>i</w:t>
      </w:r>
      <w:r w:rsidRPr="750671CE">
        <w:rPr>
          <w:rFonts w:ascii="Times New Roman" w:eastAsia="Times New Roman" w:hAnsi="Times New Roman" w:cs="Times New Roman"/>
          <w:color w:val="000000" w:themeColor="text1"/>
          <w:lang w:eastAsia="en-US"/>
        </w:rPr>
        <w:t xml:space="preserve">). We went on, however, to discuss </w:t>
      </w:r>
      <w:r w:rsidRPr="750671CE">
        <w:rPr>
          <w:rFonts w:ascii="Times New Roman" w:eastAsia="Times New Roman" w:hAnsi="Times New Roman" w:cs="Times New Roman"/>
          <w:i/>
          <w:iCs/>
          <w:color w:val="000000" w:themeColor="text1"/>
          <w:lang w:eastAsia="en-US"/>
        </w:rPr>
        <w:t>how</w:t>
      </w:r>
      <w:r w:rsidRPr="750671CE">
        <w:rPr>
          <w:rFonts w:ascii="Times New Roman" w:eastAsia="Times New Roman" w:hAnsi="Times New Roman" w:cs="Times New Roman"/>
          <w:color w:val="000000" w:themeColor="text1"/>
          <w:lang w:eastAsia="en-US"/>
        </w:rPr>
        <w:t xml:space="preserve"> the plaintiff is to prove the defective condition was unreasonably dangerous:</w:t>
      </w:r>
    </w:p>
    <w:p w14:paraId="58F54EAF" w14:textId="77777777" w:rsidR="00C85B70" w:rsidRPr="00C85B70" w:rsidRDefault="750671CE" w:rsidP="00F94B7E">
      <w:pPr>
        <w:widowControl w:val="0"/>
        <w:autoSpaceDE w:val="0"/>
        <w:autoSpaceDN w:val="0"/>
        <w:adjustRightInd w:val="0"/>
        <w:spacing w:before="200"/>
        <w:ind w:left="720" w:right="720"/>
        <w:jc w:val="both"/>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C85B70" w:rsidRDefault="750671CE" w:rsidP="00F94B7E">
      <w:pPr>
        <w:widowControl w:val="0"/>
        <w:autoSpaceDE w:val="0"/>
        <w:autoSpaceDN w:val="0"/>
        <w:adjustRightInd w:val="0"/>
        <w:spacing w:before="200"/>
        <w:ind w:left="720" w:right="720"/>
        <w:jc w:val="both"/>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Whether the doctrine of negligence or strict liability is being used to impose liability </w:t>
      </w:r>
      <w:r w:rsidRPr="750671CE">
        <w:rPr>
          <w:rFonts w:ascii="Times New Roman" w:eastAsia="Times New Roman" w:hAnsi="Times New Roman" w:cs="Times New Roman"/>
          <w:i/>
          <w:iCs/>
          <w:color w:val="000000" w:themeColor="text1"/>
          <w:lang w:eastAsia="en-US"/>
        </w:rPr>
        <w:t>the same process is going on in each instance,</w:t>
      </w:r>
      <w:r w:rsidRPr="750671CE">
        <w:rPr>
          <w:rFonts w:ascii="Times New Roman" w:eastAsia="Times New Roman" w:hAnsi="Times New Roman" w:cs="Times New Roman"/>
          <w:color w:val="000000" w:themeColor="text1"/>
          <w:lang w:eastAsia="en-US"/>
        </w:rPr>
        <w:t xml:space="preserve"> i.e., weighing the utility of the article against the risk of its use.</w:t>
      </w:r>
    </w:p>
    <w:p w14:paraId="6CB7FD80"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i/>
          <w:iCs/>
          <w:color w:val="000000" w:themeColor="text1"/>
          <w:lang w:eastAsia="en-US"/>
        </w:rPr>
        <w:t>Id.</w:t>
      </w:r>
      <w:r w:rsidRPr="750671CE">
        <w:rPr>
          <w:rFonts w:ascii="Times New Roman" w:eastAsia="Times New Roman" w:hAnsi="Times New Roman" w:cs="Times New Roman"/>
          <w:color w:val="000000" w:themeColor="text1"/>
          <w:lang w:eastAsia="en-US"/>
        </w:rPr>
        <w:t xml:space="preserve"> at 835 (emphasis added). Two conclusions can be drawn from our discussion in </w:t>
      </w:r>
      <w:r w:rsidRPr="750671CE">
        <w:rPr>
          <w:rFonts w:ascii="Times New Roman" w:eastAsia="Times New Roman" w:hAnsi="Times New Roman" w:cs="Times New Roman"/>
          <w:i/>
          <w:iCs/>
          <w:color w:val="000000" w:themeColor="text1"/>
          <w:lang w:eastAsia="en-US"/>
        </w:rPr>
        <w:t>Aller:</w:t>
      </w:r>
      <w:r w:rsidRPr="750671CE">
        <w:rPr>
          <w:rFonts w:ascii="Times New Roman" w:eastAsia="Times New Roman" w:hAnsi="Times New Roman" w:cs="Times New Roman"/>
          <w:color w:val="000000" w:themeColor="text1"/>
          <w:lang w:eastAsia="en-US"/>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1EB2623" w14:textId="77777777"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Since </w:t>
      </w:r>
      <w:r w:rsidRPr="750671CE">
        <w:rPr>
          <w:rFonts w:ascii="Times New Roman" w:eastAsia="Times New Roman" w:hAnsi="Times New Roman" w:cs="Times New Roman"/>
          <w:i/>
          <w:iCs/>
          <w:color w:val="000000" w:themeColor="text1"/>
          <w:lang w:eastAsia="en-US"/>
        </w:rPr>
        <w:t>Aller,</w:t>
      </w:r>
      <w:r w:rsidRPr="750671CE">
        <w:rPr>
          <w:rFonts w:ascii="Times New Roman" w:eastAsia="Times New Roman" w:hAnsi="Times New Roman" w:cs="Times New Roman"/>
          <w:color w:val="000000" w:themeColor="text1"/>
          <w:lang w:eastAsia="en-US"/>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47EDBC02" w14:textId="0BDE3F38"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065264DC"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1F3EE04" w14:textId="7F70213B" w:rsidR="00C85B70" w:rsidRPr="00C85B70" w:rsidRDefault="00C85B70" w:rsidP="750671CE">
      <w:pPr>
        <w:widowControl w:val="0"/>
        <w:autoSpaceDE w:val="0"/>
        <w:autoSpaceDN w:val="0"/>
        <w:adjustRightInd w:val="0"/>
        <w:ind w:firstLine="720"/>
        <w:rPr>
          <w:rFonts w:ascii="Times New Roman" w:eastAsia="Times New Roman" w:hAnsi="Times New Roman" w:cs="Times New Roman"/>
          <w:i/>
          <w:iCs/>
          <w:color w:val="000000" w:themeColor="text1"/>
          <w:lang w:eastAsia="en-US"/>
        </w:rPr>
      </w:pPr>
      <w:r w:rsidRPr="00C85B70">
        <w:rPr>
          <w:rFonts w:ascii="Times New Roman" w:eastAsia="Times New Roman" w:hAnsi="Times New Roman" w:cs="Times New Roman"/>
          <w:color w:val="000000"/>
          <w:lang w:eastAsia="en-US"/>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048" w:name="co_pp_sp_595_167_1"/>
      <w:bookmarkEnd w:id="1048"/>
      <w:r w:rsidRPr="00C85B70">
        <w:rPr>
          <w:rFonts w:ascii="Times New Roman" w:eastAsia="Times New Roman" w:hAnsi="Times New Roman" w:cs="Times New Roman"/>
          <w:color w:val="000000"/>
          <w:lang w:eastAsia="en-US"/>
        </w:rPr>
        <w:t xml:space="preserve">design. This incongruity has drawn our attention once again to the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debate over whether the distinction between strict liability and negligence theories should be maintained when applied to a design defect case.</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[citation omitted]  We are convinced such a distinction is illusory .</w:t>
      </w:r>
      <w:r w:rsidRPr="750671CE">
        <w:rPr>
          <w:rFonts w:ascii="Times New Roman" w:eastAsia="Times New Roman" w:hAnsi="Times New Roman" w:cs="Times New Roman"/>
          <w:i/>
          <w:iCs/>
          <w:color w:val="000000"/>
          <w:lang w:eastAsia="en-US"/>
        </w:rPr>
        <w:t xml:space="preserve"> . . .</w:t>
      </w:r>
    </w:p>
    <w:p w14:paraId="25FEDBBB" w14:textId="77777777" w:rsidR="00C85B70" w:rsidRPr="00C85B70" w:rsidRDefault="00C85B70" w:rsidP="00FE7B7F">
      <w:pPr>
        <w:widowControl w:val="0"/>
        <w:autoSpaceDE w:val="0"/>
        <w:autoSpaceDN w:val="0"/>
        <w:adjustRightInd w:val="0"/>
        <w:rPr>
          <w:rFonts w:ascii="Times New Roman" w:eastAsia="Times New Roman" w:hAnsi="Times New Roman" w:cs="Times New Roman"/>
          <w:i/>
          <w:iCs/>
          <w:color w:val="000000"/>
          <w:lang w:eastAsia="en-US"/>
        </w:rPr>
      </w:pPr>
    </w:p>
    <w:p w14:paraId="3D406B54" w14:textId="77777777" w:rsidR="00C85B70" w:rsidRPr="00C85B70" w:rsidRDefault="750671CE" w:rsidP="750671CE">
      <w:pPr>
        <w:widowControl w:val="0"/>
        <w:autoSpaceDE w:val="0"/>
        <w:autoSpaceDN w:val="0"/>
        <w:adjustRightInd w:val="0"/>
        <w:spacing w:before="20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[A]ny attempts to distinguish the two theories in the context of a defective design are in vain. That brings us to the Products Restatement, which reflects a similar conclusion by its drafters.</w:t>
      </w:r>
    </w:p>
    <w:p w14:paraId="6B62398C"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3246AD5E" w14:textId="286C9AF0" w:rsidR="00C85B70" w:rsidRPr="00C85B70" w:rsidRDefault="00C85B70"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bookmarkStart w:id="1049" w:name="co_pp_sp_595_168_1"/>
      <w:bookmarkEnd w:id="1049"/>
      <w:r w:rsidRPr="00C85B70">
        <w:rPr>
          <w:rFonts w:ascii="Times New Roman" w:eastAsia="Times New Roman" w:hAnsi="Times New Roman" w:cs="Times New Roman"/>
          <w:color w:val="000000"/>
          <w:lang w:eastAsia="en-US"/>
        </w:rPr>
        <w:t xml:space="preserve">The Products Restatement demonstrates a recognition that strict liability is appropriate in manufacturing defect cases, but negligence principles are more suitable for other defective product cases. </w:t>
      </w:r>
      <w:r w:rsidRPr="750671CE">
        <w:rPr>
          <w:rFonts w:ascii="Times New Roman" w:eastAsia="Times New Roman" w:hAnsi="Times New Roman" w:cs="Times New Roman"/>
          <w:i/>
          <w:iCs/>
          <w:color w:val="000000"/>
          <w:lang w:eastAsia="en-US"/>
        </w:rPr>
        <w:t>See</w:t>
      </w:r>
      <w:r w:rsidRPr="00C85B70">
        <w:rPr>
          <w:rFonts w:ascii="Times New Roman" w:eastAsia="Times New Roman" w:hAnsi="Times New Roman" w:cs="Times New Roman"/>
          <w:color w:val="000000"/>
          <w:lang w:eastAsia="en-US"/>
        </w:rPr>
        <w:t xml:space="preserve"> 2 </w:t>
      </w:r>
      <w:r w:rsidRPr="00F94B7E">
        <w:rPr>
          <w:rFonts w:ascii="Times New Roman" w:eastAsia="Times New Roman" w:hAnsi="Times New Roman" w:cs="Times New Roman"/>
          <w:smallCaps/>
          <w:color w:val="000000"/>
          <w:lang w:eastAsia="en-US"/>
        </w:rPr>
        <w:t xml:space="preserve">Dan B. Dobbs, </w:t>
      </w:r>
      <w:r w:rsidRPr="00F94B7E">
        <w:rPr>
          <w:rFonts w:ascii="Times New Roman" w:eastAsia="Times New Roman" w:hAnsi="Times New Roman" w:cs="Times New Roman"/>
          <w:iCs/>
          <w:smallCaps/>
          <w:color w:val="000000"/>
          <w:lang w:eastAsia="en-US"/>
        </w:rPr>
        <w:t>The Law of Torts</w:t>
      </w:r>
      <w:r w:rsidRPr="00C85B70">
        <w:rPr>
          <w:rFonts w:ascii="Times New Roman" w:eastAsia="Times New Roman" w:hAnsi="Times New Roman" w:cs="Times New Roman"/>
          <w:color w:val="000000"/>
          <w:lang w:eastAsia="en-US"/>
        </w:rPr>
        <w:t xml:space="preserve"> § 353, at 977 (2001)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The effect . . . of the Products Restatement is that strict liability is retained when it comes to product flaws, but negligence or something very much like it is the test of liability when it comes to design and warning defects.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Accordingly, it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establish[es] separate standards of liability for manufacturing defects, design defects, and defects based on inadequate instructions or warnings.</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Products Restatement § 2 cmt. </w:t>
      </w:r>
      <w:r w:rsidRPr="750671CE">
        <w:rPr>
          <w:rFonts w:ascii="Times New Roman" w:eastAsia="Times New Roman" w:hAnsi="Times New Roman" w:cs="Times New Roman"/>
          <w:i/>
          <w:iCs/>
          <w:color w:val="000000"/>
          <w:lang w:eastAsia="en-US"/>
        </w:rPr>
        <w:t>a,</w:t>
      </w:r>
      <w:r w:rsidRPr="00C85B70">
        <w:rPr>
          <w:rFonts w:ascii="Times New Roman" w:eastAsia="Times New Roman" w:hAnsi="Times New Roman" w:cs="Times New Roman"/>
          <w:color w:val="000000"/>
          <w:lang w:eastAsia="en-US"/>
        </w:rPr>
        <w:t xml:space="preserve"> at 14. . . </w:t>
      </w:r>
      <w:r w:rsidR="000D46E0">
        <w:rPr>
          <w:rFonts w:ascii="Times New Roman" w:eastAsia="Times New Roman" w:hAnsi="Times New Roman" w:cs="Times New Roman"/>
          <w:color w:val="000000"/>
          <w:lang w:eastAsia="en-US"/>
        </w:rPr>
        <w:t>.</w:t>
      </w:r>
      <w:r w:rsidR="002A2E61">
        <w:rPr>
          <w:rFonts w:ascii="Times New Roman" w:eastAsia="Times New Roman" w:hAnsi="Times New Roman" w:cs="Times New Roman"/>
          <w:color w:val="000000"/>
          <w:lang w:eastAsia="en-US"/>
        </w:rPr>
        <w:t xml:space="preserve"> </w:t>
      </w:r>
    </w:p>
    <w:p w14:paraId="5C75AC37"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295C953F" w14:textId="06D0F5E9" w:rsidR="00C85B70" w:rsidRPr="00C85B70" w:rsidRDefault="750671CE" w:rsidP="750671CE">
      <w:pPr>
        <w:widowControl w:val="0"/>
        <w:autoSpaceDE w:val="0"/>
        <w:autoSpaceDN w:val="0"/>
        <w:adjustRightInd w:val="0"/>
        <w:ind w:firstLine="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The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unreasonably dangerous</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element of section 402A has been eliminated and has been replaced with a multi-faceted definition of defective product. This definition is set out in section 2:</w:t>
      </w:r>
    </w:p>
    <w:p w14:paraId="5FD64E81" w14:textId="77777777" w:rsidR="00C85B70" w:rsidRPr="00C85B70" w:rsidRDefault="750671CE" w:rsidP="750671CE">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 product is defective when, at the time of sale or distribution, it contains a manufacturing defect, is defective in design, or is defective because of inadequate instructions or warning. A product:</w:t>
      </w:r>
    </w:p>
    <w:p w14:paraId="3B8E82AE" w14:textId="77777777" w:rsidR="00C85B70" w:rsidRPr="00C85B70" w:rsidRDefault="750671CE" w:rsidP="750671CE">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(a) contains a manufacturing defect when the product departs from its intended design even though all possible care was exercised in the preparation and marketing of the product;</w:t>
      </w:r>
    </w:p>
    <w:p w14:paraId="6538228D" w14:textId="77777777" w:rsidR="00C85B70" w:rsidRPr="00C85B70" w:rsidRDefault="750671CE" w:rsidP="750671CE">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(b) is </w:t>
      </w:r>
      <w:r w:rsidRPr="750671CE">
        <w:rPr>
          <w:rFonts w:ascii="Times New Roman" w:eastAsia="Times New Roman" w:hAnsi="Times New Roman" w:cs="Times New Roman"/>
          <w:lang w:eastAsia="en-US"/>
        </w:rPr>
        <w:t>defective in design when the foreseeable risks of harm posed by the product could have been reduced or avoided by the adoption of a reasonable alternative design by the seller or other distributor,</w:t>
      </w:r>
      <w:r w:rsidRPr="750671CE">
        <w:rPr>
          <w:rFonts w:ascii="Times New Roman" w:eastAsia="Times New Roman" w:hAnsi="Times New Roman" w:cs="Times New Roman"/>
          <w:color w:val="000000" w:themeColor="text1"/>
          <w:lang w:eastAsia="en-US"/>
        </w:rPr>
        <w:t xml:space="preserve"> or a predecessor in the commercial chain of distribution, and the omission of the alternative design renders the product not reasonably safe;</w:t>
      </w:r>
    </w:p>
    <w:p w14:paraId="35927728" w14:textId="77777777" w:rsidR="00C85B70" w:rsidRPr="00C85B70" w:rsidRDefault="750671CE" w:rsidP="750671CE">
      <w:pPr>
        <w:widowControl w:val="0"/>
        <w:autoSpaceDE w:val="0"/>
        <w:autoSpaceDN w:val="0"/>
        <w:adjustRightInd w:val="0"/>
        <w:spacing w:before="200"/>
        <w:ind w:left="720" w:right="72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Products Restatement § 2, at 14.</w:t>
      </w:r>
    </w:p>
    <w:p w14:paraId="349C5AB0"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6D4FF12B"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The commentators give the following explanation for the analytical framework adopted in the Products Restatement:</w:t>
      </w:r>
    </w:p>
    <w:p w14:paraId="2EE3F9A8" w14:textId="2113880A" w:rsidR="00C85B70" w:rsidRPr="00C85B70" w:rsidRDefault="00C85B70" w:rsidP="00F94B7E">
      <w:pPr>
        <w:widowControl w:val="0"/>
        <w:autoSpaceDE w:val="0"/>
        <w:autoSpaceDN w:val="0"/>
        <w:adjustRightInd w:val="0"/>
        <w:spacing w:before="250" w:after="50"/>
        <w:ind w:left="720" w:right="720"/>
        <w:jc w:val="both"/>
        <w:rPr>
          <w:rFonts w:ascii="Times New Roman" w:eastAsia="Times New Roman" w:hAnsi="Times New Roman" w:cs="Times New Roman"/>
          <w:color w:val="000000" w:themeColor="text1"/>
          <w:lang w:eastAsia="en-US"/>
        </w:rPr>
      </w:pPr>
      <w:r w:rsidRPr="00C85B70">
        <w:rPr>
          <w:rFonts w:ascii="Times New Roman" w:eastAsia="Times New Roman" w:hAnsi="Times New Roman" w:cs="Times New Roman"/>
          <w:color w:val="000000"/>
          <w:lang w:eastAsia="en-US"/>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s own design or marketing standards because those standards are the very ones that the plaintiffs attack as unreasonable. Some sort of independent assessment of advantages and disadvantages, to which some attach the label </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risk-utility balancing,</w:t>
      </w:r>
      <w:r w:rsidR="00B05F31">
        <w:rPr>
          <w:rFonts w:ascii="Times New Roman" w:eastAsia="Times New Roman" w:hAnsi="Times New Roman" w:cs="Times New Roman"/>
          <w:color w:val="000000"/>
          <w:lang w:eastAsia="en-US"/>
        </w:rPr>
        <w:t>”</w:t>
      </w:r>
      <w:r w:rsidRPr="00C85B70">
        <w:rPr>
          <w:rFonts w:ascii="Times New Roman" w:eastAsia="Times New Roman" w:hAnsi="Times New Roman" w:cs="Times New Roman"/>
          <w:color w:val="000000"/>
          <w:lang w:eastAsia="en-US"/>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050" w:name="co_pp_sp_595_169_1"/>
      <w:bookmarkEnd w:id="1050"/>
      <w:r w:rsidRPr="00C85B70">
        <w:rPr>
          <w:rFonts w:ascii="Times New Roman" w:eastAsia="Times New Roman" w:hAnsi="Times New Roman" w:cs="Times New Roman"/>
          <w:color w:val="000000"/>
          <w:lang w:eastAsia="en-US"/>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C85B70" w:rsidRDefault="750671CE" w:rsidP="750671CE">
      <w:pPr>
        <w:widowControl w:val="0"/>
        <w:autoSpaceDE w:val="0"/>
        <w:autoSpaceDN w:val="0"/>
        <w:adjustRightInd w:val="0"/>
        <w:spacing w:before="20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xml:space="preserve">Products Restatement § 2 cmt. </w:t>
      </w:r>
      <w:r w:rsidRPr="750671CE">
        <w:rPr>
          <w:rFonts w:ascii="Times New Roman" w:eastAsia="Times New Roman" w:hAnsi="Times New Roman" w:cs="Times New Roman"/>
          <w:i/>
          <w:iCs/>
          <w:color w:val="000000" w:themeColor="text1"/>
          <w:lang w:eastAsia="en-US"/>
        </w:rPr>
        <w:t>a,</w:t>
      </w:r>
      <w:r w:rsidRPr="750671CE">
        <w:rPr>
          <w:rFonts w:ascii="Times New Roman" w:eastAsia="Times New Roman" w:hAnsi="Times New Roman" w:cs="Times New Roman"/>
          <w:color w:val="000000" w:themeColor="text1"/>
          <w:lang w:eastAsia="en-US"/>
        </w:rPr>
        <w:t xml:space="preserve"> at 15-16. [T]he Products Restatement has essentially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dropped the consumer expectation test traditionally used in the strict liability analysis and adopted a risk-utility analysis traditionally found in the negligence standard.</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[citation omitted]</w:t>
      </w:r>
    </w:p>
    <w:p w14:paraId="7F719CD3" w14:textId="7777777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w:t>
      </w:r>
    </w:p>
    <w:p w14:paraId="449A43A9" w14:textId="682BF187" w:rsidR="00C85B70" w:rsidRPr="00C85B70" w:rsidRDefault="750671CE" w:rsidP="750671CE">
      <w:pPr>
        <w:widowControl w:val="0"/>
        <w:autoSpaceDE w:val="0"/>
        <w:autoSpaceDN w:val="0"/>
        <w:adjustRightInd w:val="0"/>
        <w:rPr>
          <w:rFonts w:ascii="Times New Roman" w:eastAsia="Times New Roman" w:hAnsi="Times New Roman" w:cs="Times New Roman"/>
          <w:color w:val="000000" w:themeColor="text1"/>
          <w:lang w:eastAsia="en-US"/>
        </w:rPr>
      </w:pPr>
      <w:r w:rsidRPr="750671CE">
        <w:rPr>
          <w:rFonts w:ascii="Times New Roman" w:eastAsia="Times New Roman" w:hAnsi="Times New Roman" w:cs="Times New Roman"/>
          <w:color w:val="000000" w:themeColor="text1"/>
          <w:lang w:eastAsia="en-US"/>
        </w:rPr>
        <w:t>. . .</w:t>
      </w:r>
    </w:p>
    <w:p w14:paraId="6D2291B8" w14:textId="77777777" w:rsidR="00C85B70" w:rsidRPr="00C85B70" w:rsidRDefault="00C85B70" w:rsidP="00FE7B7F">
      <w:pPr>
        <w:widowControl w:val="0"/>
        <w:autoSpaceDE w:val="0"/>
        <w:autoSpaceDN w:val="0"/>
        <w:adjustRightInd w:val="0"/>
        <w:rPr>
          <w:rFonts w:ascii="Times New Roman" w:eastAsia="Times New Roman" w:hAnsi="Times New Roman" w:cs="Times New Roman"/>
          <w:color w:val="000000"/>
          <w:lang w:eastAsia="en-US"/>
        </w:rPr>
      </w:pPr>
    </w:p>
    <w:p w14:paraId="623D2C30" w14:textId="78DDABFF"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color w:val="000000" w:themeColor="text1"/>
          <w:lang w:eastAsia="en-US"/>
        </w:rPr>
        <w:t xml:space="preserve">In summary, we now adopt </w:t>
      </w:r>
      <w:r w:rsidRPr="00F94B7E">
        <w:rPr>
          <w:rFonts w:ascii="Times New Roman" w:eastAsia="Times New Roman" w:hAnsi="Times New Roman" w:cs="Times New Roman"/>
          <w:i/>
          <w:color w:val="000000" w:themeColor="text1"/>
          <w:lang w:eastAsia="en-US"/>
        </w:rPr>
        <w:t xml:space="preserve">Restatement (Third) of Torts: Product Liability </w:t>
      </w:r>
      <w:r w:rsidRPr="750671CE">
        <w:rPr>
          <w:rFonts w:ascii="Times New Roman" w:eastAsia="Times New Roman" w:hAnsi="Times New Roman" w:cs="Times New Roman"/>
          <w:color w:val="000000" w:themeColor="text1"/>
          <w:lang w:eastAsia="en-US"/>
        </w:rPr>
        <w:t xml:space="preserve">sections 1 and 2 for product defect cases. Under these sections, a plaintiff seeking to recover damages on the basis of a design defect must prove </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Pr>
          <w:rFonts w:ascii="Times New Roman" w:eastAsia="Times New Roman" w:hAnsi="Times New Roman" w:cs="Times New Roman"/>
          <w:color w:val="000000" w:themeColor="text1"/>
          <w:lang w:eastAsia="en-US"/>
        </w:rPr>
        <w:t>”</w:t>
      </w:r>
      <w:r w:rsidRPr="750671CE">
        <w:rPr>
          <w:rFonts w:ascii="Times New Roman" w:eastAsia="Times New Roman" w:hAnsi="Times New Roman" w:cs="Times New Roman"/>
          <w:color w:val="000000" w:themeColor="text1"/>
          <w:lang w:eastAsia="en-US"/>
        </w:rPr>
        <w:t xml:space="preserve"> . . .</w:t>
      </w:r>
    </w:p>
    <w:p w14:paraId="5FD52073" w14:textId="77777777" w:rsidR="00C85B70" w:rsidRPr="00C85B70" w:rsidRDefault="00C85B70" w:rsidP="00FE7B7F">
      <w:pPr>
        <w:rPr>
          <w:rFonts w:ascii="Times New Roman" w:eastAsia="Times New Roman" w:hAnsi="Times New Roman" w:cs="Times New Roman"/>
          <w:bCs/>
          <w:lang w:eastAsia="en-US"/>
        </w:rPr>
      </w:pPr>
    </w:p>
    <w:p w14:paraId="67DAA9E1" w14:textId="77777777" w:rsidR="00C85B70" w:rsidRPr="00C85B70" w:rsidRDefault="00C85B70" w:rsidP="00910387">
      <w:pPr>
        <w:pStyle w:val="Heading5"/>
      </w:pPr>
      <w:bookmarkStart w:id="1051" w:name="_Toc364636283"/>
      <w:bookmarkStart w:id="1052" w:name="_Toc518323560"/>
      <w:r w:rsidRPr="00C85B70">
        <w:t>Notes</w:t>
      </w:r>
      <w:bookmarkEnd w:id="1051"/>
      <w:bookmarkEnd w:id="1052"/>
    </w:p>
    <w:p w14:paraId="4AB41C1E" w14:textId="77777777" w:rsidR="00C85B70" w:rsidRDefault="00C85B70" w:rsidP="00FE7B7F">
      <w:pPr>
        <w:rPr>
          <w:rFonts w:ascii="Times New Roman" w:eastAsia="Times New Roman" w:hAnsi="Times New Roman" w:cs="Times New Roman"/>
          <w:lang w:eastAsia="en-US"/>
        </w:rPr>
      </w:pPr>
    </w:p>
    <w:p w14:paraId="70FC763E" w14:textId="77777777" w:rsidR="00945FB9" w:rsidRPr="00C85B70" w:rsidRDefault="00945FB9" w:rsidP="00FE7B7F">
      <w:pPr>
        <w:rPr>
          <w:rFonts w:ascii="Times New Roman" w:eastAsia="Times New Roman" w:hAnsi="Times New Roman" w:cs="Times New Roman"/>
          <w:lang w:eastAsia="en-US"/>
        </w:rPr>
      </w:pPr>
    </w:p>
    <w:p w14:paraId="7AA77CA4" w14:textId="6B1C3B50" w:rsidR="00C85B70" w:rsidRPr="00F94B7E" w:rsidRDefault="750671CE" w:rsidP="00F94B7E">
      <w:pPr>
        <w:pStyle w:val="ListParagraph"/>
        <w:numPr>
          <w:ilvl w:val="0"/>
          <w:numId w:val="4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Third Restatement</w:t>
      </w:r>
      <w:r w:rsidRPr="00F94B7E">
        <w:rPr>
          <w:rFonts w:ascii="Times New Roman" w:eastAsia="Times New Roman" w:hAnsi="Times New Roman" w:cs="Times New Roman"/>
          <w:lang w:eastAsia="en-US"/>
        </w:rPr>
        <w:t xml:space="preserve">. The Third Restatement approach preserves the strict liability of 402A for manufacturing defects: liability exists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even though all possible care</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was exerted to make the manufacturing process safe.</w:t>
      </w:r>
    </w:p>
    <w:p w14:paraId="0665A64E" w14:textId="77777777" w:rsidR="00C85B70" w:rsidRPr="00C85B70" w:rsidRDefault="00C85B70" w:rsidP="00FE7B7F">
      <w:pPr>
        <w:rPr>
          <w:rFonts w:ascii="Times New Roman" w:eastAsia="Times New Roman" w:hAnsi="Times New Roman" w:cs="Times New Roman"/>
          <w:lang w:eastAsia="en-US"/>
        </w:rPr>
      </w:pPr>
    </w:p>
    <w:p w14:paraId="04A9A23B" w14:textId="1B812056" w:rsidR="00C85B70" w:rsidRPr="00C85B70" w:rsidRDefault="750671CE" w:rsidP="00945FB9">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But for design defects</w:t>
      </w:r>
      <w:r w:rsidR="00A14B7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for situations like the one in </w:t>
      </w:r>
      <w:r w:rsidRPr="750671CE">
        <w:rPr>
          <w:rFonts w:ascii="Times New Roman" w:eastAsia="Times New Roman" w:hAnsi="Times New Roman" w:cs="Times New Roman"/>
          <w:i/>
          <w:iCs/>
          <w:lang w:eastAsia="en-US"/>
        </w:rPr>
        <w:t xml:space="preserve">Barker </w:t>
      </w:r>
      <w:r w:rsidRPr="750671CE">
        <w:rPr>
          <w:rFonts w:ascii="Times New Roman" w:eastAsia="Times New Roman" w:hAnsi="Times New Roman" w:cs="Times New Roman"/>
          <w:lang w:eastAsia="en-US"/>
        </w:rPr>
        <w:t>and</w:t>
      </w:r>
      <w:r w:rsidRPr="750671CE">
        <w:rPr>
          <w:rFonts w:ascii="Times New Roman" w:eastAsia="Times New Roman" w:hAnsi="Times New Roman" w:cs="Times New Roman"/>
          <w:i/>
          <w:iCs/>
          <w:lang w:eastAsia="en-US"/>
        </w:rPr>
        <w:t xml:space="preserve"> Wright</w:t>
      </w:r>
      <w:r w:rsidR="00A14B7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the American Law Institute recommends a different approach, one that determines defectiveness not on the basis of ex post risk-utility or consumer expectations, but on the basis of an ex ante cost-benefit test. The view of section 2(b) of the Third Restatement is that a product is defective in its design if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foreseeable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risks could have been reduced or avoided by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reasonable alternative design,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which by hypothesis must have been available at the time of production. The current view of the American Law Institute is thus that liability for design defects effectively ought to be liability for negligence in design.</w:t>
      </w:r>
    </w:p>
    <w:p w14:paraId="7AC16521" w14:textId="77777777" w:rsidR="00C85B70" w:rsidRPr="00C85B70" w:rsidRDefault="00C85B70">
      <w:pPr>
        <w:ind w:firstLine="720"/>
        <w:rPr>
          <w:rFonts w:ascii="Times New Roman" w:eastAsia="Times New Roman" w:hAnsi="Times New Roman" w:cs="Times New Roman"/>
          <w:lang w:eastAsia="en-US"/>
        </w:rPr>
      </w:pPr>
    </w:p>
    <w:p w14:paraId="6851AFED" w14:textId="0E88CDB3" w:rsidR="00C85B70" w:rsidRPr="00C85B70" w:rsidRDefault="00C85B70">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As of this writing, twenty-eight American jurisdictions have adopted the Third Restatement approach,</w:t>
      </w:r>
      <w:r w:rsidRPr="00C85B70">
        <w:rPr>
          <w:rFonts w:ascii="Times New Roman" w:eastAsia="Times New Roman" w:hAnsi="Times New Roman" w:cs="Times New Roman"/>
          <w:vertAlign w:val="superscript"/>
          <w:lang w:eastAsia="en-US"/>
        </w:rPr>
        <w:footnoteReference w:id="30"/>
      </w:r>
      <w:r w:rsidRPr="00C85B70">
        <w:rPr>
          <w:rFonts w:ascii="Times New Roman" w:eastAsia="Times New Roman" w:hAnsi="Times New Roman" w:cs="Times New Roman"/>
          <w:lang w:eastAsia="en-US"/>
        </w:rPr>
        <w:t xml:space="preserve"> and fifteen still follow the Second Restatement approach.</w:t>
      </w:r>
      <w:r w:rsidRPr="00C85B70">
        <w:rPr>
          <w:rFonts w:ascii="Times New Roman" w:eastAsia="Times New Roman" w:hAnsi="Times New Roman" w:cs="Times New Roman"/>
          <w:vertAlign w:val="superscript"/>
          <w:lang w:eastAsia="en-US"/>
        </w:rPr>
        <w:footnoteReference w:id="31"/>
      </w:r>
      <w:r w:rsidRPr="00C85B70">
        <w:rPr>
          <w:rFonts w:ascii="Times New Roman" w:eastAsia="Times New Roman" w:hAnsi="Times New Roman" w:cs="Times New Roman"/>
          <w:lang w:eastAsia="en-US"/>
        </w:rPr>
        <w:t xml:space="preserve"> The remaining jurisdictions are hybrid regimes, adopting a mix of the two.</w:t>
      </w:r>
      <w:r w:rsidRPr="00C85B70">
        <w:rPr>
          <w:rFonts w:ascii="Times New Roman" w:eastAsia="Times New Roman" w:hAnsi="Times New Roman" w:cs="Times New Roman"/>
          <w:vertAlign w:val="superscript"/>
          <w:lang w:eastAsia="en-US"/>
        </w:rPr>
        <w:footnoteReference w:id="32"/>
      </w:r>
      <w:r w:rsidRPr="00C85B70">
        <w:rPr>
          <w:rFonts w:ascii="Times New Roman" w:eastAsia="Times New Roman" w:hAnsi="Times New Roman" w:cs="Times New Roman"/>
          <w:lang w:eastAsia="en-US"/>
        </w:rPr>
        <w:t xml:space="preserve"> In the early 2000s</w:t>
      </w:r>
      <w:r w:rsidR="000D46E0">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some scholars predicted that the Third Restatement would eventually prevail. </w:t>
      </w:r>
      <w:r w:rsidRPr="750671CE">
        <w:rPr>
          <w:rFonts w:ascii="Times New Roman" w:eastAsia="Times New Roman" w:hAnsi="Times New Roman" w:cs="Times New Roman"/>
          <w:i/>
          <w:iCs/>
          <w:lang w:eastAsia="en-US"/>
        </w:rPr>
        <w:t>See, e.g.</w:t>
      </w:r>
      <w:r w:rsidRPr="00C85B70">
        <w:rPr>
          <w:rFonts w:ascii="Times New Roman" w:eastAsia="Times New Roman" w:hAnsi="Times New Roman" w:cs="Times New Roman"/>
          <w:lang w:eastAsia="en-US"/>
        </w:rPr>
        <w:t>,</w:t>
      </w:r>
      <w:r w:rsidRPr="750671CE">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lang w:eastAsia="en-US"/>
        </w:rPr>
        <w:t xml:space="preserve">Cami Perkins, </w:t>
      </w:r>
      <w:r w:rsidRPr="750671CE">
        <w:rPr>
          <w:rFonts w:ascii="Times New Roman" w:eastAsia="Times New Roman" w:hAnsi="Times New Roman" w:cs="Times New Roman"/>
          <w:i/>
          <w:iCs/>
          <w:lang w:eastAsia="en-US"/>
        </w:rPr>
        <w:t>The Increasing Acceptance of the Restatement (Third) Risk Utility Analysis in Design Defect Claims</w:t>
      </w:r>
      <w:r w:rsidRPr="00C85B70">
        <w:rPr>
          <w:rFonts w:ascii="Times New Roman" w:eastAsia="Times New Roman" w:hAnsi="Times New Roman" w:cs="Times New Roman"/>
          <w:lang w:eastAsia="en-US"/>
        </w:rPr>
        <w:t>, 4 N</w:t>
      </w:r>
      <w:r w:rsidRPr="750671CE">
        <w:rPr>
          <w:rFonts w:ascii="Times New Roman" w:eastAsia="Times New Roman" w:hAnsi="Times New Roman" w:cs="Times New Roman"/>
          <w:sz w:val="22"/>
          <w:szCs w:val="22"/>
          <w:lang w:eastAsia="en-US"/>
        </w:rPr>
        <w:t>EV</w:t>
      </w:r>
      <w:r w:rsidRPr="00C85B70">
        <w:rPr>
          <w:rFonts w:ascii="Times New Roman" w:eastAsia="Times New Roman" w:hAnsi="Times New Roman" w:cs="Times New Roman"/>
          <w:lang w:eastAsia="en-US"/>
        </w:rPr>
        <w:t xml:space="preserve">. </w:t>
      </w:r>
      <w:r w:rsidR="00A14B78">
        <w:rPr>
          <w:rFonts w:ascii="Times New Roman" w:eastAsia="Times New Roman" w:hAnsi="Times New Roman" w:cs="Times New Roman"/>
          <w:lang w:eastAsia="en-US"/>
        </w:rPr>
        <w:t>L</w:t>
      </w:r>
      <w:r w:rsidRPr="00C85B70">
        <w:rPr>
          <w:rFonts w:ascii="Times New Roman" w:eastAsia="Times New Roman" w:hAnsi="Times New Roman" w:cs="Times New Roman"/>
          <w:lang w:eastAsia="en-US"/>
        </w:rPr>
        <w:t xml:space="preserve">.J. 609 (2004). The trendline is no longer clear.  The Wisconsin Supreme Court has observed that </w:t>
      </w:r>
      <w:r w:rsidR="00B05F31">
        <w:rPr>
          <w:rFonts w:ascii="Times New Roman" w:eastAsia="Times New Roman" w:hAnsi="Times New Roman" w:cs="Times New Roman"/>
          <w:lang w:eastAsia="en-US"/>
        </w:rPr>
        <w:t>“</w:t>
      </w:r>
      <w:r w:rsidR="000D46E0">
        <w:rPr>
          <w:rFonts w:ascii="Times New Roman" w:eastAsia="Times New Roman" w:hAnsi="Times New Roman" w:cs="Times New Roman"/>
          <w:lang w:eastAsia="en-US"/>
        </w:rPr>
        <w:t>[s]</w:t>
      </w:r>
      <w:r w:rsidRPr="00C85B70">
        <w:rPr>
          <w:rFonts w:ascii="Times New Roman" w:eastAsia="Times New Roman" w:hAnsi="Times New Roman" w:cs="Times New Roman"/>
          <w:lang w:eastAsia="en-US"/>
        </w:rPr>
        <w:t xml:space="preserve">ome jurisdictions that have adopted the </w:t>
      </w:r>
      <w:r w:rsidRPr="00F94B7E">
        <w:rPr>
          <w:rFonts w:ascii="Times New Roman" w:eastAsia="Times New Roman" w:hAnsi="Times New Roman" w:cs="Times New Roman"/>
          <w:i/>
          <w:lang w:eastAsia="en-US"/>
        </w:rPr>
        <w:t>Restatement (Third)</w:t>
      </w:r>
      <w:r w:rsidRPr="00C85B70">
        <w:rPr>
          <w:rFonts w:ascii="Times New Roman" w:eastAsia="Times New Roman" w:hAnsi="Times New Roman" w:cs="Times New Roman"/>
          <w:lang w:eastAsia="en-US"/>
        </w:rPr>
        <w:t xml:space="preserve"> are now back-tracking. The current judicial trend appears to be a return to the pro-consumer policies of origin and reinstating strict products liability under § 402A.</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Godoy ex rel. Gramling v. E.I. du Pont de Nemours &amp; Co</w:t>
      </w:r>
      <w:r w:rsidRPr="00C85B70">
        <w:rPr>
          <w:rFonts w:ascii="Times New Roman" w:eastAsia="Times New Roman" w:hAnsi="Times New Roman" w:cs="Times New Roman"/>
          <w:lang w:eastAsia="en-US"/>
        </w:rPr>
        <w:t>., 768 N.W.2d 674, 690 (2007).</w:t>
      </w:r>
    </w:p>
    <w:p w14:paraId="20D70A90" w14:textId="77777777" w:rsidR="00C85B70" w:rsidRPr="00C85B70" w:rsidRDefault="00C85B70" w:rsidP="00FE7B7F">
      <w:pPr>
        <w:rPr>
          <w:rFonts w:ascii="Times New Roman" w:eastAsia="Times New Roman" w:hAnsi="Times New Roman" w:cs="Times New Roman"/>
          <w:lang w:eastAsia="en-US"/>
        </w:rPr>
      </w:pPr>
    </w:p>
    <w:p w14:paraId="74BD0CA1" w14:textId="77777777" w:rsidR="00C85B70" w:rsidRPr="00C85B70" w:rsidRDefault="00C85B70" w:rsidP="00FE7B7F">
      <w:pPr>
        <w:rPr>
          <w:rFonts w:ascii="Times New Roman" w:eastAsia="Times New Roman" w:hAnsi="Times New Roman" w:cs="Times New Roman"/>
          <w:lang w:eastAsia="en-US"/>
        </w:rPr>
      </w:pPr>
    </w:p>
    <w:p w14:paraId="139A5FEC" w14:textId="300A749C" w:rsidR="00C85B70" w:rsidRPr="00F94B7E" w:rsidRDefault="750671CE" w:rsidP="00F94B7E">
      <w:pPr>
        <w:pStyle w:val="ListParagraph"/>
        <w:numPr>
          <w:ilvl w:val="0"/>
          <w:numId w:val="4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General Motors </w:t>
      </w:r>
      <w:r w:rsidR="00671F38">
        <w:rPr>
          <w:rFonts w:ascii="Times New Roman" w:eastAsia="Times New Roman" w:hAnsi="Times New Roman" w:cs="Times New Roman"/>
          <w:i/>
          <w:iCs/>
          <w:lang w:eastAsia="en-US"/>
        </w:rPr>
        <w:t>f</w:t>
      </w:r>
      <w:r w:rsidRPr="00F94B7E">
        <w:rPr>
          <w:rFonts w:ascii="Times New Roman" w:eastAsia="Times New Roman" w:hAnsi="Times New Roman" w:cs="Times New Roman"/>
          <w:i/>
          <w:iCs/>
          <w:lang w:eastAsia="en-US"/>
        </w:rPr>
        <w:t xml:space="preserve">uel </w:t>
      </w:r>
      <w:r w:rsidR="00671F38">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ank </w:t>
      </w:r>
      <w:r w:rsidR="00671F38">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aga</w:t>
      </w:r>
      <w:r w:rsidRPr="00F94B7E">
        <w:rPr>
          <w:rFonts w:ascii="Times New Roman" w:eastAsia="Times New Roman" w:hAnsi="Times New Roman" w:cs="Times New Roman"/>
          <w:lang w:eastAsia="en-US"/>
        </w:rPr>
        <w:t>. In 1999, a California jury awarded $4.9 billion to six plaintiffs injured in Chevrolet Malibu cars who alleged that the fuel tank of the vehicle was placed unreasonably and dangerously close to the bumper. The plaintiffs</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daughter Alisha was </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horribly disfigured on her face and lost her right hand.</w:t>
      </w:r>
      <w:r w:rsidR="00B05F31">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BA22AB3" w14:textId="29B7D149"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For our purposes, there are two striking feat</w:t>
      </w:r>
      <w:r w:rsidR="00605928">
        <w:rPr>
          <w:rFonts w:ascii="Times New Roman" w:eastAsia="Times New Roman" w:hAnsi="Times New Roman" w:cs="Times New Roman"/>
          <w:lang w:eastAsia="en-US"/>
        </w:rPr>
        <w:t xml:space="preserve">ures of the GM fuel tank case. </w:t>
      </w:r>
      <w:r w:rsidRPr="00C85B70">
        <w:rPr>
          <w:rFonts w:ascii="Times New Roman" w:eastAsia="Times New Roman" w:hAnsi="Times New Roman" w:cs="Times New Roman"/>
          <w:lang w:eastAsia="en-US"/>
        </w:rPr>
        <w:t>The first has to do with cost-bene</w:t>
      </w:r>
      <w:r w:rsidR="00605928">
        <w:rPr>
          <w:rFonts w:ascii="Times New Roman" w:eastAsia="Times New Roman" w:hAnsi="Times New Roman" w:cs="Times New Roman"/>
          <w:lang w:eastAsia="en-US"/>
        </w:rPr>
        <w:t xml:space="preserve">fit calculations and the jury. </w:t>
      </w:r>
      <w:r w:rsidRPr="00C85B70">
        <w:rPr>
          <w:rFonts w:ascii="Times New Roman" w:eastAsia="Times New Roman" w:hAnsi="Times New Roman" w:cs="Times New Roman"/>
          <w:lang w:eastAsia="en-US"/>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Pr>
          <w:rFonts w:ascii="Times New Roman" w:eastAsia="Times New Roman" w:hAnsi="Times New Roman" w:cs="Times New Roman"/>
          <w:lang w:eastAsia="en-US"/>
        </w:rPr>
        <w:t xml:space="preserve">unt only to $2.40 per vehicle. </w:t>
      </w:r>
      <w:r w:rsidRPr="00C85B70">
        <w:rPr>
          <w:rFonts w:ascii="Times New Roman" w:eastAsia="Times New Roman" w:hAnsi="Times New Roman" w:cs="Times New Roman"/>
          <w:lang w:eastAsia="en-US"/>
        </w:rPr>
        <w:t>The jury seems to have viewed the defendant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cost-benefit calculation as a kind of reckless disregard for the safety of its customers and their pass</w:t>
      </w:r>
      <w:r w:rsidR="00605928">
        <w:rPr>
          <w:rFonts w:ascii="Times New Roman" w:eastAsia="Times New Roman" w:hAnsi="Times New Roman" w:cs="Times New Roman"/>
          <w:lang w:eastAsia="en-US"/>
        </w:rPr>
        <w:t xml:space="preserve">engers. </w:t>
      </w:r>
      <w:r w:rsidRPr="00C85B70">
        <w:rPr>
          <w:rFonts w:ascii="Times New Roman" w:eastAsia="Times New Roman" w:hAnsi="Times New Roman" w:cs="Times New Roman"/>
          <w:lang w:eastAsia="en-US"/>
        </w:rPr>
        <w:t xml:space="preserve">But versions of this kind of cost-benefit calculation seem to be precisely what the risk-utility analysis of the </w:t>
      </w:r>
      <w:r w:rsidR="000D46E0">
        <w:rPr>
          <w:rFonts w:ascii="Times New Roman" w:eastAsia="Times New Roman" w:hAnsi="Times New Roman" w:cs="Times New Roman"/>
          <w:lang w:eastAsia="en-US"/>
        </w:rPr>
        <w:t>S</w:t>
      </w:r>
      <w:r w:rsidRPr="00C85B70">
        <w:rPr>
          <w:rFonts w:ascii="Times New Roman" w:eastAsia="Times New Roman" w:hAnsi="Times New Roman" w:cs="Times New Roman"/>
          <w:lang w:eastAsia="en-US"/>
        </w:rPr>
        <w:t xml:space="preserve">econd Restatement and the reasonable alternative design analysis of the </w:t>
      </w:r>
      <w:r w:rsidR="000D46E0">
        <w:rPr>
          <w:rFonts w:ascii="Times New Roman" w:eastAsia="Times New Roman" w:hAnsi="Times New Roman" w:cs="Times New Roman"/>
          <w:lang w:eastAsia="en-US"/>
        </w:rPr>
        <w:t>T</w:t>
      </w:r>
      <w:r w:rsidRPr="00C85B70">
        <w:rPr>
          <w:rFonts w:ascii="Times New Roman" w:eastAsia="Times New Roman" w:hAnsi="Times New Roman" w:cs="Times New Roman"/>
          <w:lang w:eastAsia="en-US"/>
        </w:rPr>
        <w:t>hird Restateme</w:t>
      </w:r>
      <w:r w:rsidR="00605928">
        <w:rPr>
          <w:rFonts w:ascii="Times New Roman" w:eastAsia="Times New Roman" w:hAnsi="Times New Roman" w:cs="Times New Roman"/>
          <w:lang w:eastAsia="en-US"/>
        </w:rPr>
        <w:t xml:space="preserve">nt are designed to encourage. </w:t>
      </w:r>
      <w:r w:rsidRPr="00C85B70">
        <w:rPr>
          <w:rFonts w:ascii="Times New Roman" w:eastAsia="Times New Roman" w:hAnsi="Times New Roman" w:cs="Times New Roman"/>
          <w:lang w:eastAsia="en-US"/>
        </w:rPr>
        <w:t>Perhaps the jury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outrage arose out of the fact that General Motors seems to have been comparing its private benefits and costs, rather than t</w:t>
      </w:r>
      <w:r w:rsidR="00605928">
        <w:rPr>
          <w:rFonts w:ascii="Times New Roman" w:eastAsia="Times New Roman" w:hAnsi="Times New Roman" w:cs="Times New Roman"/>
          <w:lang w:eastAsia="en-US"/>
        </w:rPr>
        <w:t xml:space="preserve">he social benefits and costs. </w:t>
      </w:r>
      <w:r w:rsidRPr="00C85B70">
        <w:rPr>
          <w:rFonts w:ascii="Times New Roman" w:eastAsia="Times New Roman" w:hAnsi="Times New Roman" w:cs="Times New Roman"/>
          <w:lang w:eastAsia="en-US"/>
        </w:rPr>
        <w:t xml:space="preserve">What the jury thought precisely we will never really know.  </w:t>
      </w:r>
    </w:p>
    <w:p w14:paraId="774D0F15" w14:textId="77777777" w:rsidR="00C85B70" w:rsidRPr="00C85B70" w:rsidRDefault="00C85B70" w:rsidP="00FE7B7F">
      <w:pPr>
        <w:rPr>
          <w:rFonts w:ascii="Times New Roman" w:eastAsia="Times New Roman" w:hAnsi="Times New Roman" w:cs="Times New Roman"/>
          <w:lang w:eastAsia="en-US"/>
        </w:rPr>
      </w:pPr>
    </w:p>
    <w:p w14:paraId="624894B5" w14:textId="7D93E50F"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The second striking piece of the GM fuel tank case was the way it played in the media and the culture.  On July 10, 1999, the </w:t>
      </w:r>
      <w:r w:rsidRPr="00F94B7E">
        <w:rPr>
          <w:rFonts w:ascii="Times New Roman" w:eastAsia="Times New Roman" w:hAnsi="Times New Roman" w:cs="Times New Roman"/>
          <w:i/>
          <w:lang w:eastAsia="en-US"/>
        </w:rPr>
        <w:t>New York Times</w:t>
      </w:r>
      <w:r w:rsidRPr="00C85B70">
        <w:rPr>
          <w:rFonts w:ascii="Times New Roman" w:eastAsia="Times New Roman" w:hAnsi="Times New Roman" w:cs="Times New Roman"/>
          <w:lang w:eastAsia="en-US"/>
        </w:rPr>
        <w:t xml:space="preserve"> covered the huge jury verdict prominently in its national page coverage.  </w:t>
      </w:r>
      <w:r w:rsidRPr="750671CE">
        <w:rPr>
          <w:rFonts w:ascii="Times New Roman" w:eastAsia="Times New Roman" w:hAnsi="Times New Roman" w:cs="Times New Roman"/>
          <w:i/>
          <w:iCs/>
          <w:lang w:eastAsia="en-US"/>
        </w:rPr>
        <w:t>$4.9 Billion Jury Verdict in G.M. Fuel Tank Case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Pr="00C85B70">
        <w:rPr>
          <w:rFonts w:ascii="Times New Roman" w:eastAsia="Times New Roman" w:hAnsi="Times New Roman" w:cs="Times New Roman"/>
          <w:lang w:eastAsia="en-US"/>
        </w:rPr>
        <w:t xml:space="preserve"> July 10, 1999, </w:t>
      </w:r>
      <w:r w:rsidR="00B83AF7">
        <w:rPr>
          <w:rFonts w:ascii="Times New Roman" w:eastAsia="Times New Roman" w:hAnsi="Times New Roman" w:cs="Times New Roman"/>
          <w:lang w:eastAsia="en-US"/>
        </w:rPr>
        <w:t>at</w:t>
      </w:r>
      <w:r w:rsidRPr="00C85B70">
        <w:rPr>
          <w:rFonts w:ascii="Times New Roman" w:eastAsia="Times New Roman" w:hAnsi="Times New Roman" w:cs="Times New Roman"/>
          <w:lang w:eastAsia="en-US"/>
        </w:rPr>
        <w:t xml:space="preserve"> A8.  A month and a half later the trial judge slashed the damages by over $3 billion, reducing the punitive damages award from $4.8 billion to $1.09 billion.  This time, the story was covered in a small notice near the back of the </w:t>
      </w:r>
      <w:r w:rsidRPr="750671CE">
        <w:rPr>
          <w:rFonts w:ascii="Times New Roman" w:eastAsia="Times New Roman" w:hAnsi="Times New Roman" w:cs="Times New Roman"/>
          <w:i/>
          <w:iCs/>
          <w:lang w:eastAsia="en-US"/>
        </w:rPr>
        <w:t>Times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front page.  </w:t>
      </w:r>
      <w:r w:rsidRPr="750671CE">
        <w:rPr>
          <w:rFonts w:ascii="Times New Roman" w:eastAsia="Times New Roman" w:hAnsi="Times New Roman" w:cs="Times New Roman"/>
          <w:i/>
          <w:iCs/>
          <w:lang w:eastAsia="en-US"/>
        </w:rPr>
        <w:t>See G. M. Damages Cut</w:t>
      </w:r>
      <w:r w:rsidR="00B83AF7">
        <w:rPr>
          <w:rFonts w:ascii="Times New Roman" w:eastAsia="Times New Roman" w:hAnsi="Times New Roman" w:cs="Times New Roman"/>
          <w:i/>
          <w:iCs/>
          <w:lang w:eastAsia="en-US"/>
        </w:rPr>
        <w:t xml:space="preserve"> b</w:t>
      </w:r>
      <w:r w:rsidRPr="750671CE">
        <w:rPr>
          <w:rFonts w:ascii="Times New Roman" w:eastAsia="Times New Roman" w:hAnsi="Times New Roman" w:cs="Times New Roman"/>
          <w:i/>
          <w:iCs/>
          <w:lang w:eastAsia="en-US"/>
        </w:rPr>
        <w:t>y Over $3 Billion in Gas Tank Case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mallCaps/>
          <w:lang w:eastAsia="en-US"/>
        </w:rPr>
        <w:t>N.Y. Times</w:t>
      </w:r>
      <w:r w:rsidRPr="00C85B70">
        <w:rPr>
          <w:rFonts w:ascii="Times New Roman" w:eastAsia="Times New Roman" w:hAnsi="Times New Roman" w:cs="Times New Roman"/>
          <w:lang w:eastAsia="en-US"/>
        </w:rPr>
        <w:t xml:space="preserve">, August 27, 1999, </w:t>
      </w:r>
      <w:r w:rsidR="00B83AF7">
        <w:rPr>
          <w:rFonts w:ascii="Times New Roman" w:eastAsia="Times New Roman" w:hAnsi="Times New Roman" w:cs="Times New Roman"/>
          <w:lang w:eastAsia="en-US"/>
        </w:rPr>
        <w:t>at</w:t>
      </w:r>
      <w:r w:rsidRPr="00C85B70">
        <w:rPr>
          <w:rFonts w:ascii="Times New Roman" w:eastAsia="Times New Roman" w:hAnsi="Times New Roman" w:cs="Times New Roman"/>
          <w:lang w:eastAsia="en-US"/>
        </w:rPr>
        <w:t xml:space="preserve"> A18.  </w:t>
      </w:r>
    </w:p>
    <w:p w14:paraId="157DDC2B" w14:textId="77777777" w:rsidR="00C85B70" w:rsidRPr="00C85B70" w:rsidRDefault="00C85B70" w:rsidP="00FE7B7F">
      <w:pPr>
        <w:rPr>
          <w:rFonts w:ascii="Times New Roman" w:eastAsia="Times New Roman" w:hAnsi="Times New Roman" w:cs="Times New Roman"/>
          <w:lang w:eastAsia="en-US"/>
        </w:rPr>
      </w:pPr>
    </w:p>
    <w:p w14:paraId="18740D21" w14:textId="05259B11"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reduction of the damages.  Four years later, after continuing appellate litigation, General Motors and the plaintiffs settled.  </w:t>
      </w:r>
    </w:p>
    <w:p w14:paraId="3728649C" w14:textId="77777777" w:rsidR="00C85B70" w:rsidRPr="00C85B70" w:rsidRDefault="00C85B70" w:rsidP="00FE7B7F">
      <w:pPr>
        <w:ind w:firstLine="720"/>
        <w:rPr>
          <w:rFonts w:ascii="Times New Roman" w:eastAsia="Times New Roman" w:hAnsi="Times New Roman" w:cs="Times New Roman"/>
          <w:lang w:eastAsia="en-US"/>
        </w:rPr>
      </w:pPr>
    </w:p>
    <w:p w14:paraId="23A8824D" w14:textId="5479482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details of the settlement were private.  But a GM spokesman said the company was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pleased with the settlement.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This time, the story did not appear at all in the </w:t>
      </w:r>
      <w:r w:rsidRPr="00F94B7E">
        <w:rPr>
          <w:rFonts w:ascii="Times New Roman" w:eastAsia="Times New Roman" w:hAnsi="Times New Roman" w:cs="Times New Roman"/>
          <w:i/>
          <w:lang w:eastAsia="en-US"/>
        </w:rPr>
        <w:t>New York Times</w:t>
      </w:r>
      <w:r w:rsidRPr="750671CE">
        <w:rPr>
          <w:rFonts w:ascii="Times New Roman" w:eastAsia="Times New Roman" w:hAnsi="Times New Roman" w:cs="Times New Roman"/>
          <w:lang w:eastAsia="en-US"/>
        </w:rPr>
        <w:t xml:space="preserve">.  The </w:t>
      </w:r>
      <w:r w:rsidRPr="750671CE">
        <w:rPr>
          <w:rFonts w:ascii="Times New Roman" w:eastAsia="Times New Roman" w:hAnsi="Times New Roman" w:cs="Times New Roman"/>
          <w:i/>
          <w:iCs/>
          <w:lang w:eastAsia="en-US"/>
        </w:rPr>
        <w:t>Los Angeles Times</w:t>
      </w:r>
      <w:r w:rsidRPr="750671CE">
        <w:rPr>
          <w:rFonts w:ascii="Times New Roman" w:eastAsia="Times New Roman" w:hAnsi="Times New Roman" w:cs="Times New Roman"/>
          <w:lang w:eastAsia="en-US"/>
        </w:rPr>
        <w:t xml:space="preserve"> covered the story in a short unsigned notice along with assorted A.P. wire reports in its local coverage.  </w:t>
      </w:r>
      <w:r w:rsidRPr="750671CE">
        <w:rPr>
          <w:rFonts w:ascii="Times New Roman" w:eastAsia="Times New Roman" w:hAnsi="Times New Roman" w:cs="Times New Roman"/>
          <w:i/>
          <w:iCs/>
          <w:lang w:eastAsia="en-US"/>
        </w:rPr>
        <w:t>See GM to Settle Case over Gas Tank Explosion</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L.A. Times</w:t>
      </w:r>
      <w:r w:rsidRPr="750671CE">
        <w:rPr>
          <w:rFonts w:ascii="Times New Roman" w:eastAsia="Times New Roman" w:hAnsi="Times New Roman" w:cs="Times New Roman"/>
          <w:lang w:eastAsia="en-US"/>
        </w:rPr>
        <w:t xml:space="preserve">, July 25, 2003, </w:t>
      </w:r>
      <w:r w:rsidR="00C55B81">
        <w:rPr>
          <w:rFonts w:ascii="Times New Roman" w:eastAsia="Times New Roman" w:hAnsi="Times New Roman" w:cs="Times New Roman"/>
          <w:lang w:eastAsia="en-US"/>
        </w:rPr>
        <w:t>at</w:t>
      </w:r>
      <w:r w:rsidRPr="750671CE">
        <w:rPr>
          <w:rFonts w:ascii="Times New Roman" w:eastAsia="Times New Roman" w:hAnsi="Times New Roman" w:cs="Times New Roman"/>
          <w:lang w:eastAsia="en-US"/>
        </w:rPr>
        <w:t xml:space="preserve"> 4.</w:t>
      </w:r>
    </w:p>
    <w:p w14:paraId="129B7E58" w14:textId="77777777" w:rsidR="00C85B70" w:rsidRPr="00C85B70" w:rsidRDefault="00C85B70" w:rsidP="00FE7B7F">
      <w:pPr>
        <w:rPr>
          <w:rFonts w:ascii="Times New Roman" w:eastAsia="Times New Roman" w:hAnsi="Times New Roman" w:cs="Times New Roman"/>
          <w:lang w:eastAsia="en-US"/>
        </w:rPr>
      </w:pPr>
    </w:p>
    <w:p w14:paraId="724ABC8C" w14:textId="14052158"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What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C85B70">
        <w:rPr>
          <w:rFonts w:ascii="Times New Roman" w:eastAsia="Times New Roman" w:hAnsi="Times New Roman" w:cs="Times New Roman"/>
          <w:smallCaps/>
          <w:lang w:eastAsia="en-US"/>
        </w:rPr>
        <w:t>William Hartorn &amp; Michael McCann, Distorting the Law: Politics, Media, and the Litigation Crisis</w:t>
      </w:r>
      <w:r w:rsidRPr="00C85B70">
        <w:rPr>
          <w:rFonts w:ascii="Times New Roman" w:eastAsia="Times New Roman" w:hAnsi="Times New Roman" w:cs="Times New Roman"/>
          <w:lang w:eastAsia="en-US"/>
        </w:rPr>
        <w:t xml:space="preserve"> (2004).  </w:t>
      </w:r>
    </w:p>
    <w:p w14:paraId="2FBE3B94" w14:textId="77777777" w:rsidR="00C85B70" w:rsidRPr="00C85B70" w:rsidRDefault="00C85B70" w:rsidP="00FE7B7F">
      <w:pPr>
        <w:rPr>
          <w:rFonts w:ascii="Times New Roman" w:eastAsia="Times New Roman" w:hAnsi="Times New Roman" w:cs="Times New Roman"/>
          <w:lang w:eastAsia="en-US"/>
        </w:rPr>
      </w:pPr>
    </w:p>
    <w:p w14:paraId="30005E67" w14:textId="77777777" w:rsidR="00C85B70" w:rsidRPr="00C85B70" w:rsidRDefault="00C85B70" w:rsidP="00FE7B7F">
      <w:pPr>
        <w:rPr>
          <w:rFonts w:ascii="Times New Roman" w:eastAsia="Times New Roman" w:hAnsi="Times New Roman" w:cs="Times New Roman"/>
          <w:lang w:eastAsia="en-US"/>
        </w:rPr>
      </w:pPr>
    </w:p>
    <w:p w14:paraId="193273C1" w14:textId="48A0E3AA" w:rsidR="00C85B70" w:rsidRPr="00C85B70" w:rsidRDefault="00C85B70" w:rsidP="00322687">
      <w:pPr>
        <w:pStyle w:val="Heading3"/>
      </w:pPr>
      <w:bookmarkStart w:id="1053" w:name="_Toc364636284"/>
      <w:bookmarkStart w:id="1054" w:name="_Toc518323561"/>
      <w:r w:rsidRPr="00C85B70">
        <w:t>4. Warning Defects</w:t>
      </w:r>
      <w:bookmarkEnd w:id="1053"/>
      <w:bookmarkEnd w:id="1054"/>
    </w:p>
    <w:p w14:paraId="3F8F80E4" w14:textId="77777777" w:rsidR="00C85B70" w:rsidRPr="00C85B70" w:rsidRDefault="00C85B70" w:rsidP="00FE7B7F">
      <w:pPr>
        <w:rPr>
          <w:rFonts w:ascii="Times New Roman" w:eastAsia="Times New Roman" w:hAnsi="Times New Roman" w:cs="Times New Roman"/>
          <w:lang w:eastAsia="en-US"/>
        </w:rPr>
      </w:pPr>
    </w:p>
    <w:p w14:paraId="7F507321" w14:textId="77777777" w:rsidR="00C85B70" w:rsidRPr="00C85B70" w:rsidRDefault="00C85B70" w:rsidP="00FE7B7F">
      <w:pPr>
        <w:rPr>
          <w:rFonts w:ascii="Times New Roman" w:eastAsia="Times New Roman" w:hAnsi="Times New Roman" w:cs="Times New Roman"/>
          <w:lang w:eastAsia="en-US"/>
        </w:rPr>
      </w:pPr>
    </w:p>
    <w:p w14:paraId="4C5DC40E" w14:textId="75E1265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As the Third Restatement indicates, there is a third category of product defect cases</w:t>
      </w:r>
      <w:r w:rsidR="006D6623">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one that is beyond manufacturing and design defects, though some say it resembles design defect cases. This third category involves cases of allegedly defective warnings. In recent years</w:t>
      </w:r>
      <w:r w:rsidR="000D46E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warnings cases have become hotly controversial. The basic problem is that viewed either ex post (with the </w:t>
      </w:r>
      <w:r w:rsidR="000D46E0">
        <w:rPr>
          <w:rFonts w:ascii="Times New Roman" w:eastAsia="Times New Roman" w:hAnsi="Times New Roman" w:cs="Times New Roman"/>
          <w:lang w:eastAsia="en-US"/>
        </w:rPr>
        <w:t>S</w:t>
      </w:r>
      <w:r w:rsidRPr="750671CE">
        <w:rPr>
          <w:rFonts w:ascii="Times New Roman" w:eastAsia="Times New Roman" w:hAnsi="Times New Roman" w:cs="Times New Roman"/>
          <w:lang w:eastAsia="en-US"/>
        </w:rPr>
        <w:t xml:space="preserve">econd Restatement) or ex ante (with the </w:t>
      </w:r>
      <w:r w:rsidR="000D46E0">
        <w:rPr>
          <w:rFonts w:ascii="Times New Roman" w:eastAsia="Times New Roman" w:hAnsi="Times New Roman" w:cs="Times New Roman"/>
          <w:lang w:eastAsia="en-US"/>
        </w:rPr>
        <w:t>T</w:t>
      </w:r>
      <w:r w:rsidRPr="750671CE">
        <w:rPr>
          <w:rFonts w:ascii="Times New Roman" w:eastAsia="Times New Roman" w:hAnsi="Times New Roman" w:cs="Times New Roman"/>
          <w:lang w:eastAsia="en-US"/>
        </w:rPr>
        <w:t xml:space="preserve">hird), warnings are exceedingly inexpensive to adopt. Failure to adopt a warning can </w:t>
      </w:r>
      <w:r w:rsidR="00C24417">
        <w:rPr>
          <w:rFonts w:ascii="Times New Roman" w:eastAsia="Times New Roman" w:hAnsi="Times New Roman" w:cs="Times New Roman"/>
          <w:lang w:eastAsia="en-US"/>
        </w:rPr>
        <w:t>therefore</w:t>
      </w:r>
      <w:r w:rsidRPr="750671CE">
        <w:rPr>
          <w:rFonts w:ascii="Times New Roman" w:eastAsia="Times New Roman" w:hAnsi="Times New Roman" w:cs="Times New Roman"/>
          <w:lang w:eastAsia="en-US"/>
        </w:rPr>
        <w:t xml:space="preserve"> often seem to have been negligent if the warning would have prevented even a modest number of injuries. </w:t>
      </w:r>
      <w:r w:rsidR="00C24417">
        <w:rPr>
          <w:rFonts w:ascii="Times New Roman" w:eastAsia="Times New Roman" w:hAnsi="Times New Roman" w:cs="Times New Roman"/>
          <w:lang w:eastAsia="en-US"/>
        </w:rPr>
        <w:t>On the other hand,</w:t>
      </w:r>
      <w:r w:rsidRPr="750671CE">
        <w:rPr>
          <w:rFonts w:ascii="Times New Roman" w:eastAsia="Times New Roman" w:hAnsi="Times New Roman" w:cs="Times New Roman"/>
          <w:lang w:eastAsia="en-US"/>
        </w:rPr>
        <w:t xml:space="preserve"> warning proliferation threatens to desensitize product users or perhaps risks overwhelming their cognitive capacities.</w:t>
      </w:r>
    </w:p>
    <w:p w14:paraId="44372BB8" w14:textId="719F8A44" w:rsidR="00605928" w:rsidRDefault="00605928">
      <w:pPr>
        <w:rPr>
          <w:rFonts w:ascii="Times New Roman" w:eastAsia="Times New Roman" w:hAnsi="Times New Roman" w:cs="Times New Roman"/>
          <w:lang w:eastAsia="en-US"/>
        </w:rPr>
      </w:pPr>
    </w:p>
    <w:p w14:paraId="13951B7F" w14:textId="77777777"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Consider the following sequence of cases involving a meat grinder and a warning defect claim:</w:t>
      </w:r>
    </w:p>
    <w:p w14:paraId="5A4C8EF5" w14:textId="77777777" w:rsidR="00C85B70" w:rsidRPr="00C85B70" w:rsidRDefault="00C85B70" w:rsidP="00FE7B7F">
      <w:pPr>
        <w:rPr>
          <w:rFonts w:ascii="Times New Roman" w:eastAsia="Times New Roman" w:hAnsi="Times New Roman" w:cs="Times New Roman"/>
          <w:lang w:eastAsia="en-US"/>
        </w:rPr>
      </w:pPr>
    </w:p>
    <w:p w14:paraId="46153335" w14:textId="77777777" w:rsidR="00C85B70" w:rsidRPr="00C85B70" w:rsidRDefault="00C85B70" w:rsidP="00FE7B7F">
      <w:pPr>
        <w:rPr>
          <w:rFonts w:ascii="Times New Roman" w:eastAsia="Times New Roman" w:hAnsi="Times New Roman" w:cs="Times New Roman"/>
          <w:lang w:eastAsia="en-US"/>
        </w:rPr>
      </w:pPr>
    </w:p>
    <w:p w14:paraId="40A7C46D" w14:textId="6C1F88F2" w:rsidR="00C85B70" w:rsidRPr="00C85B70" w:rsidRDefault="00CE12AE" w:rsidP="750671CE">
      <w:pPr>
        <w:spacing w:before="29"/>
        <w:ind w:right="990"/>
        <w:rPr>
          <w:rFonts w:ascii="Times New Roman" w:eastAsia="Times New Roman" w:hAnsi="Times New Roman" w:cs="Times New Roman"/>
          <w:lang w:eastAsia="en-US"/>
        </w:rPr>
      </w:pPr>
      <w:bookmarkStart w:id="1055" w:name="_Toc518323562"/>
      <w:r>
        <w:rPr>
          <w:rStyle w:val="Heading4Char"/>
        </w:rPr>
        <w:t xml:space="preserve">Liriano </w:t>
      </w:r>
      <w:r w:rsidR="00C85B70" w:rsidRPr="00FB06BE">
        <w:rPr>
          <w:rStyle w:val="Heading4Char"/>
        </w:rPr>
        <w:t>v. Hobart Corp. (</w:t>
      </w:r>
      <w:r w:rsidR="00B05F31">
        <w:rPr>
          <w:rStyle w:val="Heading4Char"/>
        </w:rPr>
        <w:t>“</w:t>
      </w:r>
      <w:r w:rsidR="00C85B70" w:rsidRPr="00FB06BE">
        <w:rPr>
          <w:rStyle w:val="Heading4Char"/>
        </w:rPr>
        <w:t>Liriano I</w:t>
      </w:r>
      <w:r w:rsidR="00B05F31">
        <w:rPr>
          <w:rStyle w:val="Heading4Char"/>
        </w:rPr>
        <w:t>”</w:t>
      </w:r>
      <w:r w:rsidR="00C85B70" w:rsidRPr="00FB06BE">
        <w:rPr>
          <w:rStyle w:val="Heading4Char"/>
        </w:rPr>
        <w:t>)</w:t>
      </w:r>
      <w:bookmarkEnd w:id="1055"/>
      <w:r w:rsidR="00E754BB" w:rsidRPr="750671CE">
        <w:rPr>
          <w:rFonts w:ascii="Times New Roman" w:eastAsia="Times New Roman" w:hAnsi="Times New Roman" w:cs="Times New Roman"/>
          <w:b/>
          <w:bCs/>
          <w:w w:val="112"/>
          <w:lang w:eastAsia="en-US"/>
        </w:rPr>
        <w:t xml:space="preserve">, </w:t>
      </w:r>
      <w:r w:rsidR="00E754BB" w:rsidRPr="750671CE">
        <w:rPr>
          <w:rFonts w:ascii="Times New Roman" w:eastAsia="Times New Roman" w:hAnsi="Times New Roman" w:cs="Times New Roman"/>
          <w:b/>
          <w:bCs/>
          <w:lang w:eastAsia="en-US"/>
        </w:rPr>
        <w:t xml:space="preserve">132 </w:t>
      </w:r>
      <w:r w:rsidR="00FB06BE" w:rsidRPr="750671CE">
        <w:rPr>
          <w:rFonts w:ascii="Times New Roman" w:eastAsia="Times New Roman" w:hAnsi="Times New Roman" w:cs="Times New Roman"/>
          <w:b/>
          <w:bCs/>
          <w:lang w:eastAsia="en-US"/>
        </w:rPr>
        <w:t>F</w:t>
      </w:r>
      <w:r w:rsidR="00C85B70" w:rsidRPr="750671CE">
        <w:rPr>
          <w:rFonts w:ascii="Times New Roman" w:eastAsia="Times New Roman" w:hAnsi="Times New Roman" w:cs="Times New Roman"/>
          <w:b/>
          <w:bCs/>
          <w:lang w:eastAsia="en-US"/>
        </w:rPr>
        <w:t>.2d 124 (2d Cir. 1998)</w:t>
      </w:r>
    </w:p>
    <w:p w14:paraId="7F276F46" w14:textId="77777777" w:rsidR="00C85B70" w:rsidRPr="00C85B70" w:rsidRDefault="00C85B70" w:rsidP="00FE7B7F">
      <w:pPr>
        <w:rPr>
          <w:rFonts w:ascii="Times New Roman" w:eastAsia="Times New Roman" w:hAnsi="Times New Roman" w:cs="Times New Roman"/>
          <w:lang w:eastAsia="en-US"/>
        </w:rPr>
      </w:pPr>
    </w:p>
    <w:p w14:paraId="26E4BCED" w14:textId="77777777" w:rsidR="00C85B70" w:rsidRPr="00C85B70" w:rsidRDefault="00C85B70" w:rsidP="00FE7B7F">
      <w:pPr>
        <w:spacing w:before="3"/>
        <w:rPr>
          <w:rFonts w:ascii="Times New Roman" w:eastAsia="Times New Roman" w:hAnsi="Times New Roman" w:cs="Times New Roman"/>
          <w:lang w:eastAsia="en-US"/>
        </w:rPr>
      </w:pPr>
    </w:p>
    <w:p w14:paraId="3030AA8A" w14:textId="16153C98" w:rsidR="00C85B70" w:rsidRPr="00C85B70" w:rsidRDefault="00C85B70" w:rsidP="00671F38">
      <w:pPr>
        <w:ind w:right="1890"/>
        <w:rPr>
          <w:rFonts w:ascii="Times New Roman" w:eastAsia="Times New Roman" w:hAnsi="Times New Roman" w:cs="Times New Roman"/>
          <w:lang w:eastAsia="en-US"/>
        </w:rPr>
      </w:pPr>
      <w:r w:rsidRPr="00605928">
        <w:rPr>
          <w:rFonts w:ascii="Times New Roman" w:eastAsia="Times New Roman" w:hAnsi="Times New Roman" w:cs="Times New Roman"/>
          <w:smallCaps/>
          <w:lang w:eastAsia="en-US"/>
        </w:rPr>
        <w:t>C</w:t>
      </w:r>
      <w:r w:rsidR="00605928">
        <w:rPr>
          <w:rFonts w:ascii="Times New Roman" w:eastAsia="Times New Roman" w:hAnsi="Times New Roman" w:cs="Times New Roman"/>
          <w:smallCaps/>
          <w:lang w:eastAsia="en-US"/>
        </w:rPr>
        <w:t>alabresi</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006D6623">
        <w:rPr>
          <w:rFonts w:ascii="Times New Roman" w:eastAsia="Times New Roman" w:hAnsi="Times New Roman" w:cs="Times New Roman"/>
          <w:lang w:eastAsia="en-US"/>
        </w:rPr>
        <w:t>J</w:t>
      </w:r>
      <w:r w:rsidRPr="00C85B70">
        <w:rPr>
          <w:rFonts w:ascii="Times New Roman" w:eastAsia="Times New Roman" w:hAnsi="Times New Roman" w:cs="Times New Roman"/>
          <w:lang w:eastAsia="en-US"/>
        </w:rPr>
        <w:t xml:space="preserve">. </w:t>
      </w:r>
    </w:p>
    <w:p w14:paraId="560B2CD3" w14:textId="77777777" w:rsidR="00C85B70" w:rsidRPr="00C85B70" w:rsidRDefault="00C85B70" w:rsidP="00FE7B7F">
      <w:pPr>
        <w:ind w:left="150" w:right="1890"/>
        <w:rPr>
          <w:rFonts w:ascii="Times New Roman" w:eastAsia="Times New Roman" w:hAnsi="Times New Roman" w:cs="Times New Roman"/>
          <w:lang w:eastAsia="en-US"/>
        </w:rPr>
      </w:pPr>
    </w:p>
    <w:p w14:paraId="05C37971" w14:textId="77777777" w:rsidR="00C85B70" w:rsidRPr="00C85B70" w:rsidRDefault="750671CE" w:rsidP="750671CE">
      <w:pPr>
        <w:ind w:left="150" w:right="189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 BACKGROUND</w:t>
      </w:r>
    </w:p>
    <w:p w14:paraId="37168EE9" w14:textId="2A550315" w:rsidR="00C85B70" w:rsidRPr="00C85B70" w:rsidRDefault="00C85B70" w:rsidP="750671CE">
      <w:pPr>
        <w:spacing w:before="8"/>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Luis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seventeen-year-old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depart</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up</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Associated grocery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store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Super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1"/>
          <w:lang w:eastAsia="en-US"/>
        </w:rPr>
        <w:t>nju</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job</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Septe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ber 1993 when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feeding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ercial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 grinder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whose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oved.  </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His hand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caught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wor</w:t>
      </w:r>
      <w:r w:rsidRPr="00C85B70">
        <w:rPr>
          <w:rFonts w:ascii="Times New Roman" w:eastAsia="Times New Roman" w:hAnsi="Times New Roman" w:cs="Times New Roman"/>
          <w:spacing w:val="-3"/>
          <w:lang w:eastAsia="en-US"/>
        </w:rPr>
        <w:t>m</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grinds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as 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result,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right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lower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forearm were 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putated.</w:t>
      </w:r>
    </w:p>
    <w:p w14:paraId="77755696" w14:textId="77777777" w:rsidR="00C85B70" w:rsidRPr="00C85B70" w:rsidRDefault="00C85B70" w:rsidP="00FE7B7F">
      <w:pPr>
        <w:tabs>
          <w:tab w:val="left" w:pos="2620"/>
          <w:tab w:val="left" w:pos="2880"/>
        </w:tabs>
        <w:ind w:right="-54"/>
        <w:rPr>
          <w:rFonts w:ascii="Times New Roman" w:eastAsia="Times New Roman" w:hAnsi="Times New Roman" w:cs="Times New Roman"/>
          <w:lang w:eastAsia="en-US"/>
        </w:rPr>
      </w:pPr>
    </w:p>
    <w:p w14:paraId="6B879F71" w14:textId="0C0FDC06" w:rsidR="00C85B70" w:rsidRPr="00C85B70" w:rsidRDefault="00C85B70" w:rsidP="750671CE">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1"/>
          <w:lang w:eastAsia="en-US"/>
        </w:rPr>
        <w:t xml:space="preserve"> i</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1</w:t>
      </w:r>
      <w:r w:rsidRPr="00C85B70">
        <w:rPr>
          <w:rFonts w:ascii="Times New Roman" w:eastAsia="Times New Roman" w:hAnsi="Times New Roman" w:cs="Times New Roman"/>
          <w:lang w:eastAsia="en-US"/>
        </w:rPr>
        <w:t>961 by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Corporation</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Hobart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sale,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affi</w:t>
      </w:r>
      <w:r w:rsidRPr="00C85B70">
        <w:rPr>
          <w:rFonts w:ascii="Times New Roman" w:eastAsia="Times New Roman" w:hAnsi="Times New Roman" w:cs="Times New Roman"/>
          <w:spacing w:val="1"/>
          <w:lang w:eastAsia="en-US"/>
        </w:rPr>
        <w:t>x</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2"/>
          <w:lang w:eastAsia="en-US"/>
        </w:rPr>
        <w:t>sa</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ty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prevented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 user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hands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ing</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contact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feeding tube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gr</w:t>
      </w:r>
      <w:r w:rsidRPr="00C85B70">
        <w:rPr>
          <w:rFonts w:ascii="Times New Roman" w:eastAsia="Times New Roman" w:hAnsi="Times New Roman" w:cs="Times New Roman"/>
          <w:spacing w:val="1"/>
          <w:lang w:eastAsia="en-US"/>
        </w:rPr>
        <w:t>indin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26"/>
          <w:lang w:eastAsia="en-US"/>
        </w:rPr>
        <w:t xml:space="preserve"> </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wor</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spacing w:val="1"/>
          <w:lang w:eastAsia="en-US"/>
        </w:rPr>
        <w: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No</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were placed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rwise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given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indicate that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rous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operate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without the </w:t>
      </w:r>
      <w:r w:rsidRPr="00C85B70">
        <w:rPr>
          <w:rFonts w:ascii="Times New Roman" w:eastAsia="Times New Roman" w:hAnsi="Times New Roman" w:cs="Times New Roman"/>
          <w:spacing w:val="3"/>
          <w:lang w:eastAsia="en-US"/>
        </w:rPr>
        <w:t>safety</w:t>
      </w:r>
      <w:r w:rsidRPr="00C85B70">
        <w:rPr>
          <w:rFonts w:ascii="Times New Roman" w:eastAsia="Times New Roman" w:hAnsi="Times New Roman" w:cs="Times New Roman"/>
          <w:lang w:eastAsia="en-US"/>
        </w:rPr>
        <w:t xml:space="preserve"> guard in </w:t>
      </w:r>
      <w:r w:rsidRPr="00C85B70">
        <w:rPr>
          <w:rFonts w:ascii="Times New Roman" w:eastAsia="Times New Roman" w:hAnsi="Times New Roman" w:cs="Times New Roman"/>
          <w:spacing w:val="3"/>
          <w:lang w:eastAsia="en-US"/>
        </w:rPr>
        <w:t>place</w:t>
      </w:r>
      <w:r w:rsidRPr="00C85B70">
        <w:rPr>
          <w:rFonts w:ascii="Times New Roman" w:eastAsia="Times New Roman" w:hAnsi="Times New Roman" w:cs="Times New Roman"/>
          <w:lang w:eastAsia="en-US"/>
        </w:rPr>
        <w:t>.  Subsequently,</w:t>
      </w:r>
      <w:r w:rsidRPr="00C85B70">
        <w:rPr>
          <w:rFonts w:ascii="Times New Roman" w:eastAsia="Times New Roman" w:hAnsi="Times New Roman" w:cs="Times New Roman"/>
          <w:spacing w:val="44"/>
          <w:lang w:eastAsia="en-US"/>
        </w:rPr>
        <w:t xml:space="preserve"> </w:t>
      </w:r>
      <w:r w:rsidRPr="00C85B70">
        <w:rPr>
          <w:rFonts w:ascii="Times New Roman" w:eastAsia="Times New Roman" w:hAnsi="Times New Roman" w:cs="Times New Roman"/>
          <w:lang w:eastAsia="en-US"/>
        </w:rPr>
        <w:t>Hobart beca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aware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signif</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cant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purchasers of</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guards. And</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1962,</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Ho</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lang w:eastAsia="en-US"/>
        </w:rPr>
        <w:t>egan</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issuing</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 xml:space="preserve">its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concerning</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guard.</w:t>
      </w:r>
    </w:p>
    <w:p w14:paraId="4CFCA211" w14:textId="77777777" w:rsidR="00C85B70" w:rsidRPr="00C85B70" w:rsidRDefault="00C85B70" w:rsidP="00FE7B7F">
      <w:pPr>
        <w:spacing w:before="12"/>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2E2554C" w14:textId="19569FE0" w:rsidR="00C85B70" w:rsidRPr="00C85B70" w:rsidRDefault="00C85B70" w:rsidP="006D6623">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ere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dispute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acquired</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w w:val="99"/>
          <w:lang w:eastAsia="en-US"/>
        </w:rPr>
        <w:t>t</w:t>
      </w:r>
      <w:r w:rsidRPr="00C85B70">
        <w:rPr>
          <w:rFonts w:ascii="Times New Roman" w:eastAsia="Times New Roman" w:hAnsi="Times New Roman" w:cs="Times New Roman"/>
          <w:spacing w:val="1"/>
          <w:w w:val="99"/>
          <w:lang w:eastAsia="en-US"/>
        </w:rPr>
        <w:t>h</w:t>
      </w:r>
      <w:r w:rsidRPr="00C85B70">
        <w:rPr>
          <w:rFonts w:ascii="Times New Roman" w:eastAsia="Times New Roman" w:hAnsi="Times New Roman" w:cs="Times New Roman"/>
          <w:w w:val="99"/>
          <w:lang w:eastAsia="en-US"/>
        </w:rPr>
        <w:t>e</w:t>
      </w:r>
      <w:r w:rsidRPr="00C85B70">
        <w:rPr>
          <w:rFonts w:ascii="Times New Roman" w:eastAsia="Times New Roman" w:hAnsi="Times New Roman" w:cs="Times New Roman"/>
          <w:lang w:eastAsia="en-US"/>
        </w:rPr>
        <w:t xml:space="preserve"> grinder,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intact.</w:t>
      </w:r>
      <w:r w:rsidR="006D662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 xml:space="preserve"> It</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not contested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Liriano</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accident,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the 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oved. </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like</w:t>
      </w:r>
      <w:r w:rsidRPr="00C85B70">
        <w:rPr>
          <w:rFonts w:ascii="Times New Roman" w:eastAsia="Times New Roman" w:hAnsi="Times New Roman" w:cs="Times New Roman"/>
          <w:spacing w:val="1"/>
          <w:lang w:eastAsia="en-US"/>
        </w:rPr>
        <w:t>wi</w:t>
      </w:r>
      <w:r w:rsidRPr="00C85B70">
        <w:rPr>
          <w:rFonts w:ascii="Times New Roman" w:eastAsia="Times New Roman" w:hAnsi="Times New Roman" w:cs="Times New Roman"/>
          <w:lang w:eastAsia="en-US"/>
        </w:rPr>
        <w:t>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 doubt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 xml:space="preserve"> a</w:t>
      </w:r>
      <w:r w:rsidRPr="00C85B70">
        <w:rPr>
          <w:rFonts w:ascii="Times New Roman" w:eastAsia="Times New Roman" w:hAnsi="Times New Roman" w:cs="Times New Roman"/>
          <w:lang w:eastAsia="en-US"/>
        </w:rPr>
        <w:t xml:space="preserve">ctually </w:t>
      </w:r>
      <w:r w:rsidRPr="00C85B70">
        <w:rPr>
          <w:rFonts w:ascii="Times New Roman" w:eastAsia="Times New Roman" w:hAnsi="Times New Roman" w:cs="Times New Roman"/>
          <w:spacing w:val="1"/>
          <w:lang w:eastAsia="en-US"/>
        </w:rPr>
        <w:t>kn</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before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accident, </w:t>
      </w:r>
      <w:r w:rsidR="006D6623">
        <w:rPr>
          <w:rFonts w:ascii="Times New Roman" w:eastAsia="Times New Roman" w:hAnsi="Times New Roman" w:cs="Times New Roman"/>
          <w:lang w:eastAsia="en-US"/>
        </w:rPr>
        <w:t>that removals of this sort were ocurring</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 without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gu</w:t>
      </w:r>
      <w:r w:rsidRPr="00C85B70">
        <w:rPr>
          <w:rFonts w:ascii="Times New Roman" w:eastAsia="Times New Roman" w:hAnsi="Times New Roman" w:cs="Times New Roman"/>
          <w:lang w:eastAsia="en-US"/>
        </w:rPr>
        <w:t>ard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highly dangerous. 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quest</w:t>
      </w:r>
      <w:r w:rsidRPr="00C85B70">
        <w:rPr>
          <w:rFonts w:ascii="Times New Roman" w:eastAsia="Times New Roman" w:hAnsi="Times New Roman" w:cs="Times New Roman"/>
          <w:spacing w:val="1"/>
          <w:lang w:eastAsia="en-US"/>
        </w:rPr>
        <w: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the 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took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place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 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possession.</w:t>
      </w:r>
    </w:p>
    <w:p w14:paraId="0FEF0666" w14:textId="77777777" w:rsidR="00C85B70" w:rsidRPr="00C85B70" w:rsidRDefault="00C85B70" w:rsidP="00FE7B7F">
      <w:pPr>
        <w:ind w:right="-54"/>
        <w:rPr>
          <w:rFonts w:ascii="Times New Roman" w:eastAsia="Times New Roman" w:hAnsi="Times New Roman" w:cs="Times New Roman"/>
          <w:lang w:eastAsia="en-US"/>
        </w:rPr>
      </w:pPr>
    </w:p>
    <w:p w14:paraId="5FD53CF6" w14:textId="02EC84B0" w:rsidR="00C85B70" w:rsidRPr="00C85B70" w:rsidRDefault="00C85B70" w:rsidP="750671C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sued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theories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negligence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 strict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products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alia,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w w:val="99"/>
          <w:lang w:eastAsia="en-US"/>
        </w:rPr>
        <w:t>defective</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product design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
          <w:lang w:eastAsia="en-US"/>
        </w:rPr>
        <w:t xml:space="preserve"> 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 xml:space="preserve">. </w:t>
      </w:r>
      <w:r w:rsidR="006D662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brought his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Supre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Bronx</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County,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Hobart 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oved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United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States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District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for 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Southern</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District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pleaded </w:t>
      </w:r>
      <w:r w:rsidRPr="00C85B70">
        <w:rPr>
          <w:rFonts w:ascii="Times New Roman" w:eastAsia="Times New Roman" w:hAnsi="Times New Roman" w:cs="Times New Roman"/>
          <w:spacing w:val="7"/>
          <w:lang w:eastAsia="en-US"/>
        </w:rPr>
        <w:t>Supe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7"/>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8"/>
          <w:lang w:eastAsia="en-US"/>
        </w:rPr>
        <w:t>third</w:t>
      </w:r>
      <w:r w:rsidRPr="00C85B70">
        <w:rPr>
          <w:rFonts w:ascii="Times New Roman" w:eastAsia="Times New Roman" w:hAnsi="Times New Roman" w:cs="Times New Roman"/>
          <w:spacing w:val="7"/>
          <w:lang w:eastAsia="en-US"/>
        </w:rPr>
        <w:t>-part</w:t>
      </w:r>
      <w:r w:rsidRPr="00C85B70">
        <w:rPr>
          <w:rFonts w:ascii="Times New Roman" w:eastAsia="Times New Roman" w:hAnsi="Times New Roman" w:cs="Times New Roman"/>
          <w:lang w:eastAsia="en-US"/>
        </w:rPr>
        <w:t xml:space="preserve">y </w:t>
      </w:r>
      <w:r w:rsidRPr="00C85B70">
        <w:rPr>
          <w:rFonts w:ascii="Times New Roman" w:eastAsia="Times New Roman" w:hAnsi="Times New Roman" w:cs="Times New Roman"/>
          <w:spacing w:val="7"/>
          <w:lang w:eastAsia="en-US"/>
        </w:rPr>
        <w:t>defendant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7"/>
          <w:lang w:eastAsia="en-US"/>
        </w:rPr>
        <w:t xml:space="preserve">seeking </w:t>
      </w:r>
      <w:r w:rsidRPr="00C85B70">
        <w:rPr>
          <w:rFonts w:ascii="Times New Roman" w:eastAsia="Times New Roman" w:hAnsi="Times New Roman" w:cs="Times New Roman"/>
          <w:lang w:eastAsia="en-US"/>
        </w:rPr>
        <w:t>inde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nification and/or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contr</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 xml:space="preserve">bution. </w:t>
      </w:r>
      <w:r w:rsidR="006D662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District Court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(Shira</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Scheindlin,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Judge)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dis</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issed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of Liriano</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except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those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based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p>
    <w:p w14:paraId="12909544" w14:textId="77777777" w:rsidR="00C85B70" w:rsidRPr="00C85B70" w:rsidRDefault="00C85B70" w:rsidP="00FE7B7F">
      <w:pPr>
        <w:spacing w:before="12"/>
        <w:rPr>
          <w:rFonts w:ascii="Times New Roman" w:eastAsia="Times New Roman" w:hAnsi="Times New Roman" w:cs="Times New Roman"/>
          <w:lang w:eastAsia="en-US"/>
        </w:rPr>
      </w:pPr>
    </w:p>
    <w:p w14:paraId="4FBB1AC2" w14:textId="49516D44" w:rsidR="00C85B70" w:rsidRPr="00C85B70"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Following trial,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jury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luded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00B05F31">
        <w:rPr>
          <w:rFonts w:ascii="Times New Roman" w:eastAsia="Times New Roman" w:hAnsi="Times New Roman" w:cs="Times New Roman"/>
          <w:spacing w:val="-1"/>
          <w:w w:val="99"/>
          <w:lang w:eastAsia="en-US"/>
        </w:rPr>
        <w:t>’</w:t>
      </w:r>
      <w:r w:rsidRPr="00C85B70">
        <w:rPr>
          <w:rFonts w:ascii="Times New Roman" w:eastAsia="Times New Roman" w:hAnsi="Times New Roman" w:cs="Times New Roman"/>
          <w:w w:val="99"/>
          <w:lang w:eastAsia="en-US"/>
        </w:rPr>
        <w:t>s</w:t>
      </w:r>
      <w:r w:rsidRPr="00C85B70">
        <w:rPr>
          <w:rFonts w:ascii="Times New Roman" w:eastAsia="Times New Roman" w:hAnsi="Times New Roman" w:cs="Times New Roman"/>
          <w:spacing w:val="-11"/>
          <w:w w:val="99"/>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proxi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ate</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cause of</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Liriano</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injuries</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apportioned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5%</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to Hobart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95%</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4"/>
          <w:lang w:eastAsia="en-US"/>
        </w:rPr>
        <w:t xml:space="preserve"> </w:t>
      </w:r>
      <w:r w:rsidR="003A495A" w:rsidRPr="00605928">
        <w:rPr>
          <w:rFonts w:ascii="Times New Roman" w:eastAsia="Times New Roman" w:hAnsi="Times New Roman" w:cs="Times New Roman"/>
          <w:lang w:eastAsia="en-US"/>
        </w:rPr>
        <w:t>[The jury awarded Liriano $1.3 million in damages</w:t>
      </w:r>
      <w:r w:rsidR="003A495A">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appeal,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Hobart and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Super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argue,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alia,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question</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whether 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Liriano should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been decided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favor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cour</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law. It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question 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gives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rise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current certification.</w:t>
      </w:r>
    </w:p>
    <w:p w14:paraId="57FE6223" w14:textId="77777777" w:rsidR="00C85B70" w:rsidRPr="00C85B70" w:rsidRDefault="00C85B70" w:rsidP="00FE7B7F">
      <w:pPr>
        <w:spacing w:before="12"/>
        <w:rPr>
          <w:rFonts w:ascii="Times New Roman" w:eastAsia="Times New Roman" w:hAnsi="Times New Roman" w:cs="Times New Roman"/>
          <w:lang w:eastAsia="en-US"/>
        </w:rPr>
      </w:pPr>
    </w:p>
    <w:p w14:paraId="5507B480" w14:textId="77777777" w:rsidR="00C85B70" w:rsidRPr="00C85B70" w:rsidRDefault="00C85B70" w:rsidP="750671CE">
      <w:pPr>
        <w:ind w:left="50" w:right="293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DISCUSSION</w:t>
      </w:r>
    </w:p>
    <w:p w14:paraId="23A47FE6" w14:textId="77777777" w:rsidR="00C85B70" w:rsidRPr="00C85B70" w:rsidRDefault="00C85B70" w:rsidP="00FE7B7F">
      <w:pPr>
        <w:spacing w:before="13"/>
        <w:rPr>
          <w:rFonts w:ascii="Times New Roman" w:eastAsia="Times New Roman" w:hAnsi="Times New Roman" w:cs="Times New Roman"/>
          <w:lang w:eastAsia="en-US"/>
        </w:rPr>
      </w:pPr>
    </w:p>
    <w:p w14:paraId="78CB5585" w14:textId="347AD897" w:rsidR="00C85B70" w:rsidRPr="00C85B70" w:rsidRDefault="00C85B70" w:rsidP="750671CE">
      <w:pPr>
        <w:ind w:left="50" w:right="2026"/>
        <w:rPr>
          <w:rFonts w:ascii="Times New Roman" w:eastAsia="Times New Roman" w:hAnsi="Times New Roman" w:cs="Times New Roman"/>
          <w:lang w:eastAsia="en-US"/>
        </w:rPr>
      </w:pPr>
      <w:r w:rsidRPr="00C85B70">
        <w:rPr>
          <w:rFonts w:ascii="Times New Roman" w:eastAsia="Times New Roman" w:hAnsi="Times New Roman" w:cs="Times New Roman"/>
          <w:w w:val="88"/>
          <w:lang w:eastAsia="en-US"/>
        </w:rPr>
        <w:t>A.</w:t>
      </w:r>
      <w:r w:rsidRPr="00C85B70">
        <w:rPr>
          <w:rFonts w:ascii="Times New Roman" w:eastAsia="Times New Roman" w:hAnsi="Times New Roman" w:cs="Times New Roman"/>
          <w:spacing w:val="7"/>
          <w:w w:val="88"/>
          <w:lang w:eastAsia="en-US"/>
        </w:rPr>
        <w:t xml:space="preserve"> </w:t>
      </w:r>
      <w:r w:rsidR="006D6623">
        <w:rPr>
          <w:rFonts w:ascii="Times New Roman" w:eastAsia="Times New Roman" w:hAnsi="Times New Roman" w:cs="Times New Roman"/>
          <w:lang w:eastAsia="en-US"/>
        </w:rPr>
        <w:t>Applicable New York Law</w:t>
      </w:r>
    </w:p>
    <w:p w14:paraId="2B9CCDA6" w14:textId="77777777" w:rsidR="00C85B70" w:rsidRPr="00C85B70" w:rsidRDefault="00C85B70" w:rsidP="00FE7B7F">
      <w:pPr>
        <w:ind w:right="65"/>
        <w:rPr>
          <w:rFonts w:ascii="Times New Roman" w:eastAsia="Times New Roman" w:hAnsi="Times New Roman" w:cs="Times New Roman"/>
          <w:lang w:eastAsia="en-US"/>
        </w:rPr>
      </w:pPr>
    </w:p>
    <w:p w14:paraId="398A165F" w14:textId="5CB4818A" w:rsidR="00C85B70" w:rsidRPr="00C85B70" w:rsidRDefault="00C85B70" w:rsidP="750671CE">
      <w:pPr>
        <w:ind w:right="65"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l-settled under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w:t>
      </w:r>
      <w:r w:rsidRPr="00C85B70">
        <w:rPr>
          <w:rFonts w:ascii="Times New Roman" w:eastAsia="Times New Roman" w:hAnsi="Times New Roman" w:cs="Times New Roman"/>
          <w:spacing w:val="1"/>
          <w:lang w:eastAsia="en-US"/>
        </w:rPr>
        <w:t>tur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use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reasonable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care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designing</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8"/>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used in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anner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inten</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lang w:eastAsia="en-US"/>
        </w:rPr>
        <w:t>ed, as well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unintended yet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reasonably forese</w:t>
      </w:r>
      <w:r w:rsidRPr="00C85B70">
        <w:rPr>
          <w:rFonts w:ascii="Times New Roman" w:eastAsia="Times New Roman" w:hAnsi="Times New Roman" w:cs="Times New Roman"/>
          <w:spacing w:val="2"/>
          <w:lang w:eastAsia="en-US"/>
        </w:rPr>
        <w:t>ea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use.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w w:val="97"/>
          <w:lang w:eastAsia="en-US"/>
        </w:rPr>
        <w:t>Micall</w:t>
      </w:r>
      <w:r w:rsidRPr="750671CE">
        <w:rPr>
          <w:rFonts w:ascii="Times New Roman" w:eastAsia="Times New Roman" w:hAnsi="Times New Roman" w:cs="Times New Roman"/>
          <w:i/>
          <w:iCs/>
          <w:spacing w:val="2"/>
          <w:w w:val="97"/>
          <w:lang w:eastAsia="en-US"/>
        </w:rPr>
        <w:t>e</w:t>
      </w:r>
      <w:r w:rsidRPr="750671CE">
        <w:rPr>
          <w:rFonts w:ascii="Times New Roman" w:eastAsia="Times New Roman" w:hAnsi="Times New Roman" w:cs="Times New Roman"/>
          <w:i/>
          <w:iCs/>
          <w:w w:val="97"/>
          <w:lang w:eastAsia="en-US"/>
        </w:rPr>
        <w:t>f</w:t>
      </w:r>
      <w:r w:rsidRPr="750671CE">
        <w:rPr>
          <w:rFonts w:ascii="Times New Roman" w:eastAsia="Times New Roman" w:hAnsi="Times New Roman" w:cs="Times New Roman"/>
          <w:i/>
          <w:iCs/>
          <w:spacing w:val="28"/>
          <w:w w:val="97"/>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10"/>
          <w:lang w:eastAsia="en-US"/>
        </w:rPr>
        <w:t xml:space="preserve"> </w:t>
      </w:r>
      <w:r w:rsidRPr="750671CE">
        <w:rPr>
          <w:rFonts w:ascii="Times New Roman" w:eastAsia="Times New Roman" w:hAnsi="Times New Roman" w:cs="Times New Roman"/>
          <w:i/>
          <w:iCs/>
          <w:lang w:eastAsia="en-US"/>
        </w:rPr>
        <w:t>Miehle</w:t>
      </w:r>
      <w:r w:rsidRPr="750671CE">
        <w:rPr>
          <w:rFonts w:ascii="Times New Roman" w:eastAsia="Times New Roman" w:hAnsi="Times New Roman" w:cs="Times New Roman"/>
          <w:i/>
          <w:iCs/>
          <w:spacing w:val="5"/>
          <w:lang w:eastAsia="en-US"/>
        </w:rPr>
        <w:t xml:space="preserve"> </w:t>
      </w:r>
      <w:r w:rsidRPr="750671CE">
        <w:rPr>
          <w:rFonts w:ascii="Times New Roman" w:eastAsia="Times New Roman" w:hAnsi="Times New Roman" w:cs="Times New Roman"/>
          <w:i/>
          <w:iCs/>
          <w:lang w:eastAsia="en-US"/>
        </w:rPr>
        <w:t>Co</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 xml:space="preserve">348 N.E.2d </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571 ([</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w:t>
      </w:r>
      <w:r w:rsidRPr="00C85B70">
        <w:rPr>
          <w:rFonts w:ascii="Times New Roman" w:eastAsia="Times New Roman" w:hAnsi="Times New Roman" w:cs="Times New Roman"/>
          <w:spacing w:val="1"/>
          <w:lang w:eastAsia="en-US"/>
        </w:rPr>
        <w:t xml:space="preserve">Y.] </w:t>
      </w:r>
      <w:r w:rsidRPr="00C85B70">
        <w:rPr>
          <w:rFonts w:ascii="Times New Roman" w:eastAsia="Times New Roman" w:hAnsi="Times New Roman" w:cs="Times New Roman"/>
          <w:lang w:eastAsia="en-US"/>
        </w:rPr>
        <w:t>1976) (cita</w:t>
      </w:r>
      <w:r w:rsidRPr="00C85B70">
        <w:rPr>
          <w:rFonts w:ascii="Times New Roman" w:eastAsia="Times New Roman" w:hAnsi="Times New Roman" w:cs="Times New Roman"/>
          <w:spacing w:val="1"/>
          <w:lang w:eastAsia="en-US"/>
        </w:rPr>
        <w:t>ti</w:t>
      </w:r>
      <w:r w:rsidRPr="00C85B70">
        <w:rPr>
          <w:rFonts w:ascii="Times New Roman" w:eastAsia="Times New Roman" w:hAnsi="Times New Roman" w:cs="Times New Roman"/>
          <w:lang w:eastAsia="en-US"/>
        </w:rPr>
        <w:t>ons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itted).  </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equally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well-settled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New York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nufacturers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users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foreseeable dangers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inherent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products.  In</w:t>
      </w:r>
      <w:r w:rsidR="006D6623">
        <w:rPr>
          <w:rFonts w:ascii="Times New Roman" w:eastAsia="Times New Roman" w:hAnsi="Times New Roman" w:cs="Times New Roman"/>
          <w:lang w:eastAsia="en-US"/>
        </w:rPr>
        <w:t xml:space="preserve"> </w:t>
      </w:r>
      <w:r w:rsidR="006D6623">
        <w:rPr>
          <w:rFonts w:ascii="Times New Roman" w:eastAsia="Times New Roman" w:hAnsi="Times New Roman" w:cs="Times New Roman"/>
          <w:i/>
          <w:lang w:eastAsia="en-US"/>
        </w:rPr>
        <w:t>Robinson v. Reed-Prentice Division</w:t>
      </w:r>
      <w:r w:rsidRPr="00C85B70">
        <w:rPr>
          <w:rFonts w:ascii="Times New Roman" w:eastAsia="Times New Roman" w:hAnsi="Times New Roman" w:cs="Times New Roman"/>
          <w:w w:val="98"/>
          <w:lang w:eastAsia="en-US"/>
        </w:rPr>
        <w:t>,</w:t>
      </w:r>
      <w:r w:rsidRPr="00C85B70">
        <w:rPr>
          <w:rFonts w:ascii="Times New Roman" w:eastAsia="Times New Roman" w:hAnsi="Times New Roman" w:cs="Times New Roman"/>
          <w:spacing w:val="-17"/>
          <w:w w:val="98"/>
          <w:lang w:eastAsia="en-US"/>
        </w:rPr>
        <w:t xml:space="preserve"> </w:t>
      </w:r>
      <w:r w:rsidRPr="00C85B70">
        <w:rPr>
          <w:rFonts w:ascii="Times New Roman" w:eastAsia="Times New Roman" w:hAnsi="Times New Roman" w:cs="Times New Roman"/>
          <w:lang w:eastAsia="en-US"/>
        </w:rPr>
        <w:t>403</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440 (N.Y. 1980),</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New York</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Appeals in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effect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ov</w:t>
      </w:r>
      <w:r w:rsidRPr="00C85B70">
        <w:rPr>
          <w:rFonts w:ascii="Times New Roman" w:eastAsia="Times New Roman" w:hAnsi="Times New Roman" w:cs="Times New Roman"/>
          <w:lang w:eastAsia="en-US"/>
        </w:rPr>
        <w:t>ed 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set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product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750671CE">
        <w:rPr>
          <w:rFonts w:ascii="Times New Roman" w:eastAsia="Times New Roman" w:hAnsi="Times New Roman" w:cs="Times New Roman"/>
          <w:i/>
          <w:iCs/>
          <w:spacing w:val="1"/>
          <w:lang w:eastAsia="en-US"/>
        </w:rPr>
        <w:t>Micalle</w:t>
      </w:r>
      <w:r w:rsidRPr="750671CE">
        <w:rPr>
          <w:rFonts w:ascii="Times New Roman" w:eastAsia="Times New Roman" w:hAnsi="Times New Roman" w:cs="Times New Roman"/>
          <w:i/>
          <w:iCs/>
          <w:lang w:eastAsia="en-US"/>
        </w:rPr>
        <w:t>f</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analysis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 xml:space="preserve">of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intended</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00B05F31">
        <w:rPr>
          <w:rFonts w:ascii="Times New Roman" w:eastAsia="Times New Roman" w:hAnsi="Times New Roman" w:cs="Times New Roman"/>
          <w:lang w:eastAsia="en-US"/>
        </w:rPr>
        <w:t>“</w:t>
      </w:r>
      <w:r w:rsidR="00605928">
        <w:rPr>
          <w:rFonts w:ascii="Times New Roman" w:eastAsia="Times New Roman" w:hAnsi="Times New Roman" w:cs="Times New Roman"/>
          <w:lang w:eastAsia="en-US"/>
        </w:rPr>
        <w:t>reasonably foreseeable use.</w:t>
      </w:r>
      <w:r w:rsidR="00B05F31">
        <w:rPr>
          <w:rFonts w:ascii="Times New Roman" w:eastAsia="Times New Roman" w:hAnsi="Times New Roman" w:cs="Times New Roman"/>
          <w:lang w:eastAsia="en-US"/>
        </w:rPr>
        <w:t>”</w:t>
      </w:r>
      <w:r w:rsidR="00605928">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The</w:t>
      </w:r>
      <w:r w:rsidR="006D6623">
        <w:rPr>
          <w:rFonts w:ascii="Times New Roman" w:eastAsia="Times New Roman" w:hAnsi="Times New Roman" w:cs="Times New Roman"/>
          <w:lang w:eastAsia="en-US"/>
        </w:rPr>
        <w:t xml:space="preserve"> </w:t>
      </w:r>
      <w:r w:rsidR="006D6623">
        <w:rPr>
          <w:rFonts w:ascii="Times New Roman" w:eastAsia="Times New Roman" w:hAnsi="Times New Roman" w:cs="Times New Roman"/>
          <w:i/>
          <w:lang w:eastAsia="en-US"/>
        </w:rPr>
        <w:t>Robinson</w:t>
      </w:r>
      <w:r w:rsidRPr="00C85B70">
        <w:rPr>
          <w:rFonts w:ascii="Times New Roman" w:eastAsia="Times New Roman" w:hAnsi="Times New Roman" w:cs="Times New Roman"/>
          <w:lang w:eastAsia="en-US"/>
        </w:rPr>
        <w:t xml:space="preserve"> case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itself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involved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designed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with 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 shield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could not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kept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open (unprotecting)</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due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sophisticated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interlock syste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T</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interlock</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designed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prevent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operating</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unless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shield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lo</w:t>
      </w:r>
      <w:r w:rsidRPr="00C85B70">
        <w:rPr>
          <w:rFonts w:ascii="Times New Roman" w:eastAsia="Times New Roman" w:hAnsi="Times New Roman" w:cs="Times New Roman"/>
          <w:spacing w:val="2"/>
          <w:lang w:eastAsia="en-US"/>
        </w:rPr>
        <w:t>se</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(protecting)</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position. </w:t>
      </w:r>
      <w:r w:rsidRPr="750671CE">
        <w:rPr>
          <w:rFonts w:ascii="Times New Roman" w:eastAsia="Times New Roman" w:hAnsi="Times New Roman" w:cs="Times New Roman"/>
          <w:i/>
          <w:iCs/>
          <w:lang w:eastAsia="en-US"/>
        </w:rPr>
        <w:t xml:space="preserve"> </w:t>
      </w:r>
      <w:r w:rsidRPr="00C85B70">
        <w:rPr>
          <w:rFonts w:ascii="Times New Roman" w:eastAsia="Times New Roman" w:hAnsi="Times New Roman" w:cs="Times New Roman"/>
          <w:lang w:eastAsia="en-US"/>
        </w:rPr>
        <w:t>The plaintiff</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ployer, however,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cut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holes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safety shield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still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operate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(without 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protections</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shield). 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words,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ployer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bypassed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devices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shield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interlocking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syste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w:t>
      </w:r>
    </w:p>
    <w:p w14:paraId="018915C7" w14:textId="77777777" w:rsidR="00C85B70" w:rsidRPr="00C85B70" w:rsidRDefault="00C85B70" w:rsidP="00FE7B7F">
      <w:pPr>
        <w:ind w:right="-54"/>
        <w:rPr>
          <w:rFonts w:ascii="Times New Roman" w:eastAsia="Times New Roman" w:hAnsi="Times New Roman" w:cs="Times New Roman"/>
          <w:lang w:eastAsia="en-US"/>
        </w:rPr>
      </w:pPr>
    </w:p>
    <w:p w14:paraId="03152FEA" w14:textId="26F21139" w:rsidR="00C85B70" w:rsidRPr="00C85B70" w:rsidRDefault="00C85B70" w:rsidP="750671C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Appeals held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00CD62CC">
        <w:rPr>
          <w:rFonts w:ascii="Times New Roman" w:eastAsia="Times New Roman" w:hAnsi="Times New Roman" w:cs="Times New Roman"/>
          <w:lang w:eastAsia="en-US"/>
        </w:rPr>
        <w:t xml:space="preserve"> manufacturer of a product may not be held liable</w:t>
      </w:r>
      <w:r w:rsidRPr="00C85B70">
        <w:rPr>
          <w:rFonts w:ascii="Times New Roman" w:eastAsia="Times New Roman" w:hAnsi="Times New Roman" w:cs="Times New Roman"/>
          <w:spacing w:val="-16"/>
          <w:w w:val="99"/>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either 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str</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pr</w:t>
      </w:r>
      <w:r w:rsidRPr="00C85B70">
        <w:rPr>
          <w:rFonts w:ascii="Times New Roman" w:eastAsia="Times New Roman" w:hAnsi="Times New Roman" w:cs="Times New Roman"/>
          <w:lang w:eastAsia="en-US"/>
        </w:rPr>
        <w:t>oducts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negligence cause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 action,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 leaves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possession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control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subsequent </w:t>
      </w:r>
      <w:r w:rsidR="00CD62CC">
        <w:rPr>
          <w:rFonts w:ascii="Times New Roman" w:eastAsia="Times New Roman" w:hAnsi="Times New Roman" w:cs="Times New Roman"/>
          <w:lang w:eastAsia="en-US"/>
        </w:rPr>
        <w:t xml:space="preserve">modification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substantially</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alters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and is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the</w:t>
      </w:r>
      <w:r w:rsidR="00CD62CC">
        <w:rPr>
          <w:rFonts w:ascii="Times New Roman" w:eastAsia="Times New Roman" w:hAnsi="Times New Roman" w:cs="Times New Roman"/>
          <w:lang w:eastAsia="en-US"/>
        </w:rPr>
        <w:t xml:space="preserve"> proximate cause of plaintiff</w:t>
      </w:r>
      <w:r w:rsidR="00B05F31">
        <w:rPr>
          <w:rFonts w:ascii="Times New Roman" w:eastAsia="Times New Roman" w:hAnsi="Times New Roman" w:cs="Times New Roman"/>
          <w:lang w:eastAsia="en-US"/>
        </w:rPr>
        <w:t>’</w:t>
      </w:r>
      <w:r w:rsidR="00CD62CC">
        <w:rPr>
          <w:rFonts w:ascii="Times New Roman" w:eastAsia="Times New Roman" w:hAnsi="Times New Roman" w:cs="Times New Roman"/>
          <w:lang w:eastAsia="en-US"/>
        </w:rPr>
        <w:t>s</w:t>
      </w:r>
      <w:r w:rsidRPr="00C85B70">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9"/>
          <w:lang w:eastAsia="en-US"/>
        </w:rPr>
        <w:t xml:space="preserve">  </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spacing w:val="2"/>
          <w:lang w:eastAsia="en-US"/>
        </w:rPr>
        <w:t>Ma</w:t>
      </w:r>
      <w:r w:rsidRPr="00C85B70">
        <w:rPr>
          <w:rFonts w:ascii="Times New Roman" w:eastAsia="Times New Roman" w:hAnsi="Times New Roman" w:cs="Times New Roman"/>
          <w:lang w:eastAsia="en-US"/>
        </w:rPr>
        <w:t>terial alterations 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hands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third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party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00CD62CC">
        <w:rPr>
          <w:rFonts w:ascii="Times New Roman" w:eastAsia="Times New Roman" w:hAnsi="Times New Roman" w:cs="Times New Roman"/>
          <w:lang w:eastAsia="en-US"/>
        </w:rPr>
        <w:t xml:space="preserve"> substantial change in the condition in which the product</w:t>
      </w:r>
      <w:r w:rsidRPr="00C85B70">
        <w:rPr>
          <w:rFonts w:ascii="Times New Roman" w:eastAsia="Times New Roman" w:hAnsi="Times New Roman" w:cs="Times New Roman"/>
          <w:lang w:eastAsia="en-US"/>
        </w:rPr>
        <w:t xml:space="preserve"> was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sold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destroying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fun</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tion</w:t>
      </w:r>
      <w:r w:rsidRPr="00C85B70">
        <w:rPr>
          <w:rFonts w:ascii="Times New Roman" w:eastAsia="Times New Roman" w:hAnsi="Times New Roman" w:cs="Times New Roman"/>
          <w:lang w:eastAsia="en-US"/>
        </w:rPr>
        <w:t>al utility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key safety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feature,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however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foreseeable 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odification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2"/>
          <w:lang w:eastAsia="en-US"/>
        </w:rPr>
        <w:t>ee</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within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bit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responsibility.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vertAlign w:val="superscript"/>
          <w:lang w:eastAsia="en-US"/>
        </w:rPr>
        <w:footnoteReference w:customMarkFollows="1" w:id="33"/>
        <w:t>1</w:t>
      </w:r>
      <w:r w:rsidRPr="00C85B70">
        <w:rPr>
          <w:rFonts w:ascii="Times New Roman" w:eastAsia="Times New Roman" w:hAnsi="Times New Roman" w:cs="Times New Roman"/>
          <w:spacing w:val="-3"/>
          <w:lang w:eastAsia="en-US"/>
        </w:rPr>
        <w:t xml:space="preserve"> </w:t>
      </w:r>
    </w:p>
    <w:p w14:paraId="3298F0B6" w14:textId="2F8B8DBA" w:rsidR="00C85B70" w:rsidRPr="00C85B70" w:rsidRDefault="00C85B70" w:rsidP="750671CE">
      <w:pPr>
        <w:ind w:right="66" w:firstLine="72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 though</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never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overruled,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1"/>
          <w:lang w:eastAsia="en-US"/>
        </w:rPr>
        <w:t>no</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left undisturbed. </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750671CE">
        <w:rPr>
          <w:rFonts w:ascii="Times New Roman" w:eastAsia="Times New Roman" w:hAnsi="Times New Roman" w:cs="Times New Roman"/>
          <w:i/>
          <w:iCs/>
          <w:lang w:eastAsia="en-US"/>
        </w:rPr>
        <w:t>Cover</w:t>
      </w:r>
      <w:r w:rsidRPr="750671CE">
        <w:rPr>
          <w:rFonts w:ascii="Times New Roman" w:eastAsia="Times New Roman" w:hAnsi="Times New Roman" w:cs="Times New Roman"/>
          <w:i/>
          <w:iCs/>
          <w:spacing w:val="-15"/>
          <w:lang w:eastAsia="en-US"/>
        </w:rPr>
        <w:t xml:space="preserve"> </w:t>
      </w:r>
      <w:r w:rsidRPr="750671CE">
        <w:rPr>
          <w:rFonts w:ascii="Times New Roman" w:eastAsia="Times New Roman" w:hAnsi="Times New Roman" w:cs="Times New Roman"/>
          <w:i/>
          <w:iCs/>
          <w:w w:val="92"/>
          <w:lang w:eastAsia="en-US"/>
        </w:rPr>
        <w:t>v.</w:t>
      </w:r>
      <w:r w:rsidRPr="750671CE">
        <w:rPr>
          <w:rFonts w:ascii="Times New Roman" w:eastAsia="Times New Roman" w:hAnsi="Times New Roman" w:cs="Times New Roman"/>
          <w:i/>
          <w:iCs/>
          <w:spacing w:val="-6"/>
          <w:w w:val="92"/>
          <w:lang w:eastAsia="en-US"/>
        </w:rPr>
        <w:t xml:space="preserve"> </w:t>
      </w:r>
      <w:r w:rsidRPr="750671CE">
        <w:rPr>
          <w:rFonts w:ascii="Times New Roman" w:eastAsia="Times New Roman" w:hAnsi="Times New Roman" w:cs="Times New Roman"/>
          <w:i/>
          <w:iCs/>
          <w:lang w:eastAsia="en-US"/>
        </w:rPr>
        <w:t>Cohen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461</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N.E</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2d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864 (N.Y. 1984),</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decided four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3"/>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Appeals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not only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reaffir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d</w:t>
      </w:r>
      <w:r w:rsidRPr="00C85B70">
        <w:rPr>
          <w:rFonts w:ascii="Times New Roman" w:eastAsia="Times New Roman" w:hAnsi="Times New Roman" w:cs="Times New Roman"/>
          <w:spacing w:val="1"/>
          <w:lang w:eastAsia="en-US"/>
        </w:rPr>
        <w:t>ut</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 purchasers 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bu</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clearly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held 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part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 can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continue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even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original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sale.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 .</w:t>
      </w:r>
    </w:p>
    <w:p w14:paraId="3057435F" w14:textId="77777777" w:rsidR="00C85B70" w:rsidRPr="00C85B70" w:rsidRDefault="00C85B70" w:rsidP="00FE7B7F">
      <w:pPr>
        <w:ind w:right="65"/>
        <w:rPr>
          <w:rFonts w:ascii="Times New Roman" w:eastAsia="Times New Roman" w:hAnsi="Times New Roman" w:cs="Times New Roman"/>
          <w:lang w:eastAsia="en-US"/>
        </w:rPr>
      </w:pPr>
    </w:p>
    <w:p w14:paraId="1EC05168" w14:textId="2ED672EB" w:rsidR="00C85B70" w:rsidRPr="00C85B70" w:rsidRDefault="00C85B70" w:rsidP="750671CE">
      <w:pPr>
        <w:ind w:right="65"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Six</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3"/>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oreover,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6"/>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1"/>
          <w:lang w:eastAsia="en-US"/>
        </w:rPr>
        <w:t>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of Appeals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qualified</w:t>
      </w:r>
      <w:r w:rsidRPr="00C85B70">
        <w:rPr>
          <w:rFonts w:ascii="Times New Roman" w:eastAsia="Times New Roman" w:hAnsi="Times New Roman" w:cs="Times New Roman"/>
          <w:spacing w:val="26"/>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 xml:space="preserve"> in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another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and declined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hold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disable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devices constitute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subsequent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odifications precluding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750671CE">
        <w:rPr>
          <w:rFonts w:ascii="Times New Roman" w:eastAsia="Times New Roman" w:hAnsi="Times New Roman" w:cs="Times New Roman"/>
          <w:i/>
          <w:iCs/>
          <w:w w:val="95"/>
          <w:lang w:eastAsia="en-US"/>
        </w:rPr>
        <w:t>Lopez</w:t>
      </w:r>
      <w:r w:rsidRPr="750671CE">
        <w:rPr>
          <w:rFonts w:ascii="Times New Roman" w:eastAsia="Times New Roman" w:hAnsi="Times New Roman" w:cs="Times New Roman"/>
          <w:i/>
          <w:iCs/>
          <w:spacing w:val="-1"/>
          <w:w w:val="95"/>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16"/>
          <w:lang w:eastAsia="en-US"/>
        </w:rPr>
        <w:t xml:space="preserve"> </w:t>
      </w:r>
      <w:r w:rsidRPr="750671CE">
        <w:rPr>
          <w:rFonts w:ascii="Times New Roman" w:eastAsia="Times New Roman" w:hAnsi="Times New Roman" w:cs="Times New Roman"/>
          <w:i/>
          <w:iCs/>
          <w:lang w:eastAsia="en-US"/>
        </w:rPr>
        <w:t>Precision</w:t>
      </w:r>
      <w:r w:rsidRPr="750671CE">
        <w:rPr>
          <w:rFonts w:ascii="Times New Roman" w:eastAsia="Times New Roman" w:hAnsi="Times New Roman" w:cs="Times New Roman"/>
          <w:i/>
          <w:iCs/>
          <w:spacing w:val="11"/>
          <w:lang w:eastAsia="en-US"/>
        </w:rPr>
        <w:t xml:space="preserve"> </w:t>
      </w:r>
      <w:r w:rsidRPr="750671CE">
        <w:rPr>
          <w:rFonts w:ascii="Times New Roman" w:eastAsia="Times New Roman" w:hAnsi="Times New Roman" w:cs="Times New Roman"/>
          <w:i/>
          <w:iCs/>
          <w:w w:val="105"/>
          <w:lang w:eastAsia="en-US"/>
        </w:rPr>
        <w:t xml:space="preserve">Papers, </w:t>
      </w:r>
      <w:r w:rsidRPr="750671CE">
        <w:rPr>
          <w:rFonts w:ascii="Times New Roman" w:eastAsia="Times New Roman" w:hAnsi="Times New Roman" w:cs="Times New Roman"/>
          <w:i/>
          <w:iCs/>
          <w:lang w:eastAsia="en-US"/>
        </w:rPr>
        <w:t>Inc.</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492</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1214 (N.Y. 1986),</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held that 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disable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not necessarily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foreclose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safeguards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be easily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oved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 thereby increases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efficacy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product.</w:t>
      </w:r>
    </w:p>
    <w:p w14:paraId="52FFB79B" w14:textId="77777777" w:rsidR="00C85B70" w:rsidRPr="00C85B70" w:rsidRDefault="00C85B70" w:rsidP="00FE7B7F">
      <w:pPr>
        <w:spacing w:before="12"/>
        <w:rPr>
          <w:rFonts w:ascii="Times New Roman" w:eastAsia="Times New Roman" w:hAnsi="Times New Roman" w:cs="Times New Roman"/>
          <w:lang w:eastAsia="en-US"/>
        </w:rPr>
      </w:pPr>
    </w:p>
    <w:p w14:paraId="37339152" w14:textId="17C8E021" w:rsidR="00C85B70" w:rsidRPr="00C85B70" w:rsidRDefault="750671CE" w:rsidP="750671CE">
      <w:pPr>
        <w:ind w:left="151" w:right="-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505AD2BA" w14:textId="77777777" w:rsidR="00C85B70" w:rsidRPr="00C85B70" w:rsidRDefault="00C85B70" w:rsidP="00FE7B7F">
      <w:pPr>
        <w:spacing w:before="18"/>
        <w:rPr>
          <w:rFonts w:ascii="Times New Roman" w:eastAsia="Times New Roman" w:hAnsi="Times New Roman" w:cs="Times New Roman"/>
          <w:lang w:eastAsia="en-US"/>
        </w:rPr>
      </w:pPr>
    </w:p>
    <w:p w14:paraId="4752FE8A" w14:textId="77777777" w:rsidR="00C85B70" w:rsidRPr="00C85B70" w:rsidRDefault="00C85B70" w:rsidP="750671CE">
      <w:pPr>
        <w:ind w:left="101"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Unsettled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Issues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Law</w:t>
      </w:r>
    </w:p>
    <w:p w14:paraId="55FBCD39" w14:textId="77777777" w:rsidR="00C85B70" w:rsidRPr="00C85B70" w:rsidRDefault="00C85B70" w:rsidP="00FE7B7F">
      <w:pPr>
        <w:ind w:right="64"/>
        <w:rPr>
          <w:rFonts w:ascii="Times New Roman" w:eastAsia="Times New Roman" w:hAnsi="Times New Roman" w:cs="Times New Roman"/>
          <w:lang w:eastAsia="en-US"/>
        </w:rPr>
      </w:pPr>
    </w:p>
    <w:p w14:paraId="37FCDC6C" w14:textId="6A1885B1" w:rsidR="00C85B70" w:rsidRPr="00C85B70" w:rsidRDefault="00C85B70" w:rsidP="750671CE">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articulation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3"/>
          <w:lang w:eastAsia="en-US"/>
        </w:rPr>
        <w:t xml:space="preserve"> </w:t>
      </w:r>
      <w:r w:rsidRPr="750671CE">
        <w:rPr>
          <w:rFonts w:ascii="Times New Roman" w:eastAsia="Times New Roman" w:hAnsi="Times New Roman" w:cs="Times New Roman"/>
          <w:i/>
          <w:iCs/>
          <w:lang w:eastAsia="en-US"/>
        </w:rPr>
        <w:t>Cover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750671CE">
        <w:rPr>
          <w:rFonts w:ascii="Times New Roman" w:eastAsia="Times New Roman" w:hAnsi="Times New Roman" w:cs="Times New Roman"/>
          <w:i/>
          <w:iCs/>
          <w:lang w:eastAsia="en-US"/>
        </w:rPr>
        <w:t>Lopez</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we think,</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left</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u</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ce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tain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various</w:t>
      </w:r>
      <w:r w:rsidRPr="00C85B70">
        <w:rPr>
          <w:rFonts w:ascii="Times New Roman" w:eastAsia="Times New Roman" w:hAnsi="Times New Roman" w:cs="Times New Roman"/>
          <w:spacing w:val="11"/>
          <w:lang w:eastAsia="en-US"/>
        </w:rPr>
        <w:t xml:space="preserve"> </w:t>
      </w:r>
      <w:r w:rsidR="00605928">
        <w:rPr>
          <w:rFonts w:ascii="Times New Roman" w:eastAsia="Times New Roman" w:hAnsi="Times New Roman" w:cs="Times New Roman"/>
          <w:lang w:eastAsia="en-US"/>
        </w:rPr>
        <w:t>respects.</w:t>
      </w:r>
      <w:r w:rsidR="00DE6683">
        <w:rPr>
          <w:rFonts w:ascii="Times New Roman" w:eastAsia="Times New Roman" w:hAnsi="Times New Roman" w:cs="Times New Roman"/>
          <w:lang w:eastAsia="en-US"/>
        </w:rPr>
        <w:t xml:space="preserve"> Of particular moment to the case before us,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appears 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unclear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whether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liable for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lang w:eastAsia="en-US"/>
        </w:rPr>
        <w:t>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associated with foreseeable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and/or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pro</w:t>
      </w:r>
      <w:r w:rsidRPr="00C85B70">
        <w:rPr>
          <w:rFonts w:ascii="Times New Roman" w:eastAsia="Times New Roman" w:hAnsi="Times New Roman" w:cs="Times New Roman"/>
          <w:spacing w:val="1"/>
          <w:lang w:eastAsia="en-US"/>
        </w:rPr>
        <w:t>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 substantially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third party</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pro</w:t>
      </w:r>
      <w:r w:rsidRPr="00C85B70">
        <w:rPr>
          <w:rFonts w:ascii="Times New Roman" w:eastAsia="Times New Roman" w:hAnsi="Times New Roman" w:cs="Times New Roman"/>
          <w:spacing w:val="1"/>
          <w:lang w:eastAsia="en-US"/>
        </w:rPr>
        <w:t>du</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devices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i.e.,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 situations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would exist).</w:t>
      </w:r>
    </w:p>
    <w:p w14:paraId="7AA0F778" w14:textId="77777777" w:rsidR="00C85B70" w:rsidRPr="00C85B70" w:rsidRDefault="00C85B70" w:rsidP="00FE7B7F">
      <w:pPr>
        <w:ind w:right="65"/>
        <w:rPr>
          <w:rFonts w:ascii="Times New Roman" w:eastAsia="Times New Roman" w:hAnsi="Times New Roman" w:cs="Times New Roman"/>
          <w:lang w:eastAsia="en-US"/>
        </w:rPr>
      </w:pPr>
    </w:p>
    <w:p w14:paraId="0C42A770" w14:textId="249F02A3" w:rsidR="00C85B70" w:rsidRPr="00C85B70" w:rsidRDefault="00C85B70" w:rsidP="00F94B7E">
      <w:pPr>
        <w:ind w:right="65"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Appeals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addressed the circu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stances under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wh</w:t>
      </w:r>
      <w:r w:rsidRPr="00C85B70">
        <w:rPr>
          <w:rFonts w:ascii="Times New Roman" w:eastAsia="Times New Roman" w:hAnsi="Times New Roman" w:cs="Times New Roman"/>
          <w:lang w:eastAsia="en-US"/>
        </w:rPr>
        <w:t>ich</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 li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reasonably foreseeable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resulting</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dangerous</w:t>
      </w:r>
      <w:r w:rsidRPr="00C85B70">
        <w:rPr>
          <w:rFonts w:ascii="Times New Roman" w:eastAsia="Times New Roman" w:hAnsi="Times New Roman" w:cs="Times New Roman"/>
          <w:spacing w:val="24"/>
          <w:lang w:eastAsia="en-US"/>
        </w:rPr>
        <w:t xml:space="preserve"> </w:t>
      </w:r>
      <w:r w:rsidR="00310897">
        <w:rPr>
          <w:rFonts w:ascii="Times New Roman" w:eastAsia="Times New Roman" w:hAnsi="Times New Roman" w:cs="Times New Roman"/>
          <w:lang w:eastAsia="en-US"/>
        </w:rPr>
        <w:t xml:space="preserve">product alteration.  </w:t>
      </w:r>
      <w:r w:rsidRPr="00C85B70">
        <w:rPr>
          <w:rFonts w:ascii="Times New Roman" w:eastAsia="Times New Roman" w:hAnsi="Times New Roman" w:cs="Times New Roman"/>
          <w:spacing w:val="2"/>
          <w:lang w:eastAsia="en-US"/>
        </w:rPr>
        <w:t>W</w:t>
      </w:r>
      <w:r w:rsidR="00310897">
        <w:rPr>
          <w:rFonts w:ascii="Times New Roman" w:eastAsia="Times New Roman" w:hAnsi="Times New Roman" w:cs="Times New Roman"/>
          <w:lang w:eastAsia="en-US"/>
        </w:rPr>
        <w:t xml:space="preserve">hile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squarely</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holds</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anufacturer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liable</w:t>
      </w:r>
      <w:r w:rsidR="00DE6683">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strict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products liability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negligence</w:t>
      </w:r>
      <w:r w:rsidR="00DE6683">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claim</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for injuries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caused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 part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 alteration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or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w:t>
      </w:r>
      <w:r w:rsidRPr="00C85B70">
        <w:rPr>
          <w:rFonts w:ascii="Times New Roman" w:eastAsia="Times New Roman" w:hAnsi="Times New Roman" w:cs="Times New Roman"/>
          <w:spacing w:val="1"/>
          <w:lang w:eastAsia="en-US"/>
        </w:rPr>
        <w:t>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 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safety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1"/>
          <w:lang w:eastAsia="en-US"/>
        </w:rPr>
        <w:t xml:space="preserve"> 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q</w:t>
      </w:r>
      <w:r w:rsidRPr="00C85B70">
        <w:rPr>
          <w:rFonts w:ascii="Times New Roman" w:eastAsia="Times New Roman" w:hAnsi="Times New Roman" w:cs="Times New Roman"/>
          <w:lang w:eastAsia="en-US"/>
        </w:rPr>
        <w:t>uestion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ains whether 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who</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knew</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foreseen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 is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lia</w:t>
      </w:r>
      <w:r w:rsidRPr="00C85B70">
        <w:rPr>
          <w:rFonts w:ascii="Times New Roman" w:eastAsia="Times New Roman" w:hAnsi="Times New Roman" w:cs="Times New Roman"/>
          <w:spacing w:val="1"/>
          <w:lang w:eastAsia="en-US"/>
        </w:rPr>
        <w:t>bl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either</w:t>
      </w:r>
      <w:r w:rsidR="00DE6683">
        <w:rPr>
          <w:rFonts w:ascii="Times New Roman" w:eastAsia="Times New Roman" w:hAnsi="Times New Roman" w:cs="Times New Roman"/>
          <w:lang w:eastAsia="en-US"/>
        </w:rPr>
        <w:t xml:space="preserve"> negligence or strict products liability for failure</w:t>
      </w:r>
      <w:r w:rsidRPr="00C85B70">
        <w:rPr>
          <w:rFonts w:ascii="Times New Roman" w:eastAsia="Times New Roman" w:hAnsi="Times New Roman" w:cs="Times New Roman"/>
          <w:lang w:eastAsia="en-US"/>
        </w:rPr>
        <w:t xml:space="preserve"> to</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102"/>
          <w:lang w:eastAsia="en-US"/>
        </w:rPr>
        <w:t xml:space="preserve">warn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t</w:t>
      </w:r>
      <w:r w:rsidRPr="00C85B70">
        <w:rPr>
          <w:rFonts w:ascii="Times New Roman" w:eastAsia="Times New Roman" w:hAnsi="Times New Roman" w:cs="Times New Roman"/>
          <w:lang w:eastAsia="en-US"/>
        </w:rPr>
        <w:t>he dangers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of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isusing</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 xml:space="preserve">such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vertAlign w:val="superscript"/>
          <w:lang w:eastAsia="en-US"/>
        </w:rPr>
        <w:footnoteReference w:customMarkFollows="1" w:id="34"/>
        <w:t>6</w:t>
      </w:r>
    </w:p>
    <w:p w14:paraId="741E3C71" w14:textId="77777777" w:rsidR="00C85B70" w:rsidRPr="00C85B70" w:rsidRDefault="00C85B70" w:rsidP="00FE7B7F">
      <w:pPr>
        <w:ind w:right="-54"/>
        <w:rPr>
          <w:rFonts w:ascii="Times New Roman" w:eastAsia="Times New Roman" w:hAnsi="Times New Roman" w:cs="Times New Roman"/>
          <w:lang w:eastAsia="en-US"/>
        </w:rPr>
      </w:pPr>
    </w:p>
    <w:p w14:paraId="4701A333" w14:textId="789128FC" w:rsidR="00C85B70" w:rsidRPr="00C85B70" w:rsidRDefault="00C85B70" w:rsidP="750671C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dissent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4"/>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 xml:space="preserve"> 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plied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substantial</w:t>
      </w:r>
      <w:r w:rsidR="00DE6683">
        <w:rPr>
          <w:rFonts w:ascii="Times New Roman" w:eastAsia="Times New Roman" w:hAnsi="Times New Roman" w:cs="Times New Roman"/>
          <w:lang w:eastAsia="en-US"/>
        </w:rPr>
        <w:t xml:space="preserve"> modification defense created by the majority barred </w:t>
      </w:r>
      <w:r w:rsidRPr="00C85B70">
        <w:rPr>
          <w:rFonts w:ascii="Times New Roman" w:eastAsia="Times New Roman" w:hAnsi="Times New Roman" w:cs="Times New Roman"/>
          <w:lang w:eastAsia="en-US"/>
        </w:rPr>
        <w:t>not only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defective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but </w:t>
      </w:r>
      <w:r w:rsidRPr="00C85B70">
        <w:rPr>
          <w:rFonts w:ascii="Times New Roman" w:eastAsia="Times New Roman" w:hAnsi="Times New Roman" w:cs="Times New Roman"/>
          <w:spacing w:val="1"/>
          <w:lang w:eastAsia="en-US"/>
        </w:rPr>
        <w:t>al</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sub</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silentio,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negligent failure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warn.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 .</w:t>
      </w:r>
    </w:p>
    <w:p w14:paraId="24DEC7F3" w14:textId="77777777" w:rsidR="00C85B70" w:rsidRPr="00C85B70" w:rsidRDefault="00C85B70" w:rsidP="00FE7B7F">
      <w:pPr>
        <w:ind w:right="-51"/>
        <w:rPr>
          <w:rFonts w:ascii="Times New Roman" w:eastAsia="Times New Roman" w:hAnsi="Times New Roman" w:cs="Times New Roman"/>
          <w:lang w:eastAsia="en-US"/>
        </w:rPr>
      </w:pPr>
    </w:p>
    <w:p w14:paraId="00B20B3E" w14:textId="02837223" w:rsidR="00C85B70" w:rsidRPr="00C85B70" w:rsidRDefault="003A495A" w:rsidP="750671CE">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[A]</w:t>
      </w:r>
      <w:r w:rsidR="00C85B70" w:rsidRPr="00C85B70">
        <w:rPr>
          <w:rFonts w:ascii="Times New Roman" w:eastAsia="Times New Roman" w:hAnsi="Times New Roman" w:cs="Times New Roman"/>
          <w:lang w:eastAsia="en-US"/>
        </w:rPr>
        <w:t>t</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least</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four</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possible</w:t>
      </w:r>
      <w:r w:rsidR="00C85B70" w:rsidRPr="00C85B70">
        <w:rPr>
          <w:rFonts w:ascii="Times New Roman" w:eastAsia="Times New Roman" w:hAnsi="Times New Roman" w:cs="Times New Roman"/>
          <w:spacing w:val="-12"/>
          <w:lang w:eastAsia="en-US"/>
        </w:rPr>
        <w:t xml:space="preserve"> </w:t>
      </w:r>
      <w:r w:rsidR="00C85B70" w:rsidRPr="00C85B70">
        <w:rPr>
          <w:rFonts w:ascii="Times New Roman" w:eastAsia="Times New Roman" w:hAnsi="Times New Roman" w:cs="Times New Roman"/>
          <w:lang w:eastAsia="en-US"/>
        </w:rPr>
        <w:t>views</w:t>
      </w:r>
      <w:r w:rsidR="00C85B70" w:rsidRPr="00C85B70">
        <w:rPr>
          <w:rFonts w:ascii="Times New Roman" w:eastAsia="Times New Roman" w:hAnsi="Times New Roman" w:cs="Times New Roman"/>
          <w:spacing w:val="-10"/>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New York</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law</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present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the</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selves:</w:t>
      </w:r>
      <w:r w:rsidR="00C85B70" w:rsidRPr="00C85B70">
        <w:rPr>
          <w:rFonts w:ascii="Times New Roman" w:eastAsia="Times New Roman" w:hAnsi="Times New Roman" w:cs="Times New Roman"/>
          <w:spacing w:val="40"/>
          <w:lang w:eastAsia="en-US"/>
        </w:rPr>
        <w:t xml:space="preserve"> </w:t>
      </w:r>
      <w:r w:rsidR="00C85B70" w:rsidRPr="00C85B70">
        <w:rPr>
          <w:rFonts w:ascii="Times New Roman" w:eastAsia="Times New Roman" w:hAnsi="Times New Roman" w:cs="Times New Roman"/>
          <w:spacing w:val="2"/>
          <w:lang w:eastAsia="en-US"/>
        </w:rPr>
        <w:t>W</w:t>
      </w:r>
      <w:r w:rsidR="00C85B70" w:rsidRPr="00C85B70">
        <w:rPr>
          <w:rFonts w:ascii="Times New Roman" w:eastAsia="Times New Roman" w:hAnsi="Times New Roman" w:cs="Times New Roman"/>
          <w:lang w:eastAsia="en-US"/>
        </w:rPr>
        <w:t>henever</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a</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 xml:space="preserve">substantial </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odification has</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occurred,</w:t>
      </w:r>
      <w:r w:rsidR="00C85B70" w:rsidRPr="00C85B70">
        <w:rPr>
          <w:rFonts w:ascii="Times New Roman" w:eastAsia="Times New Roman" w:hAnsi="Times New Roman" w:cs="Times New Roman"/>
          <w:spacing w:val="3"/>
          <w:lang w:eastAsia="en-US"/>
        </w:rPr>
        <w:t xml:space="preserve"> </w:t>
      </w:r>
      <w:r w:rsidR="00C85B70" w:rsidRPr="750671CE">
        <w:rPr>
          <w:rFonts w:ascii="Times New Roman" w:eastAsia="Times New Roman" w:hAnsi="Times New Roman" w:cs="Times New Roman"/>
          <w:i/>
          <w:iCs/>
          <w:lang w:eastAsia="en-US"/>
        </w:rPr>
        <w:t>Robinson</w:t>
      </w:r>
      <w:r w:rsidR="00C85B70" w:rsidRPr="00C85B70">
        <w:rPr>
          <w:rFonts w:ascii="Times New Roman" w:eastAsia="Times New Roman" w:hAnsi="Times New Roman" w:cs="Times New Roman"/>
          <w:lang w:eastAsia="en-US"/>
        </w:rPr>
        <w:t>:</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(1)</w:t>
      </w:r>
      <w:r w:rsidR="00C85B70" w:rsidRPr="00C85B70">
        <w:rPr>
          <w:rFonts w:ascii="Times New Roman" w:eastAsia="Times New Roman" w:hAnsi="Times New Roman" w:cs="Times New Roman"/>
          <w:spacing w:val="8"/>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 both</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14"/>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17"/>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and</w:t>
      </w:r>
      <w:r w:rsidR="00C85B70" w:rsidRPr="00C85B70">
        <w:rPr>
          <w:rFonts w:ascii="Times New Roman" w:eastAsia="Times New Roman" w:hAnsi="Times New Roman" w:cs="Times New Roman"/>
          <w:spacing w:val="-15"/>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18"/>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15"/>
          <w:lang w:eastAsia="en-US"/>
        </w:rPr>
        <w:t xml:space="preserve"> </w:t>
      </w:r>
      <w:r w:rsidR="00C85B70" w:rsidRPr="00C85B70">
        <w:rPr>
          <w:rFonts w:ascii="Times New Roman" w:eastAsia="Times New Roman" w:hAnsi="Times New Roman" w:cs="Times New Roman"/>
          <w:lang w:eastAsia="en-US"/>
        </w:rPr>
        <w:t>warn</w:t>
      </w:r>
      <w:r w:rsidR="00DE6683">
        <w:rPr>
          <w:rFonts w:ascii="Times New Roman" w:eastAsia="Times New Roman" w:hAnsi="Times New Roman" w:cs="Times New Roman"/>
          <w:lang w:eastAsia="en-US"/>
        </w:rPr>
        <w:t>, regardless</w:t>
      </w:r>
      <w:r w:rsidR="00C85B70" w:rsidRPr="00C85B70">
        <w:rPr>
          <w:rFonts w:ascii="Times New Roman" w:eastAsia="Times New Roman" w:hAnsi="Times New Roman" w:cs="Times New Roman"/>
          <w:spacing w:val="-12"/>
          <w:w w:val="99"/>
          <w:lang w:eastAsia="en-US"/>
        </w:rPr>
        <w:t xml:space="preserve"> </w:t>
      </w:r>
      <w:r w:rsidR="00C85B70" w:rsidRPr="00C85B70">
        <w:rPr>
          <w:rFonts w:ascii="Times New Roman" w:eastAsia="Times New Roman" w:hAnsi="Times New Roman" w:cs="Times New Roman"/>
          <w:lang w:eastAsia="en-US"/>
        </w:rPr>
        <w:t>of whether</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negligence and/or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products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is alleged;</w:t>
      </w:r>
      <w:r w:rsidR="00C85B70" w:rsidRPr="00C85B70">
        <w:rPr>
          <w:rFonts w:ascii="Times New Roman" w:eastAsia="Times New Roman" w:hAnsi="Times New Roman" w:cs="Times New Roman"/>
          <w:spacing w:val="40"/>
          <w:lang w:eastAsia="en-US"/>
        </w:rPr>
        <w:t xml:space="preserve"> </w:t>
      </w:r>
      <w:r w:rsidR="00C85B70" w:rsidRPr="00C85B70">
        <w:rPr>
          <w:rFonts w:ascii="Times New Roman" w:eastAsia="Times New Roman" w:hAnsi="Times New Roman" w:cs="Times New Roman"/>
          <w:lang w:eastAsia="en-US"/>
        </w:rPr>
        <w:t>(2)</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all</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actions</w:t>
      </w:r>
      <w:r w:rsidR="00C85B70" w:rsidRPr="00C85B70">
        <w:rPr>
          <w:rFonts w:ascii="Times New Roman" w:eastAsia="Times New Roman" w:hAnsi="Times New Roman" w:cs="Times New Roman"/>
          <w:spacing w:val="-9"/>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whether based</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on</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7"/>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negligence, but</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does</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 xml:space="preserve">not </w:t>
      </w:r>
      <w:r w:rsidR="00C85B70" w:rsidRPr="00C85B70">
        <w:rPr>
          <w:rFonts w:ascii="Times New Roman" w:eastAsia="Times New Roman" w:hAnsi="Times New Roman" w:cs="Times New Roman"/>
          <w:spacing w:val="1"/>
          <w:lang w:eastAsia="en-US"/>
        </w:rPr>
        <w:t>f</w:t>
      </w:r>
      <w:r w:rsidR="00C85B70" w:rsidRPr="00C85B70">
        <w:rPr>
          <w:rFonts w:ascii="Times New Roman" w:eastAsia="Times New Roman" w:hAnsi="Times New Roman" w:cs="Times New Roman"/>
          <w:lang w:eastAsia="en-US"/>
        </w:rPr>
        <w:t>oreclose suits</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for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warn,</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whether</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bas</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lang w:eastAsia="en-US"/>
        </w:rPr>
        <w:t>d</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1"/>
          <w:lang w:eastAsia="en-US"/>
        </w:rPr>
        <w:t>o</w:t>
      </w:r>
      <w:r w:rsidR="00C85B70" w:rsidRPr="00C85B70">
        <w:rPr>
          <w:rFonts w:ascii="Times New Roman" w:eastAsia="Times New Roman" w:hAnsi="Times New Roman" w:cs="Times New Roman"/>
          <w:lang w:eastAsia="en-US"/>
        </w:rPr>
        <w:t>n strict</w:t>
      </w:r>
      <w:r w:rsidR="00C85B70" w:rsidRPr="00C85B70">
        <w:rPr>
          <w:rFonts w:ascii="Times New Roman" w:eastAsia="Times New Roman" w:hAnsi="Times New Roman" w:cs="Times New Roman"/>
          <w:spacing w:val="18"/>
          <w:lang w:eastAsia="en-US"/>
        </w:rPr>
        <w:t xml:space="preserve"> </w:t>
      </w:r>
      <w:r w:rsidR="00C85B70" w:rsidRPr="00C85B70">
        <w:rPr>
          <w:rFonts w:ascii="Times New Roman" w:eastAsia="Times New Roman" w:hAnsi="Times New Roman" w:cs="Times New Roman"/>
          <w:lang w:eastAsia="en-US"/>
        </w:rPr>
        <w:t>liability</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negli</w:t>
      </w:r>
      <w:r w:rsidR="00C85B70" w:rsidRPr="00C85B70">
        <w:rPr>
          <w:rFonts w:ascii="Times New Roman" w:eastAsia="Times New Roman" w:hAnsi="Times New Roman" w:cs="Times New Roman"/>
          <w:spacing w:val="1"/>
          <w:lang w:eastAsia="en-US"/>
        </w:rPr>
        <w:t>g</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spacing w:val="1"/>
          <w:lang w:eastAsia="en-US"/>
        </w:rPr>
        <w:t>n</w:t>
      </w:r>
      <w:r w:rsidR="00C85B70" w:rsidRPr="00C85B70">
        <w:rPr>
          <w:rFonts w:ascii="Times New Roman" w:eastAsia="Times New Roman" w:hAnsi="Times New Roman" w:cs="Times New Roman"/>
          <w:spacing w:val="2"/>
          <w:lang w:eastAsia="en-US"/>
        </w:rPr>
        <w:t>ce</w:t>
      </w:r>
      <w:r w:rsidR="00C85B70" w:rsidRPr="00C85B70">
        <w:rPr>
          <w:rFonts w:ascii="Times New Roman" w:eastAsia="Times New Roman" w:hAnsi="Times New Roman" w:cs="Times New Roman"/>
          <w:lang w:eastAsia="en-US"/>
        </w:rPr>
        <w:t xml:space="preserve">; </w:t>
      </w:r>
      <w:r w:rsidR="00C85B70" w:rsidRPr="00C85B70">
        <w:rPr>
          <w:rFonts w:ascii="Times New Roman" w:eastAsia="Times New Roman" w:hAnsi="Times New Roman" w:cs="Times New Roman"/>
          <w:spacing w:val="39"/>
          <w:lang w:eastAsia="en-US"/>
        </w:rPr>
        <w:t xml:space="preserve"> </w:t>
      </w:r>
      <w:r w:rsidR="00C85B70" w:rsidRPr="00C85B70">
        <w:rPr>
          <w:rFonts w:ascii="Times New Roman" w:eastAsia="Times New Roman" w:hAnsi="Times New Roman" w:cs="Times New Roman"/>
          <w:lang w:eastAsia="en-US"/>
        </w:rPr>
        <w:t>(3)</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19"/>
          <w:lang w:eastAsia="en-US"/>
        </w:rPr>
        <w:t xml:space="preserve"> </w:t>
      </w:r>
      <w:r w:rsidR="00C85B70" w:rsidRPr="00C85B70">
        <w:rPr>
          <w:rFonts w:ascii="Times New Roman" w:eastAsia="Times New Roman" w:hAnsi="Times New Roman" w:cs="Times New Roman"/>
          <w:lang w:eastAsia="en-US"/>
        </w:rPr>
        <w:t>all</w:t>
      </w:r>
      <w:r w:rsidR="00C85B70" w:rsidRPr="00C85B70">
        <w:rPr>
          <w:rFonts w:ascii="Times New Roman" w:eastAsia="Times New Roman" w:hAnsi="Times New Roman" w:cs="Times New Roman"/>
          <w:spacing w:val="20"/>
          <w:lang w:eastAsia="en-US"/>
        </w:rPr>
        <w:t xml:space="preserve"> </w:t>
      </w:r>
      <w:r w:rsidR="00C85B70" w:rsidRPr="00C85B70">
        <w:rPr>
          <w:rFonts w:ascii="Times New Roman" w:eastAsia="Times New Roman" w:hAnsi="Times New Roman" w:cs="Times New Roman"/>
          <w:lang w:eastAsia="en-US"/>
        </w:rPr>
        <w:t>actions</w:t>
      </w:r>
      <w:r w:rsidR="00C85B70" w:rsidRPr="00C85B70">
        <w:rPr>
          <w:rFonts w:ascii="Times New Roman" w:eastAsia="Times New Roman" w:hAnsi="Times New Roman" w:cs="Times New Roman"/>
          <w:spacing w:val="16"/>
          <w:lang w:eastAsia="en-US"/>
        </w:rPr>
        <w:t xml:space="preserve"> </w:t>
      </w:r>
      <w:r w:rsidR="00C85B70" w:rsidRPr="00C85B70">
        <w:rPr>
          <w:rFonts w:ascii="Times New Roman" w:eastAsia="Times New Roman" w:hAnsi="Times New Roman" w:cs="Times New Roman"/>
          <w:lang w:eastAsia="en-US"/>
        </w:rPr>
        <w:t>for design defect, and</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also</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strict</w:t>
      </w:r>
      <w:r w:rsidR="00C85B70" w:rsidRPr="00C85B70">
        <w:rPr>
          <w:rFonts w:ascii="Times New Roman" w:eastAsia="Times New Roman" w:hAnsi="Times New Roman" w:cs="Times New Roman"/>
          <w:spacing w:val="14"/>
          <w:lang w:eastAsia="en-US"/>
        </w:rPr>
        <w:t xml:space="preserve"> </w:t>
      </w:r>
      <w:r w:rsidR="00C85B70" w:rsidRPr="00C85B70">
        <w:rPr>
          <w:rFonts w:ascii="Times New Roman" w:eastAsia="Times New Roman" w:hAnsi="Times New Roman" w:cs="Times New Roman"/>
          <w:lang w:eastAsia="en-US"/>
        </w:rPr>
        <w:t>liability a</w:t>
      </w:r>
      <w:r w:rsidR="00C85B70" w:rsidRPr="00C85B70">
        <w:rPr>
          <w:rFonts w:ascii="Times New Roman" w:eastAsia="Times New Roman" w:hAnsi="Times New Roman" w:cs="Times New Roman"/>
          <w:spacing w:val="2"/>
          <w:lang w:eastAsia="en-US"/>
        </w:rPr>
        <w:t>c</w:t>
      </w:r>
      <w:r w:rsidR="00C85B70" w:rsidRPr="00C85B70">
        <w:rPr>
          <w:rFonts w:ascii="Times New Roman" w:eastAsia="Times New Roman" w:hAnsi="Times New Roman" w:cs="Times New Roman"/>
          <w:spacing w:val="1"/>
          <w:lang w:eastAsia="en-US"/>
        </w:rPr>
        <w:t>ti</w:t>
      </w:r>
      <w:r w:rsidR="00C85B70" w:rsidRPr="00C85B70">
        <w:rPr>
          <w:rFonts w:ascii="Times New Roman" w:eastAsia="Times New Roman" w:hAnsi="Times New Roman" w:cs="Times New Roman"/>
          <w:lang w:eastAsia="en-US"/>
        </w:rPr>
        <w:t>ons for failure</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to warn,</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but</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does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not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preclude</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based</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on negligent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failure to</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 xml:space="preserve">warn; </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(4)</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bars</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only</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1"/>
          <w:lang w:eastAsia="en-US"/>
        </w:rPr>
        <w:t>t</w:t>
      </w:r>
      <w:r w:rsidR="00C85B70" w:rsidRPr="00C85B70">
        <w:rPr>
          <w:rFonts w:ascii="Times New Roman" w:eastAsia="Times New Roman" w:hAnsi="Times New Roman" w:cs="Times New Roman"/>
          <w:spacing w:val="2"/>
          <w:lang w:eastAsia="en-US"/>
        </w:rPr>
        <w:t>r</w:t>
      </w:r>
      <w:r w:rsidR="00C85B70" w:rsidRPr="00C85B70">
        <w:rPr>
          <w:rFonts w:ascii="Times New Roman" w:eastAsia="Times New Roman" w:hAnsi="Times New Roman" w:cs="Times New Roman"/>
          <w:spacing w:val="1"/>
          <w:lang w:eastAsia="en-US"/>
        </w:rPr>
        <w:t>i</w:t>
      </w:r>
      <w:r w:rsidR="00C85B70" w:rsidRPr="00C85B70">
        <w:rPr>
          <w:rFonts w:ascii="Times New Roman" w:eastAsia="Times New Roman" w:hAnsi="Times New Roman" w:cs="Times New Roman"/>
          <w:spacing w:val="2"/>
          <w:lang w:eastAsia="en-US"/>
        </w:rPr>
        <w:t>c</w:t>
      </w:r>
      <w:r w:rsidR="00C85B70" w:rsidRPr="00C85B70">
        <w:rPr>
          <w:rFonts w:ascii="Times New Roman" w:eastAsia="Times New Roman" w:hAnsi="Times New Roman" w:cs="Times New Roman"/>
          <w:lang w:eastAsia="en-US"/>
        </w:rPr>
        <w:t>t</w:t>
      </w:r>
      <w:r w:rsidR="00C85B70" w:rsidRPr="00C85B70">
        <w:rPr>
          <w:rFonts w:ascii="Times New Roman" w:eastAsia="Times New Roman" w:hAnsi="Times New Roman" w:cs="Times New Roman"/>
          <w:spacing w:val="13"/>
          <w:lang w:eastAsia="en-US"/>
        </w:rPr>
        <w:t xml:space="preserve"> </w:t>
      </w:r>
      <w:r w:rsidR="00C85B70" w:rsidRPr="00C85B70">
        <w:rPr>
          <w:rFonts w:ascii="Times New Roman" w:eastAsia="Times New Roman" w:hAnsi="Times New Roman" w:cs="Times New Roman"/>
          <w:lang w:eastAsia="en-US"/>
        </w:rPr>
        <w:t>liability clai</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s</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(whether for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design</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defect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or</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failure</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to</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warn) and</w:t>
      </w:r>
      <w:r w:rsidR="00DE6683">
        <w:rPr>
          <w:rFonts w:ascii="Times New Roman" w:eastAsia="Times New Roman" w:hAnsi="Times New Roman" w:cs="Times New Roman"/>
          <w:lang w:eastAsia="en-US"/>
        </w:rPr>
        <w:t xml:space="preserve"> forecloses neither category of suit when</w:t>
      </w:r>
      <w:r w:rsidR="00C85B70" w:rsidRPr="00C85B70">
        <w:rPr>
          <w:rFonts w:ascii="Times New Roman" w:eastAsia="Times New Roman" w:hAnsi="Times New Roman" w:cs="Times New Roman"/>
          <w:spacing w:val="-19"/>
          <w:lang w:eastAsia="en-US"/>
        </w:rPr>
        <w:t xml:space="preserve"> </w:t>
      </w:r>
      <w:r w:rsidR="00C85B70" w:rsidRPr="00C85B70">
        <w:rPr>
          <w:rFonts w:ascii="Times New Roman" w:eastAsia="Times New Roman" w:hAnsi="Times New Roman" w:cs="Times New Roman"/>
          <w:lang w:eastAsia="en-US"/>
        </w:rPr>
        <w:t>negligence is</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alleged</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and</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proved.</w:t>
      </w:r>
    </w:p>
    <w:p w14:paraId="4965E95E" w14:textId="77777777" w:rsidR="00C85B70" w:rsidRPr="00C85B70" w:rsidRDefault="00C85B70" w:rsidP="00FE7B7F">
      <w:pPr>
        <w:ind w:right="63"/>
        <w:rPr>
          <w:rFonts w:ascii="Times New Roman" w:eastAsia="Times New Roman" w:hAnsi="Times New Roman" w:cs="Times New Roman"/>
          <w:lang w:eastAsia="en-US"/>
        </w:rPr>
      </w:pPr>
    </w:p>
    <w:p w14:paraId="65B69C8E" w14:textId="76586854" w:rsidR="00C85B70" w:rsidRPr="00C85B70" w:rsidRDefault="00C85B70" w:rsidP="750671CE">
      <w:pPr>
        <w:ind w:right="63"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logic</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each</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possibilities under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w w:val="98"/>
          <w:lang w:eastAsia="en-US"/>
        </w:rPr>
        <w:t>,</w:t>
      </w:r>
      <w:r w:rsidRPr="00C85B70">
        <w:rPr>
          <w:rFonts w:ascii="Times New Roman" w:eastAsia="Times New Roman" w:hAnsi="Times New Roman" w:cs="Times New Roman"/>
          <w:spacing w:val="-9"/>
          <w:w w:val="9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last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find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support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York </w:t>
      </w:r>
      <w:r w:rsidRPr="00C85B70">
        <w:rPr>
          <w:rFonts w:ascii="Times New Roman" w:eastAsia="Times New Roman" w:hAnsi="Times New Roman" w:cs="Times New Roman"/>
          <w:spacing w:val="2"/>
          <w:lang w:eastAsia="en-US"/>
        </w:rPr>
        <w:t>cas</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subsequent to</w:t>
      </w:r>
      <w:r w:rsidRPr="00C85B70">
        <w:rPr>
          <w:rFonts w:ascii="Times New Roman" w:eastAsia="Times New Roman" w:hAnsi="Times New Roman" w:cs="Times New Roman"/>
          <w:spacing w:val="7"/>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last,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w:t>
      </w:r>
      <w:r w:rsidRPr="00C85B70">
        <w:rPr>
          <w:rFonts w:ascii="Times New Roman" w:eastAsia="Times New Roman" w:hAnsi="Times New Roman" w:cs="Times New Roman"/>
          <w:spacing w:val="1"/>
          <w:lang w:eastAsia="en-US"/>
        </w:rPr>
        <w:t>hi</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h</w:t>
      </w:r>
      <w:r w:rsidR="00412AC5">
        <w:rPr>
          <w:rFonts w:ascii="Times New Roman" w:eastAsia="Times New Roman" w:hAnsi="Times New Roman" w:cs="Times New Roman"/>
          <w:lang w:eastAsia="en-US"/>
        </w:rPr>
        <w:t xml:space="preserve"> distinguishes between liability for negligence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strict products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see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negated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7"/>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yet 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perhaps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consistent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9"/>
          <w:lang w:eastAsia="en-US"/>
        </w:rPr>
        <w:t xml:space="preserve"> </w:t>
      </w:r>
      <w:r w:rsidRPr="750671CE">
        <w:rPr>
          <w:rFonts w:ascii="Times New Roman" w:eastAsia="Times New Roman" w:hAnsi="Times New Roman" w:cs="Times New Roman"/>
          <w:i/>
          <w:iCs/>
          <w:lang w:eastAsia="en-US"/>
        </w:rPr>
        <w:t>R</w:t>
      </w:r>
      <w:r w:rsidRPr="750671CE">
        <w:rPr>
          <w:rFonts w:ascii="Times New Roman" w:eastAsia="Times New Roman" w:hAnsi="Times New Roman" w:cs="Times New Roman"/>
          <w:i/>
          <w:iCs/>
          <w:spacing w:val="1"/>
          <w:lang w:eastAsia="en-US"/>
        </w:rPr>
        <w:t>o</w:t>
      </w:r>
      <w:r w:rsidRPr="750671CE">
        <w:rPr>
          <w:rFonts w:ascii="Times New Roman" w:eastAsia="Times New Roman" w:hAnsi="Times New Roman" w:cs="Times New Roman"/>
          <w:i/>
          <w:iCs/>
          <w:lang w:eastAsia="en-US"/>
        </w:rPr>
        <w:t>binson</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spacing w:val="-1"/>
          <w:lang w:eastAsia="en-US"/>
        </w:rPr>
        <w:t xml:space="preserve">s </w:t>
      </w:r>
      <w:r w:rsidRPr="00C85B70">
        <w:rPr>
          <w:rFonts w:ascii="Times New Roman" w:eastAsia="Times New Roman" w:hAnsi="Times New Roman" w:cs="Times New Roman"/>
          <w:lang w:eastAsia="en-US"/>
        </w:rPr>
        <w:t>peroration 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stated</w:t>
      </w:r>
      <w:r w:rsidRPr="00C85B70">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its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holding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cru</w:t>
      </w:r>
      <w:r w:rsidRPr="00310897">
        <w:rPr>
          <w:rFonts w:ascii="Times New Roman" w:eastAsia="Times New Roman" w:hAnsi="Times New Roman" w:cs="Times New Roman"/>
          <w:spacing w:val="2"/>
          <w:lang w:eastAsia="en-US"/>
        </w:rPr>
        <w:t>c</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l since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other</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decision</w:t>
      </w:r>
      <w:r w:rsidRPr="00310897">
        <w:rPr>
          <w:rFonts w:ascii="Times New Roman" w:eastAsia="Times New Roman" w:hAnsi="Times New Roman" w:cs="Times New Roman"/>
          <w:spacing w:val="3"/>
          <w:lang w:eastAsia="en-US"/>
        </w:rPr>
        <w:t xml:space="preserve"> </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would</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be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tanta</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ount to 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posing</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absolute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spacing w:val="1"/>
          <w:lang w:eastAsia="en-US"/>
        </w:rPr>
        <w:t>li</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bility</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on</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anufacturers for</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all product-related</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injuries.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vertAlign w:val="superscript"/>
          <w:lang w:eastAsia="en-US"/>
        </w:rPr>
        <w:footnoteReference w:customMarkFollows="1" w:id="35"/>
        <w:t>12</w:t>
      </w:r>
      <w:r w:rsidRPr="00C85B70">
        <w:rPr>
          <w:rFonts w:ascii="Times New Roman" w:eastAsia="Times New Roman" w:hAnsi="Times New Roman" w:cs="Times New Roman"/>
          <w:spacing w:val="26"/>
          <w:lang w:eastAsia="en-US"/>
        </w:rPr>
        <w:t xml:space="preserve"> </w:t>
      </w:r>
    </w:p>
    <w:p w14:paraId="54DBBA4B" w14:textId="0039D680" w:rsidR="00C85B70" w:rsidRPr="00C85B70" w:rsidRDefault="00C85B70" w:rsidP="750671CE">
      <w:pPr>
        <w:ind w:right="64"/>
        <w:rPr>
          <w:rFonts w:ascii="Times New Roman" w:eastAsia="Times New Roman" w:hAnsi="Times New Roman" w:cs="Times New Roman"/>
          <w:lang w:eastAsia="en-US"/>
        </w:rPr>
      </w:pP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welco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enlighten</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or other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possibilities,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today.</w:t>
      </w:r>
    </w:p>
    <w:p w14:paraId="0C86A38B" w14:textId="77777777" w:rsidR="00C85B70" w:rsidRPr="00C85B70" w:rsidRDefault="00C85B70" w:rsidP="00FE7B7F">
      <w:pPr>
        <w:spacing w:before="12"/>
        <w:rPr>
          <w:rFonts w:ascii="Times New Roman" w:eastAsia="Times New Roman" w:hAnsi="Times New Roman" w:cs="Times New Roman"/>
          <w:lang w:eastAsia="en-US"/>
        </w:rPr>
      </w:pPr>
    </w:p>
    <w:p w14:paraId="243CCC3C" w14:textId="77777777" w:rsidR="00C85B70" w:rsidRPr="00C85B70" w:rsidRDefault="00C85B70" w:rsidP="750671CE">
      <w:pPr>
        <w:ind w:left="50"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III.</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CERTIFICATION</w:t>
      </w:r>
    </w:p>
    <w:p w14:paraId="4B73F13D" w14:textId="77777777" w:rsidR="00C85B70" w:rsidRPr="00C85B70" w:rsidRDefault="00C85B70" w:rsidP="00FE7B7F">
      <w:pPr>
        <w:ind w:right="64"/>
        <w:rPr>
          <w:rFonts w:ascii="Times New Roman" w:eastAsia="Times New Roman" w:hAnsi="Times New Roman" w:cs="Times New Roman"/>
          <w:lang w:eastAsia="en-US"/>
        </w:rPr>
      </w:pPr>
    </w:p>
    <w:p w14:paraId="39FA8A07" w14:textId="07D56B6D" w:rsidR="00C85B70" w:rsidRPr="00310897"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Certification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p</w:t>
      </w:r>
      <w:r w:rsidRPr="00C85B70">
        <w:rPr>
          <w:rFonts w:ascii="Times New Roman" w:eastAsia="Times New Roman" w:hAnsi="Times New Roman" w:cs="Times New Roman"/>
          <w:lang w:eastAsia="en-US"/>
        </w:rPr>
        <w:t>articularly appropriate when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highest 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cast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doubt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scope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 continued validity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earlier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hol</w:t>
      </w:r>
      <w:r w:rsidRPr="00C85B70">
        <w:rPr>
          <w:rFonts w:ascii="Times New Roman" w:eastAsia="Times New Roman" w:hAnsi="Times New Roman" w:cs="Times New Roman"/>
          <w:lang w:eastAsia="en-US"/>
        </w:rPr>
        <w:t>dings, or when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inter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ediate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state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courts, but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definitive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holding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state</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highest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tribunal.</w:t>
      </w:r>
      <w:r w:rsidRPr="00C85B70">
        <w:rPr>
          <w:rFonts w:ascii="Times New Roman" w:eastAsia="Times New Roman" w:hAnsi="Times New Roman" w:cs="Times New Roman"/>
          <w:vertAlign w:val="superscript"/>
          <w:lang w:eastAsia="en-US"/>
        </w:rPr>
        <w:footnoteReference w:customMarkFollows="1" w:id="36"/>
        <w:t>14</w:t>
      </w:r>
      <w:r w:rsidR="00310897">
        <w:rPr>
          <w:rFonts w:ascii="Times New Roman" w:eastAsia="Times New Roman" w:hAnsi="Times New Roman" w:cs="Times New Roman"/>
          <w:lang w:eastAsia="en-US"/>
        </w:rPr>
        <w:t xml:space="preserve"> </w:t>
      </w:r>
      <w:r w:rsidRPr="00310897">
        <w:rPr>
          <w:rFonts w:ascii="Times New Roman" w:eastAsia="Times New Roman" w:hAnsi="Times New Roman" w:cs="Times New Roman"/>
          <w:lang w:eastAsia="en-US"/>
        </w:rPr>
        <w:t>Absent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certif</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2"/>
          <w:lang w:eastAsia="en-US"/>
        </w:rPr>
        <w:t>ca</w:t>
      </w:r>
      <w:r w:rsidRPr="00310897">
        <w:rPr>
          <w:rFonts w:ascii="Times New Roman" w:eastAsia="Times New Roman" w:hAnsi="Times New Roman" w:cs="Times New Roman"/>
          <w:lang w:eastAsia="en-US"/>
        </w:rPr>
        <w:t>tion, the</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danger</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both s</w:t>
      </w:r>
      <w:r w:rsidRPr="00310897">
        <w:rPr>
          <w:rFonts w:ascii="Times New Roman" w:eastAsia="Times New Roman" w:hAnsi="Times New Roman" w:cs="Times New Roman"/>
          <w:spacing w:val="-1"/>
          <w:lang w:eastAsia="en-US"/>
        </w:rPr>
        <w:t>itu</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
          <w:lang w:eastAsia="en-US"/>
        </w:rPr>
        <w:t>tions</w:t>
      </w:r>
      <w:r w:rsidRPr="00310897">
        <w:rPr>
          <w:rFonts w:ascii="Times New Roman" w:eastAsia="Times New Roman" w:hAnsi="Times New Roman" w:cs="Times New Roman"/>
          <w:spacing w:val="-2"/>
          <w:lang w:eastAsia="en-US"/>
        </w:rPr>
        <w:t>—</w:t>
      </w:r>
      <w:r w:rsidRPr="00310897">
        <w:rPr>
          <w:rFonts w:ascii="Times New Roman" w:eastAsia="Times New Roman" w:hAnsi="Times New Roman" w:cs="Times New Roman"/>
          <w:spacing w:val="-1"/>
          <w:lang w:eastAsia="en-US"/>
        </w:rPr>
        <w:t>a</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9"/>
          <w:lang w:eastAsia="en-US"/>
        </w:rPr>
        <w:t xml:space="preserve"> P</w:t>
      </w:r>
      <w:r w:rsidRPr="00310897">
        <w:rPr>
          <w:rFonts w:ascii="Times New Roman" w:eastAsia="Times New Roman" w:hAnsi="Times New Roman" w:cs="Times New Roman"/>
          <w:spacing w:val="-2"/>
          <w:lang w:eastAsia="en-US"/>
        </w:rPr>
        <w:t>r</w:t>
      </w:r>
      <w:r w:rsidRPr="00310897">
        <w:rPr>
          <w:rFonts w:ascii="Times New Roman" w:eastAsia="Times New Roman" w:hAnsi="Times New Roman" w:cs="Times New Roman"/>
          <w:lang w:eastAsia="en-US"/>
        </w:rPr>
        <w:t>ofessors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Corbin</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Shu</w:t>
      </w:r>
      <w:r w:rsidRPr="00310897">
        <w:rPr>
          <w:rFonts w:ascii="Times New Roman" w:eastAsia="Times New Roman" w:hAnsi="Times New Roman" w:cs="Times New Roman"/>
          <w:spacing w:val="-1"/>
          <w:lang w:eastAsia="en-US"/>
        </w:rPr>
        <w:t>l</w:t>
      </w:r>
      <w:r w:rsidRPr="00310897">
        <w:rPr>
          <w:rFonts w:ascii="Times New Roman" w:eastAsia="Times New Roman" w:hAnsi="Times New Roman" w:cs="Times New Roman"/>
          <w:spacing w:val="-4"/>
          <w:lang w:eastAsia="en-US"/>
        </w:rPr>
        <w:t>m</w:t>
      </w:r>
      <w:r w:rsidRPr="00310897">
        <w:rPr>
          <w:rFonts w:ascii="Times New Roman" w:eastAsia="Times New Roman" w:hAnsi="Times New Roman" w:cs="Times New Roman"/>
          <w:spacing w:val="-1"/>
          <w:lang w:eastAsia="en-US"/>
        </w:rPr>
        <w:t>a</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spacing w:val="-2"/>
          <w:lang w:eastAsia="en-US"/>
        </w:rPr>
        <w:t>f</w:t>
      </w:r>
      <w:r w:rsidRPr="00310897">
        <w:rPr>
          <w:rFonts w:ascii="Times New Roman" w:eastAsia="Times New Roman" w:hAnsi="Times New Roman" w:cs="Times New Roman"/>
          <w:spacing w:val="-1"/>
          <w:lang w:eastAsia="en-US"/>
        </w:rPr>
        <w:t>o</w:t>
      </w:r>
      <w:r w:rsidRPr="00310897">
        <w:rPr>
          <w:rFonts w:ascii="Times New Roman" w:eastAsia="Times New Roman" w:hAnsi="Times New Roman" w:cs="Times New Roman"/>
          <w:spacing w:val="-2"/>
          <w:lang w:eastAsia="en-US"/>
        </w:rPr>
        <w:t>r</w:t>
      </w:r>
      <w:r w:rsidRPr="00310897">
        <w:rPr>
          <w:rFonts w:ascii="Times New Roman" w:eastAsia="Times New Roman" w:hAnsi="Times New Roman" w:cs="Times New Roman"/>
          <w:spacing w:val="-1"/>
          <w:lang w:eastAsia="en-US"/>
        </w:rPr>
        <w:t>e</w:t>
      </w:r>
      <w:r w:rsidRPr="00310897">
        <w:rPr>
          <w:rFonts w:ascii="Times New Roman" w:eastAsia="Times New Roman" w:hAnsi="Times New Roman" w:cs="Times New Roman"/>
          <w:lang w:eastAsia="en-US"/>
        </w:rPr>
        <w:t>sa</w:t>
      </w:r>
      <w:r w:rsidRPr="00310897">
        <w:rPr>
          <w:rFonts w:ascii="Times New Roman" w:eastAsia="Times New Roman" w:hAnsi="Times New Roman" w:cs="Times New Roman"/>
          <w:spacing w:val="-1"/>
          <w:lang w:eastAsia="en-US"/>
        </w:rPr>
        <w:t>w</w:t>
      </w:r>
      <w:r w:rsidR="00123620">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party</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favored by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lower</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or by</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weakened high</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holding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will</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seek</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federal jurisdiction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with</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knowledge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federal</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courts, unlike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state</w:t>
      </w:r>
      <w:r w:rsidR="00B05F31">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highest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will</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feel</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virtually</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bound 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follow</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these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 . .</w:t>
      </w:r>
    </w:p>
    <w:p w14:paraId="1AC9DFF7" w14:textId="77777777" w:rsidR="00C85B70" w:rsidRPr="00C85B70" w:rsidRDefault="00C85B70" w:rsidP="00FE7B7F">
      <w:pPr>
        <w:ind w:right="64"/>
        <w:rPr>
          <w:rFonts w:ascii="Times New Roman" w:eastAsia="Times New Roman" w:hAnsi="Times New Roman" w:cs="Times New Roman"/>
          <w:lang w:eastAsia="en-US"/>
        </w:rPr>
      </w:pPr>
    </w:p>
    <w:p w14:paraId="4DA1D9FA" w14:textId="320277EE" w:rsidR="00C85B70" w:rsidRPr="00C85B70"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Accordin</w:t>
      </w:r>
      <w:r w:rsidRPr="00C85B70">
        <w:rPr>
          <w:rFonts w:ascii="Times New Roman" w:eastAsia="Times New Roman" w:hAnsi="Times New Roman" w:cs="Times New Roman"/>
          <w:spacing w:val="1"/>
          <w:lang w:eastAsia="en-US"/>
        </w:rPr>
        <w:t>gly</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certify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question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4"/>
          <w:lang w:eastAsia="en-US"/>
        </w:rPr>
        <w:t xml:space="preserve"> C</w:t>
      </w:r>
      <w:r w:rsidRPr="00C85B70">
        <w:rPr>
          <w:rFonts w:ascii="Times New Roman" w:eastAsia="Times New Roman" w:hAnsi="Times New Roman" w:cs="Times New Roman"/>
          <w:lang w:eastAsia="en-US"/>
        </w:rPr>
        <w:t>ourt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Appeals:</w:t>
      </w:r>
    </w:p>
    <w:p w14:paraId="55341E17" w14:textId="77777777" w:rsidR="00C85B70" w:rsidRPr="00C85B70" w:rsidRDefault="00C85B70" w:rsidP="00FE7B7F">
      <w:pPr>
        <w:ind w:left="300" w:right="64"/>
        <w:rPr>
          <w:rFonts w:ascii="Times New Roman" w:eastAsia="Times New Roman" w:hAnsi="Times New Roman" w:cs="Times New Roman"/>
          <w:lang w:eastAsia="en-US"/>
        </w:rPr>
      </w:pPr>
    </w:p>
    <w:p w14:paraId="4B734321" w14:textId="77777777" w:rsidR="00C85B70" w:rsidRPr="00C85B70" w:rsidRDefault="00C85B70" w:rsidP="00F94B7E">
      <w:pPr>
        <w:ind w:left="720" w:right="720"/>
        <w:jc w:val="both"/>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exist</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to 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theory 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which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substantial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defense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preclude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under 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lang w:eastAsia="en-US"/>
        </w:rPr>
        <w:t>esign defect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theory, 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such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w w:val="99"/>
          <w:lang w:eastAsia="en-US"/>
        </w:rPr>
        <w:t>liability</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w w:val="99"/>
          <w:lang w:eastAsia="en-US"/>
        </w:rPr>
        <w:t>barred</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atter</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law</w:t>
      </w:r>
      <w:r w:rsidRPr="00C85B70">
        <w:rPr>
          <w:rFonts w:ascii="Times New Roman" w:eastAsia="Times New Roman" w:hAnsi="Times New Roman" w:cs="Times New Roman"/>
          <w:spacing w:val="-17"/>
          <w:w w:val="99"/>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 facts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viewed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light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favorable 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plaintiff?</w:t>
      </w:r>
    </w:p>
    <w:p w14:paraId="1FE31C9C" w14:textId="77777777" w:rsidR="00C85B70" w:rsidRPr="00C85B70" w:rsidRDefault="00C85B70" w:rsidP="00FE7B7F">
      <w:pPr>
        <w:ind w:right="64"/>
        <w:rPr>
          <w:rFonts w:ascii="Times New Roman" w:eastAsia="Times New Roman" w:hAnsi="Times New Roman" w:cs="Times New Roman"/>
          <w:lang w:eastAsia="en-US"/>
        </w:rPr>
      </w:pPr>
    </w:p>
    <w:p w14:paraId="7BD088E8" w14:textId="2186DE1C" w:rsidR="00C85B70" w:rsidRPr="00FD3945" w:rsidRDefault="00FD3945" w:rsidP="750671CE">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 . . </w:t>
      </w:r>
      <w:r w:rsidR="00C85B70" w:rsidRPr="00C85B70">
        <w:rPr>
          <w:rFonts w:ascii="Times New Roman" w:eastAsia="Times New Roman" w:hAnsi="Times New Roman" w:cs="Times New Roman"/>
          <w:lang w:eastAsia="en-US"/>
        </w:rPr>
        <w:t>This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panel</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retains</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jurisdiction</w:t>
      </w:r>
      <w:r w:rsidR="00C85B70" w:rsidRPr="00C85B70">
        <w:rPr>
          <w:rFonts w:ascii="Times New Roman" w:eastAsia="Times New Roman" w:hAnsi="Times New Roman" w:cs="Times New Roman"/>
          <w:spacing w:val="-10"/>
          <w:lang w:eastAsia="en-US"/>
        </w:rPr>
        <w:t xml:space="preserve"> </w:t>
      </w:r>
      <w:r w:rsidR="00C85B70" w:rsidRPr="00C85B70">
        <w:rPr>
          <w:rFonts w:ascii="Times New Roman" w:eastAsia="Times New Roman" w:hAnsi="Times New Roman" w:cs="Times New Roman"/>
          <w:lang w:eastAsia="en-US"/>
        </w:rPr>
        <w:t>so</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that</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after</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we</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receive a</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lang w:eastAsia="en-US"/>
        </w:rPr>
        <w:t>response from</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the</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1"/>
          <w:lang w:eastAsia="en-US"/>
        </w:rPr>
        <w:t>N</w:t>
      </w:r>
      <w:r w:rsidR="00C85B70" w:rsidRPr="00C85B70">
        <w:rPr>
          <w:rFonts w:ascii="Times New Roman" w:eastAsia="Times New Roman" w:hAnsi="Times New Roman" w:cs="Times New Roman"/>
          <w:spacing w:val="2"/>
          <w:lang w:eastAsia="en-US"/>
        </w:rPr>
        <w:t>e</w:t>
      </w:r>
      <w:r w:rsidR="00C85B70" w:rsidRPr="00C85B70">
        <w:rPr>
          <w:rFonts w:ascii="Times New Roman" w:eastAsia="Times New Roman" w:hAnsi="Times New Roman" w:cs="Times New Roman"/>
          <w:lang w:eastAsia="en-US"/>
        </w:rPr>
        <w:t>w</w:t>
      </w:r>
      <w:r w:rsidR="00C85B70" w:rsidRPr="00C85B70">
        <w:rPr>
          <w:rFonts w:ascii="Times New Roman" w:eastAsia="Times New Roman" w:hAnsi="Times New Roman" w:cs="Times New Roman"/>
          <w:spacing w:val="6"/>
          <w:lang w:eastAsia="en-US"/>
        </w:rPr>
        <w:t xml:space="preserve"> </w:t>
      </w:r>
      <w:r w:rsidR="00C85B70" w:rsidRPr="00C85B70">
        <w:rPr>
          <w:rFonts w:ascii="Times New Roman" w:eastAsia="Times New Roman" w:hAnsi="Times New Roman" w:cs="Times New Roman"/>
          <w:spacing w:val="1"/>
          <w:lang w:eastAsia="en-US"/>
        </w:rPr>
        <w:t>Yo</w:t>
      </w:r>
      <w:r w:rsidR="00C85B70" w:rsidRPr="00C85B70">
        <w:rPr>
          <w:rFonts w:ascii="Times New Roman" w:eastAsia="Times New Roman" w:hAnsi="Times New Roman" w:cs="Times New Roman"/>
          <w:lang w:eastAsia="en-US"/>
        </w:rPr>
        <w:t>rk</w:t>
      </w:r>
      <w:r w:rsidR="00C85B70" w:rsidRPr="00C85B70">
        <w:rPr>
          <w:rFonts w:ascii="Times New Roman" w:eastAsia="Times New Roman" w:hAnsi="Times New Roman" w:cs="Times New Roman"/>
          <w:spacing w:val="3"/>
          <w:lang w:eastAsia="en-US"/>
        </w:rPr>
        <w:t xml:space="preserve"> </w:t>
      </w:r>
      <w:r w:rsidR="00C85B70" w:rsidRPr="00C85B70">
        <w:rPr>
          <w:rFonts w:ascii="Times New Roman" w:eastAsia="Times New Roman" w:hAnsi="Times New Roman" w:cs="Times New Roman"/>
          <w:lang w:eastAsia="en-US"/>
        </w:rPr>
        <w:t>Court</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 xml:space="preserve">Appeals we </w:t>
      </w:r>
      <w:r w:rsidR="00C85B70" w:rsidRPr="00C85B70">
        <w:rPr>
          <w:rFonts w:ascii="Times New Roman" w:eastAsia="Times New Roman" w:hAnsi="Times New Roman" w:cs="Times New Roman"/>
          <w:spacing w:val="-3"/>
          <w:lang w:eastAsia="en-US"/>
        </w:rPr>
        <w:t>m</w:t>
      </w:r>
      <w:r w:rsidR="00C85B70" w:rsidRPr="00C85B70">
        <w:rPr>
          <w:rFonts w:ascii="Times New Roman" w:eastAsia="Times New Roman" w:hAnsi="Times New Roman" w:cs="Times New Roman"/>
          <w:lang w:eastAsia="en-US"/>
        </w:rPr>
        <w:t>ay</w:t>
      </w:r>
      <w:r w:rsidR="00C85B70" w:rsidRPr="00C85B70">
        <w:rPr>
          <w:rFonts w:ascii="Times New Roman" w:eastAsia="Times New Roman" w:hAnsi="Times New Roman" w:cs="Times New Roman"/>
          <w:spacing w:val="4"/>
          <w:lang w:eastAsia="en-US"/>
        </w:rPr>
        <w:t xml:space="preserve"> </w:t>
      </w:r>
      <w:r w:rsidR="00C85B70" w:rsidRPr="00C85B70">
        <w:rPr>
          <w:rFonts w:ascii="Times New Roman" w:eastAsia="Times New Roman" w:hAnsi="Times New Roman" w:cs="Times New Roman"/>
          <w:lang w:eastAsia="en-US"/>
        </w:rPr>
        <w:t>dispose</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of</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various</w:t>
      </w:r>
      <w:r w:rsidR="00C85B70" w:rsidRPr="00C85B70">
        <w:rPr>
          <w:rFonts w:ascii="Times New Roman" w:eastAsia="Times New Roman" w:hAnsi="Times New Roman" w:cs="Times New Roman"/>
          <w:spacing w:val="1"/>
          <w:lang w:eastAsia="en-US"/>
        </w:rPr>
        <w:t xml:space="preserve"> </w:t>
      </w:r>
      <w:r w:rsidR="00C85B70" w:rsidRPr="00C85B70">
        <w:rPr>
          <w:rFonts w:ascii="Times New Roman" w:eastAsia="Times New Roman" w:hAnsi="Times New Roman" w:cs="Times New Roman"/>
          <w:lang w:eastAsia="en-US"/>
        </w:rPr>
        <w:t>additi</w:t>
      </w:r>
      <w:r w:rsidR="00C85B70" w:rsidRPr="00C85B70">
        <w:rPr>
          <w:rFonts w:ascii="Times New Roman" w:eastAsia="Times New Roman" w:hAnsi="Times New Roman" w:cs="Times New Roman"/>
          <w:spacing w:val="1"/>
          <w:lang w:eastAsia="en-US"/>
        </w:rPr>
        <w:t>o</w:t>
      </w:r>
      <w:r w:rsidR="00C85B70" w:rsidRPr="00C85B70">
        <w:rPr>
          <w:rFonts w:ascii="Times New Roman" w:eastAsia="Times New Roman" w:hAnsi="Times New Roman" w:cs="Times New Roman"/>
          <w:lang w:eastAsia="en-US"/>
        </w:rPr>
        <w:t>nal questions that</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spacing w:val="-3"/>
          <w:lang w:eastAsia="en-US"/>
        </w:rPr>
        <w:t>m</w:t>
      </w:r>
      <w:r w:rsidR="00C85B70" w:rsidRPr="00C85B70">
        <w:rPr>
          <w:rFonts w:ascii="Times New Roman" w:eastAsia="Times New Roman" w:hAnsi="Times New Roman" w:cs="Times New Roman"/>
          <w:lang w:eastAsia="en-US"/>
        </w:rPr>
        <w:t>ay re</w:t>
      </w:r>
      <w:r w:rsidR="00C85B70" w:rsidRPr="00C85B70">
        <w:rPr>
          <w:rFonts w:ascii="Times New Roman" w:eastAsia="Times New Roman" w:hAnsi="Times New Roman" w:cs="Times New Roman"/>
          <w:spacing w:val="-2"/>
          <w:lang w:eastAsia="en-US"/>
        </w:rPr>
        <w:t>m</w:t>
      </w:r>
      <w:r w:rsidR="00C85B70" w:rsidRPr="00C85B70">
        <w:rPr>
          <w:rFonts w:ascii="Times New Roman" w:eastAsia="Times New Roman" w:hAnsi="Times New Roman" w:cs="Times New Roman"/>
          <w:lang w:eastAsia="en-US"/>
        </w:rPr>
        <w:t>ain</w:t>
      </w:r>
      <w:r w:rsidR="00C85B70" w:rsidRPr="00C85B70">
        <w:rPr>
          <w:rFonts w:ascii="Times New Roman" w:eastAsia="Times New Roman" w:hAnsi="Times New Roman" w:cs="Times New Roman"/>
          <w:spacing w:val="-5"/>
          <w:lang w:eastAsia="en-US"/>
        </w:rPr>
        <w:t xml:space="preserve"> </w:t>
      </w:r>
      <w:r w:rsidR="00C85B70" w:rsidRPr="00C85B70">
        <w:rPr>
          <w:rFonts w:ascii="Times New Roman" w:eastAsia="Times New Roman" w:hAnsi="Times New Roman" w:cs="Times New Roman"/>
          <w:lang w:eastAsia="en-US"/>
        </w:rPr>
        <w:t>on</w:t>
      </w:r>
      <w:r w:rsidR="00C85B70" w:rsidRPr="00C85B70">
        <w:rPr>
          <w:rFonts w:ascii="Times New Roman" w:eastAsia="Times New Roman" w:hAnsi="Times New Roman" w:cs="Times New Roman"/>
          <w:spacing w:val="-2"/>
          <w:lang w:eastAsia="en-US"/>
        </w:rPr>
        <w:t xml:space="preserve"> </w:t>
      </w:r>
      <w:r w:rsidR="00C85B70" w:rsidRPr="00C85B70">
        <w:rPr>
          <w:rFonts w:ascii="Times New Roman" w:eastAsia="Times New Roman" w:hAnsi="Times New Roman" w:cs="Times New Roman"/>
          <w:lang w:eastAsia="en-US"/>
        </w:rPr>
        <w:t>appeal.</w:t>
      </w:r>
      <w:r w:rsidR="00C85B70" w:rsidRPr="750671CE">
        <w:rPr>
          <w:rFonts w:ascii="Times New Roman" w:eastAsia="Times New Roman" w:hAnsi="Times New Roman" w:cs="Times New Roman"/>
          <w:b/>
          <w:bCs/>
          <w:lang w:eastAsia="en-US"/>
        </w:rPr>
        <w:t xml:space="preserve"> </w:t>
      </w:r>
    </w:p>
    <w:p w14:paraId="372A11FB" w14:textId="77777777" w:rsidR="00C85B70" w:rsidRPr="00C85B70" w:rsidRDefault="00C85B70" w:rsidP="00FE7B7F">
      <w:pPr>
        <w:ind w:right="64"/>
        <w:rPr>
          <w:rFonts w:ascii="Times New Roman" w:eastAsia="Times New Roman" w:hAnsi="Times New Roman" w:cs="Times New Roman"/>
          <w:b/>
          <w:lang w:eastAsia="en-US"/>
        </w:rPr>
      </w:pPr>
    </w:p>
    <w:p w14:paraId="6400ABE3" w14:textId="77777777" w:rsidR="00C85B70" w:rsidRPr="00C85B70" w:rsidRDefault="00C85B70" w:rsidP="00FE7B7F">
      <w:pPr>
        <w:ind w:right="64"/>
        <w:rPr>
          <w:rFonts w:ascii="Times New Roman" w:eastAsia="Times New Roman" w:hAnsi="Times New Roman" w:cs="Times New Roman"/>
          <w:b/>
          <w:lang w:eastAsia="en-US"/>
        </w:rPr>
      </w:pPr>
    </w:p>
    <w:p w14:paraId="0CC9321C" w14:textId="7EFE36A1" w:rsidR="00C85B70" w:rsidRPr="00C85B70" w:rsidRDefault="00C85B70" w:rsidP="750671CE">
      <w:pPr>
        <w:ind w:right="64"/>
        <w:rPr>
          <w:rFonts w:ascii="Times New Roman" w:eastAsia="Times New Roman" w:hAnsi="Times New Roman" w:cs="Times New Roman"/>
          <w:b/>
          <w:bCs/>
          <w:lang w:eastAsia="en-US"/>
        </w:rPr>
      </w:pPr>
      <w:bookmarkStart w:id="1056" w:name="_Toc518323563"/>
      <w:r w:rsidRPr="00FB06BE">
        <w:rPr>
          <w:rStyle w:val="Heading4Char"/>
        </w:rPr>
        <w:t>Liriano v. Hobart Corp. (</w:t>
      </w:r>
      <w:r w:rsidR="00B05F31">
        <w:rPr>
          <w:rStyle w:val="Heading4Char"/>
        </w:rPr>
        <w:t>“</w:t>
      </w:r>
      <w:r w:rsidRPr="00FB06BE">
        <w:rPr>
          <w:rStyle w:val="Heading4Char"/>
        </w:rPr>
        <w:t>Liriano II</w:t>
      </w:r>
      <w:r w:rsidR="00B05F31">
        <w:rPr>
          <w:rStyle w:val="Heading4Char"/>
        </w:rPr>
        <w:t>”</w:t>
      </w:r>
      <w:r w:rsidRPr="00FB06BE">
        <w:rPr>
          <w:rStyle w:val="Heading4Char"/>
        </w:rPr>
        <w:t>)</w:t>
      </w:r>
      <w:bookmarkEnd w:id="1056"/>
      <w:r w:rsidR="00FB06BE"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700</w:t>
      </w:r>
      <w:r w:rsidRPr="750671CE">
        <w:rPr>
          <w:rFonts w:ascii="Times New Roman" w:eastAsia="Times New Roman" w:hAnsi="Times New Roman" w:cs="Times New Roman"/>
          <w:b/>
          <w:bCs/>
          <w:spacing w:val="-2"/>
          <w:lang w:eastAsia="en-US"/>
        </w:rPr>
        <w:t xml:space="preserve"> </w:t>
      </w:r>
      <w:r w:rsidRPr="750671CE">
        <w:rPr>
          <w:rFonts w:ascii="Times New Roman" w:eastAsia="Times New Roman" w:hAnsi="Times New Roman" w:cs="Times New Roman"/>
          <w:b/>
          <w:bCs/>
          <w:lang w:eastAsia="en-US"/>
        </w:rPr>
        <w:t>N.E.2d</w:t>
      </w:r>
      <w:r w:rsidRPr="750671CE">
        <w:rPr>
          <w:rFonts w:ascii="Times New Roman" w:eastAsia="Times New Roman" w:hAnsi="Times New Roman" w:cs="Times New Roman"/>
          <w:b/>
          <w:bCs/>
          <w:spacing w:val="17"/>
          <w:lang w:eastAsia="en-US"/>
        </w:rPr>
        <w:t xml:space="preserve"> </w:t>
      </w:r>
      <w:r w:rsidRPr="750671CE">
        <w:rPr>
          <w:rFonts w:ascii="Times New Roman" w:eastAsia="Times New Roman" w:hAnsi="Times New Roman" w:cs="Times New Roman"/>
          <w:b/>
          <w:bCs/>
          <w:lang w:eastAsia="en-US"/>
        </w:rPr>
        <w:t>303 (</w:t>
      </w:r>
      <w:r w:rsidRPr="750671CE">
        <w:rPr>
          <w:rFonts w:ascii="Times New Roman" w:eastAsia="Times New Roman" w:hAnsi="Times New Roman" w:cs="Times New Roman"/>
          <w:b/>
          <w:bCs/>
          <w:w w:val="99"/>
          <w:lang w:eastAsia="en-US"/>
        </w:rPr>
        <w:t>1998)</w:t>
      </w:r>
    </w:p>
    <w:p w14:paraId="1D940503" w14:textId="77777777" w:rsidR="00C85B70" w:rsidRPr="00C85B70" w:rsidRDefault="00C85B70" w:rsidP="00FE7B7F">
      <w:pPr>
        <w:spacing w:before="8"/>
        <w:ind w:right="1981"/>
        <w:rPr>
          <w:rFonts w:ascii="Times New Roman" w:eastAsia="Times New Roman" w:hAnsi="Times New Roman" w:cs="Times New Roman"/>
          <w:b/>
          <w:lang w:eastAsia="en-US"/>
        </w:rPr>
      </w:pPr>
    </w:p>
    <w:p w14:paraId="5290F757" w14:textId="4E03A3C6" w:rsidR="00C85B70" w:rsidRDefault="00C85B70" w:rsidP="750671CE">
      <w:pPr>
        <w:spacing w:before="8"/>
        <w:ind w:right="1981"/>
        <w:rPr>
          <w:rFonts w:ascii="Times New Roman" w:eastAsia="Times New Roman" w:hAnsi="Times New Roman" w:cs="Times New Roman"/>
          <w:lang w:eastAsia="en-US"/>
        </w:rPr>
      </w:pPr>
      <w:r w:rsidRPr="00310897">
        <w:rPr>
          <w:rFonts w:ascii="Times New Roman" w:eastAsia="Times New Roman" w:hAnsi="Times New Roman" w:cs="Times New Roman"/>
          <w:smallCaps/>
          <w:lang w:eastAsia="en-US"/>
        </w:rPr>
        <w:t>C</w:t>
      </w:r>
      <w:r w:rsidR="00310897">
        <w:rPr>
          <w:rFonts w:ascii="Times New Roman" w:eastAsia="Times New Roman" w:hAnsi="Times New Roman" w:cs="Times New Roman"/>
          <w:smallCaps/>
          <w:lang w:eastAsia="en-US"/>
        </w:rPr>
        <w:t>oparick</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J.</w:t>
      </w:r>
    </w:p>
    <w:p w14:paraId="22CF4064" w14:textId="77777777" w:rsidR="0038332A" w:rsidRPr="00C85B70" w:rsidRDefault="0038332A" w:rsidP="750671CE">
      <w:pPr>
        <w:spacing w:before="8"/>
        <w:ind w:right="1981"/>
        <w:rPr>
          <w:rFonts w:ascii="Times New Roman" w:eastAsia="Times New Roman" w:hAnsi="Times New Roman" w:cs="Times New Roman"/>
          <w:lang w:eastAsia="en-US"/>
        </w:rPr>
      </w:pPr>
    </w:p>
    <w:p w14:paraId="1E6DA7BD" w14:textId="77777777" w:rsidR="00C85B70" w:rsidRPr="00C85B70" w:rsidRDefault="00C85B70" w:rsidP="750671CE">
      <w:pPr>
        <w:spacing w:before="8"/>
        <w:ind w:right="-5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response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first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half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question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certified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by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ec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nd Circuit,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New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York</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Appeals issued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following</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decision:]</w:t>
      </w:r>
    </w:p>
    <w:p w14:paraId="6FC8BD0C" w14:textId="77777777" w:rsidR="00C85B70" w:rsidRPr="00C85B70" w:rsidRDefault="00C85B70" w:rsidP="00FE7B7F">
      <w:pPr>
        <w:spacing w:before="12"/>
        <w:rPr>
          <w:rFonts w:ascii="Times New Roman" w:eastAsia="Times New Roman" w:hAnsi="Times New Roman" w:cs="Times New Roman"/>
          <w:lang w:eastAsia="en-US"/>
        </w:rPr>
      </w:pPr>
    </w:p>
    <w:p w14:paraId="030968D4" w14:textId="7CAEC755" w:rsidR="00C85B70" w:rsidRPr="00C85B70" w:rsidRDefault="750671CE" w:rsidP="00F94B7E">
      <w:pPr>
        <w:ind w:right="-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79252B22" w14:textId="77777777" w:rsidR="00C85B70" w:rsidRPr="00C85B70" w:rsidRDefault="00C85B70" w:rsidP="00FE7B7F">
      <w:pPr>
        <w:ind w:right="64"/>
        <w:rPr>
          <w:rFonts w:ascii="Times New Roman" w:eastAsia="Times New Roman" w:hAnsi="Times New Roman" w:cs="Times New Roman"/>
          <w:lang w:eastAsia="en-US"/>
        </w:rPr>
      </w:pPr>
    </w:p>
    <w:p w14:paraId="21F4AA98" w14:textId="1C4557E6" w:rsidR="00C85B70" w:rsidRPr="00C85B70" w:rsidRDefault="00C85B70" w:rsidP="750671C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2"/>
          <w:lang w:eastAsia="en-US"/>
        </w:rPr>
        <w:t xml:space="preserve"> </w:t>
      </w:r>
      <w:r w:rsidR="00FD3945" w:rsidRPr="00310897">
        <w:rPr>
          <w:rFonts w:ascii="Times New Roman" w:eastAsia="Times New Roman" w:hAnsi="Times New Roman" w:cs="Times New Roman"/>
          <w:lang w:eastAsia="en-US"/>
        </w:rPr>
        <w:t>Court</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s ration</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le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4"/>
          <w:lang w:eastAsia="en-US"/>
        </w:rPr>
        <w:t xml:space="preserve"> </w:t>
      </w:r>
      <w:r w:rsidRPr="750671CE">
        <w:rPr>
          <w:rFonts w:ascii="Times New Roman" w:eastAsia="Times New Roman" w:hAnsi="Times New Roman" w:cs="Times New Roman"/>
          <w:i/>
          <w:iCs/>
          <w:lang w:eastAsia="en-US"/>
        </w:rPr>
        <w:t>Robinson</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ste</w:t>
      </w:r>
      <w:r w:rsidRPr="00310897">
        <w:rPr>
          <w:rFonts w:ascii="Times New Roman" w:eastAsia="Times New Roman" w:hAnsi="Times New Roman" w:cs="Times New Roman"/>
          <w:spacing w:val="-3"/>
          <w:lang w:eastAsia="en-US"/>
        </w:rPr>
        <w:t>mm</w:t>
      </w:r>
      <w:r w:rsidRPr="00310897">
        <w:rPr>
          <w:rFonts w:ascii="Times New Roman" w:eastAsia="Times New Roman" w:hAnsi="Times New Roman" w:cs="Times New Roman"/>
          <w:lang w:eastAsia="en-US"/>
        </w:rPr>
        <w:t>ed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from the recog</w:t>
      </w:r>
      <w:r w:rsidRPr="00310897">
        <w:rPr>
          <w:rFonts w:ascii="Times New Roman" w:eastAsia="Times New Roman" w:hAnsi="Times New Roman" w:cs="Times New Roman"/>
          <w:spacing w:val="1"/>
          <w:lang w:eastAsia="en-US"/>
        </w:rPr>
        <w:t>nitio</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7"/>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24"/>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lang w:eastAsia="en-US"/>
        </w:rPr>
        <w:t>responsible</w:t>
      </w:r>
      <w:r w:rsidRPr="00310897">
        <w:rPr>
          <w:rFonts w:ascii="Times New Roman" w:eastAsia="Times New Roman" w:hAnsi="Times New Roman" w:cs="Times New Roman"/>
          <w:spacing w:val="26"/>
          <w:lang w:eastAsia="en-US"/>
        </w:rPr>
        <w:t xml:space="preserve"> </w:t>
      </w:r>
      <w:r w:rsidRPr="00310897">
        <w:rPr>
          <w:rFonts w:ascii="Times New Roman" w:eastAsia="Times New Roman" w:hAnsi="Times New Roman" w:cs="Times New Roman"/>
          <w:lang w:eastAsia="en-US"/>
        </w:rPr>
        <w:t>for</w:t>
      </w:r>
      <w:r w:rsidRPr="00310897">
        <w:rPr>
          <w:rFonts w:ascii="Times New Roman" w:eastAsia="Times New Roman" w:hAnsi="Times New Roman" w:cs="Times New Roman"/>
          <w:spacing w:val="33"/>
          <w:lang w:eastAsia="en-US"/>
        </w:rPr>
        <w:t xml:space="preserve"> </w:t>
      </w:r>
      <w:r w:rsidRPr="00310897">
        <w:rPr>
          <w:rFonts w:ascii="Times New Roman" w:eastAsia="Times New Roman" w:hAnsi="Times New Roman" w:cs="Times New Roman"/>
          <w:lang w:eastAsia="en-US"/>
        </w:rPr>
        <w:t xml:space="preserve">a </w:t>
      </w:r>
      <w:r w:rsidR="00B05F31">
        <w:rPr>
          <w:rFonts w:ascii="Times New Roman" w:eastAsia="Times New Roman" w:hAnsi="Times New Roman" w:cs="Times New Roman"/>
          <w:spacing w:val="3"/>
          <w:lang w:eastAsia="en-US"/>
        </w:rPr>
        <w:t>“</w:t>
      </w:r>
      <w:r w:rsidRPr="00310897">
        <w:rPr>
          <w:rFonts w:ascii="Times New Roman" w:eastAsia="Times New Roman" w:hAnsi="Times New Roman" w:cs="Times New Roman"/>
          <w:spacing w:val="3"/>
          <w:lang w:eastAsia="en-US"/>
        </w:rPr>
        <w:t>purpose</w:t>
      </w:r>
      <w:r w:rsidRPr="00310897">
        <w:rPr>
          <w:rFonts w:ascii="Times New Roman" w:eastAsia="Times New Roman" w:hAnsi="Times New Roman" w:cs="Times New Roman"/>
          <w:spacing w:val="2"/>
          <w:lang w:eastAsia="en-US"/>
        </w:rPr>
        <w:t>fu</w:t>
      </w:r>
      <w:r w:rsidRPr="00310897">
        <w:rPr>
          <w:rFonts w:ascii="Times New Roman" w:eastAsia="Times New Roman" w:hAnsi="Times New Roman" w:cs="Times New Roman"/>
          <w:lang w:eastAsia="en-US"/>
        </w:rPr>
        <w:t xml:space="preserve">l </w:t>
      </w:r>
      <w:r w:rsidRPr="00310897">
        <w:rPr>
          <w:rFonts w:ascii="Times New Roman" w:eastAsia="Times New Roman" w:hAnsi="Times New Roman" w:cs="Times New Roman"/>
          <w:spacing w:val="2"/>
          <w:lang w:eastAsia="en-US"/>
        </w:rPr>
        <w:t>d</w:t>
      </w:r>
      <w:r w:rsidRPr="00310897">
        <w:rPr>
          <w:rFonts w:ascii="Times New Roman" w:eastAsia="Times New Roman" w:hAnsi="Times New Roman" w:cs="Times New Roman"/>
          <w:spacing w:val="3"/>
          <w:lang w:eastAsia="en-US"/>
        </w:rPr>
        <w:t>es</w:t>
      </w:r>
      <w:r w:rsidRPr="00310897">
        <w:rPr>
          <w:rFonts w:ascii="Times New Roman" w:eastAsia="Times New Roman" w:hAnsi="Times New Roman" w:cs="Times New Roman"/>
          <w:spacing w:val="2"/>
          <w:lang w:eastAsia="en-US"/>
        </w:rPr>
        <w:t>ig</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3"/>
          <w:lang w:eastAsia="en-US"/>
        </w:rPr>
        <w:t>c</w:t>
      </w:r>
      <w:r w:rsidRPr="00310897">
        <w:rPr>
          <w:rFonts w:ascii="Times New Roman" w:eastAsia="Times New Roman" w:hAnsi="Times New Roman" w:cs="Times New Roman"/>
          <w:spacing w:val="2"/>
          <w:lang w:eastAsia="en-US"/>
        </w:rPr>
        <w:t>ho</w:t>
      </w:r>
      <w:r w:rsidRPr="00310897">
        <w:rPr>
          <w:rFonts w:ascii="Times New Roman" w:eastAsia="Times New Roman" w:hAnsi="Times New Roman" w:cs="Times New Roman"/>
          <w:spacing w:val="4"/>
          <w:lang w:eastAsia="en-US"/>
        </w:rPr>
        <w:t>i</w:t>
      </w:r>
      <w:r w:rsidRPr="00310897">
        <w:rPr>
          <w:rFonts w:ascii="Times New Roman" w:eastAsia="Times New Roman" w:hAnsi="Times New Roman" w:cs="Times New Roman"/>
          <w:spacing w:val="3"/>
          <w:lang w:eastAsia="en-US"/>
        </w:rPr>
        <w:t>ce</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3"/>
          <w:lang w:eastAsia="en-US"/>
        </w:rPr>
        <w:t>tha</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spacing w:val="3"/>
          <w:lang w:eastAsia="en-US"/>
        </w:rPr>
        <w:t>present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spacing w:val="4"/>
          <w:lang w:eastAsia="en-US"/>
        </w:rPr>
        <w:t>a</w:t>
      </w:r>
      <w:r w:rsidRPr="00310897">
        <w:rPr>
          <w:rFonts w:ascii="Times New Roman" w:eastAsia="Times New Roman" w:hAnsi="Times New Roman" w:cs="Times New Roman"/>
          <w:lang w:eastAsia="en-US"/>
        </w:rPr>
        <w:t>n unreasonable</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danger</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user</w:t>
      </w:r>
      <w:r w:rsidR="00310897">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This responsibility</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derives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superior position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anticipate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w w:val="99"/>
          <w:lang w:eastAsia="en-US"/>
        </w:rPr>
        <w:t>reasonable</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uses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and 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obligation 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design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ful when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used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00310897">
        <w:rPr>
          <w:rFonts w:ascii="Times New Roman" w:eastAsia="Times New Roman" w:hAnsi="Times New Roman" w:cs="Times New Roman"/>
          <w:lang w:eastAsia="en-US"/>
        </w:rPr>
        <w:t xml:space="preserve">anner. </w:t>
      </w:r>
      <w:r w:rsidRPr="00C85B70">
        <w:rPr>
          <w:rFonts w:ascii="Times New Roman" w:eastAsia="Times New Roman" w:hAnsi="Times New Roman" w:cs="Times New Roman"/>
          <w:lang w:eastAsia="en-US"/>
        </w:rPr>
        <w:t>Howe</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 open-ended, 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easured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leaves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pre</w:t>
      </w:r>
      <w:r w:rsidRPr="00C85B70">
        <w:rPr>
          <w:rFonts w:ascii="Times New Roman" w:eastAsia="Times New Roman" w:hAnsi="Times New Roman" w:cs="Times New Roman"/>
          <w:spacing w:val="-2"/>
          <w:lang w:eastAsia="en-US"/>
        </w:rPr>
        <w:t>m</w:t>
      </w:r>
      <w:r w:rsidR="00310897">
        <w:rPr>
          <w:rFonts w:ascii="Times New Roman" w:eastAsia="Times New Roman" w:hAnsi="Times New Roman" w:cs="Times New Roman"/>
          <w:lang w:eastAsia="en-US"/>
        </w:rPr>
        <w:t xml:space="preserve">ises.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hu</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required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insure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subsequent owners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users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adapt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prod</w:t>
      </w:r>
      <w:r w:rsidRPr="00C85B70">
        <w:rPr>
          <w:rFonts w:ascii="Times New Roman" w:eastAsia="Times New Roman" w:hAnsi="Times New Roman" w:cs="Times New Roman"/>
          <w:lang w:eastAsia="en-US"/>
        </w:rPr>
        <w:t>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their own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unique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uses. 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kind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obligation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uch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too broad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effectively 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spacing w:val="1"/>
          <w:lang w:eastAsia="en-US"/>
        </w:rPr>
        <w:t>p</w:t>
      </w:r>
      <w:r w:rsidRPr="00C85B70">
        <w:rPr>
          <w:rFonts w:ascii="Times New Roman" w:eastAsia="Times New Roman" w:hAnsi="Times New Roman" w:cs="Times New Roman"/>
          <w:lang w:eastAsia="en-US"/>
        </w:rPr>
        <w:t>roduct-related</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injuries.</w:t>
      </w:r>
    </w:p>
    <w:p w14:paraId="42414AC8" w14:textId="77777777" w:rsidR="00C85B70" w:rsidRPr="00C85B70" w:rsidRDefault="00C85B70" w:rsidP="00FE7B7F">
      <w:pPr>
        <w:ind w:right="64"/>
        <w:rPr>
          <w:rFonts w:ascii="Times New Roman" w:eastAsia="Times New Roman" w:hAnsi="Times New Roman" w:cs="Times New Roman"/>
          <w:lang w:eastAsia="en-US"/>
        </w:rPr>
      </w:pPr>
    </w:p>
    <w:p w14:paraId="5DDEB205" w14:textId="4F974B73" w:rsidR="00C85B70" w:rsidRPr="00C85B70" w:rsidRDefault="00C85B70" w:rsidP="750671C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spacing w:val="2"/>
          <w:lang w:eastAsia="en-US"/>
        </w:rPr>
        <w:t>W</w:t>
      </w:r>
      <w:r w:rsidRPr="00310897">
        <w:rPr>
          <w:rFonts w:ascii="Times New Roman" w:eastAsia="Times New Roman" w:hAnsi="Times New Roman" w:cs="Times New Roman"/>
          <w:lang w:eastAsia="en-US"/>
        </w:rPr>
        <w:t>hile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stated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principles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foreseeability are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inapplicable where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there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has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 xml:space="preserve">substantial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discussion</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 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lang w:eastAsia="en-US"/>
        </w:rPr>
        <w:t>responsibility</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for</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defective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design where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there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had</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substantial alteration</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a product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by</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third</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part</w:t>
      </w:r>
      <w:r w:rsidR="00310897">
        <w:rPr>
          <w:rFonts w:ascii="Times New Roman" w:eastAsia="Times New Roman" w:hAnsi="Times New Roman" w:cs="Times New Roman"/>
          <w:lang w:eastAsia="en-US"/>
        </w:rPr>
        <w:t xml:space="preserve">y. </w:t>
      </w:r>
      <w:r w:rsidRPr="00310897">
        <w:rPr>
          <w:rFonts w:ascii="Times New Roman" w:eastAsia="Times New Roman" w:hAnsi="Times New Roman" w:cs="Times New Roman"/>
          <w:lang w:eastAsia="en-US"/>
        </w:rPr>
        <w:t>Thus,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stated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 xml:space="preserve">a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310897">
        <w:rPr>
          <w:rFonts w:ascii="Times New Roman" w:eastAsia="Times New Roman" w:hAnsi="Times New Roman" w:cs="Times New Roman"/>
          <w:lang w:eastAsia="en-US"/>
        </w:rPr>
        <w:t>s duty</w:t>
      </w:r>
      <w:r w:rsidRPr="00310897">
        <w:rPr>
          <w:rFonts w:ascii="Times New Roman" w:eastAsia="Times New Roman" w:hAnsi="Times New Roman" w:cs="Times New Roman"/>
          <w:spacing w:val="8"/>
          <w:lang w:eastAsia="en-US"/>
        </w:rPr>
        <w:t xml:space="preserve"> </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does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extend</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designing</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 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possible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abuse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one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whose</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safety features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ay</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be</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circu</w:t>
      </w:r>
      <w:r w:rsidRPr="00310897">
        <w:rPr>
          <w:rFonts w:ascii="Times New Roman" w:eastAsia="Times New Roman" w:hAnsi="Times New Roman" w:cs="Times New Roman"/>
          <w:spacing w:val="-2"/>
          <w:lang w:eastAsia="en-US"/>
        </w:rPr>
        <w:t>m</w:t>
      </w:r>
      <w:r w:rsidR="00FD3945" w:rsidRPr="00310897">
        <w:rPr>
          <w:rFonts w:ascii="Times New Roman" w:eastAsia="Times New Roman" w:hAnsi="Times New Roman" w:cs="Times New Roman"/>
          <w:lang w:eastAsia="en-US"/>
        </w:rPr>
        <w:t>vented</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 xml:space="preserve"> and</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 xml:space="preserve">the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need</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trace</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its</w:t>
      </w:r>
      <w:r w:rsidRPr="00C85B70">
        <w:rPr>
          <w:rFonts w:ascii="Times New Roman" w:eastAsia="Times New Roman" w:hAnsi="Times New Roman" w:cs="Times New Roman"/>
          <w:spacing w:val="-9"/>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through</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every link</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chain</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distribution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insure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users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will not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adapt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suit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their</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own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unique</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purposes.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vertAlign w:val="superscript"/>
          <w:lang w:eastAsia="en-US"/>
        </w:rPr>
        <w:footnoteReference w:customMarkFollows="1" w:id="37"/>
        <w:t>1</w:t>
      </w:r>
    </w:p>
    <w:p w14:paraId="43606214" w14:textId="77777777" w:rsidR="00C85B70" w:rsidRPr="00C85B70" w:rsidRDefault="00C85B70" w:rsidP="00FE7B7F">
      <w:pPr>
        <w:ind w:right="-52"/>
        <w:rPr>
          <w:rFonts w:ascii="Times New Roman" w:eastAsia="Times New Roman" w:hAnsi="Times New Roman" w:cs="Times New Roman"/>
          <w:lang w:eastAsia="en-US"/>
        </w:rPr>
      </w:pPr>
    </w:p>
    <w:p w14:paraId="639F6132" w14:textId="6166AD66" w:rsidR="00C85B70" w:rsidRPr="00310897" w:rsidRDefault="00C85B70" w:rsidP="750671CE">
      <w:pPr>
        <w:ind w:right="-52"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amici</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argue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rationale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lang w:eastAsia="en-US"/>
        </w:rPr>
        <w:t xml:space="preserve"> 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equally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applicable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failure-to-warn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 substantial</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occurs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 application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failure-to-warn doctrine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these circu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stances would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ine</w:t>
      </w:r>
      <w:r w:rsidRPr="00C85B70">
        <w:rPr>
          <w:rFonts w:ascii="Times New Roman" w:eastAsia="Times New Roman" w:hAnsi="Times New Roman" w:cs="Times New Roman"/>
          <w:spacing w:val="5"/>
          <w:lang w:eastAsia="en-US"/>
        </w:rPr>
        <w:t xml:space="preserve"> </w:t>
      </w:r>
      <w:r w:rsidRPr="750671CE">
        <w:rPr>
          <w:rFonts w:ascii="Times New Roman" w:eastAsia="Times New Roman" w:hAnsi="Times New Roman" w:cs="Times New Roman"/>
          <w:i/>
          <w:iCs/>
          <w:lang w:eastAsia="en-US"/>
        </w:rPr>
        <w:t>Robinson</w:t>
      </w:r>
      <w:r w:rsidR="00B05F31">
        <w:rPr>
          <w:rFonts w:ascii="Times New Roman" w:eastAsia="Times New Roman" w:hAnsi="Times New Roman" w:cs="Times New Roman"/>
          <w:spacing w:val="2"/>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policy justification</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destroy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 xml:space="preserve">purpose. </w:t>
      </w:r>
      <w:r w:rsidRPr="00310897">
        <w:rPr>
          <w:rFonts w:ascii="Times New Roman" w:eastAsia="Times New Roman" w:hAnsi="Times New Roman" w:cs="Times New Roman"/>
          <w:lang w:eastAsia="en-US"/>
        </w:rPr>
        <w:t>This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Court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not persuaded 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existence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substa</w:t>
      </w:r>
      <w:r w:rsidRPr="00310897">
        <w:rPr>
          <w:rFonts w:ascii="Times New Roman" w:eastAsia="Times New Roman" w:hAnsi="Times New Roman" w:cs="Times New Roman"/>
          <w:spacing w:val="1"/>
          <w:lang w:eastAsia="en-US"/>
        </w:rPr>
        <w:t>nt</w:t>
      </w:r>
      <w:r w:rsidRPr="00310897">
        <w:rPr>
          <w:rFonts w:ascii="Times New Roman" w:eastAsia="Times New Roman" w:hAnsi="Times New Roman" w:cs="Times New Roman"/>
          <w:lang w:eastAsia="en-US"/>
        </w:rPr>
        <w:t xml:space="preserve">ial </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odification</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defense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precludes,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all</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cases,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failure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to warn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clai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w:t>
      </w:r>
    </w:p>
    <w:p w14:paraId="7460A363" w14:textId="77777777" w:rsidR="00C85B70" w:rsidRPr="00C85B70" w:rsidRDefault="00C85B70" w:rsidP="00DA3C3C">
      <w:pPr>
        <w:ind w:right="-54"/>
        <w:jc w:val="center"/>
        <w:rPr>
          <w:rFonts w:ascii="Times New Roman" w:eastAsia="Times New Roman" w:hAnsi="Times New Roman" w:cs="Times New Roman"/>
          <w:lang w:eastAsia="en-US"/>
        </w:rPr>
      </w:pPr>
    </w:p>
    <w:p w14:paraId="3A690035" w14:textId="5D66CDBE" w:rsidR="00C85B70" w:rsidRPr="00C85B70" w:rsidRDefault="00C85B70" w:rsidP="750671CE">
      <w:pPr>
        <w:ind w:right="-5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factors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ili</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spacing w:val="1"/>
          <w:lang w:eastAsia="en-US"/>
        </w:rPr>
        <w:t>tin</w:t>
      </w:r>
      <w:r w:rsidRPr="00310897">
        <w:rPr>
          <w:rFonts w:ascii="Times New Roman" w:eastAsia="Times New Roman" w:hAnsi="Times New Roman" w:cs="Times New Roman"/>
          <w:lang w:eastAsia="en-US"/>
        </w:rPr>
        <w:t>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posing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 xml:space="preserve">to </w:t>
      </w:r>
      <w:r w:rsidRPr="00310897">
        <w:rPr>
          <w:rFonts w:ascii="Times New Roman" w:eastAsia="Times New Roman" w:hAnsi="Times New Roman" w:cs="Times New Roman"/>
          <w:spacing w:val="5"/>
          <w:lang w:eastAsia="en-US"/>
        </w:rPr>
        <w:t>des</w:t>
      </w:r>
      <w:r w:rsidRPr="00310897">
        <w:rPr>
          <w:rFonts w:ascii="Times New Roman" w:eastAsia="Times New Roman" w:hAnsi="Times New Roman" w:cs="Times New Roman"/>
          <w:spacing w:val="3"/>
          <w:lang w:eastAsia="en-US"/>
        </w:rPr>
        <w:t>i</w:t>
      </w:r>
      <w:r w:rsidRPr="00310897">
        <w:rPr>
          <w:rFonts w:ascii="Times New Roman" w:eastAsia="Times New Roman" w:hAnsi="Times New Roman" w:cs="Times New Roman"/>
          <w:spacing w:val="4"/>
          <w:lang w:eastAsia="en-US"/>
        </w:rPr>
        <w:t>g</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5"/>
          <w:lang w:eastAsia="en-US"/>
        </w:rPr>
        <w:t>agains</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spacing w:val="5"/>
          <w:lang w:eastAsia="en-US"/>
        </w:rPr>
        <w:t>foreseeabl</w:t>
      </w:r>
      <w:r w:rsidRPr="00310897">
        <w:rPr>
          <w:rFonts w:ascii="Times New Roman" w:eastAsia="Times New Roman" w:hAnsi="Times New Roman" w:cs="Times New Roman"/>
          <w:lang w:eastAsia="en-US"/>
        </w:rPr>
        <w:t xml:space="preserve">e </w:t>
      </w:r>
      <w:r w:rsidRPr="00310897">
        <w:rPr>
          <w:rFonts w:ascii="Times New Roman" w:eastAsia="Times New Roman" w:hAnsi="Times New Roman" w:cs="Times New Roman"/>
          <w:spacing w:val="5"/>
          <w:lang w:eastAsia="en-US"/>
        </w:rPr>
        <w:t>post-sal</w:t>
      </w:r>
      <w:r w:rsidRPr="00310897">
        <w:rPr>
          <w:rFonts w:ascii="Times New Roman" w:eastAsia="Times New Roman" w:hAnsi="Times New Roman" w:cs="Times New Roman"/>
          <w:lang w:eastAsia="en-US"/>
        </w:rPr>
        <w:t>e</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spacing w:val="5"/>
          <w:lang w:eastAsia="en-US"/>
        </w:rPr>
        <w:t xml:space="preserve">product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either</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present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less</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cogent</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with respect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 xml:space="preserve">aking </w:t>
      </w:r>
      <w:r w:rsidRPr="00310897">
        <w:rPr>
          <w:rFonts w:ascii="Times New Roman" w:eastAsia="Times New Roman" w:hAnsi="Times New Roman" w:cs="Times New Roman"/>
          <w:spacing w:val="2"/>
          <w:lang w:eastAsia="en-US"/>
        </w:rPr>
        <w:t>s</w:t>
      </w:r>
      <w:r w:rsidRPr="00310897">
        <w:rPr>
          <w:rFonts w:ascii="Times New Roman" w:eastAsia="Times New Roman" w:hAnsi="Times New Roman" w:cs="Times New Roman"/>
          <w:spacing w:val="1"/>
          <w:lang w:eastAsia="en-US"/>
        </w:rPr>
        <w:t>u</w:t>
      </w:r>
      <w:r w:rsidRPr="00310897">
        <w:rPr>
          <w:rFonts w:ascii="Times New Roman" w:eastAsia="Times New Roman" w:hAnsi="Times New Roman" w:cs="Times New Roman"/>
          <w:lang w:eastAsia="en-US"/>
        </w:rPr>
        <w:t xml:space="preserve">ch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1"/>
          <w:lang w:eastAsia="en-US"/>
        </w:rPr>
        <w:t>o</w:t>
      </w:r>
      <w:r w:rsidR="00310897">
        <w:rPr>
          <w:rFonts w:ascii="Times New Roman" w:eastAsia="Times New Roman" w:hAnsi="Times New Roman" w:cs="Times New Roman"/>
          <w:lang w:eastAsia="en-US"/>
        </w:rPr>
        <w:t xml:space="preserve">difications.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existence of</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w:t>
      </w:r>
      <w:r w:rsidRPr="00310897">
        <w:rPr>
          <w:rFonts w:ascii="Times New Roman" w:eastAsia="Times New Roman" w:hAnsi="Times New Roman" w:cs="Times New Roman"/>
          <w:spacing w:val="2"/>
          <w:lang w:eastAsia="en-US"/>
        </w:rPr>
        <w:t>e</w:t>
      </w:r>
      <w:r w:rsidRPr="00310897">
        <w:rPr>
          <w:rFonts w:ascii="Times New Roman" w:eastAsia="Times New Roman" w:hAnsi="Times New Roman" w:cs="Times New Roman"/>
          <w:lang w:eastAsia="en-US"/>
        </w:rPr>
        <w:t>f</w:t>
      </w:r>
      <w:r w:rsidRPr="00310897">
        <w:rPr>
          <w:rFonts w:ascii="Times New Roman" w:eastAsia="Times New Roman" w:hAnsi="Times New Roman" w:cs="Times New Roman"/>
          <w:spacing w:val="2"/>
          <w:lang w:eastAsia="en-US"/>
        </w:rPr>
        <w:t>ec</w:t>
      </w:r>
      <w:r w:rsidRPr="00310897">
        <w:rPr>
          <w:rFonts w:ascii="Times New Roman" w:eastAsia="Times New Roman" w:hAnsi="Times New Roman" w:cs="Times New Roman"/>
          <w:lang w:eastAsia="en-US"/>
        </w:rPr>
        <w:t>t involves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risk/utility analysis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req</w:t>
      </w:r>
      <w:r w:rsidRPr="00310897">
        <w:rPr>
          <w:rFonts w:ascii="Times New Roman" w:eastAsia="Times New Roman" w:hAnsi="Times New Roman" w:cs="Times New Roman"/>
          <w:spacing w:val="1"/>
          <w:lang w:eastAsia="en-US"/>
        </w:rPr>
        <w:t>uir</w:t>
      </w:r>
      <w:r w:rsidRPr="00310897">
        <w:rPr>
          <w:rFonts w:ascii="Times New Roman" w:eastAsia="Times New Roman" w:hAnsi="Times New Roman" w:cs="Times New Roman"/>
          <w:lang w:eastAsia="en-US"/>
        </w:rPr>
        <w:t>es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an assess</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ent</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whether</w:t>
      </w:r>
      <w:r w:rsidRPr="00310897">
        <w:rPr>
          <w:rFonts w:ascii="Times New Roman" w:eastAsia="Times New Roman" w:hAnsi="Times New Roman" w:cs="Times New Roman"/>
          <w:spacing w:val="-18"/>
          <w:lang w:eastAsia="en-US"/>
        </w:rPr>
        <w:t xml:space="preserve"> </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if</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defect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were</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known at</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ti</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lang w:eastAsia="en-US"/>
        </w:rPr>
        <w:t>e</w:t>
      </w:r>
      <w:r w:rsidRPr="00310897">
        <w:rPr>
          <w:rFonts w:ascii="Times New Roman" w:eastAsia="Times New Roman" w:hAnsi="Times New Roman" w:cs="Times New Roman"/>
          <w:spacing w:val="2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reasonable</w:t>
      </w:r>
      <w:r w:rsidRPr="00310897">
        <w:rPr>
          <w:rFonts w:ascii="Times New Roman" w:eastAsia="Times New Roman" w:hAnsi="Times New Roman" w:cs="Times New Roman"/>
          <w:spacing w:val="23"/>
          <w:lang w:eastAsia="en-US"/>
        </w:rPr>
        <w:t xml:space="preserve"> </w:t>
      </w:r>
      <w:r w:rsidRPr="00310897">
        <w:rPr>
          <w:rFonts w:ascii="Times New Roman" w:eastAsia="Times New Roman" w:hAnsi="Times New Roman" w:cs="Times New Roman"/>
          <w:lang w:eastAsia="en-US"/>
        </w:rPr>
        <w:t>person would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w:t>
      </w:r>
      <w:r w:rsidRPr="00310897">
        <w:rPr>
          <w:rFonts w:ascii="Times New Roman" w:eastAsia="Times New Roman" w:hAnsi="Times New Roman" w:cs="Times New Roman"/>
          <w:spacing w:val="1"/>
          <w:lang w:eastAsia="en-US"/>
        </w:rPr>
        <w:t>on</w:t>
      </w:r>
      <w:r w:rsidRPr="00310897">
        <w:rPr>
          <w:rFonts w:ascii="Times New Roman" w:eastAsia="Times New Roman" w:hAnsi="Times New Roman" w:cs="Times New Roman"/>
          <w:spacing w:val="2"/>
          <w:lang w:eastAsia="en-US"/>
        </w:rPr>
        <w:t>c</w:t>
      </w:r>
      <w:r w:rsidRPr="00310897">
        <w:rPr>
          <w:rFonts w:ascii="Times New Roman" w:eastAsia="Times New Roman" w:hAnsi="Times New Roman" w:cs="Times New Roman"/>
          <w:spacing w:val="1"/>
          <w:lang w:eastAsia="en-US"/>
        </w:rPr>
        <w:t>lud</w:t>
      </w:r>
      <w:r w:rsidRPr="00310897">
        <w:rPr>
          <w:rFonts w:ascii="Times New Roman" w:eastAsia="Times New Roman" w:hAnsi="Times New Roman" w:cs="Times New Roman"/>
          <w:lang w:eastAsia="en-US"/>
        </w:rPr>
        <w:t>e that</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utility</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product did</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not outweigh</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risk</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inherent</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rketing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product designed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that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anner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4"/>
          <w:lang w:eastAsia="en-US"/>
        </w:rPr>
        <w:t>(</w:t>
      </w:r>
      <w:r w:rsidR="00964326">
        <w:rPr>
          <w:rFonts w:ascii="Times New Roman" w:eastAsia="Times New Roman" w:hAnsi="Times New Roman" w:cs="Times New Roman"/>
          <w:i/>
          <w:iCs/>
          <w:spacing w:val="-17"/>
          <w:lang w:eastAsia="en-US"/>
        </w:rPr>
        <w:t xml:space="preserve">Voss v. Black &amp; </w:t>
      </w:r>
      <w:r w:rsidRPr="750671CE">
        <w:rPr>
          <w:rFonts w:ascii="Times New Roman" w:eastAsia="Times New Roman" w:hAnsi="Times New Roman" w:cs="Times New Roman"/>
          <w:i/>
          <w:iCs/>
          <w:lang w:eastAsia="en-US"/>
        </w:rPr>
        <w:t>Decker</w:t>
      </w:r>
      <w:r w:rsidRPr="750671CE">
        <w:rPr>
          <w:rFonts w:ascii="Times New Roman" w:eastAsia="Times New Roman" w:hAnsi="Times New Roman" w:cs="Times New Roman"/>
          <w:i/>
          <w:iCs/>
          <w:spacing w:val="-17"/>
          <w:lang w:eastAsia="en-US"/>
        </w:rPr>
        <w:t xml:space="preserve"> </w:t>
      </w:r>
      <w:r w:rsidRPr="750671CE">
        <w:rPr>
          <w:rFonts w:ascii="Times New Roman" w:eastAsia="Times New Roman" w:hAnsi="Times New Roman" w:cs="Times New Roman"/>
          <w:i/>
          <w:iCs/>
          <w:lang w:eastAsia="en-US"/>
        </w:rPr>
        <w:t>Mfg. Co</w:t>
      </w:r>
      <w:r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i/>
          <w:iCs/>
          <w:spacing w:val="14"/>
          <w:lang w:eastAsia="en-US"/>
        </w:rPr>
        <w:t xml:space="preserve"> </w:t>
      </w:r>
      <w:r w:rsidRPr="750671CE">
        <w:rPr>
          <w:rFonts w:ascii="Times New Roman" w:eastAsia="Times New Roman" w:hAnsi="Times New Roman" w:cs="Times New Roman"/>
          <w:i/>
          <w:iCs/>
          <w:lang w:eastAsia="en-US"/>
        </w:rPr>
        <w:t>also</w:t>
      </w:r>
      <w:r w:rsidRPr="750671CE">
        <w:rPr>
          <w:rFonts w:ascii="Times New Roman" w:eastAsia="Times New Roman" w:hAnsi="Times New Roman" w:cs="Times New Roman"/>
          <w:i/>
          <w:iCs/>
          <w:spacing w:val="24"/>
          <w:lang w:eastAsia="en-US"/>
        </w:rPr>
        <w:t xml:space="preserve"> </w:t>
      </w:r>
      <w:r w:rsidRPr="750671CE">
        <w:rPr>
          <w:rFonts w:ascii="Times New Roman" w:eastAsia="Times New Roman" w:hAnsi="Times New Roman" w:cs="Times New Roman"/>
          <w:i/>
          <w:iCs/>
          <w:lang w:eastAsia="en-US"/>
        </w:rPr>
        <w:t>Denny</w:t>
      </w:r>
      <w:r w:rsidRPr="750671CE">
        <w:rPr>
          <w:rFonts w:ascii="Times New Roman" w:eastAsia="Times New Roman" w:hAnsi="Times New Roman" w:cs="Times New Roman"/>
          <w:i/>
          <w:iCs/>
          <w:spacing w:val="1"/>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5"/>
          <w:lang w:eastAsia="en-US"/>
        </w:rPr>
        <w:t xml:space="preserve"> </w:t>
      </w:r>
      <w:r w:rsidRPr="750671CE">
        <w:rPr>
          <w:rFonts w:ascii="Times New Roman" w:eastAsia="Times New Roman" w:hAnsi="Times New Roman" w:cs="Times New Roman"/>
          <w:i/>
          <w:iCs/>
          <w:lang w:eastAsia="en-US"/>
        </w:rPr>
        <w:t>Ford</w:t>
      </w:r>
      <w:r w:rsidRPr="750671CE">
        <w:rPr>
          <w:rFonts w:ascii="Times New Roman" w:eastAsia="Times New Roman" w:hAnsi="Times New Roman" w:cs="Times New Roman"/>
          <w:i/>
          <w:iCs/>
          <w:spacing w:val="36"/>
          <w:lang w:eastAsia="en-US"/>
        </w:rPr>
        <w:t xml:space="preserve"> </w:t>
      </w:r>
      <w:r w:rsidRPr="750671CE">
        <w:rPr>
          <w:rFonts w:ascii="Times New Roman" w:eastAsia="Times New Roman" w:hAnsi="Times New Roman" w:cs="Times New Roman"/>
          <w:i/>
          <w:iCs/>
          <w:lang w:eastAsia="en-US"/>
        </w:rPr>
        <w:t>Motor</w:t>
      </w:r>
      <w:r w:rsidRPr="750671CE">
        <w:rPr>
          <w:rFonts w:ascii="Times New Roman" w:eastAsia="Times New Roman" w:hAnsi="Times New Roman" w:cs="Times New Roman"/>
          <w:i/>
          <w:iCs/>
          <w:spacing w:val="12"/>
          <w:lang w:eastAsia="en-US"/>
        </w:rPr>
        <w:t xml:space="preserve"> </w:t>
      </w:r>
      <w:r w:rsidRPr="750671CE">
        <w:rPr>
          <w:rFonts w:ascii="Times New Roman" w:eastAsia="Times New Roman" w:hAnsi="Times New Roman" w:cs="Times New Roman"/>
          <w:i/>
          <w:iCs/>
          <w:lang w:eastAsia="en-US"/>
        </w:rPr>
        <w:t>Co</w:t>
      </w:r>
      <w:r w:rsidR="00FD3945">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Such</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analysis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unreasonably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plicated, 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possible 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easure,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 factor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 design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equation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all foreseeable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post-</w:t>
      </w:r>
      <w:r w:rsidRPr="00C85B70">
        <w:rPr>
          <w:rFonts w:ascii="Times New Roman" w:eastAsia="Times New Roman" w:hAnsi="Times New Roman" w:cs="Times New Roman"/>
          <w:spacing w:val="2"/>
          <w:lang w:eastAsia="en-US"/>
        </w:rPr>
        <w:t>sa</w:t>
      </w:r>
      <w:r w:rsidRPr="00C85B70">
        <w:rPr>
          <w:rFonts w:ascii="Times New Roman" w:eastAsia="Times New Roman" w:hAnsi="Times New Roman" w:cs="Times New Roman"/>
          <w:lang w:eastAsia="en-US"/>
        </w:rPr>
        <w:t>le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00310897">
        <w:rPr>
          <w:rFonts w:ascii="Times New Roman" w:eastAsia="Times New Roman" w:hAnsi="Times New Roman" w:cs="Times New Roman"/>
          <w:lang w:eastAsia="en-US"/>
        </w:rPr>
        <w:t xml:space="preserve">odifications.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 duty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incapable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 assess</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effectiv</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y result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position 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absolute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li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bi</w:t>
      </w:r>
      <w:r w:rsidRPr="00C85B70">
        <w:rPr>
          <w:rFonts w:ascii="Times New Roman" w:eastAsia="Times New Roman" w:hAnsi="Times New Roman" w:cs="Times New Roman"/>
          <w:lang w:eastAsia="en-US"/>
        </w:rPr>
        <w:t>lity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on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product-r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lated injuries</w:t>
      </w:r>
      <w:r w:rsidR="00377786">
        <w:rPr>
          <w:rFonts w:ascii="Times New Roman" w:eastAsia="Times New Roman" w:hAnsi="Times New Roman" w:cs="Times New Roman"/>
          <w:lang w:eastAsia="en-US"/>
        </w:rPr>
        <w:t>.</w:t>
      </w:r>
      <w:r w:rsidRPr="00C85B70">
        <w:rPr>
          <w:rFonts w:ascii="Times New Roman" w:eastAsia="Times New Roman" w:hAnsi="Times New Roman" w:cs="Times New Roman"/>
          <w:spacing w:val="6"/>
          <w:lang w:eastAsia="en-US"/>
        </w:rPr>
        <w:t xml:space="preserve"> </w:t>
      </w:r>
      <w:r w:rsidR="00377786">
        <w:rPr>
          <w:rFonts w:ascii="Times New Roman" w:eastAsia="Times New Roman" w:hAnsi="Times New Roman" w:cs="Times New Roman"/>
          <w:i/>
          <w:iCs/>
          <w:lang w:eastAsia="en-US"/>
        </w:rPr>
        <w:t>S</w:t>
      </w:r>
      <w:r w:rsidRPr="750671CE">
        <w:rPr>
          <w:rFonts w:ascii="Times New Roman" w:eastAsia="Times New Roman" w:hAnsi="Times New Roman" w:cs="Times New Roman"/>
          <w:i/>
          <w:iCs/>
          <w:lang w:eastAsia="en-US"/>
        </w:rPr>
        <w:t xml:space="preserve">ee, </w:t>
      </w:r>
      <w:r w:rsidRPr="750671CE">
        <w:rPr>
          <w:rFonts w:ascii="Times New Roman" w:eastAsia="Times New Roman" w:hAnsi="Times New Roman" w:cs="Times New Roman"/>
          <w:i/>
          <w:iCs/>
          <w:w w:val="95"/>
          <w:lang w:eastAsia="en-US"/>
        </w:rPr>
        <w:t>Robinson</w:t>
      </w:r>
      <w:r w:rsidRPr="750671CE">
        <w:rPr>
          <w:rFonts w:ascii="Times New Roman" w:eastAsia="Times New Roman" w:hAnsi="Times New Roman" w:cs="Times New Roman"/>
          <w:i/>
          <w:iCs/>
          <w:spacing w:val="14"/>
          <w:w w:val="95"/>
          <w:lang w:eastAsia="en-US"/>
        </w:rPr>
        <w:t xml:space="preserve"> </w:t>
      </w:r>
      <w:r w:rsidRPr="750671CE">
        <w:rPr>
          <w:rFonts w:ascii="Times New Roman" w:eastAsia="Times New Roman" w:hAnsi="Times New Roman" w:cs="Times New Roman"/>
          <w:i/>
          <w:iCs/>
          <w:w w:val="95"/>
          <w:lang w:eastAsia="en-US"/>
        </w:rPr>
        <w:t>v.</w:t>
      </w:r>
      <w:r w:rsidRPr="750671CE">
        <w:rPr>
          <w:rFonts w:ascii="Times New Roman" w:eastAsia="Times New Roman" w:hAnsi="Times New Roman" w:cs="Times New Roman"/>
          <w:i/>
          <w:iCs/>
          <w:spacing w:val="-12"/>
          <w:w w:val="95"/>
          <w:lang w:eastAsia="en-US"/>
        </w:rPr>
        <w:t xml:space="preserve"> </w:t>
      </w:r>
      <w:r w:rsidRPr="750671CE">
        <w:rPr>
          <w:rFonts w:ascii="Times New Roman" w:eastAsia="Times New Roman" w:hAnsi="Times New Roman" w:cs="Times New Roman"/>
          <w:i/>
          <w:iCs/>
          <w:lang w:eastAsia="en-US"/>
        </w:rPr>
        <w:t>Reed-Prentice</w:t>
      </w:r>
      <w:r w:rsidRPr="750671CE">
        <w:rPr>
          <w:rFonts w:ascii="Times New Roman" w:eastAsia="Times New Roman" w:hAnsi="Times New Roman" w:cs="Times New Roman"/>
          <w:i/>
          <w:iCs/>
          <w:spacing w:val="-10"/>
          <w:lang w:eastAsia="en-US"/>
        </w:rPr>
        <w:t xml:space="preserve"> </w:t>
      </w:r>
      <w:r w:rsidRPr="750671CE">
        <w:rPr>
          <w:rFonts w:ascii="Times New Roman" w:eastAsia="Times New Roman" w:hAnsi="Times New Roman" w:cs="Times New Roman"/>
          <w:i/>
          <w:iCs/>
          <w:w w:val="94"/>
          <w:lang w:eastAsia="en-US"/>
        </w:rPr>
        <w:t>Div.</w:t>
      </w:r>
      <w:r w:rsidRPr="750671CE">
        <w:rPr>
          <w:rFonts w:ascii="Times New Roman" w:eastAsia="Times New Roman" w:hAnsi="Times New Roman" w:cs="Times New Roman"/>
          <w:i/>
          <w:iCs/>
          <w:spacing w:val="-1"/>
          <w:w w:val="94"/>
          <w:lang w:eastAsia="en-US"/>
        </w:rPr>
        <w:t xml:space="preserve"> </w:t>
      </w:r>
      <w:r w:rsidRPr="750671CE">
        <w:rPr>
          <w:rFonts w:ascii="Times New Roman" w:eastAsia="Times New Roman" w:hAnsi="Times New Roman" w:cs="Times New Roman"/>
          <w:i/>
          <w:iCs/>
          <w:w w:val="94"/>
          <w:lang w:eastAsia="en-US"/>
        </w:rPr>
        <w:t>of</w:t>
      </w:r>
      <w:r w:rsidRPr="750671CE">
        <w:rPr>
          <w:rFonts w:ascii="Times New Roman" w:eastAsia="Times New Roman" w:hAnsi="Times New Roman" w:cs="Times New Roman"/>
          <w:i/>
          <w:iCs/>
          <w:spacing w:val="-10"/>
          <w:w w:val="94"/>
          <w:lang w:eastAsia="en-US"/>
        </w:rPr>
        <w:t xml:space="preserve"> </w:t>
      </w:r>
      <w:r w:rsidRPr="750671CE">
        <w:rPr>
          <w:rFonts w:ascii="Times New Roman" w:eastAsia="Times New Roman" w:hAnsi="Times New Roman" w:cs="Times New Roman"/>
          <w:i/>
          <w:iCs/>
          <w:lang w:eastAsia="en-US"/>
        </w:rPr>
        <w:t>Package</w:t>
      </w:r>
      <w:r w:rsidRPr="750671CE">
        <w:rPr>
          <w:rFonts w:ascii="Times New Roman" w:eastAsia="Times New Roman" w:hAnsi="Times New Roman" w:cs="Times New Roman"/>
          <w:i/>
          <w:iCs/>
          <w:spacing w:val="9"/>
          <w:lang w:eastAsia="en-US"/>
        </w:rPr>
        <w:t xml:space="preserve"> </w:t>
      </w:r>
      <w:r w:rsidRPr="750671CE">
        <w:rPr>
          <w:rFonts w:ascii="Times New Roman" w:eastAsia="Times New Roman" w:hAnsi="Times New Roman" w:cs="Times New Roman"/>
          <w:i/>
          <w:iCs/>
          <w:lang w:eastAsia="en-US"/>
        </w:rPr>
        <w:t>Mach.</w:t>
      </w:r>
      <w:r w:rsidRPr="750671CE">
        <w:rPr>
          <w:rFonts w:ascii="Times New Roman" w:eastAsia="Times New Roman" w:hAnsi="Times New Roman" w:cs="Times New Roman"/>
          <w:i/>
          <w:iCs/>
          <w:spacing w:val="-16"/>
          <w:lang w:eastAsia="en-US"/>
        </w:rPr>
        <w:t xml:space="preserve"> </w:t>
      </w:r>
      <w:r w:rsidRPr="750671CE">
        <w:rPr>
          <w:rFonts w:ascii="Times New Roman" w:eastAsia="Times New Roman" w:hAnsi="Times New Roman" w:cs="Times New Roman"/>
          <w:i/>
          <w:iCs/>
          <w:lang w:eastAsia="en-US"/>
        </w:rPr>
        <w:t>Co.</w:t>
      </w:r>
      <w:r w:rsidR="00377786">
        <w:rPr>
          <w:rFonts w:ascii="Times New Roman" w:eastAsia="Times New Roman" w:hAnsi="Times New Roman" w:cs="Times New Roman"/>
          <w:iCs/>
          <w:lang w:eastAsia="en-US"/>
        </w:rPr>
        <w:t>, 286 F.2d 478 (9</w:t>
      </w:r>
      <w:r w:rsidR="00377786" w:rsidRPr="00377786">
        <w:rPr>
          <w:rFonts w:ascii="Times New Roman" w:eastAsia="Times New Roman" w:hAnsi="Times New Roman" w:cs="Times New Roman"/>
          <w:iCs/>
          <w:lang w:eastAsia="en-US"/>
        </w:rPr>
        <w:t xml:space="preserve">th </w:t>
      </w:r>
      <w:r w:rsidR="00377786">
        <w:rPr>
          <w:rFonts w:ascii="Times New Roman" w:eastAsia="Times New Roman" w:hAnsi="Times New Roman" w:cs="Times New Roman"/>
          <w:iCs/>
          <w:lang w:eastAsia="en-US"/>
        </w:rPr>
        <w:t>Cir. 1961)</w:t>
      </w:r>
      <w:r w:rsidR="00310897">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drawn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policy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line against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eventuality.</w:t>
      </w:r>
    </w:p>
    <w:p w14:paraId="6939B2D0" w14:textId="77777777" w:rsidR="00C85B70" w:rsidRPr="00C85B70" w:rsidRDefault="00C85B70" w:rsidP="00FE7B7F">
      <w:pPr>
        <w:ind w:right="64"/>
        <w:rPr>
          <w:rFonts w:ascii="Times New Roman" w:eastAsia="Times New Roman" w:hAnsi="Times New Roman" w:cs="Times New Roman"/>
          <w:lang w:eastAsia="en-US"/>
        </w:rPr>
      </w:pPr>
    </w:p>
    <w:p w14:paraId="658DD34A" w14:textId="37A4574D" w:rsidR="00C85B70" w:rsidRPr="00C85B70" w:rsidRDefault="00C85B70" w:rsidP="750671CE">
      <w:pPr>
        <w:ind w:right="64"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These</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concerns</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strongly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spacing w:val="-1"/>
          <w:lang w:eastAsia="en-US"/>
        </w:rPr>
        <w:t>m</w:t>
      </w:r>
      <w:r w:rsidRPr="00310897">
        <w:rPr>
          <w:rFonts w:ascii="Times New Roman" w:eastAsia="Times New Roman" w:hAnsi="Times New Roman" w:cs="Times New Roman"/>
          <w:spacing w:val="1"/>
          <w:lang w:eastAsia="en-US"/>
        </w:rPr>
        <w:t>pl</w:t>
      </w:r>
      <w:r w:rsidRPr="00310897">
        <w:rPr>
          <w:rFonts w:ascii="Times New Roman" w:eastAsia="Times New Roman" w:hAnsi="Times New Roman" w:cs="Times New Roman"/>
          <w:lang w:eastAsia="en-US"/>
        </w:rPr>
        <w:t>icated in</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the context</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warn. Unlike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design</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decisions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that involve</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lang w:eastAsia="en-US"/>
        </w:rPr>
        <w:t>he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consideration of</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interdependent factors,</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inquiry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duty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case</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uch</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ore 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focusing</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principally</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on</w:t>
      </w:r>
      <w:r w:rsidRPr="00310897">
        <w:rPr>
          <w:rFonts w:ascii="Times New Roman" w:eastAsia="Times New Roman" w:hAnsi="Times New Roman" w:cs="Times New Roman"/>
          <w:spacing w:val="-20"/>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foreseeability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 risk</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adequacy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effectiveness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any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warning. The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burden</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placing</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warning on</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product is</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less costly</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than</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designing</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perfectly</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safe,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ta</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 xml:space="preserve">per-resistant product.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although</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vir</w:t>
      </w:r>
      <w:r w:rsidRPr="00C85B70">
        <w:rPr>
          <w:rFonts w:ascii="Times New Roman" w:eastAsia="Times New Roman" w:hAnsi="Times New Roman" w:cs="Times New Roman"/>
          <w:spacing w:val="1"/>
          <w:lang w:eastAsia="en-US"/>
        </w:rPr>
        <w:t>tu</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ll</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possible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 design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1"/>
          <w:lang w:eastAsia="en-US"/>
        </w:rPr>
        <w:t>prod</w:t>
      </w:r>
      <w:r w:rsidRPr="00C85B70">
        <w:rPr>
          <w:rFonts w:ascii="Times New Roman" w:eastAsia="Times New Roman" w:hAnsi="Times New Roman" w:cs="Times New Roman"/>
          <w:lang w:eastAsia="en-US"/>
        </w:rPr>
        <w:t>uct 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forestall all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future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risk-enhancing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difications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could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occur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sale,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is neither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infeasible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nor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onerous,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 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seeable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odifications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pose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injury.</w:t>
      </w:r>
    </w:p>
    <w:p w14:paraId="0CEFB625" w14:textId="77777777" w:rsidR="00C85B70" w:rsidRPr="00C85B70" w:rsidRDefault="00C85B70" w:rsidP="00FE7B7F">
      <w:pPr>
        <w:ind w:right="64"/>
        <w:rPr>
          <w:rFonts w:ascii="Times New Roman" w:eastAsia="Times New Roman" w:hAnsi="Times New Roman" w:cs="Times New Roman"/>
          <w:lang w:eastAsia="en-US"/>
        </w:rPr>
      </w:pPr>
    </w:p>
    <w:p w14:paraId="632B715F" w14:textId="77777777" w:rsidR="00C85B70" w:rsidRPr="00C85B70"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thi</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held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 xml:space="preserve">anufacturer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liable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failing</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of foreseeable</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product. No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aterial</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distinction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between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2"/>
          <w:lang w:eastAsia="en-US"/>
        </w:rPr>
        <w:t>esee</w:t>
      </w:r>
      <w:r w:rsidRPr="00C85B70">
        <w:rPr>
          <w:rFonts w:ascii="Times New Roman" w:eastAsia="Times New Roman" w:hAnsi="Times New Roman" w:cs="Times New Roman"/>
          <w:lang w:eastAsia="en-US"/>
        </w:rPr>
        <w:t xml:space="preserve">able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isuse and</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foreseeable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alteration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evident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this context.</w:t>
      </w:r>
      <w:r w:rsidRPr="00C85B70">
        <w:rPr>
          <w:rFonts w:ascii="Times New Roman" w:eastAsia="Times New Roman" w:hAnsi="Times New Roman" w:cs="Times New Roman"/>
          <w:spacing w:val="-19"/>
          <w:vertAlign w:val="superscript"/>
          <w:lang w:eastAsia="en-US"/>
        </w:rPr>
        <w:footnoteReference w:customMarkFollows="1" w:id="38"/>
        <w:t>2</w:t>
      </w:r>
      <w:r w:rsidRPr="00C85B70">
        <w:rPr>
          <w:rFonts w:ascii="Times New Roman" w:eastAsia="Times New Roman" w:hAnsi="Times New Roman" w:cs="Times New Roman"/>
          <w:lang w:eastAsia="en-US"/>
        </w:rPr>
        <w:t xml:space="preserve">  </w:t>
      </w:r>
    </w:p>
    <w:p w14:paraId="14A931BD" w14:textId="77777777" w:rsidR="00C85B70" w:rsidRPr="00C85B70" w:rsidRDefault="00C85B70" w:rsidP="00FE7B7F">
      <w:pPr>
        <w:ind w:right="64"/>
        <w:rPr>
          <w:rFonts w:ascii="Times New Roman" w:eastAsia="Times New Roman" w:hAnsi="Times New Roman" w:cs="Times New Roman"/>
          <w:lang w:eastAsia="en-US"/>
        </w:rPr>
      </w:pPr>
    </w:p>
    <w:p w14:paraId="39E5EC8A" w14:textId="4BEFD6F4" w:rsidR="00C85B70" w:rsidRPr="00C85B70"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gnized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 xml:space="preserve">certain </w:t>
      </w:r>
      <w:r w:rsidRPr="00C85B70">
        <w:rPr>
          <w:rFonts w:ascii="Times New Roman" w:eastAsia="Times New Roman" w:hAnsi="Times New Roman" w:cs="Times New Roman"/>
          <w:w w:val="99"/>
          <w:lang w:eastAsia="en-US"/>
        </w:rPr>
        <w:t>circu</w:t>
      </w:r>
      <w:r w:rsidRPr="00C85B70">
        <w:rPr>
          <w:rFonts w:ascii="Times New Roman" w:eastAsia="Times New Roman" w:hAnsi="Times New Roman" w:cs="Times New Roman"/>
          <w:spacing w:val="-2"/>
          <w:w w:val="99"/>
          <w:lang w:eastAsia="en-US"/>
        </w:rPr>
        <w:t>m</w:t>
      </w:r>
      <w:r w:rsidRPr="00C85B70">
        <w:rPr>
          <w:rFonts w:ascii="Times New Roman" w:eastAsia="Times New Roman" w:hAnsi="Times New Roman" w:cs="Times New Roman"/>
          <w:w w:val="99"/>
          <w:lang w:eastAsia="en-US"/>
        </w:rPr>
        <w:t>stances,</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anufacturer</w:t>
      </w:r>
      <w:r w:rsidRPr="00C85B70">
        <w:rPr>
          <w:rFonts w:ascii="Times New Roman" w:eastAsia="Times New Roman" w:hAnsi="Times New Roman" w:cs="Times New Roman"/>
          <w:spacing w:val="-15"/>
          <w:w w:val="9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warn 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associ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with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even after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sold. Such</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will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generally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arise where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defect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 revealed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 user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 xml:space="preserve">operation </w:t>
      </w:r>
      <w:r w:rsidRPr="00C85B70">
        <w:rPr>
          <w:rFonts w:ascii="Times New Roman" w:eastAsia="Times New Roman" w:hAnsi="Times New Roman" w:cs="Times New Roman"/>
          <w:spacing w:val="1"/>
          <w:lang w:eastAsia="en-US"/>
        </w:rPr>
        <w:t>a</w:t>
      </w:r>
      <w:r w:rsidRPr="00C85B70">
        <w:rPr>
          <w:rFonts w:ascii="Times New Roman" w:eastAsia="Times New Roman" w:hAnsi="Times New Roman" w:cs="Times New Roman"/>
          <w:lang w:eastAsia="en-US"/>
        </w:rPr>
        <w:t>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brough</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a</w:t>
      </w:r>
      <w:r w:rsidRPr="00C85B70">
        <w:rPr>
          <w:rFonts w:ascii="Times New Roman" w:eastAsia="Times New Roman" w:hAnsi="Times New Roman" w:cs="Times New Roman"/>
          <w:lang w:eastAsia="en-US"/>
        </w:rPr>
        <w:t>ttention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w:t>
      </w:r>
      <w:r w:rsidRPr="00C85B70">
        <w:rPr>
          <w:rFonts w:ascii="Times New Roman" w:eastAsia="Times New Roman" w:hAnsi="Times New Roman" w:cs="Times New Roman"/>
          <w:spacing w:val="1"/>
          <w:lang w:eastAsia="en-US"/>
        </w:rPr>
        <w:t>ac</w:t>
      </w:r>
      <w:r w:rsidRPr="00C85B70">
        <w:rPr>
          <w:rFonts w:ascii="Times New Roman" w:eastAsia="Times New Roman" w:hAnsi="Times New Roman" w:cs="Times New Roman"/>
          <w:lang w:eastAsia="en-US"/>
        </w:rPr>
        <w:t>tur</w:t>
      </w:r>
      <w:r w:rsidRPr="00C85B70">
        <w:rPr>
          <w:rFonts w:ascii="Times New Roman" w:eastAsia="Times New Roman" w:hAnsi="Times New Roman" w:cs="Times New Roman"/>
          <w:spacing w:val="1"/>
          <w:lang w:eastAsia="en-US"/>
        </w:rPr>
        <w:t>e</w:t>
      </w:r>
      <w:r w:rsidRPr="00C85B70">
        <w:rPr>
          <w:rFonts w:ascii="Times New Roman" w:eastAsia="Times New Roman" w:hAnsi="Times New Roman" w:cs="Times New Roman"/>
          <w:lang w:eastAsia="en-US"/>
        </w:rPr>
        <w:t>r; the existence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scope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generally fact-</w:t>
      </w:r>
      <w:r w:rsidRPr="00310897">
        <w:rPr>
          <w:rFonts w:ascii="Times New Roman" w:eastAsia="Times New Roman" w:hAnsi="Times New Roman" w:cs="Times New Roman"/>
          <w:lang w:eastAsia="en-US"/>
        </w:rPr>
        <w:t>specific</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see,</w:t>
      </w:r>
      <w:r w:rsidRPr="00C85B70">
        <w:rPr>
          <w:rFonts w:ascii="Times New Roman" w:eastAsia="Times New Roman" w:hAnsi="Times New Roman" w:cs="Times New Roman"/>
          <w:spacing w:val="-19"/>
          <w:lang w:eastAsia="en-US"/>
        </w:rPr>
        <w:t xml:space="preserve"> </w:t>
      </w:r>
      <w:r w:rsidRPr="750671CE">
        <w:rPr>
          <w:rFonts w:ascii="Times New Roman" w:eastAsia="Times New Roman" w:hAnsi="Times New Roman" w:cs="Times New Roman"/>
          <w:i/>
          <w:iCs/>
          <w:lang w:eastAsia="en-US"/>
        </w:rPr>
        <w:t>Cover</w:t>
      </w:r>
      <w:r w:rsidRPr="750671CE">
        <w:rPr>
          <w:rFonts w:ascii="Times New Roman" w:eastAsia="Times New Roman" w:hAnsi="Times New Roman" w:cs="Times New Roman"/>
          <w:i/>
          <w:iCs/>
          <w:spacing w:val="-20"/>
          <w:lang w:eastAsia="en-US"/>
        </w:rPr>
        <w:t xml:space="preserve"> </w:t>
      </w:r>
      <w:r w:rsidRPr="750671CE">
        <w:rPr>
          <w:rFonts w:ascii="Times New Roman" w:eastAsia="Times New Roman" w:hAnsi="Times New Roman" w:cs="Times New Roman"/>
          <w:i/>
          <w:iCs/>
          <w:w w:val="92"/>
          <w:lang w:eastAsia="en-US"/>
        </w:rPr>
        <w:t>v.</w:t>
      </w:r>
      <w:r w:rsidRPr="750671CE">
        <w:rPr>
          <w:rFonts w:ascii="Times New Roman" w:eastAsia="Times New Roman" w:hAnsi="Times New Roman" w:cs="Times New Roman"/>
          <w:i/>
          <w:iCs/>
          <w:spacing w:val="-11"/>
          <w:w w:val="92"/>
          <w:lang w:eastAsia="en-US"/>
        </w:rPr>
        <w:t xml:space="preserve"> </w:t>
      </w:r>
      <w:r w:rsidRPr="750671CE">
        <w:rPr>
          <w:rFonts w:ascii="Times New Roman" w:eastAsia="Times New Roman" w:hAnsi="Times New Roman" w:cs="Times New Roman"/>
          <w:i/>
          <w:iCs/>
          <w:lang w:eastAsia="en-US"/>
        </w:rPr>
        <w:t>Cohen</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461</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N.E.2d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864</w:t>
      </w:r>
      <w:r w:rsidR="00377786">
        <w:rPr>
          <w:rFonts w:ascii="Times New Roman" w:eastAsia="Times New Roman" w:hAnsi="Times New Roman" w:cs="Times New Roman"/>
          <w:lang w:eastAsia="en-US"/>
        </w:rPr>
        <w:t xml:space="preserve"> (N.Y. Ct. App. 1984)</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[technical </w:t>
      </w:r>
      <w:r w:rsidRPr="00C85B70">
        <w:rPr>
          <w:rFonts w:ascii="Times New Roman" w:eastAsia="Times New Roman" w:hAnsi="Times New Roman" w:cs="Times New Roman"/>
          <w:spacing w:val="2"/>
          <w:lang w:eastAsia="en-US"/>
        </w:rPr>
        <w:t>se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lang w:eastAsia="en-US"/>
        </w:rPr>
        <w:t>ice bu</w:t>
      </w:r>
      <w:r w:rsidRPr="00C85B70">
        <w:rPr>
          <w:rFonts w:ascii="Times New Roman" w:eastAsia="Times New Roman" w:hAnsi="Times New Roman" w:cs="Times New Roman"/>
          <w:spacing w:val="1"/>
          <w:lang w:eastAsia="en-US"/>
        </w:rPr>
        <w:t>ll</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issued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sent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vendor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13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onths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delivery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relev</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nd</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ad</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issible]).</w:t>
      </w:r>
      <w:r w:rsidRPr="00C85B70">
        <w:rPr>
          <w:rFonts w:ascii="Times New Roman" w:eastAsia="Times New Roman" w:hAnsi="Times New Roman" w:cs="Times New Roman"/>
          <w:vertAlign w:val="superscript"/>
          <w:lang w:eastAsia="en-US"/>
        </w:rPr>
        <w:footnoteReference w:customMarkFollows="1" w:id="39"/>
        <w:t>3</w:t>
      </w:r>
    </w:p>
    <w:p w14:paraId="44B02B8C" w14:textId="77777777" w:rsidR="00C85B70" w:rsidRPr="00C85B70" w:rsidRDefault="00C85B70" w:rsidP="00FE7B7F">
      <w:pPr>
        <w:spacing w:before="12"/>
        <w:rPr>
          <w:rFonts w:ascii="Times New Roman" w:eastAsia="Times New Roman" w:hAnsi="Times New Roman" w:cs="Times New Roman"/>
          <w:lang w:eastAsia="en-US"/>
        </w:rPr>
      </w:pPr>
    </w:p>
    <w:p w14:paraId="3583634A" w14:textId="5F287FDE" w:rsidR="00C85B70" w:rsidRPr="00C85B70" w:rsidRDefault="00C85B70" w:rsidP="750671CE">
      <w:pPr>
        <w:ind w:right="-51"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justification</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post-sale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warn arises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unique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superior) position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follow</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adaptation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product by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1"/>
          <w:lang w:eastAsia="en-US"/>
        </w:rPr>
        <w:t>consu</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1"/>
          <w:lang w:eastAsia="en-US"/>
        </w:rPr>
        <w:t>e</w:t>
      </w:r>
      <w:r w:rsidRPr="00C85B70">
        <w:rPr>
          <w:rFonts w:ascii="Times New Roman" w:eastAsia="Times New Roman" w:hAnsi="Times New Roman" w:cs="Times New Roman"/>
          <w:lang w:eastAsia="en-US"/>
        </w:rPr>
        <w:t xml:space="preserve">rs. </w:t>
      </w:r>
      <w:r w:rsidRPr="00310897">
        <w:rPr>
          <w:rFonts w:ascii="Times New Roman" w:eastAsia="Times New Roman" w:hAnsi="Times New Roman" w:cs="Times New Roman"/>
          <w:lang w:eastAsia="en-US"/>
        </w:rPr>
        <w:t>Co</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pared</w:t>
      </w:r>
      <w:r w:rsidRPr="00310897">
        <w:rPr>
          <w:rFonts w:ascii="Times New Roman" w:eastAsia="Times New Roman" w:hAnsi="Times New Roman" w:cs="Times New Roman"/>
          <w:spacing w:val="41"/>
          <w:lang w:eastAsia="en-US"/>
        </w:rPr>
        <w:t xml:space="preserve"> </w:t>
      </w:r>
      <w:r w:rsidRPr="00310897">
        <w:rPr>
          <w:rFonts w:ascii="Times New Roman" w:eastAsia="Times New Roman" w:hAnsi="Times New Roman" w:cs="Times New Roman"/>
          <w:spacing w:val="1"/>
          <w:lang w:eastAsia="en-US"/>
        </w:rPr>
        <w:t>t</w:t>
      </w:r>
      <w:r w:rsidRPr="00310897">
        <w:rPr>
          <w:rFonts w:ascii="Times New Roman" w:eastAsia="Times New Roman" w:hAnsi="Times New Roman" w:cs="Times New Roman"/>
          <w:lang w:eastAsia="en-US"/>
        </w:rPr>
        <w:t>o</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spacing w:val="1"/>
          <w:lang w:eastAsia="en-US"/>
        </w:rPr>
        <w:t>p</w:t>
      </w:r>
      <w:r w:rsidRPr="00310897">
        <w:rPr>
          <w:rFonts w:ascii="Times New Roman" w:eastAsia="Times New Roman" w:hAnsi="Times New Roman" w:cs="Times New Roman"/>
          <w:lang w:eastAsia="en-US"/>
        </w:rPr>
        <w:t>urchasers</w:t>
      </w:r>
      <w:r w:rsidRPr="00310897">
        <w:rPr>
          <w:rFonts w:ascii="Times New Roman" w:eastAsia="Times New Roman" w:hAnsi="Times New Roman" w:cs="Times New Roman"/>
          <w:spacing w:val="38"/>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44"/>
          <w:lang w:eastAsia="en-US"/>
        </w:rPr>
        <w:t xml:space="preserve"> </w:t>
      </w:r>
      <w:r w:rsidRPr="00310897">
        <w:rPr>
          <w:rFonts w:ascii="Times New Roman" w:eastAsia="Times New Roman" w:hAnsi="Times New Roman" w:cs="Times New Roman"/>
          <w:lang w:eastAsia="en-US"/>
        </w:rPr>
        <w:t>users</w:t>
      </w:r>
      <w:r w:rsidRPr="00310897">
        <w:rPr>
          <w:rFonts w:ascii="Times New Roman" w:eastAsia="Times New Roman" w:hAnsi="Times New Roman" w:cs="Times New Roman"/>
          <w:spacing w:val="4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46"/>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40"/>
          <w:lang w:eastAsia="en-US"/>
        </w:rPr>
        <w:t xml:space="preserve"> </w:t>
      </w:r>
      <w:r w:rsidRPr="00310897">
        <w:rPr>
          <w:rFonts w:ascii="Times New Roman" w:eastAsia="Times New Roman" w:hAnsi="Times New Roman" w:cs="Times New Roman"/>
          <w:lang w:eastAsia="en-US"/>
        </w:rPr>
        <w:t xml:space="preserve">a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best</w:t>
      </w:r>
      <w:r w:rsidRPr="00310897">
        <w:rPr>
          <w:rFonts w:ascii="Times New Roman" w:eastAsia="Times New Roman" w:hAnsi="Times New Roman" w:cs="Times New Roman"/>
          <w:spacing w:val="30"/>
          <w:lang w:eastAsia="en-US"/>
        </w:rPr>
        <w:t xml:space="preserve"> </w:t>
      </w:r>
      <w:r w:rsidRPr="00310897">
        <w:rPr>
          <w:rFonts w:ascii="Times New Roman" w:eastAsia="Times New Roman" w:hAnsi="Times New Roman" w:cs="Times New Roman"/>
          <w:lang w:eastAsia="en-US"/>
        </w:rPr>
        <w:t>placed</w:t>
      </w:r>
      <w:r w:rsidRPr="00310897">
        <w:rPr>
          <w:rFonts w:ascii="Times New Roman" w:eastAsia="Times New Roman" w:hAnsi="Times New Roman" w:cs="Times New Roman"/>
          <w:spacing w:val="28"/>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31"/>
          <w:lang w:eastAsia="en-US"/>
        </w:rPr>
        <w:t xml:space="preserve"> </w:t>
      </w:r>
      <w:r w:rsidRPr="00310897">
        <w:rPr>
          <w:rFonts w:ascii="Times New Roman" w:eastAsia="Times New Roman" w:hAnsi="Times New Roman" w:cs="Times New Roman"/>
          <w:lang w:eastAsia="en-US"/>
        </w:rPr>
        <w:t>learn</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lang w:eastAsia="en-US"/>
        </w:rPr>
        <w:t>about</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lang w:eastAsia="en-US"/>
        </w:rPr>
        <w:t>post-sale defects</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dangers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discovered</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 xml:space="preserve">use. </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00310897">
        <w:rPr>
          <w:rFonts w:ascii="Times New Roman" w:eastAsia="Times New Roman" w:hAnsi="Times New Roman" w:cs="Times New Roman"/>
          <w:lang w:eastAsia="en-US"/>
        </w:rPr>
        <w:t xml:space="preserve">s superior position to garner </w:t>
      </w:r>
      <w:r w:rsidRPr="00310897">
        <w:rPr>
          <w:rFonts w:ascii="Times New Roman" w:eastAsia="Times New Roman" w:hAnsi="Times New Roman" w:cs="Times New Roman"/>
          <w:lang w:eastAsia="en-US"/>
        </w:rPr>
        <w:t>infor</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ation a</w:t>
      </w:r>
      <w:r w:rsidRPr="00310897">
        <w:rPr>
          <w:rFonts w:ascii="Times New Roman" w:eastAsia="Times New Roman" w:hAnsi="Times New Roman" w:cs="Times New Roman"/>
          <w:spacing w:val="1"/>
          <w:lang w:eastAsia="en-US"/>
        </w:rPr>
        <w:t>n</w:t>
      </w:r>
      <w:r w:rsidRPr="00310897">
        <w:rPr>
          <w:rFonts w:ascii="Times New Roman" w:eastAsia="Times New Roman" w:hAnsi="Times New Roman" w:cs="Times New Roman"/>
          <w:lang w:eastAsia="en-US"/>
        </w:rPr>
        <w:t xml:space="preserve">d </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lang w:eastAsia="en-US"/>
        </w:rPr>
        <w:t>ts corresponding</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d</w:t>
      </w:r>
      <w:r w:rsidRPr="00310897">
        <w:rPr>
          <w:rFonts w:ascii="Times New Roman" w:eastAsia="Times New Roman" w:hAnsi="Times New Roman" w:cs="Times New Roman"/>
          <w:spacing w:val="1"/>
          <w:lang w:eastAsia="en-US"/>
        </w:rPr>
        <w:t>ut</w:t>
      </w:r>
      <w:r w:rsidRPr="00310897">
        <w:rPr>
          <w:rFonts w:ascii="Times New Roman" w:eastAsia="Times New Roman" w:hAnsi="Times New Roman" w:cs="Times New Roman"/>
          <w:lang w:eastAsia="en-US"/>
        </w:rPr>
        <w:t>y</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warn</w:t>
      </w:r>
      <w:r w:rsidRPr="00310897">
        <w:rPr>
          <w:rFonts w:ascii="Times New Roman" w:eastAsia="Times New Roman" w:hAnsi="Times New Roman" w:cs="Times New Roman"/>
          <w:spacing w:val="8"/>
          <w:lang w:eastAsia="en-US"/>
        </w:rPr>
        <w:t xml:space="preserve"> </w:t>
      </w:r>
      <w:r w:rsidRPr="00310897">
        <w:rPr>
          <w:rFonts w:ascii="Times New Roman" w:eastAsia="Times New Roman" w:hAnsi="Times New Roman" w:cs="Times New Roman"/>
          <w:lang w:eastAsia="en-US"/>
        </w:rPr>
        <w:t>is</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no</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less</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with</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respect</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to the</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ability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learn</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odifications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ade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isuse of</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product.</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Indeed,</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in</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th</w:t>
      </w:r>
      <w:r w:rsidRPr="00310897">
        <w:rPr>
          <w:rFonts w:ascii="Times New Roman" w:eastAsia="Times New Roman" w:hAnsi="Times New Roman" w:cs="Times New Roman"/>
          <w:spacing w:val="1"/>
          <w:lang w:eastAsia="en-US"/>
        </w:rPr>
        <w:t>i</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spacing w:val="2"/>
          <w:lang w:eastAsia="en-US"/>
        </w:rPr>
        <w:t>ca</w:t>
      </w:r>
      <w:r w:rsidRPr="00310897">
        <w:rPr>
          <w:rFonts w:ascii="Times New Roman" w:eastAsia="Times New Roman" w:hAnsi="Times New Roman" w:cs="Times New Roman"/>
          <w:lang w:eastAsia="en-US"/>
        </w:rPr>
        <w:t>se,</w:t>
      </w:r>
      <w:r w:rsidRPr="00310897">
        <w:rPr>
          <w:rFonts w:ascii="Times New Roman" w:eastAsia="Times New Roman" w:hAnsi="Times New Roman" w:cs="Times New Roman"/>
          <w:spacing w:val="16"/>
          <w:lang w:eastAsia="en-US"/>
        </w:rPr>
        <w:t xml:space="preserve"> </w:t>
      </w:r>
      <w:r w:rsidRPr="00310897">
        <w:rPr>
          <w:rFonts w:ascii="Times New Roman" w:eastAsia="Times New Roman" w:hAnsi="Times New Roman" w:cs="Times New Roman"/>
          <w:lang w:eastAsia="en-US"/>
        </w:rPr>
        <w:t>Hobart</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was</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the only</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party</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lik</w:t>
      </w:r>
      <w:r w:rsidRPr="00310897">
        <w:rPr>
          <w:rFonts w:ascii="Times New Roman" w:eastAsia="Times New Roman" w:hAnsi="Times New Roman" w:cs="Times New Roman"/>
          <w:spacing w:val="1"/>
          <w:lang w:eastAsia="en-US"/>
        </w:rPr>
        <w:t>e</w:t>
      </w:r>
      <w:r w:rsidRPr="00310897">
        <w:rPr>
          <w:rFonts w:ascii="Times New Roman" w:eastAsia="Times New Roman" w:hAnsi="Times New Roman" w:cs="Times New Roman"/>
          <w:lang w:eastAsia="en-US"/>
        </w:rPr>
        <w:t>ly</w:t>
      </w:r>
      <w:r w:rsidRPr="00310897">
        <w:rPr>
          <w:rFonts w:ascii="Times New Roman" w:eastAsia="Times New Roman" w:hAnsi="Times New Roman" w:cs="Times New Roman"/>
          <w:spacing w:val="34"/>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37"/>
          <w:lang w:eastAsia="en-US"/>
        </w:rPr>
        <w:t xml:space="preserve"> </w:t>
      </w:r>
      <w:r w:rsidRPr="00310897">
        <w:rPr>
          <w:rFonts w:ascii="Times New Roman" w:eastAsia="Times New Roman" w:hAnsi="Times New Roman" w:cs="Times New Roman"/>
          <w:lang w:eastAsia="en-US"/>
        </w:rPr>
        <w:t>l</w:t>
      </w:r>
      <w:r w:rsidRPr="00310897">
        <w:rPr>
          <w:rFonts w:ascii="Times New Roman" w:eastAsia="Times New Roman" w:hAnsi="Times New Roman" w:cs="Times New Roman"/>
          <w:spacing w:val="1"/>
          <w:lang w:eastAsia="en-US"/>
        </w:rPr>
        <w:t>ea</w:t>
      </w:r>
      <w:r w:rsidRPr="00310897">
        <w:rPr>
          <w:rFonts w:ascii="Times New Roman" w:eastAsia="Times New Roman" w:hAnsi="Times New Roman" w:cs="Times New Roman"/>
          <w:lang w:eastAsia="en-US"/>
        </w:rPr>
        <w:t>rn</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spacing w:val="1"/>
          <w:lang w:eastAsia="en-US"/>
        </w:rPr>
        <w:t>abou</w:t>
      </w:r>
      <w:r w:rsidRPr="00310897">
        <w:rPr>
          <w:rFonts w:ascii="Times New Roman" w:eastAsia="Times New Roman" w:hAnsi="Times New Roman" w:cs="Times New Roman"/>
          <w:lang w:eastAsia="en-US"/>
        </w:rPr>
        <w:t>t</w:t>
      </w:r>
      <w:r w:rsidRPr="00310897">
        <w:rPr>
          <w:rFonts w:ascii="Times New Roman" w:eastAsia="Times New Roman" w:hAnsi="Times New Roman" w:cs="Times New Roman"/>
          <w:spacing w:val="35"/>
          <w:lang w:eastAsia="en-US"/>
        </w:rPr>
        <w:t xml:space="preserve"> </w:t>
      </w:r>
      <w:r w:rsidRPr="00310897">
        <w:rPr>
          <w:rFonts w:ascii="Times New Roman" w:eastAsia="Times New Roman" w:hAnsi="Times New Roman" w:cs="Times New Roman"/>
          <w:lang w:eastAsia="en-US"/>
        </w:rPr>
        <w:t>the</w:t>
      </w:r>
      <w:r w:rsidRPr="00310897">
        <w:rPr>
          <w:rFonts w:ascii="Times New Roman" w:eastAsia="Times New Roman" w:hAnsi="Times New Roman" w:cs="Times New Roman"/>
          <w:spacing w:val="38"/>
          <w:lang w:eastAsia="en-US"/>
        </w:rPr>
        <w:t xml:space="preserve"> </w:t>
      </w:r>
      <w:r w:rsidRPr="00310897">
        <w:rPr>
          <w:rFonts w:ascii="Times New Roman" w:eastAsia="Times New Roman" w:hAnsi="Times New Roman" w:cs="Times New Roman"/>
          <w:lang w:eastAsia="en-US"/>
        </w:rPr>
        <w:t>re</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oval</w:t>
      </w:r>
      <w:r w:rsidRPr="00310897">
        <w:rPr>
          <w:rFonts w:ascii="Times New Roman" w:eastAsia="Times New Roman" w:hAnsi="Times New Roman" w:cs="Times New Roman"/>
          <w:spacing w:val="32"/>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6"/>
          <w:lang w:eastAsia="en-US"/>
        </w:rPr>
        <w:t xml:space="preserve"> </w:t>
      </w:r>
      <w:r w:rsidRPr="00310897">
        <w:rPr>
          <w:rFonts w:ascii="Times New Roman" w:eastAsia="Times New Roman" w:hAnsi="Times New Roman" w:cs="Times New Roman"/>
          <w:lang w:eastAsia="en-US"/>
        </w:rPr>
        <w:t>the safety</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guards</w:t>
      </w:r>
      <w:r w:rsidRPr="00310897">
        <w:rPr>
          <w:rFonts w:ascii="Times New Roman" w:eastAsia="Times New Roman" w:hAnsi="Times New Roman" w:cs="Times New Roman"/>
          <w:spacing w:val="45"/>
          <w:lang w:eastAsia="en-US"/>
        </w:rPr>
        <w:t xml:space="preserve"> </w:t>
      </w:r>
      <w:r w:rsidRPr="00310897">
        <w:rPr>
          <w:rFonts w:ascii="Times New Roman" w:eastAsia="Times New Roman" w:hAnsi="Times New Roman" w:cs="Times New Roman"/>
          <w:lang w:eastAsia="en-US"/>
        </w:rPr>
        <w:t>an</w:t>
      </w:r>
      <w:r w:rsidRPr="00310897">
        <w:rPr>
          <w:rFonts w:ascii="Times New Roman" w:eastAsia="Times New Roman" w:hAnsi="Times New Roman" w:cs="Times New Roman"/>
          <w:spacing w:val="1"/>
          <w:lang w:eastAsia="en-US"/>
        </w:rPr>
        <w:t>d</w:t>
      </w:r>
      <w:r w:rsidRPr="00310897">
        <w:rPr>
          <w:rFonts w:ascii="Times New Roman" w:eastAsia="Times New Roman" w:hAnsi="Times New Roman" w:cs="Times New Roman"/>
          <w:lang w:eastAsia="en-US"/>
        </w:rPr>
        <w:t>,</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48"/>
          <w:lang w:eastAsia="en-US"/>
        </w:rPr>
        <w:t xml:space="preserve"> </w:t>
      </w:r>
      <w:r w:rsidRPr="00310897">
        <w:rPr>
          <w:rFonts w:ascii="Times New Roman" w:eastAsia="Times New Roman" w:hAnsi="Times New Roman" w:cs="Times New Roman"/>
          <w:lang w:eastAsia="en-US"/>
        </w:rPr>
        <w:t>it</w:t>
      </w:r>
      <w:r w:rsidRPr="00310897">
        <w:rPr>
          <w:rFonts w:ascii="Times New Roman" w:eastAsia="Times New Roman" w:hAnsi="Times New Roman" w:cs="Times New Roman"/>
          <w:spacing w:val="49"/>
          <w:lang w:eastAsia="en-US"/>
        </w:rPr>
        <w:t xml:space="preserve"> </w:t>
      </w:r>
      <w:r w:rsidRPr="00310897">
        <w:rPr>
          <w:rFonts w:ascii="Times New Roman" w:eastAsia="Times New Roman" w:hAnsi="Times New Roman" w:cs="Times New Roman"/>
          <w:lang w:eastAsia="en-US"/>
        </w:rPr>
        <w:t>ulti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ately</w:t>
      </w:r>
      <w:r w:rsidRPr="00310897">
        <w:rPr>
          <w:rFonts w:ascii="Times New Roman" w:eastAsia="Times New Roman" w:hAnsi="Times New Roman" w:cs="Times New Roman"/>
          <w:spacing w:val="42"/>
          <w:lang w:eastAsia="en-US"/>
        </w:rPr>
        <w:t xml:space="preserve"> </w:t>
      </w:r>
      <w:r w:rsidRPr="00310897">
        <w:rPr>
          <w:rFonts w:ascii="Times New Roman" w:eastAsia="Times New Roman" w:hAnsi="Times New Roman" w:cs="Times New Roman"/>
          <w:lang w:eastAsia="en-US"/>
        </w:rPr>
        <w:t>did,</w:t>
      </w:r>
      <w:r w:rsidRPr="00310897">
        <w:rPr>
          <w:rFonts w:ascii="Times New Roman" w:eastAsia="Times New Roman" w:hAnsi="Times New Roman" w:cs="Times New Roman"/>
          <w:spacing w:val="47"/>
          <w:lang w:eastAsia="en-US"/>
        </w:rPr>
        <w:t xml:space="preserve"> </w:t>
      </w:r>
      <w:r w:rsidRPr="00310897">
        <w:rPr>
          <w:rFonts w:ascii="Times New Roman" w:eastAsia="Times New Roman" w:hAnsi="Times New Roman" w:cs="Times New Roman"/>
          <w:lang w:eastAsia="en-US"/>
        </w:rPr>
        <w:t>pass</w:t>
      </w:r>
      <w:r w:rsidRPr="00310897">
        <w:rPr>
          <w:rFonts w:ascii="Times New Roman" w:eastAsia="Times New Roman" w:hAnsi="Times New Roman" w:cs="Times New Roman"/>
          <w:spacing w:val="47"/>
          <w:lang w:eastAsia="en-US"/>
        </w:rPr>
        <w:t xml:space="preserve"> </w:t>
      </w:r>
      <w:r w:rsidRPr="00310897">
        <w:rPr>
          <w:rFonts w:ascii="Times New Roman" w:eastAsia="Times New Roman" w:hAnsi="Times New Roman" w:cs="Times New Roman"/>
          <w:lang w:eastAsia="en-US"/>
        </w:rPr>
        <w:t>along warnings</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to</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custo</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ers</w:t>
      </w:r>
      <w:r w:rsidRPr="00C85B70">
        <w:rPr>
          <w:rFonts w:ascii="Times New Roman" w:eastAsia="Times New Roman" w:hAnsi="Times New Roman" w:cs="Times New Roman"/>
          <w:lang w:eastAsia="en-US"/>
        </w:rPr>
        <w:t>.</w:t>
      </w:r>
    </w:p>
    <w:p w14:paraId="0C84E806" w14:textId="77777777" w:rsidR="00C85B70" w:rsidRPr="00C85B70" w:rsidRDefault="00C85B70" w:rsidP="00FE7B7F">
      <w:pPr>
        <w:spacing w:before="12"/>
        <w:rPr>
          <w:rFonts w:ascii="Times New Roman" w:eastAsia="Times New Roman" w:hAnsi="Times New Roman" w:cs="Times New Roman"/>
          <w:lang w:eastAsia="en-US"/>
        </w:rPr>
      </w:pPr>
    </w:p>
    <w:p w14:paraId="61C5F55C" w14:textId="694995E8" w:rsidR="00C85B70" w:rsidRPr="00C85B70" w:rsidRDefault="00C85B70" w:rsidP="750671CE">
      <w:pPr>
        <w:ind w:right="-52"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fore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concludes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 liability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exist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un</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failure-to-warn theory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 cases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 substantial</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odifica</w:t>
      </w:r>
      <w:r w:rsidRPr="00C85B70">
        <w:rPr>
          <w:rFonts w:ascii="Times New Roman" w:eastAsia="Times New Roman" w:hAnsi="Times New Roman" w:cs="Times New Roman"/>
          <w:spacing w:val="1"/>
          <w:lang w:eastAsia="en-US"/>
        </w:rPr>
        <w:t>tio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defense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as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rt</w:t>
      </w:r>
      <w:r w:rsidRPr="00C85B70">
        <w:rPr>
          <w:rFonts w:ascii="Times New Roman" w:eastAsia="Times New Roman" w:hAnsi="Times New Roman" w:cs="Times New Roman"/>
          <w:lang w:eastAsia="en-US"/>
        </w:rPr>
        <w:t>iculated</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40"/>
          <w:lang w:eastAsia="en-US"/>
        </w:rPr>
        <w:t xml:space="preserve"> </w:t>
      </w:r>
      <w:r w:rsidRPr="750671CE">
        <w:rPr>
          <w:rFonts w:ascii="Times New Roman" w:eastAsia="Times New Roman" w:hAnsi="Times New Roman" w:cs="Times New Roman"/>
          <w:i/>
          <w:iCs/>
          <w:lang w:eastAsia="en-US"/>
        </w:rPr>
        <w:t>Robinson</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38"/>
          <w:lang w:eastAsia="en-US"/>
        </w:rPr>
        <w:t xml:space="preserve"> </w:t>
      </w:r>
      <w:r w:rsidRPr="00C85B70">
        <w:rPr>
          <w:rFonts w:ascii="Times New Roman" w:eastAsia="Times New Roman" w:hAnsi="Times New Roman" w:cs="Times New Roman"/>
          <w:lang w:eastAsia="en-US"/>
        </w:rPr>
        <w:t>otherwise</w:t>
      </w:r>
      <w:r w:rsidRPr="00C85B70">
        <w:rPr>
          <w:rFonts w:ascii="Times New Roman" w:eastAsia="Times New Roman" w:hAnsi="Times New Roman" w:cs="Times New Roman"/>
          <w:spacing w:val="35"/>
          <w:lang w:eastAsia="en-US"/>
        </w:rPr>
        <w:t xml:space="preserve"> </w:t>
      </w:r>
      <w:r w:rsidRPr="00C85B70">
        <w:rPr>
          <w:rFonts w:ascii="Times New Roman" w:eastAsia="Times New Roman" w:hAnsi="Times New Roman" w:cs="Times New Roman"/>
          <w:lang w:eastAsia="en-US"/>
        </w:rPr>
        <w:t>preclude</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a design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defect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clai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w:t>
      </w:r>
    </w:p>
    <w:p w14:paraId="0262B9B2" w14:textId="77777777" w:rsidR="00C85B70" w:rsidRPr="00C85B70" w:rsidRDefault="00C85B70" w:rsidP="00FE7B7F">
      <w:pPr>
        <w:spacing w:before="13"/>
        <w:rPr>
          <w:rFonts w:ascii="Times New Roman" w:eastAsia="Times New Roman" w:hAnsi="Times New Roman" w:cs="Times New Roman"/>
          <w:lang w:eastAsia="en-US"/>
        </w:rPr>
      </w:pPr>
    </w:p>
    <w:p w14:paraId="207A8B07" w14:textId="3549A740" w:rsidR="00C85B70" w:rsidRPr="00C85B70" w:rsidRDefault="00C85B70" w:rsidP="750671CE">
      <w:pPr>
        <w:ind w:right="63" w:firstLine="720"/>
        <w:rPr>
          <w:rFonts w:ascii="Times New Roman" w:eastAsia="Times New Roman" w:hAnsi="Times New Roman" w:cs="Times New Roman"/>
          <w:lang w:eastAsia="en-US"/>
        </w:rPr>
      </w:pP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should 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phasize,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however,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safety device built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 integrated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final</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product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often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 effective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unicate 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operation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 product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without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hazardous. </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injured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party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fully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aware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hazard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through general</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knowledge, observation or</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 participated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 the 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oval</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the safety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device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whose purpose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lack</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about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danger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well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obviate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legal</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cause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of an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injury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resulting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 xml:space="preserve">danger. </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Thus,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appropriate cases,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courts cou</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 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law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decide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warning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superfluous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given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injured party</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actual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knowle</w:t>
      </w:r>
      <w:r w:rsidRPr="00C85B70">
        <w:rPr>
          <w:rFonts w:ascii="Times New Roman" w:eastAsia="Times New Roman" w:hAnsi="Times New Roman" w:cs="Times New Roman"/>
          <w:spacing w:val="1"/>
          <w:lang w:eastAsia="en-US"/>
        </w:rPr>
        <w:t>dg</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specific hazard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 caused</w:t>
      </w:r>
      <w:r w:rsidRPr="00C85B70">
        <w:rPr>
          <w:rFonts w:ascii="Times New Roman" w:eastAsia="Times New Roman" w:hAnsi="Times New Roman" w:cs="Times New Roman"/>
          <w:spacing w:val="4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3"/>
          <w:lang w:eastAsia="en-US"/>
        </w:rPr>
        <w:t xml:space="preserve"> </w:t>
      </w:r>
      <w:r w:rsidRPr="00C85B70">
        <w:rPr>
          <w:rFonts w:ascii="Times New Roman" w:eastAsia="Times New Roman" w:hAnsi="Times New Roman" w:cs="Times New Roman"/>
          <w:lang w:eastAsia="en-US"/>
        </w:rPr>
        <w:t>injury. Nevertheless, 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cases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where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reasonable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inds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 disagree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extent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plaintiff</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knowledge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 xml:space="preserve">the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az</w:t>
      </w:r>
      <w:r w:rsidRPr="00C85B70">
        <w:rPr>
          <w:rFonts w:ascii="Times New Roman" w:eastAsia="Times New Roman" w:hAnsi="Times New Roman" w:cs="Times New Roman"/>
          <w:lang w:eastAsia="en-US"/>
        </w:rPr>
        <w:t>ard,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question is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jury.</w:t>
      </w:r>
    </w:p>
    <w:p w14:paraId="18344937" w14:textId="77777777" w:rsidR="00C85B70" w:rsidRPr="00C85B70" w:rsidRDefault="00C85B70" w:rsidP="00FE7B7F">
      <w:pPr>
        <w:spacing w:before="12"/>
        <w:rPr>
          <w:rFonts w:ascii="Times New Roman" w:eastAsia="Times New Roman" w:hAnsi="Times New Roman" w:cs="Times New Roman"/>
          <w:lang w:eastAsia="en-US"/>
        </w:rPr>
      </w:pPr>
    </w:p>
    <w:p w14:paraId="28E979E8" w14:textId="3FA3304C" w:rsidR="00C85B70" w:rsidRPr="00C85B70" w:rsidRDefault="00C85B70" w:rsidP="750671CE">
      <w:pPr>
        <w:ind w:right="66" w:firstLine="720"/>
        <w:rPr>
          <w:rFonts w:ascii="Times New Roman" w:eastAsia="Times New Roman" w:hAnsi="Times New Roman" w:cs="Times New Roman"/>
          <w:lang w:eastAsia="en-US"/>
        </w:rPr>
      </w:pPr>
      <w:r w:rsidRPr="00310897">
        <w:rPr>
          <w:rFonts w:ascii="Times New Roman" w:eastAsia="Times New Roman" w:hAnsi="Times New Roman" w:cs="Times New Roman"/>
          <w:lang w:eastAsia="en-US"/>
        </w:rPr>
        <w:t>Si</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ilarly, a</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li</w:t>
      </w:r>
      <w:r w:rsidRPr="00310897">
        <w:rPr>
          <w:rFonts w:ascii="Times New Roman" w:eastAsia="Times New Roman" w:hAnsi="Times New Roman" w:cs="Times New Roman"/>
          <w:spacing w:val="-2"/>
          <w:lang w:eastAsia="en-US"/>
        </w:rPr>
        <w:t>m</w:t>
      </w:r>
      <w:r w:rsidRPr="00310897">
        <w:rPr>
          <w:rFonts w:ascii="Times New Roman" w:eastAsia="Times New Roman" w:hAnsi="Times New Roman" w:cs="Times New Roman"/>
          <w:lang w:eastAsia="en-US"/>
        </w:rPr>
        <w:t>ited</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class</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hazards</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lang w:eastAsia="en-US"/>
        </w:rPr>
        <w:t>need</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not</w:t>
      </w:r>
      <w:r w:rsidRPr="00310897">
        <w:rPr>
          <w:rFonts w:ascii="Times New Roman" w:eastAsia="Times New Roman" w:hAnsi="Times New Roman" w:cs="Times New Roman"/>
          <w:spacing w:val="5"/>
          <w:lang w:eastAsia="en-US"/>
        </w:rPr>
        <w:t xml:space="preserve"> </w:t>
      </w:r>
      <w:r w:rsidRPr="00310897">
        <w:rPr>
          <w:rFonts w:ascii="Times New Roman" w:eastAsia="Times New Roman" w:hAnsi="Times New Roman" w:cs="Times New Roman"/>
          <w:lang w:eastAsia="en-US"/>
        </w:rPr>
        <w:t>be warned</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as</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a</w:t>
      </w:r>
      <w:r w:rsidRPr="00310897">
        <w:rPr>
          <w:rFonts w:ascii="Times New Roman" w:eastAsia="Times New Roman" w:hAnsi="Times New Roman" w:cs="Times New Roman"/>
          <w:spacing w:val="-2"/>
          <w:lang w:eastAsia="en-US"/>
        </w:rPr>
        <w:t xml:space="preserve"> </w:t>
      </w:r>
      <w:r w:rsidRPr="00310897">
        <w:rPr>
          <w:rFonts w:ascii="Times New Roman" w:eastAsia="Times New Roman" w:hAnsi="Times New Roman" w:cs="Times New Roman"/>
          <w:spacing w:val="-3"/>
          <w:lang w:eastAsia="en-US"/>
        </w:rPr>
        <w:t>m</w:t>
      </w:r>
      <w:r w:rsidRPr="00310897">
        <w:rPr>
          <w:rFonts w:ascii="Times New Roman" w:eastAsia="Times New Roman" w:hAnsi="Times New Roman" w:cs="Times New Roman"/>
          <w:lang w:eastAsia="en-US"/>
        </w:rPr>
        <w:t>atter</w:t>
      </w:r>
      <w:r w:rsidRPr="00310897">
        <w:rPr>
          <w:rFonts w:ascii="Times New Roman" w:eastAsia="Times New Roman" w:hAnsi="Times New Roman" w:cs="Times New Roman"/>
          <w:spacing w:val="-6"/>
          <w:lang w:eastAsia="en-US"/>
        </w:rPr>
        <w:t xml:space="preserve"> </w:t>
      </w:r>
      <w:r w:rsidRPr="00310897">
        <w:rPr>
          <w:rFonts w:ascii="Times New Roman" w:eastAsia="Times New Roman" w:hAnsi="Times New Roman" w:cs="Times New Roman"/>
          <w:lang w:eastAsia="en-US"/>
        </w:rPr>
        <w:t>of</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law</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because</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they</w:t>
      </w:r>
      <w:r w:rsidRPr="00310897">
        <w:rPr>
          <w:rFonts w:ascii="Times New Roman" w:eastAsia="Times New Roman" w:hAnsi="Times New Roman" w:cs="Times New Roman"/>
          <w:spacing w:val="-4"/>
          <w:lang w:eastAsia="en-US"/>
        </w:rPr>
        <w:t xml:space="preserve"> </w:t>
      </w:r>
      <w:r w:rsidRPr="00310897">
        <w:rPr>
          <w:rFonts w:ascii="Times New Roman" w:eastAsia="Times New Roman" w:hAnsi="Times New Roman" w:cs="Times New Roman"/>
          <w:lang w:eastAsia="en-US"/>
        </w:rPr>
        <w:t>are</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patently dangerous</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or</w:t>
      </w:r>
      <w:r w:rsidRPr="00310897">
        <w:rPr>
          <w:rFonts w:ascii="Times New Roman" w:eastAsia="Times New Roman" w:hAnsi="Times New Roman" w:cs="Times New Roman"/>
          <w:spacing w:val="-15"/>
          <w:lang w:eastAsia="en-US"/>
        </w:rPr>
        <w:t xml:space="preserve"> </w:t>
      </w:r>
      <w:r w:rsidRPr="00310897">
        <w:rPr>
          <w:rFonts w:ascii="Times New Roman" w:eastAsia="Times New Roman" w:hAnsi="Times New Roman" w:cs="Times New Roman"/>
          <w:lang w:eastAsia="en-US"/>
        </w:rPr>
        <w:t>pose</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open</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7"/>
          <w:lang w:eastAsia="en-US"/>
        </w:rPr>
        <w:t xml:space="preserve"> </w:t>
      </w:r>
      <w:r w:rsidRPr="00310897">
        <w:rPr>
          <w:rFonts w:ascii="Times New Roman" w:eastAsia="Times New Roman" w:hAnsi="Times New Roman" w:cs="Times New Roman"/>
          <w:lang w:eastAsia="en-US"/>
        </w:rPr>
        <w:t>obvious</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risks</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 xml:space="preserve">cf., </w:t>
      </w:r>
      <w:r w:rsidRPr="750671CE">
        <w:rPr>
          <w:rFonts w:ascii="Times New Roman" w:eastAsia="Times New Roman" w:hAnsi="Times New Roman" w:cs="Times New Roman"/>
          <w:i/>
          <w:iCs/>
          <w:lang w:eastAsia="en-US"/>
        </w:rPr>
        <w:t>Amatulli</w:t>
      </w:r>
      <w:r w:rsidRPr="750671CE">
        <w:rPr>
          <w:rFonts w:ascii="Times New Roman" w:eastAsia="Times New Roman" w:hAnsi="Times New Roman" w:cs="Times New Roman"/>
          <w:i/>
          <w:iCs/>
          <w:spacing w:val="-15"/>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1"/>
          <w:lang w:eastAsia="en-US"/>
        </w:rPr>
        <w:t xml:space="preserve"> </w:t>
      </w:r>
      <w:r w:rsidRPr="750671CE">
        <w:rPr>
          <w:rFonts w:ascii="Times New Roman" w:eastAsia="Times New Roman" w:hAnsi="Times New Roman" w:cs="Times New Roman"/>
          <w:i/>
          <w:iCs/>
          <w:lang w:eastAsia="en-US"/>
        </w:rPr>
        <w:t>Delhi Constr.</w:t>
      </w:r>
      <w:r w:rsidRPr="750671CE">
        <w:rPr>
          <w:rFonts w:ascii="Times New Roman" w:eastAsia="Times New Roman" w:hAnsi="Times New Roman" w:cs="Times New Roman"/>
          <w:i/>
          <w:iCs/>
          <w:spacing w:val="2"/>
          <w:lang w:eastAsia="en-US"/>
        </w:rPr>
        <w:t xml:space="preserve"> </w:t>
      </w:r>
      <w:r w:rsidRPr="750671CE">
        <w:rPr>
          <w:rFonts w:ascii="Times New Roman" w:eastAsia="Times New Roman" w:hAnsi="Times New Roman" w:cs="Times New Roman"/>
          <w:i/>
          <w:iCs/>
          <w:lang w:eastAsia="en-US"/>
        </w:rPr>
        <w:t>Corp</w:t>
      </w:r>
      <w:r w:rsidRPr="00310897">
        <w:rPr>
          <w:rFonts w:ascii="Times New Roman" w:eastAsia="Times New Roman" w:hAnsi="Times New Roman" w:cs="Times New Roman"/>
          <w:lang w:eastAsia="en-US"/>
        </w:rPr>
        <w:t>.,</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571 N.E.2d</w:t>
      </w:r>
      <w:r w:rsidRPr="00310897">
        <w:rPr>
          <w:rFonts w:ascii="Times New Roman" w:eastAsia="Times New Roman" w:hAnsi="Times New Roman" w:cs="Times New Roman"/>
          <w:spacing w:val="-3"/>
          <w:lang w:eastAsia="en-US"/>
        </w:rPr>
        <w:t xml:space="preserve"> </w:t>
      </w:r>
      <w:r w:rsidRPr="00310897">
        <w:rPr>
          <w:rFonts w:ascii="Times New Roman" w:eastAsia="Times New Roman" w:hAnsi="Times New Roman" w:cs="Times New Roman"/>
          <w:lang w:eastAsia="en-US"/>
        </w:rPr>
        <w:t>645 [had</w:t>
      </w:r>
      <w:r w:rsidRPr="00310897">
        <w:rPr>
          <w:rFonts w:ascii="Times New Roman" w:eastAsia="Times New Roman" w:hAnsi="Times New Roman" w:cs="Times New Roman"/>
          <w:spacing w:val="-1"/>
          <w:lang w:eastAsia="en-US"/>
        </w:rPr>
        <w:t xml:space="preserve"> </w:t>
      </w:r>
      <w:r w:rsidRPr="00310897">
        <w:rPr>
          <w:rFonts w:ascii="Times New Roman" w:eastAsia="Times New Roman" w:hAnsi="Times New Roman" w:cs="Times New Roman"/>
          <w:lang w:eastAsia="en-US"/>
        </w:rPr>
        <w:t>aboveground</w:t>
      </w:r>
      <w:r w:rsidRPr="00310897">
        <w:rPr>
          <w:rFonts w:ascii="Times New Roman" w:eastAsia="Times New Roman" w:hAnsi="Times New Roman" w:cs="Times New Roman"/>
          <w:spacing w:val="-7"/>
          <w:lang w:eastAsia="en-US"/>
        </w:rPr>
        <w:t xml:space="preserve"> </w:t>
      </w:r>
      <w:r w:rsidRPr="00310897">
        <w:rPr>
          <w:rFonts w:ascii="Times New Roman" w:eastAsia="Times New Roman" w:hAnsi="Times New Roman" w:cs="Times New Roman"/>
          <w:lang w:eastAsia="en-US"/>
        </w:rPr>
        <w:t>po</w:t>
      </w:r>
      <w:r w:rsidRPr="00310897">
        <w:rPr>
          <w:rFonts w:ascii="Times New Roman" w:eastAsia="Times New Roman" w:hAnsi="Times New Roman" w:cs="Times New Roman"/>
          <w:spacing w:val="1"/>
          <w:lang w:eastAsia="en-US"/>
        </w:rPr>
        <w:t>o</w:t>
      </w:r>
      <w:r w:rsidRPr="00310897">
        <w:rPr>
          <w:rFonts w:ascii="Times New Roman" w:eastAsia="Times New Roman" w:hAnsi="Times New Roman" w:cs="Times New Roman"/>
          <w:lang w:eastAsia="en-US"/>
        </w:rPr>
        <w:t>l</w:t>
      </w:r>
      <w:r w:rsidRPr="00310897">
        <w:rPr>
          <w:rFonts w:ascii="Times New Roman" w:eastAsia="Times New Roman" w:hAnsi="Times New Roman" w:cs="Times New Roman"/>
          <w:spacing w:val="1"/>
          <w:lang w:eastAsia="en-US"/>
        </w:rPr>
        <w:t xml:space="preserve"> n</w:t>
      </w:r>
      <w:r w:rsidRPr="00310897">
        <w:rPr>
          <w:rFonts w:ascii="Times New Roman" w:eastAsia="Times New Roman" w:hAnsi="Times New Roman" w:cs="Times New Roman"/>
          <w:lang w:eastAsia="en-US"/>
        </w:rPr>
        <w:t>ot been installed</w:t>
      </w:r>
      <w:r w:rsidRPr="00310897">
        <w:rPr>
          <w:rFonts w:ascii="Times New Roman" w:eastAsia="Times New Roman" w:hAnsi="Times New Roman" w:cs="Times New Roman"/>
          <w:spacing w:val="-14"/>
          <w:lang w:eastAsia="en-US"/>
        </w:rPr>
        <w:t xml:space="preserve"> </w:t>
      </w:r>
      <w:r w:rsidRPr="00310897">
        <w:rPr>
          <w:rFonts w:ascii="Times New Roman" w:eastAsia="Times New Roman" w:hAnsi="Times New Roman" w:cs="Times New Roman"/>
          <w:lang w:eastAsia="en-US"/>
        </w:rPr>
        <w:t>two</w:t>
      </w:r>
      <w:r w:rsidRPr="00310897">
        <w:rPr>
          <w:rFonts w:ascii="Times New Roman" w:eastAsia="Times New Roman" w:hAnsi="Times New Roman" w:cs="Times New Roman"/>
          <w:spacing w:val="-9"/>
          <w:lang w:eastAsia="en-US"/>
        </w:rPr>
        <w:t xml:space="preserve"> </w:t>
      </w:r>
      <w:r w:rsidRPr="00310897">
        <w:rPr>
          <w:rFonts w:ascii="Times New Roman" w:eastAsia="Times New Roman" w:hAnsi="Times New Roman" w:cs="Times New Roman"/>
          <w:lang w:eastAsia="en-US"/>
        </w:rPr>
        <w:t>feet</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below</w:t>
      </w:r>
      <w:r w:rsidRPr="00310897">
        <w:rPr>
          <w:rFonts w:ascii="Times New Roman" w:eastAsia="Times New Roman" w:hAnsi="Times New Roman" w:cs="Times New Roman"/>
          <w:spacing w:val="-12"/>
          <w:lang w:eastAsia="en-US"/>
        </w:rPr>
        <w:t xml:space="preserve"> </w:t>
      </w:r>
      <w:r w:rsidRPr="00310897">
        <w:rPr>
          <w:rFonts w:ascii="Times New Roman" w:eastAsia="Times New Roman" w:hAnsi="Times New Roman" w:cs="Times New Roman"/>
          <w:lang w:eastAsia="en-US"/>
        </w:rPr>
        <w:t>ground</w:t>
      </w:r>
      <w:r w:rsidRPr="00310897">
        <w:rPr>
          <w:rFonts w:ascii="Times New Roman" w:eastAsia="Times New Roman" w:hAnsi="Times New Roman" w:cs="Times New Roman"/>
          <w:spacing w:val="-13"/>
          <w:lang w:eastAsia="en-US"/>
        </w:rPr>
        <w:t xml:space="preserve"> </w:t>
      </w:r>
      <w:r w:rsidRPr="00310897">
        <w:rPr>
          <w:rFonts w:ascii="Times New Roman" w:eastAsia="Times New Roman" w:hAnsi="Times New Roman" w:cs="Times New Roman"/>
          <w:lang w:eastAsia="en-US"/>
        </w:rPr>
        <w:t>level,</w:t>
      </w:r>
      <w:r w:rsidRPr="00310897">
        <w:rPr>
          <w:rFonts w:ascii="Times New Roman" w:eastAsia="Times New Roman" w:hAnsi="Times New Roman" w:cs="Times New Roman"/>
          <w:spacing w:val="-11"/>
          <w:lang w:eastAsia="en-US"/>
        </w:rPr>
        <w:t xml:space="preserve"> </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its</w:t>
      </w:r>
      <w:r w:rsidRPr="00310897">
        <w:rPr>
          <w:rFonts w:ascii="Times New Roman" w:eastAsia="Times New Roman" w:hAnsi="Times New Roman" w:cs="Times New Roman"/>
          <w:spacing w:val="-10"/>
          <w:lang w:eastAsia="en-US"/>
        </w:rPr>
        <w:t xml:space="preserve"> </w:t>
      </w:r>
      <w:r w:rsidRPr="00310897">
        <w:rPr>
          <w:rFonts w:ascii="Times New Roman" w:eastAsia="Times New Roman" w:hAnsi="Times New Roman" w:cs="Times New Roman"/>
          <w:lang w:eastAsia="en-US"/>
        </w:rPr>
        <w:t>depth</w:t>
      </w:r>
      <w:r w:rsidRPr="00310897">
        <w:rPr>
          <w:rFonts w:ascii="Times New Roman" w:eastAsia="Times New Roman" w:hAnsi="Times New Roman" w:cs="Times New Roman"/>
          <w:spacing w:val="-11"/>
          <w:lang w:eastAsia="en-US"/>
        </w:rPr>
        <w:t xml:space="preserve"> </w:t>
      </w:r>
      <w:r w:rsidRPr="00310897">
        <w:rPr>
          <w:rFonts w:ascii="Times New Roman" w:eastAsia="Times New Roman" w:hAnsi="Times New Roman" w:cs="Times New Roman"/>
          <w:lang w:eastAsia="en-US"/>
        </w:rPr>
        <w:t>would have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been</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readily</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apparent</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and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would</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itself</w:t>
      </w:r>
      <w:r w:rsidRPr="00310897">
        <w:rPr>
          <w:rFonts w:ascii="Times New Roman" w:eastAsia="Times New Roman" w:hAnsi="Times New Roman" w:cs="Times New Roman"/>
          <w:spacing w:val="-19"/>
          <w:lang w:eastAsia="en-US"/>
        </w:rPr>
        <w:t xml:space="preserve"> </w:t>
      </w:r>
      <w:r w:rsidRPr="00310897">
        <w:rPr>
          <w:rFonts w:ascii="Times New Roman" w:eastAsia="Times New Roman" w:hAnsi="Times New Roman" w:cs="Times New Roman"/>
          <w:lang w:eastAsia="en-US"/>
        </w:rPr>
        <w:t>have</w:t>
      </w:r>
      <w:r w:rsidRPr="00310897">
        <w:rPr>
          <w:rFonts w:ascii="Times New Roman" w:eastAsia="Times New Roman" w:hAnsi="Times New Roman" w:cs="Times New Roman"/>
          <w:spacing w:val="-18"/>
          <w:lang w:eastAsia="en-US"/>
        </w:rPr>
        <w:t xml:space="preserve"> </w:t>
      </w:r>
      <w:r w:rsidRPr="00310897">
        <w:rPr>
          <w:rFonts w:ascii="Times New Roman" w:eastAsia="Times New Roman" w:hAnsi="Times New Roman" w:cs="Times New Roman"/>
          <w:lang w:eastAsia="en-US"/>
        </w:rPr>
        <w:t xml:space="preserve">served </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s</w:t>
      </w:r>
      <w:r w:rsidRPr="00310897">
        <w:rPr>
          <w:rFonts w:ascii="Times New Roman" w:eastAsia="Times New Roman" w:hAnsi="Times New Roman" w:cs="Times New Roman"/>
          <w:spacing w:val="29"/>
          <w:lang w:eastAsia="en-US"/>
        </w:rPr>
        <w:t xml:space="preserve"> </w:t>
      </w:r>
      <w:r w:rsidRPr="00310897">
        <w:rPr>
          <w:rFonts w:ascii="Times New Roman" w:eastAsia="Times New Roman" w:hAnsi="Times New Roman" w:cs="Times New Roman"/>
          <w:spacing w:val="2"/>
          <w:lang w:eastAsia="en-US"/>
        </w:rPr>
        <w:t>a</w:t>
      </w:r>
      <w:r w:rsidRPr="00310897">
        <w:rPr>
          <w:rFonts w:ascii="Times New Roman" w:eastAsia="Times New Roman" w:hAnsi="Times New Roman" w:cs="Times New Roman"/>
          <w:lang w:eastAsia="en-US"/>
        </w:rPr>
        <w:t>n</w:t>
      </w:r>
      <w:r w:rsidRPr="00310897">
        <w:rPr>
          <w:rFonts w:ascii="Times New Roman" w:eastAsia="Times New Roman" w:hAnsi="Times New Roman" w:cs="Times New Roman"/>
          <w:spacing w:val="26"/>
          <w:lang w:eastAsia="en-US"/>
        </w:rPr>
        <w:t xml:space="preserve"> </w:t>
      </w:r>
      <w:r w:rsidRPr="00310897">
        <w:rPr>
          <w:rFonts w:ascii="Times New Roman" w:eastAsia="Times New Roman" w:hAnsi="Times New Roman" w:cs="Times New Roman"/>
          <w:lang w:eastAsia="en-US"/>
        </w:rPr>
        <w:t>evident</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warning</w:t>
      </w:r>
      <w:r w:rsidRPr="00310897">
        <w:rPr>
          <w:rFonts w:ascii="Times New Roman" w:eastAsia="Times New Roman" w:hAnsi="Times New Roman" w:cs="Times New Roman"/>
          <w:spacing w:val="21"/>
          <w:lang w:eastAsia="en-US"/>
        </w:rPr>
        <w:t xml:space="preserve"> </w:t>
      </w:r>
      <w:r w:rsidRPr="00310897">
        <w:rPr>
          <w:rFonts w:ascii="Times New Roman" w:eastAsia="Times New Roman" w:hAnsi="Times New Roman" w:cs="Times New Roman"/>
          <w:lang w:eastAsia="en-US"/>
        </w:rPr>
        <w:t>against</w:t>
      </w:r>
      <w:r w:rsidRPr="00310897">
        <w:rPr>
          <w:rFonts w:ascii="Times New Roman" w:eastAsia="Times New Roman" w:hAnsi="Times New Roman" w:cs="Times New Roman"/>
          <w:spacing w:val="22"/>
          <w:lang w:eastAsia="en-US"/>
        </w:rPr>
        <w:t xml:space="preserve"> </w:t>
      </w:r>
      <w:r w:rsidRPr="00310897">
        <w:rPr>
          <w:rFonts w:ascii="Times New Roman" w:eastAsia="Times New Roman" w:hAnsi="Times New Roman" w:cs="Times New Roman"/>
          <w:lang w:eastAsia="en-US"/>
        </w:rPr>
        <w:t>diving</w:t>
      </w:r>
      <w:r w:rsidR="00B05F31">
        <w:rPr>
          <w:rFonts w:ascii="Times New Roman" w:eastAsia="Times New Roman" w:hAnsi="Times New Roman" w:cs="Times New Roman"/>
          <w:lang w:eastAsia="en-US"/>
        </w:rPr>
        <w:t>”</w:t>
      </w:r>
      <w:r w:rsidRPr="00310897">
        <w:rPr>
          <w:rFonts w:ascii="Times New Roman" w:eastAsia="Times New Roman" w:hAnsi="Times New Roman" w:cs="Times New Roman"/>
          <w:lang w:eastAsia="en-US"/>
        </w:rPr>
        <w: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readily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apparent 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 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sense,</w:t>
      </w:r>
      <w:r w:rsidRPr="00C85B70">
        <w:rPr>
          <w:rFonts w:ascii="Times New Roman" w:eastAsia="Times New Roman" w:hAnsi="Times New Roman" w:cs="Times New Roman"/>
          <w:spacing w:val="-8"/>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liability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failing to 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eone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of 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or hazard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he [or she] </w:t>
      </w:r>
      <w:r w:rsidRPr="00C85B70">
        <w:rPr>
          <w:rFonts w:ascii="Times New Roman" w:eastAsia="Times New Roman" w:hAnsi="Times New Roman" w:cs="Times New Roman"/>
          <w:w w:val="99"/>
          <w:lang w:eastAsia="en-US"/>
        </w:rPr>
        <w:t>appreciated</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sa</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extent</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warning</w:t>
      </w:r>
      <w:r w:rsidRPr="00C85B70">
        <w:rPr>
          <w:rFonts w:ascii="Times New Roman" w:eastAsia="Times New Roman" w:hAnsi="Times New Roman" w:cs="Times New Roman"/>
          <w:spacing w:val="-13"/>
          <w:w w:val="99"/>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have provided</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(Prosser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Keeton,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6"/>
          <w:lang w:eastAsia="en-US"/>
        </w:rPr>
        <w:t xml:space="preserve"> </w:t>
      </w:r>
      <w:r w:rsidR="00310897">
        <w:rPr>
          <w:rFonts w:ascii="Times New Roman" w:eastAsia="Times New Roman" w:hAnsi="Times New Roman" w:cs="Times New Roman"/>
          <w:lang w:eastAsia="en-US"/>
        </w:rPr>
        <w:t xml:space="preserve">686). </w:t>
      </w:r>
      <w:r w:rsidRPr="00C85B70">
        <w:rPr>
          <w:rFonts w:ascii="Times New Roman" w:eastAsia="Times New Roman" w:hAnsi="Times New Roman" w:cs="Times New Roman"/>
          <w:lang w:eastAsia="en-US"/>
        </w:rPr>
        <w:t>Put differently,</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when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added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nothing 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user</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appreciation</w:t>
      </w:r>
      <w:r w:rsidRPr="00C85B70">
        <w:rPr>
          <w:rFonts w:ascii="Times New Roman" w:eastAsia="Times New Roman" w:hAnsi="Times New Roman" w:cs="Times New Roman"/>
          <w:spacing w:val="-10"/>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warn exists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benefit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gained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1"/>
          <w:lang w:eastAsia="en-US"/>
        </w:rPr>
        <w:t>b</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qu</w:t>
      </w:r>
      <w:r w:rsidRPr="00C85B70">
        <w:rPr>
          <w:rFonts w:ascii="Times New Roman" w:eastAsia="Times New Roman" w:hAnsi="Times New Roman" w:cs="Times New Roman"/>
          <w:lang w:eastAsia="en-US"/>
        </w:rPr>
        <w:t>iring</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 warning.  On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hand,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open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obvious defense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generally should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apply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are aspects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hazard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oncealed or</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not reasonably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apparent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 xml:space="preserve">user.  </w:t>
      </w:r>
    </w:p>
    <w:p w14:paraId="1FF6723B" w14:textId="77777777" w:rsidR="00C85B70" w:rsidRPr="00C85B70" w:rsidRDefault="00C85B70" w:rsidP="00FE7B7F">
      <w:pPr>
        <w:ind w:right="66" w:firstLine="66"/>
        <w:rPr>
          <w:rFonts w:ascii="Times New Roman" w:eastAsia="Times New Roman" w:hAnsi="Times New Roman" w:cs="Times New Roman"/>
          <w:lang w:eastAsia="en-US"/>
        </w:rPr>
      </w:pPr>
    </w:p>
    <w:p w14:paraId="4C88F6B5" w14:textId="749E8E9F" w:rsidR="00C85B70" w:rsidRPr="00C85B70" w:rsidRDefault="00C85B70" w:rsidP="00377786">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particularly i</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portant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requiring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a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 to</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could </w:t>
      </w:r>
      <w:r w:rsidRPr="00C85B70">
        <w:rPr>
          <w:rFonts w:ascii="Times New Roman" w:eastAsia="Times New Roman" w:hAnsi="Times New Roman" w:cs="Times New Roman"/>
          <w:w w:val="99"/>
          <w:lang w:eastAsia="en-US"/>
        </w:rPr>
        <w:t>greatly</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w w:val="99"/>
          <w:lang w:eastAsia="en-US"/>
        </w:rPr>
        <w:t>increase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w w:val="99"/>
          <w:lang w:eastAsia="en-US"/>
        </w:rPr>
        <w:t>nu</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ber</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warnings</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acco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panying certain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products. </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If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ust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against even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obvious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1"/>
          <w:lang w:eastAsia="en-US"/>
        </w:rPr>
        <w:t>d</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ng</w:t>
      </w:r>
      <w:r w:rsidRPr="00C85B70">
        <w:rPr>
          <w:rFonts w:ascii="Times New Roman" w:eastAsia="Times New Roman" w:hAnsi="Times New Roman" w:cs="Times New Roman"/>
          <w:lang w:eastAsia="en-US"/>
        </w:rPr>
        <w:t xml:space="preserve">ers,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list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foolish</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practices warned against would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long,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woul</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ll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volu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w:t>
      </w:r>
      <w:r w:rsidRPr="750671CE">
        <w:rPr>
          <w:rFonts w:ascii="Times New Roman" w:eastAsia="Times New Roman" w:hAnsi="Times New Roman" w:cs="Times New Roman"/>
          <w:i/>
          <w:iCs/>
          <w:lang w:eastAsia="en-US"/>
        </w:rPr>
        <w:t>Kerr</w:t>
      </w:r>
      <w:r w:rsidRPr="750671CE">
        <w:rPr>
          <w:rFonts w:ascii="Times New Roman" w:eastAsia="Times New Roman" w:hAnsi="Times New Roman" w:cs="Times New Roman"/>
          <w:i/>
          <w:iCs/>
          <w:spacing w:val="47"/>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29"/>
          <w:lang w:eastAsia="en-US"/>
        </w:rPr>
        <w:t xml:space="preserve"> </w:t>
      </w:r>
      <w:r w:rsidRPr="750671CE">
        <w:rPr>
          <w:rFonts w:ascii="Times New Roman" w:eastAsia="Times New Roman" w:hAnsi="Times New Roman" w:cs="Times New Roman"/>
          <w:i/>
          <w:iCs/>
          <w:lang w:eastAsia="en-US"/>
        </w:rPr>
        <w:t>Koemm</w:t>
      </w:r>
      <w:r w:rsidRPr="00C85B70">
        <w:rPr>
          <w:rFonts w:ascii="Times New Roman" w:eastAsia="Times New Roman" w:hAnsi="Times New Roman" w:cs="Times New Roman"/>
          <w:lang w:eastAsia="en-US"/>
        </w:rPr>
        <w:t>, 5</w:t>
      </w:r>
      <w:r w:rsidRPr="00C85B70">
        <w:rPr>
          <w:rFonts w:ascii="Times New Roman" w:eastAsia="Times New Roman" w:hAnsi="Times New Roman" w:cs="Times New Roman"/>
          <w:spacing w:val="1"/>
          <w:lang w:eastAsia="en-US"/>
        </w:rPr>
        <w:t>5</w:t>
      </w:r>
      <w:r w:rsidRPr="00C85B70">
        <w:rPr>
          <w:rFonts w:ascii="Times New Roman" w:eastAsia="Times New Roman" w:hAnsi="Times New Roman" w:cs="Times New Roman"/>
          <w:lang w:eastAsia="en-US"/>
        </w:rPr>
        <w:t>7</w:t>
      </w:r>
      <w:r w:rsidRPr="00C85B70">
        <w:rPr>
          <w:rFonts w:ascii="Times New Roman" w:eastAsia="Times New Roman" w:hAnsi="Times New Roman" w:cs="Times New Roman"/>
          <w:spacing w:val="38"/>
          <w:lang w:eastAsia="en-US"/>
        </w:rPr>
        <w:t xml:space="preserve"> </w:t>
      </w:r>
      <w:r w:rsidRPr="00C85B70">
        <w:rPr>
          <w:rFonts w:ascii="Times New Roman" w:eastAsia="Times New Roman" w:hAnsi="Times New Roman" w:cs="Times New Roman"/>
          <w:lang w:eastAsia="en-US"/>
        </w:rPr>
        <w:t>F.</w:t>
      </w:r>
      <w:r w:rsidR="00A65BB3">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Supp.</w:t>
      </w:r>
      <w:r w:rsidRPr="00C85B70">
        <w:rPr>
          <w:rFonts w:ascii="Times New Roman" w:eastAsia="Times New Roman" w:hAnsi="Times New Roman" w:cs="Times New Roman"/>
          <w:spacing w:val="34"/>
          <w:lang w:eastAsia="en-US"/>
        </w:rPr>
        <w:t xml:space="preserve"> </w:t>
      </w:r>
      <w:r w:rsidRPr="00C85B70">
        <w:rPr>
          <w:rFonts w:ascii="Times New Roman" w:eastAsia="Times New Roman" w:hAnsi="Times New Roman" w:cs="Times New Roman"/>
          <w:lang w:eastAsia="en-US"/>
        </w:rPr>
        <w:t>283,</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lang w:eastAsia="en-US"/>
        </w:rPr>
        <w:t>288 [S.D.N.Y. 1983]</w:t>
      </w:r>
      <w:r w:rsidRPr="00C85B70">
        <w:rPr>
          <w:rFonts w:ascii="Times New Roman" w:eastAsia="Times New Roman" w:hAnsi="Times New Roman" w:cs="Times New Roman"/>
          <w:spacing w:val="3"/>
          <w:lang w:eastAsia="en-US"/>
        </w:rPr>
        <w:t xml:space="preserve"> </w:t>
      </w:r>
      <w:r w:rsidR="00280B55">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Requiring too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warnings trivializes</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under</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ines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entire</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purpose</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the rule,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drowning out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cauti</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against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latent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dangers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 which</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user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ght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otherwise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3"/>
          <w:lang w:eastAsia="en-US"/>
        </w:rPr>
        <w:t xml:space="preserve"> </w:t>
      </w:r>
      <w:r w:rsidR="00280B55">
        <w:rPr>
          <w:rFonts w:ascii="Times New Roman" w:eastAsia="Times New Roman" w:hAnsi="Times New Roman" w:cs="Times New Roman"/>
          <w:lang w:eastAsia="en-US"/>
        </w:rPr>
        <w:t xml:space="preserve">aware.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 require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would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neutralize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effecti</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lang w:eastAsia="en-US"/>
        </w:rPr>
        <w:t>eness of warnings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inexpensive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allow</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consu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to adjust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their</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w w:val="99"/>
          <w:lang w:eastAsia="en-US"/>
        </w:rPr>
        <w:t>behavior</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based</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w w:val="99"/>
          <w:lang w:eastAsia="en-US"/>
        </w:rPr>
        <w:t>knowledge</w:t>
      </w:r>
      <w:r w:rsidRPr="00C85B70">
        <w:rPr>
          <w:rFonts w:ascii="Times New Roman" w:eastAsia="Times New Roman" w:hAnsi="Times New Roman" w:cs="Times New Roman"/>
          <w:spacing w:val="-14"/>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product</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 inherent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dangers.</w:t>
      </w:r>
    </w:p>
    <w:p w14:paraId="3D6D5D37" w14:textId="77777777" w:rsidR="00C85B70" w:rsidRPr="00C85B70" w:rsidRDefault="00C85B70" w:rsidP="00FE7B7F">
      <w:pPr>
        <w:ind w:right="66"/>
        <w:rPr>
          <w:rFonts w:ascii="Times New Roman" w:eastAsia="Times New Roman" w:hAnsi="Times New Roman" w:cs="Times New Roman"/>
          <w:lang w:eastAsia="en-US"/>
        </w:rPr>
      </w:pPr>
    </w:p>
    <w:p w14:paraId="279DCA31" w14:textId="4B161BD1" w:rsidR="00C85B70" w:rsidRPr="00C85B70" w:rsidRDefault="00C85B70" w:rsidP="750671CE">
      <w:pPr>
        <w:ind w:right="66" w:firstLine="720"/>
        <w:rPr>
          <w:rFonts w:ascii="Times New Roman" w:eastAsia="Times New Roman" w:hAnsi="Times New Roman" w:cs="Times New Roman"/>
          <w:lang w:eastAsia="en-US"/>
        </w:rPr>
      </w:pP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hi</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portant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open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and obvious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exception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ad</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inister. </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
          <w:lang w:eastAsia="en-US"/>
        </w:rPr>
        <w:t>p</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cific</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nature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inquiry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into whether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renders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bright-line pronounce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difficu</w:t>
      </w:r>
      <w:r w:rsidRPr="00280B55">
        <w:rPr>
          <w:rFonts w:ascii="Times New Roman" w:eastAsia="Times New Roman" w:hAnsi="Times New Roman" w:cs="Times New Roman"/>
          <w:spacing w:val="1"/>
          <w:lang w:eastAsia="en-US"/>
        </w:rPr>
        <w:t>lt</w:t>
      </w:r>
      <w:r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close cases it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easy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disagree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obv</w:t>
      </w:r>
      <w:r w:rsidRPr="00280B55">
        <w:rPr>
          <w:rFonts w:ascii="Times New Roman" w:eastAsia="Times New Roman" w:hAnsi="Times New Roman" w:cs="Times New Roman"/>
          <w:spacing w:val="1"/>
          <w:lang w:eastAsia="en-US"/>
        </w:rPr>
        <w:t>iou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 It</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rd</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set</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standard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obviousness</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is neit</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under-nor</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over-inclusive</w:t>
      </w:r>
      <w:r w:rsidRPr="00C85B70">
        <w:rPr>
          <w:rFonts w:ascii="Times New Roman" w:eastAsia="Times New Roman" w:hAnsi="Times New Roman" w:cs="Times New Roman"/>
          <w:lang w:eastAsia="en-US"/>
        </w:rPr>
        <w:t>.</w:t>
      </w:r>
    </w:p>
    <w:p w14:paraId="6B629104" w14:textId="77777777" w:rsidR="00C85B70" w:rsidRPr="00C85B70" w:rsidRDefault="00C85B70" w:rsidP="00FE7B7F">
      <w:pPr>
        <w:ind w:right="66"/>
        <w:rPr>
          <w:rFonts w:ascii="Times New Roman" w:eastAsia="Times New Roman" w:hAnsi="Times New Roman" w:cs="Times New Roman"/>
          <w:lang w:eastAsia="en-US"/>
        </w:rPr>
      </w:pPr>
    </w:p>
    <w:p w14:paraId="3F6230C7" w14:textId="77777777" w:rsidR="00C85B70" w:rsidRPr="00C85B70" w:rsidRDefault="00C85B70" w:rsidP="750671CE">
      <w:pPr>
        <w:ind w:right="66"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3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37"/>
          <w:lang w:eastAsia="en-US"/>
        </w:rPr>
        <w:t xml:space="preserve"> </w:t>
      </w:r>
      <w:r w:rsidRPr="00C85B70">
        <w:rPr>
          <w:rFonts w:ascii="Times New Roman" w:eastAsia="Times New Roman" w:hAnsi="Times New Roman" w:cs="Times New Roman"/>
          <w:w w:val="99"/>
          <w:lang w:eastAsia="en-US"/>
        </w:rPr>
        <w:t xml:space="preserve">the </w:t>
      </w:r>
      <w:r w:rsidRPr="00C85B70">
        <w:rPr>
          <w:rFonts w:ascii="Times New Roman" w:eastAsia="Times New Roman" w:hAnsi="Times New Roman" w:cs="Times New Roman"/>
          <w:lang w:eastAsia="en-US"/>
        </w:rPr>
        <w:t>factual</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nature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inquiry,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whether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w w:val="99"/>
          <w:lang w:eastAsia="en-US"/>
        </w:rPr>
        <w:t xml:space="preserve">open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ob</w:t>
      </w:r>
      <w:r w:rsidRPr="00C85B70">
        <w:rPr>
          <w:rFonts w:ascii="Times New Roman" w:eastAsia="Times New Roman" w:hAnsi="Times New Roman" w:cs="Times New Roman"/>
          <w:lang w:eastAsia="en-US"/>
        </w:rPr>
        <w:t>vious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often</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jury</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 xml:space="preserve">question. </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here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one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on</w:t>
      </w:r>
      <w:r w:rsidRPr="00C85B70">
        <w:rPr>
          <w:rFonts w:ascii="Times New Roman" w:eastAsia="Times New Roman" w:hAnsi="Times New Roman" w:cs="Times New Roman"/>
          <w:lang w:eastAsia="en-US"/>
        </w:rPr>
        <w:t>clusion</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drawn</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established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fact</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 however, 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issue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whe</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her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1"/>
          <w:lang w:eastAsia="en-US"/>
        </w:rPr>
        <w:t>op</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and obvious</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decided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atter</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law. . . .</w:t>
      </w:r>
    </w:p>
    <w:p w14:paraId="34F6128B" w14:textId="77777777" w:rsidR="00C85B70" w:rsidRPr="00C85B70" w:rsidRDefault="00C85B70" w:rsidP="00FE7B7F">
      <w:pPr>
        <w:rPr>
          <w:rFonts w:ascii="Times New Roman" w:eastAsia="Times New Roman" w:hAnsi="Times New Roman" w:cs="Times New Roman"/>
          <w:lang w:eastAsia="en-US"/>
        </w:rPr>
      </w:pPr>
    </w:p>
    <w:p w14:paraId="5F322693" w14:textId="77777777" w:rsidR="00C85B70" w:rsidRPr="00C85B70" w:rsidRDefault="00C85B70" w:rsidP="00FE7B7F">
      <w:pPr>
        <w:rPr>
          <w:rFonts w:ascii="Times New Roman" w:eastAsia="Times New Roman" w:hAnsi="Times New Roman" w:cs="Times New Roman"/>
          <w:lang w:eastAsia="en-US"/>
        </w:rPr>
      </w:pPr>
    </w:p>
    <w:p w14:paraId="21FECB91" w14:textId="77777777" w:rsidR="00C85B70" w:rsidRPr="00C85B70" w:rsidRDefault="00C85B70" w:rsidP="00910387">
      <w:pPr>
        <w:pStyle w:val="Heading5"/>
      </w:pPr>
      <w:bookmarkStart w:id="1057" w:name="_Toc364636285"/>
      <w:bookmarkStart w:id="1058" w:name="_Toc518323564"/>
      <w:r w:rsidRPr="00C85B70">
        <w:t>Note</w:t>
      </w:r>
      <w:bookmarkEnd w:id="1057"/>
      <w:bookmarkEnd w:id="1058"/>
    </w:p>
    <w:p w14:paraId="46D43E4F" w14:textId="77777777" w:rsidR="00C85B70" w:rsidRPr="00C85B70" w:rsidRDefault="00C85B70" w:rsidP="00FE7B7F">
      <w:pPr>
        <w:spacing w:before="29"/>
        <w:ind w:right="147"/>
        <w:rPr>
          <w:rFonts w:ascii="Times New Roman" w:eastAsia="Times New Roman" w:hAnsi="Times New Roman" w:cs="Times New Roman"/>
          <w:lang w:eastAsia="en-US"/>
        </w:rPr>
      </w:pPr>
    </w:p>
    <w:p w14:paraId="57674539" w14:textId="19B47790" w:rsidR="00C85B70" w:rsidRPr="00F94B7E" w:rsidRDefault="00C85B70" w:rsidP="00F94B7E">
      <w:pPr>
        <w:pStyle w:val="ListParagraph"/>
        <w:numPr>
          <w:ilvl w:val="0"/>
          <w:numId w:val="50"/>
        </w:numPr>
        <w:spacing w:before="29"/>
        <w:ind w:left="0" w:right="147" w:firstLine="360"/>
        <w:rPr>
          <w:rFonts w:ascii="Times New Roman" w:eastAsia="Times New Roman" w:hAnsi="Times New Roman" w:cs="Times New Roman"/>
          <w:lang w:eastAsia="en-US"/>
        </w:rPr>
      </w:pPr>
      <w:r w:rsidRPr="00F94B7E">
        <w:rPr>
          <w:rFonts w:ascii="Times New Roman" w:eastAsia="Times New Roman" w:hAnsi="Times New Roman" w:cs="Times New Roman"/>
          <w:lang w:eastAsia="en-US"/>
        </w:rPr>
        <w:t xml:space="preserve">In </w:t>
      </w:r>
      <w:r w:rsidRPr="00F94B7E">
        <w:rPr>
          <w:rFonts w:ascii="Times New Roman" w:eastAsia="Times New Roman" w:hAnsi="Times New Roman" w:cs="Times New Roman"/>
          <w:i/>
          <w:iCs/>
          <w:lang w:eastAsia="en-US"/>
        </w:rPr>
        <w:t>Liriano II</w:t>
      </w:r>
      <w:r w:rsidRPr="00F94B7E">
        <w:rPr>
          <w:rFonts w:ascii="Times New Roman" w:eastAsia="Times New Roman" w:hAnsi="Times New Roman" w:cs="Times New Roman"/>
          <w:lang w:eastAsia="en-US"/>
        </w:rPr>
        <w:t>, the New</w:t>
      </w:r>
      <w:r w:rsidRPr="00F94B7E">
        <w:rPr>
          <w:rFonts w:ascii="Times New Roman" w:eastAsia="Times New Roman" w:hAnsi="Times New Roman" w:cs="Times New Roman"/>
          <w:spacing w:val="-2"/>
          <w:lang w:eastAsia="en-US"/>
        </w:rPr>
        <w:t xml:space="preserve"> </w:t>
      </w:r>
      <w:r w:rsidRPr="00F94B7E">
        <w:rPr>
          <w:rFonts w:ascii="Times New Roman" w:eastAsia="Times New Roman" w:hAnsi="Times New Roman" w:cs="Times New Roman"/>
          <w:lang w:eastAsia="en-US"/>
        </w:rPr>
        <w:t>York</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Court of Appeals</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declined</w:t>
      </w:r>
      <w:r w:rsidRPr="00F94B7E">
        <w:rPr>
          <w:rFonts w:ascii="Times New Roman" w:eastAsia="Times New Roman" w:hAnsi="Times New Roman" w:cs="Times New Roman"/>
          <w:spacing w:val="41"/>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ans</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er</w:t>
      </w:r>
      <w:r w:rsidRPr="00F94B7E">
        <w:rPr>
          <w:rFonts w:ascii="Times New Roman" w:eastAsia="Times New Roman" w:hAnsi="Times New Roman" w:cs="Times New Roman"/>
          <w:spacing w:val="51"/>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7"/>
          <w:lang w:eastAsia="en-US"/>
        </w:rPr>
        <w:t xml:space="preserve"> </w:t>
      </w:r>
      <w:r w:rsidRPr="00F94B7E">
        <w:rPr>
          <w:rFonts w:ascii="Times New Roman" w:eastAsia="Times New Roman" w:hAnsi="Times New Roman" w:cs="Times New Roman"/>
          <w:lang w:eastAsia="en-US"/>
        </w:rPr>
        <w:t>certified</w:t>
      </w:r>
      <w:r w:rsidRPr="00F94B7E">
        <w:rPr>
          <w:rFonts w:ascii="Times New Roman" w:eastAsia="Times New Roman" w:hAnsi="Times New Roman" w:cs="Times New Roman"/>
          <w:spacing w:val="48"/>
          <w:lang w:eastAsia="en-US"/>
        </w:rPr>
        <w:t xml:space="preserve"> </w:t>
      </w:r>
      <w:r w:rsidRPr="00F94B7E">
        <w:rPr>
          <w:rFonts w:ascii="Times New Roman" w:eastAsia="Times New Roman" w:hAnsi="Times New Roman" w:cs="Times New Roman"/>
          <w:lang w:eastAsia="en-US"/>
        </w:rPr>
        <w:t>questio</w:t>
      </w:r>
      <w:r w:rsidR="00F450E2" w:rsidRPr="00F94B7E">
        <w:rPr>
          <w:rFonts w:ascii="Times New Roman" w:eastAsia="Times New Roman" w:hAnsi="Times New Roman" w:cs="Times New Roman"/>
          <w:lang w:eastAsia="en-US"/>
        </w:rPr>
        <w:t>n—</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 xml:space="preserve">hether </w:t>
      </w:r>
      <w:r w:rsidRPr="00F94B7E">
        <w:rPr>
          <w:rFonts w:ascii="Times New Roman" w:eastAsia="Times New Roman" w:hAnsi="Times New Roman" w:cs="Times New Roman"/>
          <w:spacing w:val="6"/>
          <w:lang w:eastAsia="en-US"/>
        </w:rPr>
        <w:t>manufacturer</w:t>
      </w:r>
      <w:r w:rsidRPr="00F94B7E">
        <w:rPr>
          <w:rFonts w:ascii="Times New Roman" w:eastAsia="Times New Roman" w:hAnsi="Times New Roman" w:cs="Times New Roman"/>
          <w:spacing w:val="-7"/>
          <w:w w:val="111"/>
          <w:lang w:eastAsia="en-US"/>
        </w:rPr>
        <w:t xml:space="preserve"> </w:t>
      </w:r>
      <w:r w:rsidRPr="00F94B7E">
        <w:rPr>
          <w:rFonts w:ascii="Times New Roman" w:eastAsia="Times New Roman" w:hAnsi="Times New Roman" w:cs="Times New Roman"/>
          <w:lang w:eastAsia="en-US"/>
        </w:rPr>
        <w:t>liability</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lang w:eastAsia="en-US"/>
        </w:rPr>
        <w:t>for</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failure</w:t>
      </w:r>
      <w:r w:rsidRPr="00F94B7E">
        <w:rPr>
          <w:rFonts w:ascii="Times New Roman" w:eastAsia="Times New Roman" w:hAnsi="Times New Roman" w:cs="Times New Roman"/>
          <w:spacing w:val="50"/>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arn</w:t>
      </w:r>
      <w:r w:rsidRPr="00F94B7E">
        <w:rPr>
          <w:rFonts w:ascii="Times New Roman" w:eastAsia="Times New Roman" w:hAnsi="Times New Roman" w:cs="Times New Roman"/>
          <w:spacing w:val="53"/>
          <w:lang w:eastAsia="en-US"/>
        </w:rPr>
        <w:t xml:space="preserve"> </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as</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15"/>
          <w:lang w:eastAsia="en-US"/>
        </w:rPr>
        <w:t>barred</w:t>
      </w:r>
      <w:r w:rsidRPr="00F94B7E">
        <w:rPr>
          <w:rFonts w:ascii="Times New Roman" w:eastAsia="Times New Roman" w:hAnsi="Times New Roman" w:cs="Times New Roman"/>
          <w:spacing w:val="-9"/>
          <w:w w:val="115"/>
          <w:lang w:eastAsia="en-US"/>
        </w:rPr>
        <w:t xml:space="preserve"> </w:t>
      </w:r>
      <w:r w:rsidRPr="00F94B7E">
        <w:rPr>
          <w:rFonts w:ascii="Times New Roman" w:eastAsia="Times New Roman" w:hAnsi="Times New Roman" w:cs="Times New Roman"/>
          <w:lang w:eastAsia="en-US"/>
        </w:rPr>
        <w:t>as</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a</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13"/>
          <w:lang w:eastAsia="en-US"/>
        </w:rPr>
        <w:t>matter</w:t>
      </w:r>
      <w:r w:rsidRPr="00F94B7E">
        <w:rPr>
          <w:rFonts w:ascii="Times New Roman" w:eastAsia="Times New Roman" w:hAnsi="Times New Roman" w:cs="Times New Roman"/>
          <w:spacing w:val="-8"/>
          <w:w w:val="113"/>
          <w:lang w:eastAsia="en-US"/>
        </w:rPr>
        <w:t xml:space="preserve"> </w:t>
      </w:r>
      <w:r w:rsidRPr="00F94B7E">
        <w:rPr>
          <w:rFonts w:ascii="Times New Roman" w:eastAsia="Times New Roman" w:hAnsi="Times New Roman" w:cs="Times New Roman"/>
          <w:lang w:eastAsia="en-US"/>
        </w:rPr>
        <w:t>of law</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on</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w w:val="109"/>
          <w:lang w:eastAsia="en-US"/>
        </w:rPr>
        <w:t xml:space="preserve">the </w:t>
      </w:r>
      <w:r w:rsidRPr="00F94B7E">
        <w:rPr>
          <w:rFonts w:ascii="Times New Roman" w:eastAsia="Times New Roman" w:hAnsi="Times New Roman" w:cs="Times New Roman"/>
          <w:lang w:eastAsia="en-US"/>
        </w:rPr>
        <w:t>facts</w:t>
      </w:r>
      <w:r w:rsidRPr="00F94B7E">
        <w:rPr>
          <w:rFonts w:ascii="Times New Roman" w:eastAsia="Times New Roman" w:hAnsi="Times New Roman" w:cs="Times New Roman"/>
          <w:spacing w:val="27"/>
          <w:lang w:eastAsia="en-US"/>
        </w:rPr>
        <w:t xml:space="preserve"> </w:t>
      </w:r>
      <w:r w:rsidRPr="00F94B7E">
        <w:rPr>
          <w:rFonts w:ascii="Times New Roman" w:eastAsia="Times New Roman" w:hAnsi="Times New Roman" w:cs="Times New Roman"/>
          <w:lang w:eastAsia="en-US"/>
        </w:rPr>
        <w:t>of this</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case,</w:t>
      </w:r>
      <w:r w:rsidRPr="00F94B7E">
        <w:rPr>
          <w:rFonts w:ascii="Times New Roman" w:eastAsia="Times New Roman" w:hAnsi="Times New Roman" w:cs="Times New Roman"/>
          <w:spacing w:val="9"/>
          <w:lang w:eastAsia="en-US"/>
        </w:rPr>
        <w:t xml:space="preserve"> </w:t>
      </w:r>
      <w:r w:rsidRPr="00F94B7E">
        <w:rPr>
          <w:rFonts w:ascii="Times New Roman" w:eastAsia="Times New Roman" w:hAnsi="Times New Roman" w:cs="Times New Roman"/>
          <w:lang w:eastAsia="en-US"/>
        </w:rPr>
        <w:t>vie</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lang w:eastAsia="en-US"/>
        </w:rPr>
        <w:t>ed</w:t>
      </w:r>
      <w:r w:rsidRPr="00F94B7E">
        <w:rPr>
          <w:rFonts w:ascii="Times New Roman" w:eastAsia="Times New Roman" w:hAnsi="Times New Roman" w:cs="Times New Roman"/>
          <w:spacing w:val="14"/>
          <w:lang w:eastAsia="en-US"/>
        </w:rPr>
        <w:t xml:space="preserve"> </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light</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most</w:t>
      </w:r>
      <w:r w:rsidRPr="00F94B7E">
        <w:rPr>
          <w:rFonts w:ascii="Times New Roman" w:eastAsia="Times New Roman" w:hAnsi="Times New Roman" w:cs="Times New Roman"/>
          <w:spacing w:val="23"/>
          <w:lang w:eastAsia="en-US"/>
        </w:rPr>
        <w:t xml:space="preserve"> </w:t>
      </w:r>
      <w:r w:rsidRPr="00F94B7E">
        <w:rPr>
          <w:rFonts w:ascii="Times New Roman" w:eastAsia="Times New Roman" w:hAnsi="Times New Roman" w:cs="Times New Roman"/>
          <w:lang w:eastAsia="en-US"/>
        </w:rPr>
        <w:t xml:space="preserve">favorable </w:t>
      </w:r>
      <w:r w:rsidRPr="00F94B7E">
        <w:rPr>
          <w:rFonts w:ascii="Times New Roman" w:eastAsia="Times New Roman" w:hAnsi="Times New Roman" w:cs="Times New Roman"/>
          <w:spacing w:val="3"/>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plaintiff</w:t>
      </w:r>
      <w:r w:rsidR="006B5E9E" w:rsidRPr="00077DA3">
        <w:rPr>
          <w:rFonts w:ascii="Times New Roman" w:eastAsia="Times New Roman" w:hAnsi="Times New Roman" w:cs="Times New Roman"/>
          <w:lang w:eastAsia="en-US"/>
        </w:rPr>
        <w: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deference</w:t>
      </w:r>
      <w:r w:rsidRPr="00F94B7E">
        <w:rPr>
          <w:rFonts w:ascii="Times New Roman" w:eastAsia="Times New Roman" w:hAnsi="Times New Roman" w:cs="Times New Roman"/>
          <w:spacing w:val="47"/>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w w:val="109"/>
          <w:lang w:eastAsia="en-US"/>
        </w:rPr>
        <w:t xml:space="preserve">the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1"/>
          <w:lang w:eastAsia="en-US"/>
        </w:rPr>
        <w:t xml:space="preserve"> </w:t>
      </w:r>
      <w:r w:rsidRPr="00F94B7E">
        <w:rPr>
          <w:rFonts w:ascii="Times New Roman" w:eastAsia="Times New Roman" w:hAnsi="Times New Roman" w:cs="Times New Roman"/>
          <w:w w:val="111"/>
          <w:lang w:eastAsia="en-US"/>
        </w:rPr>
        <w:t>Circuit</w:t>
      </w:r>
      <w:r w:rsidR="00B05F31" w:rsidRPr="00F94B7E">
        <w:rPr>
          <w:rFonts w:ascii="Times New Roman" w:eastAsia="Times New Roman" w:hAnsi="Times New Roman" w:cs="Times New Roman"/>
          <w:w w:val="111"/>
          <w:lang w:eastAsia="en-US"/>
        </w:rPr>
        <w:t>’</w:t>
      </w:r>
      <w:r w:rsidRPr="00F94B7E">
        <w:rPr>
          <w:rFonts w:ascii="Times New Roman" w:eastAsia="Times New Roman" w:hAnsi="Times New Roman" w:cs="Times New Roman"/>
          <w:w w:val="111"/>
          <w:lang w:eastAsia="en-US"/>
        </w:rPr>
        <w:t>s</w:t>
      </w:r>
      <w:r w:rsidRPr="00F94B7E">
        <w:rPr>
          <w:rFonts w:ascii="Times New Roman" w:eastAsia="Times New Roman" w:hAnsi="Times New Roman" w:cs="Times New Roman"/>
          <w:spacing w:val="-7"/>
          <w:w w:val="111"/>
          <w:lang w:eastAsia="en-US"/>
        </w:rPr>
        <w:t xml:space="preserve"> </w:t>
      </w:r>
      <w:r w:rsidRPr="00F94B7E">
        <w:rPr>
          <w:rFonts w:ascii="Times New Roman" w:eastAsia="Times New Roman" w:hAnsi="Times New Roman" w:cs="Times New Roman"/>
          <w:lang w:eastAsia="en-US"/>
        </w:rPr>
        <w:t>review</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and</w:t>
      </w:r>
      <w:r w:rsidRPr="00F94B7E">
        <w:rPr>
          <w:rFonts w:ascii="Times New Roman" w:eastAsia="Times New Roman" w:hAnsi="Times New Roman" w:cs="Times New Roman"/>
          <w:spacing w:val="38"/>
          <w:lang w:eastAsia="en-US"/>
        </w:rPr>
        <w:t xml:space="preserve"> </w:t>
      </w:r>
      <w:r w:rsidRPr="00F94B7E">
        <w:rPr>
          <w:rFonts w:ascii="Times New Roman" w:eastAsia="Times New Roman" w:hAnsi="Times New Roman" w:cs="Times New Roman"/>
          <w:w w:val="107"/>
          <w:lang w:eastAsia="en-US"/>
        </w:rPr>
        <w:t>application</w:t>
      </w:r>
      <w:r w:rsidRPr="00F94B7E">
        <w:rPr>
          <w:rFonts w:ascii="Times New Roman" w:eastAsia="Times New Roman" w:hAnsi="Times New Roman" w:cs="Times New Roman"/>
          <w:spacing w:val="-4"/>
          <w:w w:val="107"/>
          <w:lang w:eastAsia="en-US"/>
        </w:rPr>
        <w:t xml:space="preserve"> </w:t>
      </w:r>
      <w:r w:rsidRPr="00F94B7E">
        <w:rPr>
          <w:rFonts w:ascii="Times New Roman" w:eastAsia="Times New Roman" w:hAnsi="Times New Roman" w:cs="Times New Roman"/>
          <w:lang w:eastAsia="en-US"/>
        </w:rPr>
        <w:t>of existing</w:t>
      </w:r>
      <w:r w:rsidRPr="00F94B7E">
        <w:rPr>
          <w:rFonts w:ascii="Times New Roman" w:eastAsia="Times New Roman" w:hAnsi="Times New Roman" w:cs="Times New Roman"/>
          <w:spacing w:val="23"/>
          <w:lang w:eastAsia="en-US"/>
        </w:rPr>
        <w:t xml:space="preserve"> </w:t>
      </w:r>
      <w:r w:rsidRPr="00F94B7E">
        <w:rPr>
          <w:rFonts w:ascii="Times New Roman" w:eastAsia="Times New Roman" w:hAnsi="Times New Roman" w:cs="Times New Roman"/>
          <w:lang w:eastAsia="en-US"/>
        </w:rPr>
        <w:t xml:space="preserve">principles </w:t>
      </w:r>
      <w:r w:rsidRPr="00F94B7E">
        <w:rPr>
          <w:rFonts w:ascii="Times New Roman" w:eastAsia="Times New Roman" w:hAnsi="Times New Roman" w:cs="Times New Roman"/>
          <w:spacing w:val="6"/>
          <w:lang w:eastAsia="en-US"/>
        </w:rPr>
        <w:t>of</w:t>
      </w:r>
      <w:r w:rsidRPr="00F94B7E">
        <w:rPr>
          <w:rFonts w:ascii="Times New Roman" w:eastAsia="Times New Roman" w:hAnsi="Times New Roman" w:cs="Times New Roman"/>
          <w:lang w:eastAsia="en-US"/>
        </w:rPr>
        <w:t xml:space="preserve"> law</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to</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facts,</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w w:val="106"/>
          <w:lang w:eastAsia="en-US"/>
        </w:rPr>
        <w:t xml:space="preserve">as </w:t>
      </w:r>
      <w:r w:rsidRPr="00F94B7E">
        <w:rPr>
          <w:rFonts w:ascii="Times New Roman" w:eastAsia="Times New Roman" w:hAnsi="Times New Roman" w:cs="Times New Roman"/>
          <w:lang w:eastAsia="en-US"/>
        </w:rPr>
        <w:t>amplified</w:t>
      </w:r>
      <w:r w:rsidRPr="00F94B7E">
        <w:rPr>
          <w:rFonts w:ascii="Times New Roman" w:eastAsia="Times New Roman" w:hAnsi="Times New Roman" w:cs="Times New Roman"/>
          <w:spacing w:val="46"/>
          <w:lang w:eastAsia="en-US"/>
        </w:rPr>
        <w:t xml:space="preserve"> </w:t>
      </w:r>
      <w:r w:rsidRPr="00F94B7E">
        <w:rPr>
          <w:rFonts w:ascii="Times New Roman" w:eastAsia="Times New Roman" w:hAnsi="Times New Roman" w:cs="Times New Roman"/>
          <w:lang w:eastAsia="en-US"/>
        </w:rPr>
        <w:t>by</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full</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lang w:eastAsia="en-US"/>
        </w:rPr>
        <w:t xml:space="preserve">record </w:t>
      </w:r>
      <w:r w:rsidRPr="00F94B7E">
        <w:rPr>
          <w:rFonts w:ascii="Times New Roman" w:eastAsia="Times New Roman" w:hAnsi="Times New Roman" w:cs="Times New Roman"/>
          <w:spacing w:val="1"/>
          <w:lang w:eastAsia="en-US"/>
        </w:rPr>
        <w:t>before</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lang w:eastAsia="en-US"/>
        </w:rPr>
        <w:t>that</w:t>
      </w:r>
      <w:r w:rsidRPr="00F94B7E">
        <w:rPr>
          <w:rFonts w:ascii="Times New Roman" w:eastAsia="Times New Roman" w:hAnsi="Times New Roman" w:cs="Times New Roman"/>
          <w:spacing w:val="54"/>
          <w:lang w:eastAsia="en-US"/>
        </w:rPr>
        <w:t xml:space="preserve"> </w:t>
      </w:r>
      <w:r w:rsidRPr="00F94B7E">
        <w:rPr>
          <w:rFonts w:ascii="Times New Roman" w:eastAsia="Times New Roman" w:hAnsi="Times New Roman" w:cs="Times New Roman"/>
          <w:w w:val="111"/>
          <w:lang w:eastAsia="en-US"/>
        </w:rPr>
        <w:t>Court.</w:t>
      </w:r>
      <w:r w:rsidR="00B05F31" w:rsidRPr="00F94B7E">
        <w:rPr>
          <w:rFonts w:ascii="Times New Roman" w:eastAsia="Times New Roman" w:hAnsi="Times New Roman" w:cs="Times New Roman"/>
          <w:w w:val="111"/>
          <w:lang w:eastAsia="en-US"/>
        </w:rPr>
        <w:t>”</w:t>
      </w:r>
      <w:r w:rsidRPr="00F94B7E">
        <w:rPr>
          <w:rFonts w:ascii="Times New Roman" w:eastAsia="Times New Roman" w:hAnsi="Times New Roman" w:cs="Times New Roman"/>
          <w:spacing w:val="53"/>
          <w:w w:val="111"/>
          <w:lang w:eastAsia="en-US"/>
        </w:rPr>
        <w:t xml:space="preserve"> </w:t>
      </w:r>
      <w:r w:rsidRPr="00F94B7E">
        <w:rPr>
          <w:rFonts w:ascii="Times New Roman" w:eastAsia="Times New Roman" w:hAnsi="Times New Roman" w:cs="Times New Roman"/>
          <w:lang w:eastAsia="en-US"/>
        </w:rPr>
        <w:t>On</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w w:val="116"/>
          <w:lang w:eastAsia="en-US"/>
        </w:rPr>
        <w:t>return</w:t>
      </w:r>
      <w:r w:rsidRPr="00F94B7E">
        <w:rPr>
          <w:rFonts w:ascii="Times New Roman" w:eastAsia="Times New Roman" w:hAnsi="Times New Roman" w:cs="Times New Roman"/>
          <w:spacing w:val="-10"/>
          <w:w w:val="116"/>
          <w:lang w:eastAsia="en-US"/>
        </w:rPr>
        <w:t xml:space="preserve"> </w:t>
      </w:r>
      <w:r w:rsidRPr="00F94B7E">
        <w:rPr>
          <w:rFonts w:ascii="Times New Roman" w:eastAsia="Times New Roman" w:hAnsi="Times New Roman" w:cs="Times New Roman"/>
          <w:lang w:eastAsia="en-US"/>
        </w:rPr>
        <w:t>from</w:t>
      </w:r>
      <w:r w:rsidRPr="00F94B7E">
        <w:rPr>
          <w:rFonts w:ascii="Times New Roman" w:eastAsia="Times New Roman" w:hAnsi="Times New Roman" w:cs="Times New Roman"/>
          <w:spacing w:val="37"/>
          <w:lang w:eastAsia="en-US"/>
        </w:rPr>
        <w:t xml:space="preserve"> </w:t>
      </w:r>
      <w:r w:rsidRPr="00F94B7E">
        <w:rPr>
          <w:rFonts w:ascii="Times New Roman" w:eastAsia="Times New Roman" w:hAnsi="Times New Roman" w:cs="Times New Roman"/>
          <w:w w:val="106"/>
          <w:lang w:eastAsia="en-US"/>
        </w:rPr>
        <w:t>certification,</w:t>
      </w:r>
      <w:r w:rsidRPr="00F94B7E">
        <w:rPr>
          <w:rFonts w:ascii="Times New Roman" w:eastAsia="Times New Roman" w:hAnsi="Times New Roman" w:cs="Times New Roman"/>
          <w:spacing w:val="-4"/>
          <w:w w:val="106"/>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 xml:space="preserve">Court </w:t>
      </w:r>
      <w:r w:rsidRPr="00F94B7E">
        <w:rPr>
          <w:rFonts w:ascii="Times New Roman" w:eastAsia="Times New Roman" w:hAnsi="Times New Roman" w:cs="Times New Roman"/>
          <w:spacing w:val="6"/>
          <w:lang w:eastAsia="en-US"/>
        </w:rPr>
        <w:t>of</w:t>
      </w:r>
      <w:r w:rsidRPr="00F94B7E">
        <w:rPr>
          <w:rFonts w:ascii="Times New Roman" w:eastAsia="Times New Roman" w:hAnsi="Times New Roman" w:cs="Times New Roman"/>
          <w:lang w:eastAsia="en-US"/>
        </w:rPr>
        <w:t xml:space="preserve"> Appeals</w:t>
      </w:r>
      <w:r w:rsidRPr="00F94B7E">
        <w:rPr>
          <w:rFonts w:ascii="Times New Roman" w:eastAsia="Times New Roman" w:hAnsi="Times New Roman" w:cs="Times New Roman"/>
          <w:spacing w:val="39"/>
          <w:lang w:eastAsia="en-US"/>
        </w:rPr>
        <w:t xml:space="preserve"> </w:t>
      </w:r>
      <w:r w:rsidRPr="00F94B7E">
        <w:rPr>
          <w:rFonts w:ascii="Times New Roman" w:eastAsia="Times New Roman" w:hAnsi="Times New Roman" w:cs="Times New Roman"/>
          <w:lang w:eastAsia="en-US"/>
        </w:rPr>
        <w:t>for</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Second</w:t>
      </w:r>
      <w:r w:rsidRPr="00F94B7E">
        <w:rPr>
          <w:rFonts w:ascii="Times New Roman" w:eastAsia="Times New Roman" w:hAnsi="Times New Roman" w:cs="Times New Roman"/>
          <w:spacing w:val="21"/>
          <w:lang w:eastAsia="en-US"/>
        </w:rPr>
        <w:t xml:space="preserve"> </w:t>
      </w:r>
      <w:r w:rsidRPr="00F94B7E">
        <w:rPr>
          <w:rFonts w:ascii="Times New Roman" w:eastAsia="Times New Roman" w:hAnsi="Times New Roman" w:cs="Times New Roman"/>
          <w:lang w:eastAsia="en-US"/>
        </w:rPr>
        <w:t xml:space="preserve">Circuit </w:t>
      </w:r>
      <w:r w:rsidRPr="00F94B7E">
        <w:rPr>
          <w:rFonts w:ascii="Times New Roman" w:eastAsia="Times New Roman" w:hAnsi="Times New Roman" w:cs="Times New Roman"/>
          <w:spacing w:val="7"/>
          <w:lang w:eastAsia="en-US"/>
        </w:rPr>
        <w:t>issued</w:t>
      </w:r>
      <w:r w:rsidRPr="00F94B7E">
        <w:rPr>
          <w:rFonts w:ascii="Times New Roman" w:eastAsia="Times New Roman" w:hAnsi="Times New Roman" w:cs="Times New Roman"/>
          <w:spacing w:val="25"/>
          <w:lang w:eastAsia="en-US"/>
        </w:rPr>
        <w:t xml:space="preserve"> </w:t>
      </w:r>
      <w:r w:rsidRPr="00F94B7E">
        <w:rPr>
          <w:rFonts w:ascii="Times New Roman" w:eastAsia="Times New Roman" w:hAnsi="Times New Roman" w:cs="Times New Roman"/>
          <w:lang w:eastAsia="en-US"/>
        </w:rPr>
        <w:t>the</w:t>
      </w:r>
      <w:r w:rsidRPr="00F94B7E">
        <w:rPr>
          <w:rFonts w:ascii="Times New Roman" w:eastAsia="Times New Roman" w:hAnsi="Times New Roman" w:cs="Times New Roman"/>
          <w:spacing w:val="26"/>
          <w:lang w:eastAsia="en-US"/>
        </w:rPr>
        <w:t xml:space="preserve"> </w:t>
      </w:r>
      <w:r w:rsidRPr="00F94B7E">
        <w:rPr>
          <w:rFonts w:ascii="Times New Roman" w:eastAsia="Times New Roman" w:hAnsi="Times New Roman" w:cs="Times New Roman"/>
          <w:lang w:eastAsia="en-US"/>
        </w:rPr>
        <w:t>follo</w:t>
      </w:r>
      <w:r w:rsidRPr="00F94B7E">
        <w:rPr>
          <w:rFonts w:ascii="Times New Roman" w:eastAsia="Times New Roman" w:hAnsi="Times New Roman" w:cs="Times New Roman"/>
          <w:spacing w:val="-2"/>
          <w:lang w:eastAsia="en-US"/>
        </w:rPr>
        <w:t>w</w:t>
      </w:r>
      <w:r w:rsidRPr="00F94B7E">
        <w:rPr>
          <w:rFonts w:ascii="Times New Roman" w:eastAsia="Times New Roman" w:hAnsi="Times New Roman" w:cs="Times New Roman"/>
          <w:spacing w:val="1"/>
          <w:lang w:eastAsia="en-US"/>
        </w:rPr>
        <w:t>i</w:t>
      </w:r>
      <w:r w:rsidRPr="00F94B7E">
        <w:rPr>
          <w:rFonts w:ascii="Times New Roman" w:eastAsia="Times New Roman" w:hAnsi="Times New Roman" w:cs="Times New Roman"/>
          <w:lang w:eastAsia="en-US"/>
        </w:rPr>
        <w:t>ng</w:t>
      </w:r>
      <w:r w:rsidRPr="00F94B7E">
        <w:rPr>
          <w:rFonts w:ascii="Times New Roman" w:eastAsia="Times New Roman" w:hAnsi="Times New Roman" w:cs="Times New Roman"/>
          <w:spacing w:val="12"/>
          <w:lang w:eastAsia="en-US"/>
        </w:rPr>
        <w:t xml:space="preserve"> </w:t>
      </w:r>
      <w:r w:rsidRPr="00F94B7E">
        <w:rPr>
          <w:rFonts w:ascii="Times New Roman" w:eastAsia="Times New Roman" w:hAnsi="Times New Roman" w:cs="Times New Roman"/>
          <w:lang w:eastAsia="en-US"/>
        </w:rPr>
        <w:t>decision</w:t>
      </w:r>
      <w:r w:rsidRPr="00F94B7E">
        <w:rPr>
          <w:rFonts w:ascii="Times New Roman" w:eastAsia="Times New Roman" w:hAnsi="Times New Roman" w:cs="Times New Roman"/>
          <w:spacing w:val="24"/>
          <w:lang w:eastAsia="en-US"/>
        </w:rPr>
        <w:t xml:space="preserve"> </w:t>
      </w:r>
      <w:r w:rsidRPr="00F94B7E">
        <w:rPr>
          <w:rFonts w:ascii="Times New Roman" w:eastAsia="Times New Roman" w:hAnsi="Times New Roman" w:cs="Times New Roman"/>
          <w:lang w:eastAsia="en-US"/>
        </w:rPr>
        <w:t>in</w:t>
      </w:r>
      <w:r w:rsidRPr="00F94B7E">
        <w:rPr>
          <w:rFonts w:ascii="Times New Roman" w:eastAsia="Times New Roman" w:hAnsi="Times New Roman" w:cs="Times New Roman"/>
          <w:spacing w:val="13"/>
          <w:lang w:eastAsia="en-US"/>
        </w:rPr>
        <w:t xml:space="preserve"> </w:t>
      </w:r>
      <w:r w:rsidRPr="00F94B7E">
        <w:rPr>
          <w:rFonts w:ascii="Times New Roman" w:eastAsia="Times New Roman" w:hAnsi="Times New Roman" w:cs="Times New Roman"/>
          <w:i/>
          <w:iCs/>
          <w:lang w:eastAsia="en-US"/>
        </w:rPr>
        <w:t>Liriano</w:t>
      </w:r>
      <w:r w:rsidRPr="00F94B7E">
        <w:rPr>
          <w:rFonts w:ascii="Times New Roman" w:eastAsia="Times New Roman" w:hAnsi="Times New Roman" w:cs="Times New Roman"/>
          <w:i/>
          <w:iCs/>
          <w:spacing w:val="35"/>
          <w:lang w:eastAsia="en-US"/>
        </w:rPr>
        <w:t xml:space="preserve"> </w:t>
      </w:r>
      <w:r w:rsidRPr="00F94B7E">
        <w:rPr>
          <w:rFonts w:ascii="Times New Roman" w:eastAsia="Times New Roman" w:hAnsi="Times New Roman" w:cs="Times New Roman"/>
          <w:i/>
          <w:iCs/>
          <w:w w:val="116"/>
          <w:lang w:eastAsia="en-US"/>
        </w:rPr>
        <w:t>III</w:t>
      </w:r>
      <w:r w:rsidRPr="00F94B7E">
        <w:rPr>
          <w:rFonts w:ascii="Times New Roman" w:eastAsia="Times New Roman" w:hAnsi="Times New Roman" w:cs="Times New Roman"/>
          <w:w w:val="120"/>
          <w:lang w:eastAsia="en-US"/>
        </w:rPr>
        <w:t>:</w:t>
      </w:r>
    </w:p>
    <w:p w14:paraId="2FD78475" w14:textId="77777777" w:rsidR="00C85B70" w:rsidRPr="00C85B70" w:rsidRDefault="00C85B70" w:rsidP="00FE7B7F">
      <w:pPr>
        <w:rPr>
          <w:rFonts w:ascii="Times New Roman" w:eastAsia="Times New Roman" w:hAnsi="Times New Roman" w:cs="Times New Roman"/>
          <w:lang w:eastAsia="en-US"/>
        </w:rPr>
      </w:pPr>
    </w:p>
    <w:p w14:paraId="7A0153CB" w14:textId="3B5B7C0C" w:rsidR="00280B55" w:rsidRDefault="00280B55">
      <w:pPr>
        <w:rPr>
          <w:rFonts w:ascii="Times New Roman" w:eastAsia="Times New Roman" w:hAnsi="Times New Roman" w:cs="Times New Roman"/>
          <w:lang w:eastAsia="en-US"/>
        </w:rPr>
      </w:pPr>
    </w:p>
    <w:p w14:paraId="1BEE3FB0" w14:textId="3FB29CB2" w:rsidR="00C85B70" w:rsidRPr="00C85B70" w:rsidRDefault="00C85B70" w:rsidP="750671CE">
      <w:pPr>
        <w:rPr>
          <w:rFonts w:ascii="Times New Roman" w:eastAsia="Times New Roman" w:hAnsi="Times New Roman" w:cs="Times New Roman"/>
          <w:lang w:eastAsia="en-US"/>
        </w:rPr>
      </w:pPr>
      <w:bookmarkStart w:id="1059" w:name="_Toc518323565"/>
      <w:r w:rsidRPr="00A65BB3">
        <w:rPr>
          <w:rStyle w:val="Heading4Char"/>
        </w:rPr>
        <w:t>Liriano v. Hobart Corp. (</w:t>
      </w:r>
      <w:r w:rsidR="00B05F31">
        <w:rPr>
          <w:rStyle w:val="Heading4Char"/>
        </w:rPr>
        <w:t>“</w:t>
      </w:r>
      <w:r w:rsidRPr="00A65BB3">
        <w:rPr>
          <w:rStyle w:val="Heading4Char"/>
        </w:rPr>
        <w:t>Liriano III</w:t>
      </w:r>
      <w:r w:rsidR="00B05F31">
        <w:rPr>
          <w:rStyle w:val="Heading4Char"/>
        </w:rPr>
        <w:t>”</w:t>
      </w:r>
      <w:r w:rsidRPr="00A65BB3">
        <w:rPr>
          <w:rStyle w:val="Heading4Char"/>
        </w:rPr>
        <w:t>)</w:t>
      </w:r>
      <w:bookmarkEnd w:id="1059"/>
      <w:r w:rsidR="00A65BB3"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170 F.3d 264 (2</w:t>
      </w:r>
      <w:r w:rsidRPr="00F94B7E">
        <w:rPr>
          <w:rFonts w:ascii="Times New Roman" w:eastAsia="Times New Roman" w:hAnsi="Times New Roman" w:cs="Times New Roman"/>
          <w:b/>
          <w:bCs/>
          <w:lang w:eastAsia="en-US"/>
        </w:rPr>
        <w:t>d</w:t>
      </w:r>
      <w:r w:rsidRPr="750671CE">
        <w:rPr>
          <w:rFonts w:ascii="Times New Roman" w:eastAsia="Times New Roman" w:hAnsi="Times New Roman" w:cs="Times New Roman"/>
          <w:b/>
          <w:bCs/>
          <w:lang w:eastAsia="en-US"/>
        </w:rPr>
        <w:t xml:space="preserve"> Cir. 1999)</w:t>
      </w:r>
    </w:p>
    <w:p w14:paraId="1E0E046D" w14:textId="77777777" w:rsidR="00C85B70" w:rsidRPr="00C85B70" w:rsidRDefault="00C85B70" w:rsidP="00FE7B7F">
      <w:pPr>
        <w:rPr>
          <w:rFonts w:ascii="Times New Roman" w:eastAsia="Times New Roman" w:hAnsi="Times New Roman" w:cs="Times New Roman"/>
          <w:lang w:eastAsia="en-US"/>
        </w:rPr>
      </w:pPr>
    </w:p>
    <w:p w14:paraId="1ACC9A00" w14:textId="17BB594A"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Calabresi</w:t>
      </w:r>
      <w:r w:rsidRPr="750671CE">
        <w:rPr>
          <w:rFonts w:ascii="Times New Roman" w:eastAsia="Times New Roman" w:hAnsi="Times New Roman" w:cs="Times New Roman"/>
          <w:lang w:eastAsia="en-US"/>
        </w:rPr>
        <w:t>, J.</w:t>
      </w:r>
    </w:p>
    <w:p w14:paraId="4F127196" w14:textId="77777777" w:rsidR="00C85B70" w:rsidRPr="00C85B70" w:rsidRDefault="00C85B70" w:rsidP="00FE7B7F">
      <w:pPr>
        <w:spacing w:before="3"/>
        <w:rPr>
          <w:rFonts w:ascii="Times New Roman" w:eastAsia="Times New Roman" w:hAnsi="Times New Roman" w:cs="Times New Roman"/>
          <w:lang w:eastAsia="en-US"/>
        </w:rPr>
      </w:pPr>
    </w:p>
    <w:p w14:paraId="119C733E" w14:textId="055C874A" w:rsidR="00C85B70" w:rsidRPr="00C85B70" w:rsidRDefault="00C85B70" w:rsidP="750671CE">
      <w:pPr>
        <w:ind w:left="120" w:right="-54" w:firstLine="60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akes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two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argu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challenging the sufficiency 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 xml:space="preserve">evidence. </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concerns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 obviousness 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faced,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second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pu</w:t>
      </w:r>
      <w:r w:rsidRPr="00280B55">
        <w:rPr>
          <w:rFonts w:ascii="Times New Roman" w:eastAsia="Times New Roman" w:hAnsi="Times New Roman" w:cs="Times New Roman"/>
          <w:spacing w:val="1"/>
          <w:lang w:eastAsia="en-US"/>
        </w:rPr>
        <w:t>g</w:t>
      </w:r>
      <w:r w:rsidRPr="00280B55">
        <w:rPr>
          <w:rFonts w:ascii="Times New Roman" w:eastAsia="Times New Roman" w:hAnsi="Times New Roman" w:cs="Times New Roman"/>
          <w:lang w:eastAsia="en-US"/>
        </w:rPr>
        <w:t>ns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causal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relationship between Hobart</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Liriano</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injury.</w:t>
      </w:r>
      <w:r w:rsidRPr="00280B55">
        <w:rPr>
          <w:rFonts w:ascii="Times New Roman" w:eastAsia="Times New Roman" w:hAnsi="Times New Roman" w:cs="Times New Roman"/>
          <w:spacing w:val="47"/>
          <w:lang w:eastAsia="en-US"/>
        </w:rPr>
        <w:t xml:space="preserve"> </w:t>
      </w:r>
      <w:r w:rsidRPr="00280B55">
        <w:rPr>
          <w:rFonts w:ascii="Times New Roman" w:eastAsia="Times New Roman" w:hAnsi="Times New Roman" w:cs="Times New Roman"/>
          <w:lang w:eastAsia="en-US"/>
        </w:rPr>
        <w:t>Each</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these argu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plicates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issues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long</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debated</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of torts. </w:t>
      </w:r>
      <w:r w:rsidR="00FD3945" w:rsidRPr="00280B55">
        <w:rPr>
          <w:rFonts w:ascii="Times New Roman" w:eastAsia="Times New Roman" w:hAnsi="Times New Roman" w:cs="Times New Roman"/>
          <w:spacing w:val="2"/>
          <w:lang w:eastAsia="en-US"/>
        </w:rPr>
        <w:t>. . .</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obviousness question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subject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por</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t but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generally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rejected opinion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by Justice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 Massachusetts Supr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 Judicial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causation question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is answered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celebrated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opinion</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Cardozo, then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 xml:space="preserve">Appeals. </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exa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ine each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turn</w:t>
      </w:r>
      <w:r w:rsidRPr="00C85B70">
        <w:rPr>
          <w:rFonts w:ascii="Times New Roman" w:eastAsia="Times New Roman" w:hAnsi="Times New Roman" w:cs="Times New Roman"/>
          <w:lang w:eastAsia="en-US"/>
        </w:rPr>
        <w:t>.</w:t>
      </w:r>
    </w:p>
    <w:p w14:paraId="39FDCCA4" w14:textId="77777777" w:rsidR="00C85B70" w:rsidRPr="00C85B70" w:rsidRDefault="00C85B70" w:rsidP="00FE7B7F">
      <w:pPr>
        <w:spacing w:before="12"/>
        <w:rPr>
          <w:rFonts w:ascii="Times New Roman" w:eastAsia="Times New Roman" w:hAnsi="Times New Roman" w:cs="Times New Roman"/>
          <w:lang w:eastAsia="en-US"/>
        </w:rPr>
      </w:pPr>
    </w:p>
    <w:p w14:paraId="58A0957B" w14:textId="77777777" w:rsidR="00C85B70" w:rsidRPr="00C85B70" w:rsidRDefault="00C85B70" w:rsidP="00CE12AE">
      <w:pPr>
        <w:ind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(1)</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Obviousness</w:t>
      </w:r>
    </w:p>
    <w:p w14:paraId="23936AB9" w14:textId="77777777" w:rsidR="00C85B70" w:rsidRPr="00C85B70" w:rsidRDefault="00C85B70" w:rsidP="00FE7B7F">
      <w:pPr>
        <w:ind w:right="-54"/>
        <w:rPr>
          <w:rFonts w:ascii="Times New Roman" w:eastAsia="Times New Roman" w:hAnsi="Times New Roman" w:cs="Times New Roman"/>
          <w:lang w:eastAsia="en-US"/>
        </w:rPr>
      </w:pPr>
    </w:p>
    <w:p w14:paraId="69720948" w14:textId="2B9D41CA" w:rsidR="00C85B70" w:rsidRPr="00C85B70" w:rsidRDefault="00C85B70" w:rsidP="750671C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More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hundred years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ago,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Boston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wo</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 na</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Maria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irth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profited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 xml:space="preserve">ent </w:t>
      </w:r>
      <w:r w:rsidRPr="00280B55">
        <w:rPr>
          <w:rFonts w:ascii="Times New Roman" w:eastAsia="Times New Roman" w:hAnsi="Times New Roman" w:cs="Times New Roman"/>
          <w:lang w:eastAsia="en-US"/>
        </w:rPr>
        <w:t>about obviousness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law</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si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ilar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 one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1"/>
          <w:lang w:eastAsia="en-US"/>
        </w:rPr>
        <w:t>urg</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 xml:space="preserve">today. </w:t>
      </w:r>
      <w:r w:rsidRPr="00C85B70">
        <w:rPr>
          <w:rFonts w:ascii="Times New Roman" w:eastAsia="Times New Roman" w:hAnsi="Times New Roman" w:cs="Times New Roman"/>
          <w:spacing w:val="47"/>
          <w:lang w:eastAsia="en-US"/>
        </w:rPr>
        <w:t xml:space="preserve">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i/>
          <w:iCs/>
          <w:spacing w:val="3"/>
          <w:lang w:eastAsia="en-US"/>
        </w:rPr>
        <w:t xml:space="preserve"> </w:t>
      </w:r>
      <w:r w:rsidRPr="750671CE">
        <w:rPr>
          <w:rFonts w:ascii="Times New Roman" w:eastAsia="Times New Roman" w:hAnsi="Times New Roman" w:cs="Times New Roman"/>
          <w:i/>
          <w:iCs/>
          <w:lang w:eastAsia="en-US"/>
        </w:rPr>
        <w:t>Lorenzo</w:t>
      </w:r>
      <w:r w:rsidRPr="750671CE">
        <w:rPr>
          <w:rFonts w:ascii="Times New Roman" w:eastAsia="Times New Roman" w:hAnsi="Times New Roman" w:cs="Times New Roman"/>
          <w:i/>
          <w:iCs/>
          <w:spacing w:val="4"/>
          <w:lang w:eastAsia="en-US"/>
        </w:rPr>
        <w:t xml:space="preserve"> </w:t>
      </w:r>
      <w:r w:rsidRPr="750671CE">
        <w:rPr>
          <w:rFonts w:ascii="Times New Roman" w:eastAsia="Times New Roman" w:hAnsi="Times New Roman" w:cs="Times New Roman"/>
          <w:i/>
          <w:iCs/>
          <w:lang w:eastAsia="en-US"/>
        </w:rPr>
        <w:t>v.</w:t>
      </w:r>
      <w:r w:rsidRPr="750671CE">
        <w:rPr>
          <w:rFonts w:ascii="Times New Roman" w:eastAsia="Times New Roman" w:hAnsi="Times New Roman" w:cs="Times New Roman"/>
          <w:i/>
          <w:iCs/>
          <w:spacing w:val="5"/>
          <w:lang w:eastAsia="en-US"/>
        </w:rPr>
        <w:t xml:space="preserve"> </w:t>
      </w:r>
      <w:r w:rsidRPr="750671CE">
        <w:rPr>
          <w:rFonts w:ascii="Times New Roman" w:eastAsia="Times New Roman" w:hAnsi="Times New Roman" w:cs="Times New Roman"/>
          <w:i/>
          <w:iCs/>
          <w:lang w:eastAsia="en-US"/>
        </w:rPr>
        <w:t>Wirth</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49</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N.E.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1010</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 xml:space="preserve">(Mass. 1898). </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irth</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owner 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house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whose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property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abutted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 street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front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house,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casual</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observers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would have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no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way of</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k</w:t>
      </w:r>
      <w:r w:rsidRPr="00C85B70">
        <w:rPr>
          <w:rFonts w:ascii="Times New Roman" w:eastAsia="Times New Roman" w:hAnsi="Times New Roman" w:cs="Times New Roman"/>
          <w:spacing w:val="1"/>
          <w:lang w:eastAsia="en-US"/>
        </w:rPr>
        <w:t>nowin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that 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area around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hole was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part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public</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thoroughfare. 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pedestrian</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called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Lorenzo</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fell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into 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sued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her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 xml:space="preserve">injuries. </w:t>
      </w:r>
      <w:r w:rsidRPr="00C85B70">
        <w:rPr>
          <w:rFonts w:ascii="Times New Roman" w:eastAsia="Times New Roman" w:hAnsi="Times New Roman" w:cs="Times New Roman"/>
          <w:spacing w:val="21"/>
          <w:lang w:eastAsia="en-US"/>
        </w:rPr>
        <w:t xml:space="preserve"> </w:t>
      </w:r>
      <w:r w:rsidRPr="00F94B7E">
        <w:rPr>
          <w:rFonts w:ascii="Times New Roman" w:eastAsia="Times New Roman" w:hAnsi="Times New Roman" w:cs="Times New Roman"/>
          <w:i/>
          <w:w w:val="95"/>
          <w:lang w:eastAsia="en-US"/>
        </w:rPr>
        <w:t>See</w:t>
      </w:r>
      <w:r w:rsidRPr="00F94B7E">
        <w:rPr>
          <w:rFonts w:ascii="Times New Roman" w:eastAsia="Times New Roman" w:hAnsi="Times New Roman" w:cs="Times New Roman"/>
          <w:i/>
          <w:spacing w:val="-4"/>
          <w:w w:val="95"/>
          <w:lang w:eastAsia="en-US"/>
        </w:rPr>
        <w:t xml:space="preserve"> </w:t>
      </w:r>
      <w:r w:rsidRPr="00F94B7E">
        <w:rPr>
          <w:rFonts w:ascii="Times New Roman" w:eastAsia="Times New Roman" w:hAnsi="Times New Roman" w:cs="Times New Roman"/>
          <w:i/>
          <w:lang w:eastAsia="en-US"/>
        </w:rPr>
        <w:t>id.</w:t>
      </w:r>
      <w:r w:rsidRPr="00C85B70">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riting 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ajority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Supre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 Judicial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 Massac</w:t>
      </w:r>
      <w:r w:rsidRPr="00280B55">
        <w:rPr>
          <w:rFonts w:ascii="Times New Roman" w:eastAsia="Times New Roman" w:hAnsi="Times New Roman" w:cs="Times New Roman"/>
          <w:spacing w:val="-1"/>
          <w:lang w:eastAsia="en-US"/>
        </w:rPr>
        <w:t>hus</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
          <w:lang w:eastAsia="en-US"/>
        </w:rPr>
        <w:t>tts</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Oliver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endell</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Jr.,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held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 defendant</w:t>
      </w:r>
      <w:r w:rsidR="00280B55">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noted that, 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 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accident, there had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heap</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street next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 coal</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hole,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argued 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such</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spacing w:val="1"/>
          <w:lang w:eastAsia="en-US"/>
        </w:rPr>
        <w:t>pil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provided sufficient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passers-by 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were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 presence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open</w:t>
      </w:r>
      <w:r w:rsidRPr="00C85B70">
        <w:rPr>
          <w:rFonts w:ascii="Times New Roman" w:eastAsia="Times New Roman" w:hAnsi="Times New Roman" w:cs="Times New Roman"/>
          <w:spacing w:val="3"/>
          <w:lang w:eastAsia="en-US"/>
        </w:rPr>
        <w:t xml:space="preserve"> </w:t>
      </w:r>
      <w:r w:rsidR="00280B55">
        <w:rPr>
          <w:rFonts w:ascii="Times New Roman" w:eastAsia="Times New Roman" w:hAnsi="Times New Roman" w:cs="Times New Roman"/>
          <w:lang w:eastAsia="en-US"/>
        </w:rPr>
        <w:t xml:space="preserve">hole. </w:t>
      </w:r>
      <w:r w:rsidRPr="00C85B70">
        <w:rPr>
          <w:rFonts w:ascii="Times New Roman" w:eastAsia="Times New Roman" w:hAnsi="Times New Roman" w:cs="Times New Roman"/>
          <w:spacing w:val="2"/>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heap</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 sidewalk</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Boston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indication, according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 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experience,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there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very</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possibly</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 coal</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ho</w:t>
      </w:r>
      <w:r w:rsidRPr="00C85B70">
        <w:rPr>
          <w:rFonts w:ascii="Times New Roman" w:eastAsia="Times New Roman" w:hAnsi="Times New Roman" w:cs="Times New Roman"/>
          <w:spacing w:val="1"/>
          <w:lang w:eastAsia="en-US"/>
        </w:rPr>
        <w:t>l</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spacing w:val="1"/>
          <w:lang w:eastAsia="en-US"/>
        </w:rPr>
        <w:t>rece</w:t>
      </w:r>
      <w:r w:rsidRPr="00C85B70">
        <w:rPr>
          <w:rFonts w:ascii="Times New Roman" w:eastAsia="Times New Roman" w:hAnsi="Times New Roman" w:cs="Times New Roman"/>
          <w:lang w:eastAsia="en-US"/>
        </w:rPr>
        <w:t>ive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
          <w:lang w:eastAsia="en-US"/>
        </w:rPr>
        <w: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And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p>
    <w:p w14:paraId="56DAF356" w14:textId="77777777" w:rsidR="00C85B70" w:rsidRPr="00C85B70" w:rsidRDefault="00C85B70" w:rsidP="00FE7B7F">
      <w:pPr>
        <w:spacing w:before="12"/>
        <w:rPr>
          <w:rFonts w:ascii="Times New Roman" w:eastAsia="Times New Roman" w:hAnsi="Times New Roman" w:cs="Times New Roman"/>
          <w:lang w:eastAsia="en-US"/>
        </w:rPr>
      </w:pPr>
    </w:p>
    <w:p w14:paraId="28B5FE77" w14:textId="0CF6D47D" w:rsidR="00C85B70" w:rsidRPr="00C85B70" w:rsidRDefault="00C85B70" w:rsidP="750671CE">
      <w:pPr>
        <w:ind w:right="6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true,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acknow</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dg</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 that</w:t>
      </w:r>
      <w:r w:rsidRPr="00280B55">
        <w:rPr>
          <w:rFonts w:ascii="Times New Roman" w:eastAsia="Times New Roman" w:hAnsi="Times New Roman" w:cs="Times New Roman"/>
          <w:spacing w:val="7"/>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blind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en, and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foreigners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unused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our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ways,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right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walk 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streets,</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such people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benefit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piles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of coal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provided 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sighted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Boston</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  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 wrote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coal-hole ca</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were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on, and likely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repeated, and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lieved it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be better</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establish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clear</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rule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invite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fact-specific inquiries in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every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case. </w:t>
      </w:r>
      <w:r w:rsidRPr="00280B55">
        <w:rPr>
          <w:rFonts w:ascii="Times New Roman" w:eastAsia="Times New Roman" w:hAnsi="Times New Roman" w:cs="Times New Roman"/>
          <w:spacing w:val="15"/>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cases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this sort,</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explained,</w:t>
      </w:r>
      <w:r w:rsidRPr="00280B55">
        <w:rPr>
          <w:rFonts w:ascii="Times New Roman" w:eastAsia="Times New Roman" w:hAnsi="Times New Roman" w:cs="Times New Roman"/>
          <w:spacing w:val="-10"/>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courts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felt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able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deter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ine what,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in every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however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plex,</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defendants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are bound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at</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their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peril</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know.</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40"/>
          <w:lang w:eastAsia="en-US"/>
        </w:rPr>
        <w:t xml:space="preserve"> </w:t>
      </w:r>
      <w:r w:rsidRPr="00F94B7E">
        <w:rPr>
          <w:rFonts w:ascii="Times New Roman" w:eastAsia="Times New Roman" w:hAnsi="Times New Roman" w:cs="Times New Roman"/>
          <w:i/>
          <w:lang w:eastAsia="en-US"/>
        </w:rPr>
        <w:t>Id.</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ith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so li</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ited,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unco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plicated case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which</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defendant could,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lang w:eastAsia="en-US"/>
        </w:rPr>
        <w:t>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rely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 plaintiff</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responsibil</w:t>
      </w:r>
      <w:r w:rsidRPr="00280B55">
        <w:rPr>
          <w:rFonts w:ascii="Times New Roman" w:eastAsia="Times New Roman" w:hAnsi="Times New Roman" w:cs="Times New Roman"/>
          <w:spacing w:val="-1"/>
          <w:lang w:eastAsia="en-US"/>
        </w:rPr>
        <w:t>it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she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faced</w:t>
      </w:r>
      <w:r w:rsidRPr="00C85B70">
        <w:rPr>
          <w:rFonts w:ascii="Times New Roman" w:eastAsia="Times New Roman" w:hAnsi="Times New Roman" w:cs="Times New Roman"/>
          <w:lang w:eastAsia="en-US"/>
        </w:rPr>
        <w:t>.</w:t>
      </w:r>
    </w:p>
    <w:p w14:paraId="68EFD4FF" w14:textId="77777777" w:rsidR="00C85B70" w:rsidRPr="00C85B70" w:rsidRDefault="00C85B70" w:rsidP="00FE7B7F">
      <w:pPr>
        <w:ind w:right="71"/>
        <w:rPr>
          <w:rFonts w:ascii="Times New Roman" w:eastAsia="Times New Roman" w:hAnsi="Times New Roman" w:cs="Times New Roman"/>
          <w:lang w:eastAsia="en-US"/>
        </w:rPr>
      </w:pPr>
    </w:p>
    <w:p w14:paraId="53CB3C90" w14:textId="18CE674D" w:rsidR="00C85B70" w:rsidRPr="00280B55" w:rsidRDefault="00C85B70" w:rsidP="750671CE">
      <w:pPr>
        <w:ind w:right="71" w:firstLine="720"/>
        <w:rPr>
          <w:rFonts w:ascii="Times New Roman" w:eastAsia="Times New Roman" w:hAnsi="Times New Roman" w:cs="Times New Roman"/>
          <w:lang w:eastAsia="en-US"/>
        </w:rPr>
      </w:pPr>
      <w:r w:rsidRPr="00280B55">
        <w:rPr>
          <w:rFonts w:ascii="Times New Roman" w:eastAsia="Times New Roman" w:hAnsi="Times New Roman" w:cs="Times New Roman"/>
          <w:spacing w:val="2"/>
          <w:lang w:eastAsia="en-US"/>
        </w:rPr>
        <w:t>J</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stice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Knowlton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 xml:space="preserve">disagreed. </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His opinion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delved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farther</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into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 than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did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s opin</w:t>
      </w:r>
      <w:r w:rsidRPr="00280B55">
        <w:rPr>
          <w:rFonts w:ascii="Times New Roman" w:eastAsia="Times New Roman" w:hAnsi="Times New Roman" w:cs="Times New Roman"/>
          <w:spacing w:val="1"/>
          <w:lang w:eastAsia="en-US"/>
        </w:rPr>
        <w:t>io</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ajority. </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so doing,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showed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Lorenzo</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fa</w:t>
      </w:r>
      <w:r w:rsidRPr="00280B55">
        <w:rPr>
          <w:rFonts w:ascii="Times New Roman" w:eastAsia="Times New Roman" w:hAnsi="Times New Roman" w:cs="Times New Roman"/>
          <w:spacing w:val="1"/>
          <w:lang w:eastAsia="en-US"/>
        </w:rPr>
        <w:t>ilu</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appreciate her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peril</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foreseen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irth</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hence 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irth</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constitute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negligence. 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noted,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exa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accident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occurred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after nightfall, when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Lore</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z</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perhaps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see,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 recognize,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heap</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was. There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2"/>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throng</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persons</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 xml:space="preserve"> on</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street,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it</w:t>
      </w:r>
      <w:r w:rsidRPr="00C85B70">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even in</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daylight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see</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very</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far</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ahead</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spacing w:val="1"/>
          <w:lang w:eastAsia="en-US"/>
        </w:rPr>
        <w:t>wh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was walking. 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 plaintiff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fac</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foreigner unused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Boston</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ways.</w:t>
      </w:r>
      <w:r w:rsidRPr="00280B55">
        <w:rPr>
          <w:rFonts w:ascii="Times New Roman" w:eastAsia="Times New Roman" w:hAnsi="Times New Roman" w:cs="Times New Roman"/>
          <w:spacing w:val="31"/>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[S]he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just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Spain,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never seen coal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put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2"/>
          <w:lang w:eastAsia="en-US"/>
        </w:rPr>
        <w:t>ce</w:t>
      </w:r>
      <w:r w:rsidRPr="00280B55">
        <w:rPr>
          <w:rFonts w:ascii="Times New Roman" w:eastAsia="Times New Roman" w:hAnsi="Times New Roman" w:cs="Times New Roman"/>
          <w:spacing w:val="1"/>
          <w:lang w:eastAsia="en-US"/>
        </w:rPr>
        <w:t>ll</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 xml:space="preserve"> th</w:t>
      </w:r>
      <w:r w:rsidRPr="00280B55">
        <w:rPr>
          <w:rFonts w:ascii="Times New Roman" w:eastAsia="Times New Roman" w:hAnsi="Times New Roman" w:cs="Times New Roman"/>
          <w:lang w:eastAsia="en-US"/>
        </w:rPr>
        <w:t>rough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hole.</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 xml:space="preserve">  In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su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 xml:space="preserve">the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Hol</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out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 xml:space="preserve">be. </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hat 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ore,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none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facts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recited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either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unusual 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unforeseeable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Wirth. </w:t>
      </w:r>
      <w:r w:rsidRPr="00280B55">
        <w:rPr>
          <w:rFonts w:ascii="Times New Roman" w:eastAsia="Times New Roman" w:hAnsi="Times New Roman" w:cs="Times New Roman"/>
          <w:spacing w:val="13"/>
          <w:lang w:eastAsia="en-US"/>
        </w:rPr>
        <w:t xml:space="preserve">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kind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conduct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 required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w:t>
      </w:r>
      <w:r w:rsidRPr="00280B55">
        <w:rPr>
          <w:rFonts w:ascii="Times New Roman" w:eastAsia="Times New Roman" w:hAnsi="Times New Roman" w:cs="Times New Roman"/>
          <w:spacing w:val="1"/>
          <w:lang w:eastAsia="en-US"/>
        </w:rPr>
        <w:t>nd</w:t>
      </w:r>
      <w:r w:rsidRPr="00280B55">
        <w:rPr>
          <w:rFonts w:ascii="Times New Roman" w:eastAsia="Times New Roman" w:hAnsi="Times New Roman" w:cs="Times New Roman"/>
          <w:lang w:eastAsia="en-US"/>
        </w:rPr>
        <w:t>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complex</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conditions,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reach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usual standard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2"/>
          <w:lang w:eastAsia="en-US"/>
        </w:rPr>
        <w:t>ca</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na</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ely, 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ordinary care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 persons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on prudence,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question 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4"/>
          <w:lang w:eastAsia="en-US"/>
        </w:rPr>
        <w:t xml:space="preserve"> </w:t>
      </w:r>
      <w:r w:rsidR="00256B0E">
        <w:rPr>
          <w:rFonts w:ascii="Times New Roman" w:eastAsia="Times New Roman" w:hAnsi="Times New Roman" w:cs="Times New Roman"/>
          <w:lang w:eastAsia="en-US"/>
        </w:rPr>
        <w:t>. . .</w:t>
      </w:r>
      <w:r w:rsidR="00256B0E"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question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jury.</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ases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xml:space="preserve">involving </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obvious</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dangers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like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coal</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holes,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Knowlton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 xml:space="preserve">believed,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resolvable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when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viewed in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fullness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rendered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issue less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clear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 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abstract.</w:t>
      </w:r>
    </w:p>
    <w:p w14:paraId="36DF38CE" w14:textId="77777777" w:rsidR="00C85B70" w:rsidRPr="00C85B70" w:rsidRDefault="00C85B70" w:rsidP="00FE7B7F">
      <w:pPr>
        <w:spacing w:before="12"/>
        <w:rPr>
          <w:rFonts w:ascii="Times New Roman" w:eastAsia="Times New Roman" w:hAnsi="Times New Roman" w:cs="Times New Roman"/>
          <w:lang w:eastAsia="en-US"/>
        </w:rPr>
      </w:pPr>
    </w:p>
    <w:p w14:paraId="1FB7771E" w14:textId="5683ABCF" w:rsidR="009E54E4" w:rsidRDefault="00C85B70" w:rsidP="00F94B7E">
      <w:pPr>
        <w:ind w:right="-53" w:firstLine="720"/>
        <w:rPr>
          <w:rFonts w:ascii="Times New Roman" w:eastAsia="Times New Roman" w:hAnsi="Times New Roman" w:cs="Times New Roman"/>
          <w:smallCaps/>
          <w:lang w:eastAsia="en-US"/>
        </w:rPr>
      </w:pPr>
      <w:r w:rsidRPr="00C85B70">
        <w:rPr>
          <w:rFonts w:ascii="Times New Roman" w:eastAsia="Times New Roman" w:hAnsi="Times New Roman" w:cs="Times New Roman"/>
          <w:lang w:eastAsia="en-US"/>
        </w:rPr>
        <w:t>Hol</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anded 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aj</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it</w:t>
      </w:r>
      <w:r w:rsidRPr="00C85B70">
        <w:rPr>
          <w:rFonts w:ascii="Times New Roman" w:eastAsia="Times New Roman" w:hAnsi="Times New Roman" w:cs="Times New Roman"/>
          <w:lang w:eastAsia="en-US"/>
        </w:rPr>
        <w:t>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Supre</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 Judicial</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1898,</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K</w:t>
      </w:r>
      <w:r w:rsidRPr="00C85B70">
        <w:rPr>
          <w:rFonts w:ascii="Times New Roman" w:eastAsia="Times New Roman" w:hAnsi="Times New Roman" w:cs="Times New Roman"/>
          <w:spacing w:val="1"/>
          <w:lang w:eastAsia="en-US"/>
        </w:rPr>
        <w:t>nowlto</w:t>
      </w:r>
      <w:r w:rsidRPr="00C85B70">
        <w:rPr>
          <w:rFonts w:ascii="Times New Roman" w:eastAsia="Times New Roman" w:hAnsi="Times New Roman" w:cs="Times New Roman"/>
          <w:lang w:eastAsia="en-US"/>
        </w:rPr>
        <w:t>n</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position</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has prevailed</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legal</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 xml:space="preserve">history.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2"/>
          <w:lang w:eastAsia="en-US"/>
        </w:rPr>
        <w:t>[</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so-called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Hol</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view</w:t>
      </w:r>
      <w:r w:rsidR="004764C7">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that standards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conduct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ought increasin</w:t>
      </w:r>
      <w:r w:rsidRPr="00C85B70">
        <w:rPr>
          <w:rFonts w:ascii="Times New Roman" w:eastAsia="Times New Roman" w:hAnsi="Times New Roman" w:cs="Times New Roman"/>
          <w:spacing w:val="1"/>
          <w:lang w:eastAsia="en-US"/>
        </w:rPr>
        <w:t>g</w:t>
      </w:r>
      <w:r w:rsidRPr="00C85B70">
        <w:rPr>
          <w:rFonts w:ascii="Times New Roman" w:eastAsia="Times New Roman" w:hAnsi="Times New Roman" w:cs="Times New Roman"/>
          <w:lang w:eastAsia="en-US"/>
        </w:rPr>
        <w:t>ly to</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fixed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court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sake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of certainty</w:t>
      </w:r>
      <w:r w:rsidR="004764C7">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largely</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 xml:space="preserve">rejected . . . . </w:t>
      </w:r>
      <w:r w:rsidRPr="00C85B70">
        <w:rPr>
          <w:rFonts w:ascii="Times New Roman" w:eastAsia="Times New Roman" w:hAnsi="Times New Roman" w:cs="Times New Roman"/>
          <w:spacing w:val="3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tendency has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away</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from</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fixed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standards and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towards enlarging</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sph</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jury.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smallCaps/>
          <w:lang w:eastAsia="en-US"/>
        </w:rPr>
        <w:t>Fowler</w:t>
      </w:r>
      <w:r w:rsidRPr="00C85B70">
        <w:rPr>
          <w:rFonts w:ascii="Times New Roman" w:eastAsia="Times New Roman" w:hAnsi="Times New Roman" w:cs="Times New Roman"/>
          <w:smallCaps/>
          <w:spacing w:val="-2"/>
          <w:lang w:eastAsia="en-US"/>
        </w:rPr>
        <w:t xml:space="preserve"> </w:t>
      </w:r>
      <w:r w:rsidRPr="00C85B70">
        <w:rPr>
          <w:rFonts w:ascii="Times New Roman" w:eastAsia="Times New Roman" w:hAnsi="Times New Roman" w:cs="Times New Roman"/>
          <w:smallCaps/>
          <w:lang w:eastAsia="en-US"/>
        </w:rPr>
        <w:t>V.</w:t>
      </w:r>
      <w:r w:rsidRPr="00C85B70">
        <w:rPr>
          <w:rFonts w:ascii="Times New Roman" w:eastAsia="Times New Roman" w:hAnsi="Times New Roman" w:cs="Times New Roman"/>
          <w:smallCaps/>
          <w:spacing w:val="2"/>
          <w:lang w:eastAsia="en-US"/>
        </w:rPr>
        <w:t xml:space="preserve"> </w:t>
      </w:r>
      <w:r w:rsidRPr="00C85B70">
        <w:rPr>
          <w:rFonts w:ascii="Times New Roman" w:eastAsia="Times New Roman" w:hAnsi="Times New Roman" w:cs="Times New Roman"/>
          <w:smallCaps/>
          <w:lang w:eastAsia="en-US"/>
        </w:rPr>
        <w:t>Harper, Fle</w:t>
      </w:r>
      <w:r w:rsidRPr="00C85B70">
        <w:rPr>
          <w:rFonts w:ascii="Times New Roman" w:eastAsia="Times New Roman" w:hAnsi="Times New Roman" w:cs="Times New Roman"/>
          <w:smallCaps/>
          <w:spacing w:val="-2"/>
          <w:lang w:eastAsia="en-US"/>
        </w:rPr>
        <w:t>m</w:t>
      </w:r>
      <w:r w:rsidRPr="00C85B70">
        <w:rPr>
          <w:rFonts w:ascii="Times New Roman" w:eastAsia="Times New Roman" w:hAnsi="Times New Roman" w:cs="Times New Roman"/>
          <w:smallCaps/>
          <w:lang w:eastAsia="en-US"/>
        </w:rPr>
        <w:t>ing</w:t>
      </w:r>
      <w:r w:rsidRPr="00C85B70">
        <w:rPr>
          <w:rFonts w:ascii="Times New Roman" w:eastAsia="Times New Roman" w:hAnsi="Times New Roman" w:cs="Times New Roman"/>
          <w:smallCaps/>
          <w:spacing w:val="-14"/>
          <w:lang w:eastAsia="en-US"/>
        </w:rPr>
        <w:t xml:space="preserve"> </w:t>
      </w:r>
      <w:r w:rsidRPr="00C85B70">
        <w:rPr>
          <w:rFonts w:ascii="Times New Roman" w:eastAsia="Times New Roman" w:hAnsi="Times New Roman" w:cs="Times New Roman"/>
          <w:smallCaps/>
          <w:lang w:eastAsia="en-US"/>
        </w:rPr>
        <w:t>Ja</w:t>
      </w:r>
      <w:r w:rsidRPr="00C85B70">
        <w:rPr>
          <w:rFonts w:ascii="Times New Roman" w:eastAsia="Times New Roman" w:hAnsi="Times New Roman" w:cs="Times New Roman"/>
          <w:smallCaps/>
          <w:spacing w:val="-3"/>
          <w:lang w:eastAsia="en-US"/>
        </w:rPr>
        <w:t>m</w:t>
      </w:r>
      <w:r w:rsidRPr="00C85B70">
        <w:rPr>
          <w:rFonts w:ascii="Times New Roman" w:eastAsia="Times New Roman" w:hAnsi="Times New Roman" w:cs="Times New Roman"/>
          <w:smallCaps/>
          <w:lang w:eastAsia="en-US"/>
        </w:rPr>
        <w:t>es,</w:t>
      </w:r>
      <w:r w:rsidRPr="00C85B70">
        <w:rPr>
          <w:rFonts w:ascii="Times New Roman" w:eastAsia="Times New Roman" w:hAnsi="Times New Roman" w:cs="Times New Roman"/>
          <w:smallCaps/>
          <w:spacing w:val="-12"/>
          <w:lang w:eastAsia="en-US"/>
        </w:rPr>
        <w:t xml:space="preserve"> </w:t>
      </w:r>
      <w:r w:rsidRPr="00C85B70">
        <w:rPr>
          <w:rFonts w:ascii="Times New Roman" w:eastAsia="Times New Roman" w:hAnsi="Times New Roman" w:cs="Times New Roman"/>
          <w:smallCaps/>
          <w:lang w:eastAsia="en-US"/>
        </w:rPr>
        <w:t>Jr.</w:t>
      </w:r>
      <w:r w:rsidRPr="00C85B70">
        <w:rPr>
          <w:rFonts w:ascii="Times New Roman" w:eastAsia="Times New Roman" w:hAnsi="Times New Roman" w:cs="Times New Roman"/>
          <w:smallCaps/>
          <w:spacing w:val="-9"/>
          <w:lang w:eastAsia="en-US"/>
        </w:rPr>
        <w:t xml:space="preserve"> </w:t>
      </w:r>
      <w:r w:rsidRPr="00C85B70">
        <w:rPr>
          <w:rFonts w:ascii="Times New Roman" w:eastAsia="Times New Roman" w:hAnsi="Times New Roman" w:cs="Times New Roman"/>
          <w:smallCaps/>
          <w:lang w:eastAsia="en-US"/>
        </w:rPr>
        <w:t>&amp;</w:t>
      </w:r>
      <w:r w:rsidRPr="00C85B70">
        <w:rPr>
          <w:rFonts w:ascii="Times New Roman" w:eastAsia="Times New Roman" w:hAnsi="Times New Roman" w:cs="Times New Roman"/>
          <w:smallCaps/>
          <w:spacing w:val="-9"/>
          <w:lang w:eastAsia="en-US"/>
        </w:rPr>
        <w:t xml:space="preserve"> </w:t>
      </w:r>
      <w:r w:rsidRPr="00C85B70">
        <w:rPr>
          <w:rFonts w:ascii="Times New Roman" w:eastAsia="Times New Roman" w:hAnsi="Times New Roman" w:cs="Times New Roman"/>
          <w:smallCaps/>
          <w:lang w:eastAsia="en-US"/>
        </w:rPr>
        <w:t>Oscar</w:t>
      </w:r>
      <w:r w:rsidRPr="00C85B70">
        <w:rPr>
          <w:rFonts w:ascii="Times New Roman" w:eastAsia="Times New Roman" w:hAnsi="Times New Roman" w:cs="Times New Roman"/>
          <w:smallCaps/>
          <w:spacing w:val="-13"/>
          <w:lang w:eastAsia="en-US"/>
        </w:rPr>
        <w:t xml:space="preserve"> </w:t>
      </w:r>
      <w:r w:rsidRPr="00C85B70">
        <w:rPr>
          <w:rFonts w:ascii="Times New Roman" w:eastAsia="Times New Roman" w:hAnsi="Times New Roman" w:cs="Times New Roman"/>
          <w:smallCaps/>
          <w:lang w:eastAsia="en-US"/>
        </w:rPr>
        <w:t>S.</w:t>
      </w:r>
      <w:r w:rsidRPr="00C85B70">
        <w:rPr>
          <w:rFonts w:ascii="Times New Roman" w:eastAsia="Times New Roman" w:hAnsi="Times New Roman" w:cs="Times New Roman"/>
          <w:smallCaps/>
          <w:spacing w:val="-10"/>
          <w:lang w:eastAsia="en-US"/>
        </w:rPr>
        <w:t xml:space="preserve"> </w:t>
      </w:r>
      <w:r w:rsidRPr="00C85B70">
        <w:rPr>
          <w:rFonts w:ascii="Times New Roman" w:eastAsia="Times New Roman" w:hAnsi="Times New Roman" w:cs="Times New Roman"/>
          <w:smallCaps/>
          <w:lang w:eastAsia="en-US"/>
        </w:rPr>
        <w:t>Gray,</w:t>
      </w:r>
      <w:r w:rsidRPr="00C85B70">
        <w:rPr>
          <w:rFonts w:ascii="Times New Roman" w:eastAsia="Times New Roman" w:hAnsi="Times New Roman" w:cs="Times New Roman"/>
          <w:smallCaps/>
          <w:spacing w:val="-11"/>
          <w:lang w:eastAsia="en-US"/>
        </w:rPr>
        <w:t xml:space="preserve"> </w:t>
      </w:r>
      <w:r w:rsidR="00D64309">
        <w:rPr>
          <w:rFonts w:ascii="Times New Roman" w:eastAsia="Times New Roman" w:hAnsi="Times New Roman" w:cs="Times New Roman"/>
          <w:smallCaps/>
          <w:spacing w:val="-11"/>
          <w:lang w:eastAsia="en-US"/>
        </w:rPr>
        <w:t xml:space="preserve"> The Law of Torts § 15.3, </w:t>
      </w:r>
      <w:r w:rsidR="00D64309" w:rsidRPr="00F94B7E">
        <w:rPr>
          <w:rFonts w:ascii="Times New Roman" w:eastAsia="Times New Roman" w:hAnsi="Times New Roman" w:cs="Times New Roman"/>
          <w:spacing w:val="-11"/>
          <w:lang w:eastAsia="en-US"/>
        </w:rPr>
        <w:t>at 358-59 n. 15 (2d ed. 1986)</w:t>
      </w:r>
      <w:r w:rsidR="00D64309">
        <w:rPr>
          <w:rFonts w:ascii="Times New Roman" w:eastAsia="Times New Roman" w:hAnsi="Times New Roman" w:cs="Times New Roman"/>
          <w:spacing w:val="-11"/>
          <w:lang w:eastAsia="en-US"/>
        </w:rPr>
        <w:t>.</w:t>
      </w:r>
      <w:r w:rsidR="009E54E4">
        <w:rPr>
          <w:rFonts w:ascii="Times New Roman" w:eastAsia="Times New Roman" w:hAnsi="Times New Roman" w:cs="Times New Roman"/>
          <w:smallCaps/>
          <w:lang w:eastAsia="en-US"/>
        </w:rPr>
        <w:t> . . .</w:t>
      </w:r>
    </w:p>
    <w:p w14:paraId="09ACE347" w14:textId="77777777" w:rsidR="00C85B70" w:rsidRPr="00C85B70" w:rsidRDefault="00C85B70" w:rsidP="00F94B7E">
      <w:pPr>
        <w:ind w:right="-53" w:firstLine="720"/>
        <w:rPr>
          <w:rFonts w:ascii="Times New Roman" w:eastAsia="Times New Roman" w:hAnsi="Times New Roman" w:cs="Times New Roman"/>
          <w:lang w:eastAsia="en-US"/>
        </w:rPr>
      </w:pPr>
    </w:p>
    <w:p w14:paraId="4897D310" w14:textId="0BDBB9A0" w:rsidR="00C85B70" w:rsidRPr="00C85B70" w:rsidRDefault="00C85B70" w:rsidP="750671CE">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If the question</w:t>
      </w:r>
      <w:r w:rsidRPr="00C85B70">
        <w:rPr>
          <w:rFonts w:ascii="Times New Roman" w:eastAsia="Times New Roman" w:hAnsi="Times New Roman" w:cs="Times New Roman"/>
          <w:spacing w:val="48"/>
          <w:lang w:eastAsia="en-US"/>
        </w:rPr>
        <w:t xml:space="preserve"> </w:t>
      </w:r>
      <w:r w:rsidRPr="00C85B70">
        <w:rPr>
          <w:rFonts w:ascii="Times New Roman" w:eastAsia="Times New Roman" w:hAnsi="Times New Roman" w:cs="Times New Roman"/>
          <w:lang w:eastAsia="en-US"/>
        </w:rPr>
        <w:t>before</w:t>
      </w:r>
      <w:r w:rsidRPr="00C85B70">
        <w:rPr>
          <w:rFonts w:ascii="Times New Roman" w:eastAsia="Times New Roman" w:hAnsi="Times New Roman" w:cs="Times New Roman"/>
          <w:spacing w:val="50"/>
          <w:lang w:eastAsia="en-US"/>
        </w:rPr>
        <w:t xml:space="preserve"> </w:t>
      </w:r>
      <w:r w:rsidRPr="00C85B70">
        <w:rPr>
          <w:rFonts w:ascii="Times New Roman" w:eastAsia="Times New Roman" w:hAnsi="Times New Roman" w:cs="Times New Roman"/>
          <w:lang w:eastAsia="en-US"/>
        </w:rPr>
        <w:t xml:space="preserve">us </w:t>
      </w:r>
      <w:r w:rsidRPr="00C85B70">
        <w:rPr>
          <w:rFonts w:ascii="Times New Roman" w:eastAsia="Times New Roman" w:hAnsi="Times New Roman" w:cs="Times New Roman"/>
          <w:spacing w:val="2"/>
          <w:lang w:eastAsia="en-US"/>
        </w:rPr>
        <w:t>were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
          <w:lang w:eastAsia="en-US"/>
        </w:rPr>
        <w:t>therefore</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lang w:eastAsia="en-US"/>
        </w:rPr>
        <w:t>si</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ply whether</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lang w:eastAsia="en-US"/>
        </w:rPr>
        <w:t>gr</w:t>
      </w:r>
      <w:r w:rsidRPr="00C85B70">
        <w:rPr>
          <w:rFonts w:ascii="Times New Roman" w:eastAsia="Times New Roman" w:hAnsi="Times New Roman" w:cs="Times New Roman"/>
          <w:spacing w:val="1"/>
          <w:lang w:eastAsia="en-US"/>
        </w:rPr>
        <w:t>ind</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rs</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are</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sufficiently</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33"/>
          <w:lang w:eastAsia="en-US"/>
        </w:rPr>
        <w:t xml:space="preserve"> </w:t>
      </w:r>
      <w:r w:rsidRPr="00C85B70">
        <w:rPr>
          <w:rFonts w:ascii="Times New Roman" w:eastAsia="Times New Roman" w:hAnsi="Times New Roman" w:cs="Times New Roman"/>
          <w:lang w:eastAsia="en-US"/>
        </w:rPr>
        <w:t>be dangerous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anufacturers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would be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justified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in believi</w:t>
      </w:r>
      <w:r w:rsidRPr="00C85B70">
        <w:rPr>
          <w:rFonts w:ascii="Times New Roman" w:eastAsia="Times New Roman" w:hAnsi="Times New Roman" w:cs="Times New Roman"/>
          <w:spacing w:val="1"/>
          <w:lang w:eastAsia="en-US"/>
        </w:rPr>
        <w:t>n</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hat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further</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lang w:eastAsia="en-US"/>
        </w:rPr>
        <w:t>warnings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were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needed,</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 xml:space="preserve">we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00280B55">
        <w:rPr>
          <w:rFonts w:ascii="Times New Roman" w:eastAsia="Times New Roman" w:hAnsi="Times New Roman" w:cs="Times New Roman"/>
          <w:lang w:eastAsia="en-US"/>
        </w:rPr>
        <w:t xml:space="preserve">doubt.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one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nd</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spacing w:val="1"/>
          <w:lang w:eastAsia="en-US"/>
        </w:rPr>
        <w:t>j</w:t>
      </w:r>
      <w:r w:rsidRPr="00C85B70">
        <w:rPr>
          <w:rFonts w:ascii="Times New Roman" w:eastAsia="Times New Roman" w:hAnsi="Times New Roman" w:cs="Times New Roman"/>
          <w:lang w:eastAsia="en-US"/>
        </w:rPr>
        <w:t>ust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coal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hole was dee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appreciated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Bostonians in 1898,</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so</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ost New Yor</w:t>
      </w:r>
      <w:r w:rsidRPr="00C85B70">
        <w:rPr>
          <w:rFonts w:ascii="Times New Roman" w:eastAsia="Times New Roman" w:hAnsi="Times New Roman" w:cs="Times New Roman"/>
          <w:spacing w:val="1"/>
          <w:lang w:eastAsia="en-US"/>
        </w:rPr>
        <w:t>k</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r</w:t>
      </w:r>
      <w:r w:rsidRPr="00C85B70">
        <w:rPr>
          <w:rFonts w:ascii="Times New Roman" w:eastAsia="Times New Roman" w:hAnsi="Times New Roman" w:cs="Times New Roman"/>
          <w:lang w:eastAsia="en-US"/>
        </w:rPr>
        <w:t>s would probably appreci</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 danger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of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grinders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century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later. Any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additional</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seem</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superfluous. On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other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seventeen</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years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old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at 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injury</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recently</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igrated 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United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States. 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job</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at Super for</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only one we</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spacing w:val="1"/>
          <w:lang w:eastAsia="en-US"/>
        </w:rPr>
        <w:t>k</w:t>
      </w:r>
      <w:r w:rsidRPr="00C85B70">
        <w:rPr>
          <w:rFonts w:ascii="Times New Roman" w:eastAsia="Times New Roman" w:hAnsi="Times New Roman" w:cs="Times New Roman"/>
          <w:lang w:eastAsia="en-US"/>
        </w:rPr>
        <w:t>.  He had never</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been given instructions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about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how</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he had</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used</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eat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grinder</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only</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two</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spacing w:val="1"/>
          <w:lang w:eastAsia="en-US"/>
        </w:rPr>
        <w:t>ti</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lang w:eastAsia="en-US"/>
        </w:rPr>
        <w:t xml:space="preserve">es.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Sc</w:t>
      </w:r>
      <w:r w:rsidRPr="00280B55">
        <w:rPr>
          <w:rFonts w:ascii="Times New Roman" w:eastAsia="Times New Roman" w:hAnsi="Times New Roman" w:cs="Times New Roman"/>
          <w:spacing w:val="1"/>
          <w:lang w:eastAsia="en-US"/>
        </w:rPr>
        <w: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indl</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noted,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echanism</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that injured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visible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eone who</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operating</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 xml:space="preserve">grinder. </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argued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 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bination</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facts was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unlikely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 court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should</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defendant could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foreseen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aware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need 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guarded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against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issuing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warning</w:t>
      </w:r>
      <w:r w:rsidRPr="00C85B70">
        <w:rPr>
          <w:rFonts w:ascii="Times New Roman" w:eastAsia="Times New Roman" w:hAnsi="Times New Roman" w:cs="Times New Roman"/>
          <w:lang w:eastAsia="en-US"/>
        </w:rPr>
        <w:t xml:space="preserve">. </w:t>
      </w:r>
      <w:r w:rsidR="00FD3945">
        <w:rPr>
          <w:rFonts w:ascii="Times New Roman" w:eastAsia="Times New Roman" w:hAnsi="Times New Roman" w:cs="Times New Roman"/>
          <w:lang w:eastAsia="en-US"/>
        </w:rPr>
        <w:t>. . .</w:t>
      </w:r>
    </w:p>
    <w:p w14:paraId="0388F677" w14:textId="77777777" w:rsidR="00C85B70" w:rsidRPr="00C85B70" w:rsidRDefault="00C85B70" w:rsidP="00FE7B7F">
      <w:pPr>
        <w:spacing w:before="12"/>
        <w:rPr>
          <w:rFonts w:ascii="Times New Roman" w:eastAsia="Times New Roman" w:hAnsi="Times New Roman" w:cs="Times New Roman"/>
          <w:lang w:eastAsia="en-US"/>
        </w:rPr>
      </w:pPr>
    </w:p>
    <w:p w14:paraId="3863EB0E" w14:textId="4DECAA41" w:rsidR="00C85B70" w:rsidRPr="00C85B70" w:rsidRDefault="00C85B70" w:rsidP="750671CE">
      <w:pPr>
        <w:ind w:right="6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Nevertheless,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ains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are widely</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known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46"/>
          <w:lang w:eastAsia="en-US"/>
        </w:rPr>
        <w:t xml:space="preserve"> </w:t>
      </w:r>
      <w:r w:rsidRPr="00280B55">
        <w:rPr>
          <w:rFonts w:ascii="Times New Roman" w:eastAsia="Times New Roman" w:hAnsi="Times New Roman" w:cs="Times New Roman"/>
          <w:lang w:eastAsia="en-US"/>
        </w:rPr>
        <w:t>Given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position 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courts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specific</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question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before us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anything 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obvious, we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 xml:space="preserve">two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inds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grinders are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raise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 jury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issue</w:t>
      </w:r>
      <w:r w:rsidRPr="00C85B70">
        <w:rPr>
          <w:rFonts w:ascii="Times New Roman" w:eastAsia="Times New Roman" w:hAnsi="Times New Roman" w:cs="Times New Roman"/>
          <w:lang w:eastAsia="en-US"/>
        </w:rPr>
        <w:t>.</w:t>
      </w:r>
    </w:p>
    <w:p w14:paraId="6C3D37EC" w14:textId="77777777" w:rsidR="00C85B70" w:rsidRPr="00C85B70" w:rsidRDefault="00C85B70" w:rsidP="00FE7B7F">
      <w:pPr>
        <w:ind w:right="64"/>
        <w:rPr>
          <w:rFonts w:ascii="Times New Roman" w:eastAsia="Times New Roman" w:hAnsi="Times New Roman" w:cs="Times New Roman"/>
          <w:spacing w:val="-3"/>
          <w:w w:val="99"/>
          <w:lang w:eastAsia="en-US"/>
        </w:rPr>
      </w:pPr>
    </w:p>
    <w:p w14:paraId="03974FA6" w14:textId="63DD32B8" w:rsidR="00C85B70" w:rsidRPr="00C85B70" w:rsidRDefault="00C85B70" w:rsidP="750671CE">
      <w:pPr>
        <w:ind w:right="6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But to state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h</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spacing w:val="2"/>
          <w:lang w:eastAsia="en-US"/>
        </w:rPr>
        <w:t>ss</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 xml:space="preserve">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 xml:space="preserve">at way would be to </w:t>
      </w:r>
      <w:r w:rsidRPr="00C85B70">
        <w:rPr>
          <w:rFonts w:ascii="Times New Roman" w:eastAsia="Times New Roman" w:hAnsi="Times New Roman" w:cs="Times New Roman"/>
          <w:spacing w:val="-3"/>
          <w:w w:val="99"/>
          <w:lang w:eastAsia="en-US"/>
        </w:rPr>
        <w:t>m</w:t>
      </w:r>
      <w:r w:rsidRPr="00C85B70">
        <w:rPr>
          <w:rFonts w:ascii="Times New Roman" w:eastAsia="Times New Roman" w:hAnsi="Times New Roman" w:cs="Times New Roman"/>
          <w:w w:val="99"/>
          <w:lang w:eastAsia="en-US"/>
        </w:rPr>
        <w:t>isunderstand</w:t>
      </w:r>
      <w:r w:rsidRPr="00C85B70">
        <w:rPr>
          <w:rFonts w:ascii="Times New Roman" w:eastAsia="Times New Roman" w:hAnsi="Times New Roman" w:cs="Times New Roman"/>
          <w:spacing w:val="-8"/>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co</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plex</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functions</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warnings.</w:t>
      </w:r>
      <w:r w:rsidR="00FD3945">
        <w:rPr>
          <w:rFonts w:ascii="Times New Roman" w:eastAsia="Times New Roman" w:hAnsi="Times New Roman" w:cs="Times New Roman"/>
          <w:lang w:eastAsia="en-US"/>
        </w:rPr>
        <w:t xml:space="preserve"> . . .</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13"/>
          <w:lang w:eastAsia="en-US"/>
        </w:rPr>
        <w:t xml:space="preserve"> </w:t>
      </w:r>
      <w:r w:rsidR="00FD3945">
        <w:rPr>
          <w:rFonts w:ascii="Times New Roman" w:eastAsia="Times New Roman" w:hAnsi="Times New Roman" w:cs="Times New Roman"/>
          <w:lang w:eastAsia="en-US"/>
        </w:rPr>
        <w:t xml:space="preserve">[A]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do</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exhort</w:t>
      </w:r>
      <w:r w:rsidRPr="00C85B70">
        <w:rPr>
          <w:rFonts w:ascii="Times New Roman" w:eastAsia="Times New Roman" w:hAnsi="Times New Roman" w:cs="Times New Roman"/>
          <w:spacing w:val="2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audience</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25"/>
          <w:lang w:eastAsia="en-US"/>
        </w:rPr>
        <w:t xml:space="preserve"> </w:t>
      </w:r>
      <w:r w:rsidR="00280B55">
        <w:rPr>
          <w:rFonts w:ascii="Times New Roman" w:eastAsia="Times New Roman" w:hAnsi="Times New Roman" w:cs="Times New Roman"/>
          <w:lang w:eastAsia="en-US"/>
        </w:rPr>
        <w:t xml:space="preserve">be careful.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also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affect</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activities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people warned</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choose</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engage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in. And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where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function of</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warning is</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assist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reader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in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aking</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choices,</w:t>
      </w:r>
      <w:r w:rsidRPr="00C85B70">
        <w:rPr>
          <w:rFonts w:ascii="Times New Roman" w:eastAsia="Times New Roman" w:hAnsi="Times New Roman" w:cs="Times New Roman"/>
          <w:spacing w:val="2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value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2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2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lie</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 xml:space="preserve">as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uch</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aking</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known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existence</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alternatives</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as in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spacing w:val="-1"/>
          <w:lang w:eastAsia="en-US"/>
        </w:rPr>
        <w:t>mm</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nicating 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fact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particular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choice</w:t>
      </w:r>
      <w:r w:rsidRPr="00C85B70">
        <w:rPr>
          <w:rFonts w:ascii="Times New Roman" w:eastAsia="Times New Roman" w:hAnsi="Times New Roman" w:cs="Times New Roman"/>
          <w:spacing w:val="7"/>
          <w:lang w:eastAsia="en-US"/>
        </w:rPr>
        <w:t xml:space="preserve"> </w:t>
      </w:r>
      <w:r w:rsidR="00280B55">
        <w:rPr>
          <w:rFonts w:ascii="Times New Roman" w:eastAsia="Times New Roman" w:hAnsi="Times New Roman" w:cs="Times New Roman"/>
          <w:lang w:eastAsia="en-US"/>
        </w:rPr>
        <w:t xml:space="preserve">is dangerous.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30"/>
          <w:lang w:eastAsia="en-US"/>
        </w:rPr>
        <w:t xml:space="preserve"> </w:t>
      </w:r>
      <w:r w:rsidRPr="00C85B70">
        <w:rPr>
          <w:rFonts w:ascii="Times New Roman" w:eastAsia="Times New Roman" w:hAnsi="Times New Roman" w:cs="Times New Roman"/>
          <w:lang w:eastAsia="en-US"/>
        </w:rPr>
        <w:t>follows</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8"/>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spacing w:val="1"/>
          <w:lang w:eastAsia="en-US"/>
        </w:rPr>
        <w:t>t</w:t>
      </w:r>
      <w:r w:rsidRPr="00C85B70">
        <w:rPr>
          <w:rFonts w:ascii="Times New Roman" w:eastAsia="Times New Roman" w:hAnsi="Times New Roman" w:cs="Times New Roman"/>
          <w:lang w:eastAsia="en-US"/>
        </w:rPr>
        <w:t>o</w:t>
      </w:r>
      <w:r w:rsidRPr="00C85B70">
        <w:rPr>
          <w:rFonts w:ascii="Times New Roman" w:eastAsia="Times New Roman" w:hAnsi="Times New Roman" w:cs="Times New Roman"/>
          <w:spacing w:val="31"/>
          <w:lang w:eastAsia="en-US"/>
        </w:rPr>
        <w:t xml:space="preserve"> </w:t>
      </w:r>
      <w:r w:rsidRPr="00C85B70">
        <w:rPr>
          <w:rFonts w:ascii="Times New Roman" w:eastAsia="Times New Roman" w:hAnsi="Times New Roman" w:cs="Times New Roman"/>
          <w:spacing w:val="1"/>
          <w:lang w:eastAsia="en-US"/>
        </w:rPr>
        <w:t>w</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rn</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29"/>
          <w:lang w:eastAsia="en-US"/>
        </w:rPr>
        <w:t xml:space="preserve"> </w:t>
      </w:r>
      <w:r w:rsidRPr="00C85B70">
        <w:rPr>
          <w:rFonts w:ascii="Times New Roman" w:eastAsia="Times New Roman" w:hAnsi="Times New Roman" w:cs="Times New Roman"/>
          <w:lang w:eastAsia="en-US"/>
        </w:rPr>
        <w:t>not necessarily</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obviated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erely</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because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 danger</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is clear.</w:t>
      </w:r>
    </w:p>
    <w:p w14:paraId="5ED750F8" w14:textId="77777777" w:rsidR="00C85B70" w:rsidRPr="00C85B70" w:rsidRDefault="00C85B70" w:rsidP="00FE7B7F">
      <w:pPr>
        <w:spacing w:before="12"/>
        <w:rPr>
          <w:rFonts w:ascii="Times New Roman" w:eastAsia="Times New Roman" w:hAnsi="Times New Roman" w:cs="Times New Roman"/>
          <w:lang w:eastAsia="en-US"/>
        </w:rPr>
      </w:pPr>
    </w:p>
    <w:p w14:paraId="054A26BE" w14:textId="17657485" w:rsidR="00C85B70" w:rsidRPr="00C85B70" w:rsidRDefault="00C85B70" w:rsidP="750671CE">
      <w:pPr>
        <w:ind w:right="-58"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be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ore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concrete,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warning</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can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convey</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least two</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types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8"/>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essa</w:t>
      </w:r>
      <w:r w:rsidRPr="00C85B70">
        <w:rPr>
          <w:rFonts w:ascii="Times New Roman" w:eastAsia="Times New Roman" w:hAnsi="Times New Roman" w:cs="Times New Roman"/>
          <w:lang w:eastAsia="en-US"/>
        </w:rPr>
        <w:t>g</w:t>
      </w:r>
      <w:r w:rsidRPr="00C85B70">
        <w:rPr>
          <w:rFonts w:ascii="Times New Roman" w:eastAsia="Times New Roman" w:hAnsi="Times New Roman" w:cs="Times New Roman"/>
          <w:spacing w:val="2"/>
          <w:lang w:eastAsia="en-US"/>
        </w:rPr>
        <w:t>e</w:t>
      </w:r>
      <w:r w:rsidRPr="00C85B70">
        <w:rPr>
          <w:rFonts w:ascii="Times New Roman" w:eastAsia="Times New Roman" w:hAnsi="Times New Roman" w:cs="Times New Roman"/>
          <w:lang w:eastAsia="en-US"/>
        </w:rPr>
        <w:t>s.  One</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states</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particular place,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object,</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lang w:eastAsia="en-US"/>
        </w:rPr>
        <w:t>tivity is dangerous.  Another explains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people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need</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risk</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danger</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posed</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by such</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 place,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object,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or</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activity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in order</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 achieve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the purpose</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f</w:t>
      </w:r>
      <w:r w:rsidRPr="00C85B70">
        <w:rPr>
          <w:rFonts w:ascii="Times New Roman" w:eastAsia="Times New Roman" w:hAnsi="Times New Roman" w:cs="Times New Roman"/>
          <w:spacing w:val="1"/>
          <w:lang w:eastAsia="en-US"/>
        </w:rPr>
        <w:t>o</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27"/>
          <w:lang w:eastAsia="en-US"/>
        </w:rPr>
        <w:t xml:space="preserve"> </w:t>
      </w:r>
      <w:r w:rsidRPr="00C85B70">
        <w:rPr>
          <w:rFonts w:ascii="Times New Roman" w:eastAsia="Times New Roman" w:hAnsi="Times New Roman" w:cs="Times New Roman"/>
          <w:lang w:eastAsia="en-US"/>
        </w:rPr>
        <w:t>which</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they</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ight</w:t>
      </w:r>
      <w:r w:rsidRPr="00C85B70">
        <w:rPr>
          <w:rFonts w:ascii="Times New Roman" w:eastAsia="Times New Roman" w:hAnsi="Times New Roman" w:cs="Times New Roman"/>
          <w:spacing w:val="23"/>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taken</w:t>
      </w:r>
      <w:r w:rsidRPr="00C85B70">
        <w:rPr>
          <w:rFonts w:ascii="Times New Roman" w:eastAsia="Times New Roman" w:hAnsi="Times New Roman" w:cs="Times New Roman"/>
          <w:spacing w:val="2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25"/>
          <w:lang w:eastAsia="en-US"/>
        </w:rPr>
        <w:t xml:space="preserve"> </w:t>
      </w:r>
      <w:r w:rsidRPr="00C85B70">
        <w:rPr>
          <w:rFonts w:ascii="Times New Roman" w:eastAsia="Times New Roman" w:hAnsi="Times New Roman" w:cs="Times New Roman"/>
          <w:lang w:eastAsia="en-US"/>
        </w:rPr>
        <w:t>risk. Thus,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highway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sign</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says</w:t>
      </w:r>
      <w:r w:rsidRPr="00C85B70">
        <w:rPr>
          <w:rFonts w:ascii="Times New Roman" w:eastAsia="Times New Roman" w:hAnsi="Times New Roman" w:cs="Times New Roman"/>
          <w:spacing w:val="-9"/>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Danger</w:t>
      </w:r>
      <w:r w:rsidR="004764C7">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Steep</w:t>
      </w:r>
      <w:r w:rsidRPr="00C85B70">
        <w:rPr>
          <w:rFonts w:ascii="Times New Roman" w:eastAsia="Times New Roman" w:hAnsi="Times New Roman" w:cs="Times New Roman"/>
          <w:spacing w:val="-19"/>
          <w:lang w:eastAsia="en-US"/>
        </w:rPr>
        <w:t xml:space="preserve"> </w:t>
      </w:r>
      <w:r w:rsidRPr="00C85B70">
        <w:rPr>
          <w:rFonts w:ascii="Times New Roman" w:eastAsia="Times New Roman" w:hAnsi="Times New Roman" w:cs="Times New Roman"/>
          <w:lang w:eastAsia="en-US"/>
        </w:rPr>
        <w:t>Grade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2"/>
          <w:lang w:eastAsia="en-US"/>
        </w:rPr>
        <w:t>s</w:t>
      </w:r>
      <w:r w:rsidRPr="00C85B70">
        <w:rPr>
          <w:rFonts w:ascii="Times New Roman" w:eastAsia="Times New Roman" w:hAnsi="Times New Roman" w:cs="Times New Roman"/>
          <w:lang w:eastAsia="en-US"/>
        </w:rPr>
        <w:t>ays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less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sign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says</w:t>
      </w:r>
      <w:r w:rsidRPr="00C85B70">
        <w:rPr>
          <w:rFonts w:ascii="Times New Roman" w:eastAsia="Times New Roman" w:hAnsi="Times New Roman" w:cs="Times New Roman"/>
          <w:spacing w:val="13"/>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Steep</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Grade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Ah</w:t>
      </w:r>
      <w:r w:rsidRPr="00C85B70">
        <w:rPr>
          <w:rFonts w:ascii="Times New Roman" w:eastAsia="Times New Roman" w:hAnsi="Times New Roman" w:cs="Times New Roman"/>
          <w:spacing w:val="2"/>
          <w:lang w:eastAsia="en-US"/>
        </w:rPr>
        <w:t>ea</w:t>
      </w:r>
      <w:r w:rsidRPr="00C85B70">
        <w:rPr>
          <w:rFonts w:ascii="Times New Roman" w:eastAsia="Times New Roman" w:hAnsi="Times New Roman" w:cs="Times New Roman"/>
          <w:spacing w:val="1"/>
          <w:lang w:eastAsia="en-US"/>
        </w:rPr>
        <w:t>d</w:t>
      </w:r>
      <w:r w:rsidR="004764C7">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Follow</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Suggested</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Detour</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Avoid</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Dangerous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Areas.</w:t>
      </w:r>
      <w:r w:rsidR="00B05F31">
        <w:rPr>
          <w:rFonts w:ascii="Times New Roman" w:eastAsia="Times New Roman" w:hAnsi="Times New Roman" w:cs="Times New Roman"/>
          <w:lang w:eastAsia="en-US"/>
        </w:rPr>
        <w:t>”</w:t>
      </w:r>
    </w:p>
    <w:p w14:paraId="08BD090A" w14:textId="77777777" w:rsidR="00C85B70" w:rsidRPr="00C85B70" w:rsidRDefault="00C85B70" w:rsidP="00FE7B7F">
      <w:pPr>
        <w:spacing w:before="12"/>
        <w:rPr>
          <w:rFonts w:ascii="Times New Roman" w:eastAsia="Times New Roman" w:hAnsi="Times New Roman" w:cs="Times New Roman"/>
          <w:lang w:eastAsia="en-US"/>
        </w:rPr>
      </w:pPr>
    </w:p>
    <w:p w14:paraId="57107915" w14:textId="576D30B3" w:rsidR="00C85B70" w:rsidRPr="00C85B70" w:rsidRDefault="00C85B70" w:rsidP="750671CE">
      <w:pPr>
        <w:ind w:right="-5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hills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ountains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responsible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steep</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grade are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plainly visible, the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sign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erely states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 reasonable person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having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be warned. </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second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sign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tells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drivers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what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they</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 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xml:space="preserve">otherwise known: </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another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road th</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fl</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 xml:space="preserve">tter </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nd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le</w:t>
      </w:r>
      <w:r w:rsidRPr="00280B55">
        <w:rPr>
          <w:rFonts w:ascii="Times New Roman" w:eastAsia="Times New Roman" w:hAnsi="Times New Roman" w:cs="Times New Roman"/>
          <w:spacing w:val="1"/>
          <w:lang w:eastAsia="en-US"/>
        </w:rPr>
        <w:t>s</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1"/>
          <w:lang w:eastAsia="en-US"/>
        </w:rPr>
        <w:t>azardous</w:t>
      </w:r>
      <w:r w:rsidRPr="00280B55">
        <w:rPr>
          <w:rFonts w:ascii="Times New Roman" w:eastAsia="Times New Roman" w:hAnsi="Times New Roman" w:cs="Times New Roman"/>
          <w:lang w:eastAsia="en-US"/>
        </w:rPr>
        <w:t>.  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driv</w:t>
      </w:r>
      <w:r w:rsidRPr="00280B55">
        <w:rPr>
          <w:rFonts w:ascii="Times New Roman" w:eastAsia="Times New Roman" w:hAnsi="Times New Roman" w:cs="Times New Roman"/>
          <w:spacing w:val="1"/>
          <w:lang w:eastAsia="en-US"/>
        </w:rPr>
        <w:t>e</w:t>
      </w:r>
      <w:r w:rsidRPr="00280B55">
        <w:rPr>
          <w:rFonts w:ascii="Times New Roman" w:eastAsia="Times New Roman" w:hAnsi="Times New Roman" w:cs="Times New Roman"/>
          <w:lang w:eastAsia="en-US"/>
        </w:rPr>
        <w:t>r who believes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through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ountainous area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 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way</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reach</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destination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choose to</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drive</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road</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despite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steep</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grades,</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a driver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knows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herself</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 have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an altern</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 not</w:t>
      </w:r>
      <w:r w:rsidR="00FD3945">
        <w:rPr>
          <w:rFonts w:ascii="Times New Roman" w:eastAsia="Times New Roman" w:hAnsi="Times New Roman" w:cs="Times New Roman"/>
          <w:lang w:eastAsia="en-US"/>
        </w:rPr>
        <w:t xml:space="preserve"> . . . .</w:t>
      </w:r>
    </w:p>
    <w:p w14:paraId="2E01FA2A" w14:textId="77777777" w:rsidR="00C85B70" w:rsidRPr="00C85B70" w:rsidRDefault="00C85B70" w:rsidP="00FE7B7F">
      <w:pPr>
        <w:ind w:right="-52"/>
        <w:rPr>
          <w:rFonts w:ascii="Times New Roman" w:eastAsia="Times New Roman" w:hAnsi="Times New Roman" w:cs="Times New Roman"/>
          <w:lang w:eastAsia="en-US"/>
        </w:rPr>
      </w:pPr>
    </w:p>
    <w:p w14:paraId="1CE6E770" w14:textId="1ADC5273" w:rsidR="00C85B70" w:rsidRPr="00280B55" w:rsidRDefault="00C85B70" w:rsidP="750671CE">
      <w:pPr>
        <w:ind w:right="-52"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grinds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like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drives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steep road,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spacing w:val="2"/>
          <w:lang w:eastAsia="en-US"/>
        </w:rPr>
        <w:t>ca</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lang w:eastAsia="en-US"/>
        </w:rPr>
        <w:t>efit</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told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his activity</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dangerous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from</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told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safer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way.  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said,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one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argue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risk involved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grinding</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sufficiently</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 responsible per</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fail</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risk, b</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li</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lang w:eastAsia="en-US"/>
        </w:rPr>
        <w:t>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reasonably that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convey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no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helpful 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ation. </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also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case</w:t>
      </w:r>
      <w:r w:rsidR="004764C7">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a</w:t>
      </w:r>
      <w:r w:rsidR="004764C7">
        <w:rPr>
          <w:rFonts w:ascii="Times New Roman" w:eastAsia="Times New Roman" w:hAnsi="Times New Roman" w:cs="Times New Roman"/>
          <w:lang w:eastAsia="en-US"/>
        </w:rPr>
        <w:t>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w:t>
      </w:r>
      <w:r w:rsidR="004764C7">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 risk</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feasibly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reduced</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by attaching</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we have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different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question. Given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attaching</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feasible,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reasonable care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require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workers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 that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they need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accept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risks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unguarded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grinders? Even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if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ost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ordinary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users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w:t>
      </w:r>
      <w:r w:rsidR="004764C7">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law</w:t>
      </w:r>
      <w:r w:rsidR="004764C7">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guardless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gr</w:t>
      </w:r>
      <w:r w:rsidRPr="00280B55">
        <w:rPr>
          <w:rFonts w:ascii="Times New Roman" w:eastAsia="Times New Roman" w:hAnsi="Times New Roman" w:cs="Times New Roman"/>
          <w:spacing w:val="1"/>
          <w:lang w:eastAsia="en-US"/>
        </w:rPr>
        <w:t>ind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it does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follow</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sufficient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nu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ber</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will</w:t>
      </w:r>
      <w:r w:rsidR="00B967C9">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law</w:t>
      </w:r>
      <w:r w:rsidR="004764C7">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also</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know</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protective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are available,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realistic</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possibility,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and 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ask</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w:t>
      </w:r>
      <w:r w:rsidRPr="00280B55">
        <w:rPr>
          <w:rFonts w:ascii="Times New Roman" w:eastAsia="Times New Roman" w:hAnsi="Times New Roman" w:cs="Times New Roman"/>
          <w:spacing w:val="2"/>
          <w:lang w:eastAsia="en-US"/>
        </w:rPr>
        <w:t>c</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gu</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rds be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used. </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is precisely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last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pieces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infor</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ation 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 reasonable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anufacturer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dut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convey even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danger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grinder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were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itself</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 obvious.</w:t>
      </w:r>
    </w:p>
    <w:p w14:paraId="614986C8" w14:textId="77777777" w:rsidR="00C85B70" w:rsidRPr="00280B55" w:rsidRDefault="00C85B70" w:rsidP="00FE7B7F">
      <w:pPr>
        <w:spacing w:before="12"/>
        <w:rPr>
          <w:rFonts w:ascii="Times New Roman" w:eastAsia="Times New Roman" w:hAnsi="Times New Roman" w:cs="Times New Roman"/>
          <w:lang w:eastAsia="en-US"/>
        </w:rPr>
      </w:pPr>
    </w:p>
    <w:p w14:paraId="5CC4915A" w14:textId="2CA5C186" w:rsidR="00C85B70" w:rsidRPr="00C85B70" w:rsidRDefault="00C85B70" w:rsidP="750671CE">
      <w:pPr>
        <w:ind w:right="6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Consequently,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instant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1"/>
          <w:lang w:eastAsia="en-US"/>
        </w:rPr>
        <w:t>do</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require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us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 decide</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difficult</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spacing w:val="1"/>
          <w:lang w:eastAsia="en-US"/>
        </w:rPr>
        <w:t>qu</w:t>
      </w:r>
      <w:r w:rsidRPr="00280B55">
        <w:rPr>
          <w:rFonts w:ascii="Times New Roman" w:eastAsia="Times New Roman" w:hAnsi="Times New Roman" w:cs="Times New Roman"/>
          <w:spacing w:val="2"/>
          <w:lang w:eastAsia="en-US"/>
        </w:rPr>
        <w:t>es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ion</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whether</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York would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consider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posed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 obvious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7"/>
          <w:lang w:eastAsia="en-US"/>
        </w:rPr>
        <w:t xml:space="preserve"> </w:t>
      </w:r>
      <w:r w:rsidR="00280B55" w:rsidRPr="00280B55">
        <w:rPr>
          <w:rFonts w:ascii="Times New Roman" w:eastAsia="Times New Roman" w:hAnsi="Times New Roman" w:cs="Times New Roman"/>
          <w:lang w:eastAsia="en-US"/>
        </w:rPr>
        <w:t xml:space="preserve">law.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j</w:t>
      </w:r>
      <w:r w:rsidRPr="00280B55">
        <w:rPr>
          <w:rFonts w:ascii="Times New Roman" w:eastAsia="Times New Roman" w:hAnsi="Times New Roman" w:cs="Times New Roman"/>
          <w:lang w:eastAsia="en-US"/>
        </w:rPr>
        <w:t>ury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reasonably find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lang w:eastAsia="en-US"/>
        </w:rPr>
        <w:t>e exist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people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are 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ployed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 xml:space="preserve">as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grinders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wh</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know (a)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feasible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to reduce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risk</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guards are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available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grind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(c)</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 grinders should be</w:t>
      </w:r>
      <w:r w:rsidRPr="00280B55">
        <w:rPr>
          <w:rFonts w:ascii="Times New Roman" w:eastAsia="Times New Roman" w:hAnsi="Times New Roman" w:cs="Times New Roman"/>
          <w:spacing w:val="29"/>
          <w:lang w:eastAsia="en-US"/>
        </w:rPr>
        <w:t xml:space="preserve"> </w:t>
      </w:r>
      <w:r w:rsidRPr="00280B55">
        <w:rPr>
          <w:rFonts w:ascii="Times New Roman" w:eastAsia="Times New Roman" w:hAnsi="Times New Roman" w:cs="Times New Roman"/>
          <w:lang w:eastAsia="en-US"/>
        </w:rPr>
        <w:t>us</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the guards. Moreover,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jury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also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reasonably</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find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there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are enough such people,</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and that</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 xml:space="preserve">them is </w:t>
      </w:r>
      <w:r w:rsidRPr="00280B55">
        <w:rPr>
          <w:rFonts w:ascii="Times New Roman" w:eastAsia="Times New Roman" w:hAnsi="Times New Roman" w:cs="Times New Roman"/>
          <w:spacing w:val="-1"/>
          <w:lang w:eastAsia="en-US"/>
        </w:rPr>
        <w:t>sufficientl</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spacing w:val="-1"/>
          <w:lang w:eastAsia="en-US"/>
        </w:rPr>
        <w:t>inexpensive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spacing w:val="-1"/>
          <w:lang w:eastAsia="en-US"/>
        </w:rPr>
        <w:t>r</w:t>
      </w:r>
      <w:r w:rsidRPr="00280B55">
        <w:rPr>
          <w:rFonts w:ascii="Times New Roman" w:eastAsia="Times New Roman" w:hAnsi="Times New Roman" w:cs="Times New Roman"/>
          <w:lang w:eastAsia="en-US"/>
        </w:rPr>
        <w:t>easonable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
          <w:lang w:eastAsia="en-US"/>
        </w:rPr>
        <w:t xml:space="preserve">nufacturer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inform</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the grinder</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eant</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only</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guards. Thus,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even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consider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 danger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of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grinders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obvious</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spacing w:val="-1"/>
          <w:lang w:eastAsia="en-US"/>
        </w:rPr>
        <w:t>m</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tter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that obviousness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substitute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rning</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 jury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indeed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did,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find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duty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provi</w:t>
      </w:r>
      <w:r w:rsidR="00280B55">
        <w:rPr>
          <w:rFonts w:ascii="Times New Roman" w:eastAsia="Times New Roman" w:hAnsi="Times New Roman" w:cs="Times New Roman"/>
          <w:lang w:eastAsia="en-US"/>
        </w:rPr>
        <w:t xml:space="preserve">de. </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follows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that we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cannot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say, as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at</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 of</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law, that Hobart</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had no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dut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warn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Liriano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 present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 xml:space="preserve">case. </w:t>
      </w:r>
      <w:r w:rsidR="00FD3945" w:rsidRPr="00280B55">
        <w:rPr>
          <w:rFonts w:ascii="Times New Roman" w:eastAsia="Times New Roman" w:hAnsi="Times New Roman" w:cs="Times New Roman"/>
          <w:spacing w:val="8"/>
          <w:lang w:eastAsia="en-US"/>
        </w:rPr>
        <w:t>.</w:t>
      </w:r>
      <w:r w:rsidR="00FD3945">
        <w:rPr>
          <w:rFonts w:ascii="Times New Roman" w:eastAsia="Times New Roman" w:hAnsi="Times New Roman" w:cs="Times New Roman"/>
          <w:spacing w:val="8"/>
          <w:lang w:eastAsia="en-US"/>
        </w:rPr>
        <w:t xml:space="preserve"> . .</w:t>
      </w:r>
    </w:p>
    <w:p w14:paraId="0916D665" w14:textId="77777777" w:rsidR="004764C7" w:rsidRDefault="004764C7" w:rsidP="00F94B7E">
      <w:pPr>
        <w:ind w:right="-20"/>
        <w:rPr>
          <w:rFonts w:ascii="Times New Roman" w:eastAsia="Times New Roman" w:hAnsi="Times New Roman" w:cs="Times New Roman"/>
          <w:lang w:eastAsia="en-US"/>
        </w:rPr>
      </w:pPr>
    </w:p>
    <w:p w14:paraId="049F44FE" w14:textId="77777777" w:rsidR="00C85B70" w:rsidRPr="00C85B70" w:rsidRDefault="00C85B70" w:rsidP="00F94B7E">
      <w:pPr>
        <w:ind w:right="-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(2)</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w w:val="102"/>
          <w:lang w:eastAsia="en-US"/>
        </w:rPr>
        <w:t>Causation</w:t>
      </w:r>
    </w:p>
    <w:p w14:paraId="6D2673DA" w14:textId="77777777" w:rsidR="00C85B70" w:rsidRPr="00C85B70" w:rsidRDefault="00C85B70" w:rsidP="00FE7B7F">
      <w:pPr>
        <w:ind w:right="-20"/>
        <w:rPr>
          <w:rFonts w:ascii="Times New Roman" w:eastAsia="Times New Roman" w:hAnsi="Times New Roman" w:cs="Times New Roman"/>
          <w:lang w:eastAsia="en-US"/>
        </w:rPr>
      </w:pPr>
    </w:p>
    <w:p w14:paraId="77375925" w14:textId="0D399601" w:rsidR="00C85B70" w:rsidRPr="00280B55" w:rsidRDefault="00C85B70" w:rsidP="750671CE">
      <w:pPr>
        <w:ind w:right="-20"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On rebriefing fo</w:t>
      </w:r>
      <w:r w:rsidRPr="00C85B70">
        <w:rPr>
          <w:rFonts w:ascii="Times New Roman" w:eastAsia="Times New Roman" w:hAnsi="Times New Roman" w:cs="Times New Roman"/>
          <w:spacing w:val="1"/>
          <w:lang w:eastAsia="en-US"/>
        </w:rPr>
        <w:t>llowin</w:t>
      </w:r>
      <w:r w:rsidRPr="00C85B70">
        <w:rPr>
          <w:rFonts w:ascii="Times New Roman" w:eastAsia="Times New Roman" w:hAnsi="Times New Roman" w:cs="Times New Roman"/>
          <w:lang w:eastAsia="en-US"/>
        </w:rPr>
        <w:t xml:space="preserve">g </w:t>
      </w:r>
      <w:r w:rsidRPr="00C85B70">
        <w:rPr>
          <w:rFonts w:ascii="Times New Roman" w:eastAsia="Times New Roman" w:hAnsi="Times New Roman" w:cs="Times New Roman"/>
          <w:spacing w:val="2"/>
          <w:lang w:eastAsia="en-US"/>
        </w:rPr>
        <w:t>the</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8"/>
          <w:lang w:eastAsia="en-US"/>
        </w:rPr>
        <w:t>Court</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5"/>
          <w:lang w:eastAsia="en-US"/>
        </w:rPr>
        <w:t>of</w:t>
      </w:r>
      <w:r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spacing w:val="8"/>
          <w:lang w:eastAsia="en-US"/>
        </w:rPr>
        <w:t>Appeals</w:t>
      </w:r>
      <w:r w:rsidRPr="00C85B70">
        <w:rPr>
          <w:rFonts w:ascii="Times New Roman" w:eastAsia="Times New Roman" w:hAnsi="Times New Roman" w:cs="Times New Roman"/>
          <w:lang w:eastAsia="en-US"/>
        </w:rPr>
        <w:t xml:space="preserve"> decision,</w:t>
      </w:r>
      <w:r w:rsidRPr="00C85B70">
        <w:rPr>
          <w:rFonts w:ascii="Times New Roman" w:eastAsia="Times New Roman" w:hAnsi="Times New Roman" w:cs="Times New Roman"/>
          <w:spacing w:val="-14"/>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has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ade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another</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 xml:space="preserve">why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1"/>
          <w:lang w:eastAsia="en-US"/>
        </w:rPr>
        <w:t>j</w:t>
      </w:r>
      <w:r w:rsidRPr="00C85B70">
        <w:rPr>
          <w:rFonts w:ascii="Times New Roman" w:eastAsia="Times New Roman" w:hAnsi="Times New Roman" w:cs="Times New Roman"/>
          <w:lang w:eastAsia="en-US"/>
        </w:rPr>
        <w:t>ury</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have</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been</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allowed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find</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for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 xml:space="preserve">e plaintiff.  </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raises 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w:t>
      </w:r>
      <w:r w:rsidRPr="00C85B70">
        <w:rPr>
          <w:rFonts w:ascii="Times New Roman" w:eastAsia="Times New Roman" w:hAnsi="Times New Roman" w:cs="Times New Roman"/>
          <w:spacing w:val="2"/>
          <w:lang w:eastAsia="en-US"/>
        </w:rPr>
        <w:t>ss</w:t>
      </w:r>
      <w:r w:rsidRPr="00C85B70">
        <w:rPr>
          <w:rFonts w:ascii="Times New Roman" w:eastAsia="Times New Roman" w:hAnsi="Times New Roman" w:cs="Times New Roman"/>
          <w:spacing w:val="1"/>
          <w:lang w:eastAsia="en-US"/>
        </w:rPr>
        <w:t>u</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 xml:space="preserve">of causation. </w:t>
      </w:r>
      <w:r w:rsidRPr="00C85B70">
        <w:rPr>
          <w:rFonts w:ascii="Times New Roman" w:eastAsia="Times New Roman" w:hAnsi="Times New Roman" w:cs="Times New Roman"/>
          <w:spacing w:val="47"/>
          <w:lang w:eastAsia="en-US"/>
        </w:rPr>
        <w:t xml:space="preserve"> </w:t>
      </w:r>
      <w:r w:rsidRPr="00C85B70">
        <w:rPr>
          <w:rFonts w:ascii="Times New Roman" w:eastAsia="Times New Roman" w:hAnsi="Times New Roman" w:cs="Times New Roman"/>
          <w:lang w:eastAsia="en-US"/>
        </w:rPr>
        <w:t>It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1"/>
          <w:lang w:eastAsia="en-US"/>
        </w:rPr>
        <w:t>m</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int</w:t>
      </w:r>
      <w:r w:rsidRPr="00C85B70">
        <w:rPr>
          <w:rFonts w:ascii="Times New Roman" w:eastAsia="Times New Roman" w:hAnsi="Times New Roman" w:cs="Times New Roman"/>
          <w:lang w:eastAsia="en-US"/>
        </w:rPr>
        <w:t>ains</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Liriano</w:t>
      </w:r>
      <w:r w:rsidRPr="00C85B70">
        <w:rPr>
          <w:rFonts w:ascii="Times New Roman" w:eastAsia="Times New Roman" w:hAnsi="Times New Roman" w:cs="Times New Roman"/>
          <w:spacing w:val="-4"/>
          <w:lang w:eastAsia="en-US"/>
        </w:rPr>
        <w:t xml:space="preserv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failed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to present any</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evidence</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Hobart</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place</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warning [on</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1"/>
          <w:lang w:eastAsia="en-US"/>
        </w:rPr>
        <w:t>th</w:t>
      </w:r>
      <w:r w:rsidRPr="00C85B70">
        <w:rPr>
          <w:rFonts w:ascii="Times New Roman" w:eastAsia="Times New Roman" w:hAnsi="Times New Roman" w:cs="Times New Roman"/>
          <w:lang w:eastAsia="en-US"/>
        </w:rPr>
        <w:t>e</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achine]</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causally</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related</w:t>
      </w:r>
      <w:r w:rsidRPr="00C85B70">
        <w:rPr>
          <w:rFonts w:ascii="Times New Roman" w:eastAsia="Times New Roman" w:hAnsi="Times New Roman" w:cs="Times New Roman"/>
          <w:spacing w:val="8"/>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injury.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hether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there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says, Liriano</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operated</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did and</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suffered</w:t>
      </w:r>
      <w:r w:rsidRPr="00280B55">
        <w:rPr>
          <w:rFonts w:ascii="Times New Roman" w:eastAsia="Times New Roman" w:hAnsi="Times New Roman" w:cs="Times New Roman"/>
          <w:spacing w:val="2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inju</w:t>
      </w:r>
      <w:r w:rsidRPr="00280B55">
        <w:rPr>
          <w:rFonts w:ascii="Times New Roman" w:eastAsia="Times New Roman" w:hAnsi="Times New Roman" w:cs="Times New Roman"/>
          <w:spacing w:val="1"/>
          <w:lang w:eastAsia="en-US"/>
        </w:rPr>
        <w:t>ri</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suffered.  Liriano introduced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notes,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lang w:eastAsia="en-US"/>
        </w:rPr>
        <w:t>ggesting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either that</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4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refused</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5"/>
          <w:lang w:eastAsia="en-US"/>
        </w:rPr>
        <w:t xml:space="preserve"> </w:t>
      </w:r>
      <w:r w:rsidRPr="00280B55">
        <w:rPr>
          <w:rFonts w:ascii="Times New Roman" w:eastAsia="Times New Roman" w:hAnsi="Times New Roman" w:cs="Times New Roman"/>
          <w:lang w:eastAsia="en-US"/>
        </w:rPr>
        <w:t>gr</w:t>
      </w:r>
      <w:r w:rsidRPr="00280B55">
        <w:rPr>
          <w:rFonts w:ascii="Times New Roman" w:eastAsia="Times New Roman" w:hAnsi="Times New Roman" w:cs="Times New Roman"/>
          <w:spacing w:val="1"/>
          <w:lang w:eastAsia="en-US"/>
        </w:rPr>
        <w:t>in</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 xml:space="preserve">the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borne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warning</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would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have per</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u</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spacing w:val="1"/>
          <w:lang w:eastAsia="en-US"/>
        </w:rPr>
        <w:t>d</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Super</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 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direct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ployees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use the grinder</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attach</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w:t>
      </w:r>
    </w:p>
    <w:p w14:paraId="2163D076" w14:textId="77777777" w:rsidR="00C85B70" w:rsidRPr="00C85B70" w:rsidRDefault="00C85B70" w:rsidP="00FE7B7F">
      <w:pPr>
        <w:spacing w:before="12"/>
        <w:rPr>
          <w:rFonts w:ascii="Times New Roman" w:eastAsia="Times New Roman" w:hAnsi="Times New Roman" w:cs="Times New Roman"/>
          <w:lang w:eastAsia="en-US"/>
        </w:rPr>
      </w:pPr>
    </w:p>
    <w:p w14:paraId="0E8344EB" w14:textId="122D064A" w:rsidR="00C85B70" w:rsidRPr="00C85B70" w:rsidRDefault="00C85B70" w:rsidP="750671CE">
      <w:pPr>
        <w:ind w:right="-54"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Hobart</w:t>
      </w:r>
      <w:r w:rsidR="00B05F31">
        <w:rPr>
          <w:rFonts w:ascii="Times New Roman" w:eastAsia="Times New Roman" w:hAnsi="Times New Roman" w:cs="Times New Roman"/>
          <w:spacing w:val="-1"/>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argu</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ent about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causation follows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log</w:t>
      </w:r>
      <w:r w:rsidRPr="00C85B70">
        <w:rPr>
          <w:rFonts w:ascii="Times New Roman" w:eastAsia="Times New Roman" w:hAnsi="Times New Roman" w:cs="Times New Roman"/>
          <w:spacing w:val="1"/>
          <w:lang w:eastAsia="en-US"/>
        </w:rPr>
        <w:t>i</w:t>
      </w:r>
      <w:r w:rsidRPr="00C85B70">
        <w:rPr>
          <w:rFonts w:ascii="Times New Roman" w:eastAsia="Times New Roman" w:hAnsi="Times New Roman" w:cs="Times New Roman"/>
          <w:lang w:eastAsia="en-US"/>
        </w:rPr>
        <w:t>cally from</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0"/>
          <w:lang w:eastAsia="en-US"/>
        </w:rPr>
        <w:t xml:space="preserve"> </w:t>
      </w:r>
      <w:r w:rsidRPr="00C85B70">
        <w:rPr>
          <w:rFonts w:ascii="Times New Roman" w:eastAsia="Times New Roman" w:hAnsi="Times New Roman" w:cs="Times New Roman"/>
          <w:lang w:eastAsia="en-US"/>
        </w:rPr>
        <w:t>notion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duty</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in</w:t>
      </w:r>
      <w:r w:rsidRPr="00C85B70">
        <w:rPr>
          <w:rFonts w:ascii="Times New Roman" w:eastAsia="Times New Roman" w:hAnsi="Times New Roman" w:cs="Times New Roman"/>
          <w:spacing w:val="-11"/>
          <w:lang w:eastAsia="en-US"/>
        </w:rPr>
        <w:t xml:space="preserve"> </w:t>
      </w:r>
      <w:r w:rsidRPr="00C85B70">
        <w:rPr>
          <w:rFonts w:ascii="Times New Roman" w:eastAsia="Times New Roman" w:hAnsi="Times New Roman" w:cs="Times New Roman"/>
          <w:lang w:eastAsia="en-US"/>
        </w:rPr>
        <w:t>this</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case</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erely required</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Hobart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inform Liriano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guard</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 xml:space="preserve">was </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spacing w:val="1"/>
          <w:lang w:eastAsia="en-US"/>
        </w:rPr>
        <w:t>v</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ilable and</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should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an</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unguarded grinder.</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contention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is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tightly</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reasoned,</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but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it rests on</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false</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pre</w:t>
      </w:r>
      <w:r w:rsidRPr="00C85B70">
        <w:rPr>
          <w:rFonts w:ascii="Times New Roman" w:eastAsia="Times New Roman" w:hAnsi="Times New Roman" w:cs="Times New Roman"/>
          <w:spacing w:val="-2"/>
          <w:lang w:eastAsia="en-US"/>
        </w:rPr>
        <w:t>m</w:t>
      </w:r>
      <w:r w:rsidRPr="00C85B70">
        <w:rPr>
          <w:rFonts w:ascii="Times New Roman" w:eastAsia="Times New Roman" w:hAnsi="Times New Roman" w:cs="Times New Roman"/>
          <w:lang w:eastAsia="en-US"/>
        </w:rPr>
        <w:t>ise. It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assu</w:t>
      </w:r>
      <w:r w:rsidRPr="00C85B70">
        <w:rPr>
          <w:rFonts w:ascii="Times New Roman" w:eastAsia="Times New Roman" w:hAnsi="Times New Roman" w:cs="Times New Roman"/>
          <w:spacing w:val="-3"/>
          <w:lang w:eastAsia="en-US"/>
        </w:rPr>
        <w:t>m</w:t>
      </w:r>
      <w:r w:rsidRPr="00C85B70">
        <w:rPr>
          <w:rFonts w:ascii="Times New Roman" w:eastAsia="Times New Roman" w:hAnsi="Times New Roman" w:cs="Times New Roman"/>
          <w:lang w:eastAsia="en-US"/>
        </w:rPr>
        <w:t>es</w:t>
      </w:r>
      <w:r w:rsidRPr="00C85B70">
        <w:rPr>
          <w:rFonts w:ascii="Times New Roman" w:eastAsia="Times New Roman" w:hAnsi="Times New Roman" w:cs="Times New Roman"/>
          <w:spacing w:val="-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burden</w:t>
      </w:r>
      <w:r w:rsidRPr="00C85B70">
        <w:rPr>
          <w:rFonts w:ascii="Times New Roman" w:eastAsia="Times New Roman" w:hAnsi="Times New Roman" w:cs="Times New Roman"/>
          <w:spacing w:val="-7"/>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on Liriano</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6"/>
          <w:lang w:eastAsia="en-US"/>
        </w:rPr>
        <w:t xml:space="preserve"> </w:t>
      </w:r>
      <w:r w:rsidRPr="00C85B70">
        <w:rPr>
          <w:rFonts w:ascii="Times New Roman" w:eastAsia="Times New Roman" w:hAnsi="Times New Roman" w:cs="Times New Roman"/>
          <w:lang w:eastAsia="en-US"/>
        </w:rPr>
        <w:t>introduce additional evidence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showing</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that the</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failure</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to</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warn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was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but-for cause</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his</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injury, even</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after</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he</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had</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shown that</w:t>
      </w:r>
      <w:r w:rsidRPr="00C85B70">
        <w:rPr>
          <w:rFonts w:ascii="Times New Roman" w:eastAsia="Times New Roman" w:hAnsi="Times New Roman" w:cs="Times New Roman"/>
          <w:spacing w:val="3"/>
          <w:lang w:eastAsia="en-US"/>
        </w:rPr>
        <w:t xml:space="preserve"> </w:t>
      </w:r>
      <w:r w:rsidRPr="00C85B70">
        <w:rPr>
          <w:rFonts w:ascii="Times New Roman" w:eastAsia="Times New Roman" w:hAnsi="Times New Roman" w:cs="Times New Roman"/>
          <w:lang w:eastAsia="en-US"/>
        </w:rPr>
        <w:t>Hob</w:t>
      </w:r>
      <w:r w:rsidRPr="00C85B70">
        <w:rPr>
          <w:rFonts w:ascii="Times New Roman" w:eastAsia="Times New Roman" w:hAnsi="Times New Roman" w:cs="Times New Roman"/>
          <w:spacing w:val="2"/>
          <w:lang w:eastAsia="en-US"/>
        </w:rPr>
        <w:t>a</w:t>
      </w:r>
      <w:r w:rsidRPr="00C85B70">
        <w:rPr>
          <w:rFonts w:ascii="Times New Roman" w:eastAsia="Times New Roman" w:hAnsi="Times New Roman" w:cs="Times New Roman"/>
          <w:lang w:eastAsia="en-US"/>
        </w:rPr>
        <w:t>r</w:t>
      </w:r>
      <w:r w:rsidRPr="00C85B70">
        <w:rPr>
          <w:rFonts w:ascii="Times New Roman" w:eastAsia="Times New Roman" w:hAnsi="Times New Roman" w:cs="Times New Roman"/>
          <w:spacing w:val="1"/>
          <w:lang w:eastAsia="en-US"/>
        </w:rPr>
        <w:t>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lang w:eastAsia="en-US"/>
        </w:rPr>
        <w:t xml:space="preserve">wrong greatly </w:t>
      </w:r>
      <w:r w:rsidRPr="00C85B70">
        <w:rPr>
          <w:rFonts w:ascii="Times New Roman" w:eastAsia="Times New Roman" w:hAnsi="Times New Roman" w:cs="Times New Roman"/>
          <w:w w:val="99"/>
          <w:lang w:eastAsia="en-US"/>
        </w:rPr>
        <w:t>increased</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w w:val="99"/>
          <w:lang w:eastAsia="en-US"/>
        </w:rPr>
        <w:t>likelihood</w:t>
      </w:r>
      <w:r w:rsidRPr="00C85B70">
        <w:rPr>
          <w:rFonts w:ascii="Times New Roman" w:eastAsia="Times New Roman" w:hAnsi="Times New Roman" w:cs="Times New Roman"/>
          <w:spacing w:val="-12"/>
          <w:w w:val="99"/>
          <w:lang w:eastAsia="en-US"/>
        </w:rPr>
        <w:t xml:space="preserve"> </w:t>
      </w:r>
      <w:r w:rsidRPr="00C85B70">
        <w:rPr>
          <w:rFonts w:ascii="Times New Roman" w:eastAsia="Times New Roman" w:hAnsi="Times New Roman" w:cs="Times New Roman"/>
          <w:lang w:eastAsia="en-US"/>
        </w:rPr>
        <w:t>of</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lang w:eastAsia="en-US"/>
        </w:rPr>
        <w:t>the</w:t>
      </w:r>
      <w:r w:rsidRPr="00C85B70">
        <w:rPr>
          <w:rFonts w:ascii="Times New Roman" w:eastAsia="Times New Roman" w:hAnsi="Times New Roman" w:cs="Times New Roman"/>
          <w:spacing w:val="-16"/>
          <w:lang w:eastAsia="en-US"/>
        </w:rPr>
        <w:t xml:space="preserve"> </w:t>
      </w:r>
      <w:r w:rsidRPr="00C85B70">
        <w:rPr>
          <w:rFonts w:ascii="Times New Roman" w:eastAsia="Times New Roman" w:hAnsi="Times New Roman" w:cs="Times New Roman"/>
          <w:w w:val="99"/>
          <w:lang w:eastAsia="en-US"/>
        </w:rPr>
        <w:t>harm</w:t>
      </w:r>
      <w:r w:rsidRPr="00C85B70">
        <w:rPr>
          <w:rFonts w:ascii="Times New Roman" w:eastAsia="Times New Roman" w:hAnsi="Times New Roman" w:cs="Times New Roman"/>
          <w:spacing w:val="-16"/>
          <w:w w:val="99"/>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7"/>
          <w:lang w:eastAsia="en-US"/>
        </w:rPr>
        <w:t xml:space="preserve"> </w:t>
      </w:r>
      <w:r w:rsidRPr="00C85B70">
        <w:rPr>
          <w:rFonts w:ascii="Times New Roman" w:eastAsia="Times New Roman" w:hAnsi="Times New Roman" w:cs="Times New Roman"/>
          <w:lang w:eastAsia="en-US"/>
        </w:rPr>
        <w:t xml:space="preserve">occurred. </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But Liriano</w:t>
      </w:r>
      <w:r w:rsidRPr="00C85B70">
        <w:rPr>
          <w:rFonts w:ascii="Times New Roman" w:eastAsia="Times New Roman" w:hAnsi="Times New Roman" w:cs="Times New Roman"/>
          <w:spacing w:val="-15"/>
          <w:lang w:eastAsia="en-US"/>
        </w:rPr>
        <w:t xml:space="preserve"> </w:t>
      </w:r>
      <w:r w:rsidRPr="00C85B70">
        <w:rPr>
          <w:rFonts w:ascii="Times New Roman" w:eastAsia="Times New Roman" w:hAnsi="Times New Roman" w:cs="Times New Roman"/>
          <w:lang w:eastAsia="en-US"/>
        </w:rPr>
        <w:t>does</w:t>
      </w:r>
      <w:r w:rsidRPr="00C85B70">
        <w:rPr>
          <w:rFonts w:ascii="Times New Roman" w:eastAsia="Times New Roman" w:hAnsi="Times New Roman" w:cs="Times New Roman"/>
          <w:spacing w:val="-13"/>
          <w:lang w:eastAsia="en-US"/>
        </w:rPr>
        <w:t xml:space="preserve"> </w:t>
      </w:r>
      <w:r w:rsidRPr="00C85B70">
        <w:rPr>
          <w:rFonts w:ascii="Times New Roman" w:eastAsia="Times New Roman" w:hAnsi="Times New Roman" w:cs="Times New Roman"/>
          <w:lang w:eastAsia="en-US"/>
        </w:rPr>
        <w:t>not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bear</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that</w:t>
      </w:r>
      <w:r w:rsidRPr="00C85B70">
        <w:rPr>
          <w:rFonts w:ascii="Times New Roman" w:eastAsia="Times New Roman" w:hAnsi="Times New Roman" w:cs="Times New Roman"/>
          <w:spacing w:val="-12"/>
          <w:lang w:eastAsia="en-US"/>
        </w:rPr>
        <w:t xml:space="preserve"> </w:t>
      </w:r>
      <w:r w:rsidRPr="00C85B70">
        <w:rPr>
          <w:rFonts w:ascii="Times New Roman" w:eastAsia="Times New Roman" w:hAnsi="Times New Roman" w:cs="Times New Roman"/>
          <w:lang w:eastAsia="en-US"/>
        </w:rPr>
        <w:t xml:space="preserve">burden.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hen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defendant</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 xml:space="preserve">s </w:t>
      </w:r>
      <w:r w:rsidRPr="00280B55">
        <w:rPr>
          <w:rFonts w:ascii="Times New Roman" w:eastAsia="Times New Roman" w:hAnsi="Times New Roman" w:cs="Times New Roman"/>
          <w:spacing w:val="1"/>
          <w:lang w:eastAsia="en-US"/>
        </w:rPr>
        <w:t>n</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gl</w:t>
      </w:r>
      <w:r w:rsidRPr="00280B55">
        <w:rPr>
          <w:rFonts w:ascii="Times New Roman" w:eastAsia="Times New Roman" w:hAnsi="Times New Roman" w:cs="Times New Roman"/>
          <w:lang w:eastAsia="en-US"/>
        </w:rPr>
        <w:t>igent act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wrongful precisely because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it has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 strong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propensity</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cause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type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injury</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that ensued,</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very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causal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tendency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to es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blish a</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prima</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facie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cause-in-fact.  The burden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1"/>
          <w:lang w:eastAsia="en-US"/>
        </w:rPr>
        <w:t>th</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shifts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defendant to</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forward with</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evidence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but-for cause</w:t>
      </w:r>
      <w:r w:rsidR="00FD3945" w:rsidRPr="00280B55">
        <w:rPr>
          <w:rFonts w:ascii="Times New Roman" w:eastAsia="Times New Roman" w:hAnsi="Times New Roman" w:cs="Times New Roman"/>
          <w:spacing w:val="2"/>
          <w:lang w:eastAsia="en-US"/>
        </w:rPr>
        <w:t>.</w:t>
      </w:r>
      <w:r w:rsidR="00FD3945">
        <w:rPr>
          <w:rFonts w:ascii="Times New Roman" w:eastAsia="Times New Roman" w:hAnsi="Times New Roman" w:cs="Times New Roman"/>
          <w:spacing w:val="2"/>
          <w:lang w:eastAsia="en-US"/>
        </w:rPr>
        <w:t xml:space="preserve"> . . .</w:t>
      </w:r>
    </w:p>
    <w:p w14:paraId="5CF7B0E7" w14:textId="77777777" w:rsidR="00C85B70" w:rsidRPr="00C85B70" w:rsidRDefault="00C85B70" w:rsidP="00FE7B7F">
      <w:pPr>
        <w:ind w:right="-54"/>
        <w:rPr>
          <w:rFonts w:ascii="Times New Roman" w:eastAsia="Times New Roman" w:hAnsi="Times New Roman" w:cs="Times New Roman"/>
          <w:lang w:eastAsia="en-US"/>
        </w:rPr>
      </w:pPr>
    </w:p>
    <w:p w14:paraId="254A7D57" w14:textId="67621691" w:rsidR="00C85B70" w:rsidRPr="00280B55" w:rsidRDefault="00C85B70" w:rsidP="750671CE">
      <w:pPr>
        <w:ind w:right="-5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sh</w:t>
      </w:r>
      <w:r w:rsidRPr="00280B55">
        <w:rPr>
          <w:rFonts w:ascii="Times New Roman" w:eastAsia="Times New Roman" w:hAnsi="Times New Roman" w:cs="Times New Roman"/>
          <w:spacing w:val="1"/>
          <w:lang w:eastAsia="en-US"/>
        </w:rPr>
        <w:t>ifti</w:t>
      </w:r>
      <w:r w:rsidRPr="00280B55">
        <w:rPr>
          <w:rFonts w:ascii="Times New Roman" w:eastAsia="Times New Roman" w:hAnsi="Times New Roman" w:cs="Times New Roman"/>
          <w:lang w:eastAsia="en-US"/>
        </w:rPr>
        <w:t>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onus</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procedendi</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long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been established in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New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York.</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classic</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te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ent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 xml:space="preserve">was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ore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than seventy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years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ago, when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Court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 Appeals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decided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which a</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collided with</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 buggy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driving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after</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 xml:space="preserve">sundown </w:t>
      </w:r>
      <w:r w:rsidRPr="00280B55">
        <w:rPr>
          <w:rFonts w:ascii="Times New Roman" w:eastAsia="Times New Roman" w:hAnsi="Times New Roman" w:cs="Times New Roman"/>
          <w:spacing w:val="1"/>
          <w:lang w:eastAsia="en-US"/>
        </w:rPr>
        <w:t>witho</w:t>
      </w:r>
      <w:r w:rsidRPr="00280B55">
        <w:rPr>
          <w:rFonts w:ascii="Times New Roman" w:eastAsia="Times New Roman" w:hAnsi="Times New Roman" w:cs="Times New Roman"/>
          <w:lang w:eastAsia="en-US"/>
        </w:rPr>
        <w:t>ut</w:t>
      </w:r>
      <w:r w:rsidRPr="00280B55">
        <w:rPr>
          <w:rFonts w:ascii="Times New Roman" w:eastAsia="Times New Roman" w:hAnsi="Times New Roman" w:cs="Times New Roman"/>
          <w:spacing w:val="1"/>
          <w:lang w:eastAsia="en-US"/>
        </w:rPr>
        <w:t xml:space="preserve"> </w:t>
      </w:r>
      <w:r w:rsidR="00280B55" w:rsidRPr="00280B55">
        <w:rPr>
          <w:rFonts w:ascii="Times New Roman" w:eastAsia="Times New Roman" w:hAnsi="Times New Roman" w:cs="Times New Roman"/>
          <w:lang w:eastAsia="en-US"/>
        </w:rPr>
        <w:t xml:space="preserve">lights. </w:t>
      </w:r>
      <w:r w:rsidRPr="750671CE">
        <w:rPr>
          <w:rFonts w:ascii="Times New Roman" w:eastAsia="Times New Roman" w:hAnsi="Times New Roman" w:cs="Times New Roman"/>
          <w:i/>
          <w:iCs/>
          <w:lang w:eastAsia="en-US"/>
        </w:rPr>
        <w:t>See Martin</w:t>
      </w:r>
      <w:r w:rsidRPr="750671CE">
        <w:rPr>
          <w:rFonts w:ascii="Times New Roman" w:eastAsia="Times New Roman" w:hAnsi="Times New Roman" w:cs="Times New Roman"/>
          <w:i/>
          <w:iCs/>
          <w:spacing w:val="21"/>
          <w:lang w:eastAsia="en-US"/>
        </w:rPr>
        <w:t xml:space="preserve"> </w:t>
      </w:r>
      <w:r w:rsidRPr="750671CE">
        <w:rPr>
          <w:rFonts w:ascii="Times New Roman" w:eastAsia="Times New Roman" w:hAnsi="Times New Roman" w:cs="Times New Roman"/>
          <w:i/>
          <w:iCs/>
          <w:spacing w:val="2"/>
          <w:lang w:eastAsia="en-US"/>
        </w:rPr>
        <w:t>v</w:t>
      </w:r>
      <w:r w:rsidRPr="750671CE">
        <w:rPr>
          <w:rFonts w:ascii="Times New Roman" w:eastAsia="Times New Roman" w:hAnsi="Times New Roman" w:cs="Times New Roman"/>
          <w:i/>
          <w:iCs/>
          <w:lang w:eastAsia="en-US"/>
        </w:rPr>
        <w:t>.</w:t>
      </w:r>
      <w:r w:rsidRPr="750671CE">
        <w:rPr>
          <w:rFonts w:ascii="Times New Roman" w:eastAsia="Times New Roman" w:hAnsi="Times New Roman" w:cs="Times New Roman"/>
          <w:i/>
          <w:iCs/>
          <w:spacing w:val="5"/>
          <w:lang w:eastAsia="en-US"/>
        </w:rPr>
        <w:t xml:space="preserve"> </w:t>
      </w:r>
      <w:r w:rsidRPr="750671CE">
        <w:rPr>
          <w:rFonts w:ascii="Times New Roman" w:eastAsia="Times New Roman" w:hAnsi="Times New Roman" w:cs="Times New Roman"/>
          <w:i/>
          <w:iCs/>
          <w:spacing w:val="1"/>
          <w:lang w:eastAsia="en-US"/>
        </w:rPr>
        <w:t>H</w:t>
      </w:r>
      <w:r w:rsidRPr="750671CE">
        <w:rPr>
          <w:rFonts w:ascii="Times New Roman" w:eastAsia="Times New Roman" w:hAnsi="Times New Roman" w:cs="Times New Roman"/>
          <w:i/>
          <w:iCs/>
          <w:lang w:eastAsia="en-US"/>
        </w:rPr>
        <w:t>erzog</w:t>
      </w:r>
      <w:r w:rsidRPr="00280B55">
        <w:rPr>
          <w:rFonts w:ascii="Times New Roman" w:eastAsia="Times New Roman" w:hAnsi="Times New Roman" w:cs="Times New Roman"/>
          <w:lang w:eastAsia="en-US"/>
        </w:rPr>
        <w:t>.  The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driver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buggy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argued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his ne</w:t>
      </w:r>
      <w:r w:rsidRPr="00280B55">
        <w:rPr>
          <w:rFonts w:ascii="Times New Roman" w:eastAsia="Times New Roman" w:hAnsi="Times New Roman" w:cs="Times New Roman"/>
          <w:spacing w:val="-1"/>
          <w:lang w:eastAsia="en-US"/>
        </w:rPr>
        <w:t>glig</w:t>
      </w:r>
      <w:r w:rsidRPr="00280B55">
        <w:rPr>
          <w:rFonts w:ascii="Times New Roman" w:eastAsia="Times New Roman" w:hAnsi="Times New Roman" w:cs="Times New Roman"/>
          <w:lang w:eastAsia="en-US"/>
        </w:rPr>
        <w:t>ence</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driving</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shown 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cause-in-fact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 xml:space="preserve">accident.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riting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 Court,</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Judge</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Cardozo</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reasoned</w:t>
      </w:r>
      <w:r w:rsidRPr="00280B55">
        <w:rPr>
          <w:rFonts w:ascii="Times New Roman" w:eastAsia="Times New Roman" w:hAnsi="Times New Roman" w:cs="Times New Roman"/>
          <w:spacing w:val="44"/>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4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7"/>
          <w:lang w:eastAsia="en-US"/>
        </w:rPr>
        <w:t xml:space="preserve"> </w:t>
      </w:r>
      <w:r w:rsidRPr="00280B55">
        <w:rPr>
          <w:rFonts w:ascii="Times New Roman" w:eastAsia="Times New Roman" w:hAnsi="Times New Roman" w:cs="Times New Roman"/>
          <w:lang w:eastAsia="en-US"/>
        </w:rPr>
        <w:t>legislature 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dri</w:t>
      </w:r>
      <w:r w:rsidRPr="00280B55">
        <w:rPr>
          <w:rFonts w:ascii="Times New Roman" w:eastAsia="Times New Roman" w:hAnsi="Times New Roman" w:cs="Times New Roman"/>
          <w:spacing w:val="1"/>
          <w:lang w:eastAsia="en-US"/>
        </w:rPr>
        <w:t>v</w:t>
      </w:r>
      <w:r w:rsidRPr="00280B55">
        <w:rPr>
          <w:rFonts w:ascii="Times New Roman" w:eastAsia="Times New Roman" w:hAnsi="Times New Roman" w:cs="Times New Roman"/>
          <w:lang w:eastAsia="en-US"/>
        </w:rPr>
        <w:t>ing</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without</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after</w:t>
      </w:r>
      <w:r w:rsidRPr="00280B55">
        <w:rPr>
          <w:rFonts w:ascii="Times New Roman" w:eastAsia="Times New Roman" w:hAnsi="Times New Roman" w:cs="Times New Roman"/>
          <w:spacing w:val="39"/>
          <w:lang w:eastAsia="en-US"/>
        </w:rPr>
        <w:t xml:space="preserve"> </w:t>
      </w:r>
      <w:r w:rsidRPr="00280B55">
        <w:rPr>
          <w:rFonts w:ascii="Times New Roman" w:eastAsia="Times New Roman" w:hAnsi="Times New Roman" w:cs="Times New Roman"/>
          <w:lang w:eastAsia="en-US"/>
        </w:rPr>
        <w:t>sundown</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be negligent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preci</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ly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because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lights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tended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to cause</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accidents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sort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had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occurred</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case. 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fact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an accident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under</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those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conditions,</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he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said,</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enough</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to support 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inference</w:t>
      </w:r>
      <w:r w:rsidRPr="00280B55">
        <w:rPr>
          <w:rFonts w:ascii="Times New Roman" w:eastAsia="Times New Roman" w:hAnsi="Times New Roman" w:cs="Times New Roman"/>
          <w:spacing w:val="50"/>
          <w:lang w:eastAsia="en-US"/>
        </w:rPr>
        <w:t xml:space="preserve"> </w:t>
      </w:r>
      <w:r w:rsidRPr="00280B55">
        <w:rPr>
          <w:rFonts w:ascii="Times New Roman" w:eastAsia="Times New Roman" w:hAnsi="Times New Roman" w:cs="Times New Roman"/>
          <w:lang w:eastAsia="en-US"/>
        </w:rPr>
        <w:t xml:space="preserve">of but-for </w:t>
      </w:r>
      <w:r w:rsidRPr="00280B55">
        <w:rPr>
          <w:rFonts w:ascii="Times New Roman" w:eastAsia="Times New Roman" w:hAnsi="Times New Roman" w:cs="Times New Roman"/>
          <w:spacing w:val="1"/>
          <w:lang w:eastAsia="en-US"/>
        </w:rPr>
        <w:t>causal</w:t>
      </w:r>
      <w:r w:rsidRP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spacing w:val="4"/>
          <w:lang w:eastAsia="en-US"/>
        </w:rPr>
        <w:t>connection</w:t>
      </w:r>
      <w:r w:rsidRPr="00280B55">
        <w:rPr>
          <w:rFonts w:ascii="Times New Roman" w:eastAsia="Times New Roman" w:hAnsi="Times New Roman" w:cs="Times New Roman"/>
          <w:lang w:eastAsia="en-US"/>
        </w:rPr>
        <w:t xml:space="preserve"> between</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negligence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particular</w:t>
      </w:r>
      <w:r w:rsidRPr="00280B55">
        <w:rPr>
          <w:rFonts w:ascii="Times New Roman" w:eastAsia="Times New Roman" w:hAnsi="Times New Roman" w:cs="Times New Roman"/>
          <w:spacing w:val="19"/>
          <w:lang w:eastAsia="en-US"/>
        </w:rPr>
        <w:t xml:space="preserve"> </w:t>
      </w:r>
      <w:r w:rsidR="00280B55">
        <w:rPr>
          <w:rFonts w:ascii="Times New Roman" w:eastAsia="Times New Roman" w:hAnsi="Times New Roman" w:cs="Times New Roman"/>
          <w:lang w:eastAsia="en-US"/>
        </w:rPr>
        <w:t xml:space="preserve">accident.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inference,</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he noted,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could</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rebutted.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up</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negligent party</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to produce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 evidence supporting</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 xml:space="preserve">such a rebuttal. </w:t>
      </w:r>
      <w:r w:rsidRPr="00280B55">
        <w:rPr>
          <w:rFonts w:ascii="Times New Roman" w:eastAsia="Times New Roman" w:hAnsi="Times New Roman" w:cs="Times New Roman"/>
          <w:spacing w:val="45"/>
          <w:lang w:eastAsia="en-US"/>
        </w:rPr>
        <w:t xml:space="preserve"> </w:t>
      </w:r>
    </w:p>
    <w:p w14:paraId="35B729E7" w14:textId="77777777" w:rsidR="00C85B70" w:rsidRPr="00C85B70" w:rsidRDefault="00C85B70" w:rsidP="00FE7B7F">
      <w:pPr>
        <w:ind w:right="64"/>
        <w:rPr>
          <w:rFonts w:ascii="Times New Roman" w:eastAsia="Times New Roman" w:hAnsi="Times New Roman" w:cs="Times New Roman"/>
          <w:lang w:eastAsia="en-US"/>
        </w:rPr>
      </w:pPr>
    </w:p>
    <w:p w14:paraId="4ECF5EB4" w14:textId="1153BB94" w:rsidR="00C85B70" w:rsidRPr="00280B55" w:rsidRDefault="00FD3945" w:rsidP="750671CE">
      <w:pPr>
        <w:ind w:right="64" w:firstLine="720"/>
        <w:rPr>
          <w:rFonts w:ascii="Times New Roman" w:eastAsia="Times New Roman" w:hAnsi="Times New Roman" w:cs="Times New Roman"/>
          <w:lang w:eastAsia="en-US"/>
        </w:rPr>
      </w:pPr>
      <w:r>
        <w:rPr>
          <w:rFonts w:ascii="Times New Roman" w:eastAsia="Times New Roman" w:hAnsi="Times New Roman" w:cs="Times New Roman"/>
          <w:lang w:eastAsia="en-US"/>
        </w:rPr>
        <w:t>. . . [</w:t>
      </w:r>
      <w:r w:rsidRPr="00280B55">
        <w:rPr>
          <w:rFonts w:ascii="Times New Roman" w:eastAsia="Times New Roman" w:hAnsi="Times New Roman" w:cs="Times New Roman"/>
          <w:lang w:eastAsia="en-US"/>
        </w:rPr>
        <w:t>T]</w:t>
      </w:r>
      <w:r w:rsidR="00C85B70" w:rsidRPr="00280B55">
        <w:rPr>
          <w:rFonts w:ascii="Times New Roman" w:eastAsia="Times New Roman" w:hAnsi="Times New Roman" w:cs="Times New Roman"/>
          <w:lang w:eastAsia="en-US"/>
        </w:rPr>
        <w:t>he</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fact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that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Liriano did</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not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introduce detailed</w:t>
      </w:r>
      <w:r w:rsidR="00C85B70" w:rsidRPr="00280B55">
        <w:rPr>
          <w:rFonts w:ascii="Times New Roman" w:eastAsia="Times New Roman" w:hAnsi="Times New Roman" w:cs="Times New Roman"/>
          <w:spacing w:val="-19"/>
          <w:lang w:eastAsia="en-US"/>
        </w:rPr>
        <w:t xml:space="preserve"> </w:t>
      </w:r>
      <w:r w:rsidR="00C85B70" w:rsidRPr="00280B55">
        <w:rPr>
          <w:rFonts w:ascii="Times New Roman" w:eastAsia="Times New Roman" w:hAnsi="Times New Roman" w:cs="Times New Roman"/>
          <w:lang w:eastAsia="en-US"/>
        </w:rPr>
        <w:t>evidence</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of</w:t>
      </w:r>
      <w:r w:rsidR="00C85B70" w:rsidRPr="00280B55">
        <w:rPr>
          <w:rFonts w:ascii="Times New Roman" w:eastAsia="Times New Roman" w:hAnsi="Times New Roman" w:cs="Times New Roman"/>
          <w:spacing w:val="-15"/>
          <w:lang w:eastAsia="en-US"/>
        </w:rPr>
        <w:t xml:space="preserve"> </w:t>
      </w:r>
      <w:r w:rsidR="00C85B70" w:rsidRPr="00280B55">
        <w:rPr>
          <w:rFonts w:ascii="Times New Roman" w:eastAsia="Times New Roman" w:hAnsi="Times New Roman" w:cs="Times New Roman"/>
          <w:lang w:eastAsia="en-US"/>
        </w:rPr>
        <w:t>but-for</w:t>
      </w:r>
      <w:r w:rsidR="00C85B70" w:rsidRPr="00280B55">
        <w:rPr>
          <w:rFonts w:ascii="Times New Roman" w:eastAsia="Times New Roman" w:hAnsi="Times New Roman" w:cs="Times New Roman"/>
          <w:spacing w:val="-19"/>
          <w:lang w:eastAsia="en-US"/>
        </w:rPr>
        <w:t xml:space="preserve"> </w:t>
      </w:r>
      <w:r w:rsidR="00C85B70" w:rsidRPr="00280B55">
        <w:rPr>
          <w:rFonts w:ascii="Times New Roman" w:eastAsia="Times New Roman" w:hAnsi="Times New Roman" w:cs="Times New Roman"/>
          <w:lang w:eastAsia="en-US"/>
        </w:rPr>
        <w:t>causal</w:t>
      </w:r>
      <w:r w:rsidR="00C85B70" w:rsidRPr="00280B55">
        <w:rPr>
          <w:rFonts w:ascii="Times New Roman" w:eastAsia="Times New Roman" w:hAnsi="Times New Roman" w:cs="Times New Roman"/>
          <w:spacing w:val="-18"/>
          <w:lang w:eastAsia="en-US"/>
        </w:rPr>
        <w:t xml:space="preserve"> </w:t>
      </w:r>
      <w:r w:rsidR="00C85B70" w:rsidRPr="00280B55">
        <w:rPr>
          <w:rFonts w:ascii="Times New Roman" w:eastAsia="Times New Roman" w:hAnsi="Times New Roman" w:cs="Times New Roman"/>
          <w:lang w:eastAsia="en-US"/>
        </w:rPr>
        <w:t>connection</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between Hobart</w:t>
      </w:r>
      <w:r w:rsidR="00B05F31">
        <w:rPr>
          <w:rFonts w:ascii="Times New Roman" w:eastAsia="Times New Roman" w:hAnsi="Times New Roman" w:cs="Times New Roman"/>
          <w:spacing w:val="-1"/>
          <w:lang w:eastAsia="en-US"/>
        </w:rPr>
        <w:t>’</w:t>
      </w:r>
      <w:r w:rsidR="00C85B70" w:rsidRPr="00280B55">
        <w:rPr>
          <w:rFonts w:ascii="Times New Roman" w:eastAsia="Times New Roman" w:hAnsi="Times New Roman" w:cs="Times New Roman"/>
          <w:lang w:eastAsia="en-US"/>
        </w:rPr>
        <w:t>s failure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to</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warn</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and</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his</w:t>
      </w:r>
      <w:r w:rsidR="00C85B70" w:rsidRPr="00280B55">
        <w:rPr>
          <w:rFonts w:ascii="Times New Roman" w:eastAsia="Times New Roman" w:hAnsi="Times New Roman" w:cs="Times New Roman"/>
          <w:spacing w:val="5"/>
          <w:lang w:eastAsia="en-US"/>
        </w:rPr>
        <w:t xml:space="preserve"> </w:t>
      </w:r>
      <w:r w:rsidR="00C85B70" w:rsidRPr="00280B55">
        <w:rPr>
          <w:rFonts w:ascii="Times New Roman" w:eastAsia="Times New Roman" w:hAnsi="Times New Roman" w:cs="Times New Roman"/>
          <w:spacing w:val="1"/>
          <w:lang w:eastAsia="en-US"/>
        </w:rPr>
        <w:t>inj</w:t>
      </w:r>
      <w:r w:rsidR="00C85B70" w:rsidRPr="00280B55">
        <w:rPr>
          <w:rFonts w:ascii="Times New Roman" w:eastAsia="Times New Roman" w:hAnsi="Times New Roman" w:cs="Times New Roman"/>
          <w:lang w:eastAsia="en-US"/>
        </w:rPr>
        <w:t>ury</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cannot</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bar</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his clai</w:t>
      </w:r>
      <w:r w:rsidR="00C85B70" w:rsidRPr="00280B55">
        <w:rPr>
          <w:rFonts w:ascii="Times New Roman" w:eastAsia="Times New Roman" w:hAnsi="Times New Roman" w:cs="Times New Roman"/>
          <w:spacing w:val="-2"/>
          <w:lang w:eastAsia="en-US"/>
        </w:rPr>
        <w:t>m</w:t>
      </w:r>
      <w:r w:rsidR="00C85B70" w:rsidRPr="00280B55">
        <w:rPr>
          <w:rFonts w:ascii="Times New Roman" w:eastAsia="Times New Roman" w:hAnsi="Times New Roman" w:cs="Times New Roman"/>
          <w:lang w:eastAsia="en-US"/>
        </w:rPr>
        <w:t xml:space="preserve">.   </w:t>
      </w:r>
      <w:r w:rsidR="00C85B70" w:rsidRPr="00280B55">
        <w:rPr>
          <w:rFonts w:ascii="Times New Roman" w:eastAsia="Times New Roman" w:hAnsi="Times New Roman" w:cs="Times New Roman"/>
          <w:spacing w:val="33"/>
          <w:lang w:eastAsia="en-US"/>
        </w:rPr>
        <w:t xml:space="preserve"> </w:t>
      </w:r>
      <w:r w:rsidR="00C85B70" w:rsidRPr="00280B55">
        <w:rPr>
          <w:rFonts w:ascii="Times New Roman" w:eastAsia="Times New Roman" w:hAnsi="Times New Roman" w:cs="Times New Roman"/>
          <w:lang w:eastAsia="en-US"/>
        </w:rPr>
        <w:t>His</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lang w:eastAsia="en-US"/>
        </w:rPr>
        <w:t>prima</w:t>
      </w:r>
      <w:r w:rsidR="00C85B70" w:rsidRPr="00280B55">
        <w:rPr>
          <w:rFonts w:ascii="Times New Roman" w:eastAsia="Times New Roman" w:hAnsi="Times New Roman" w:cs="Times New Roman"/>
          <w:spacing w:val="38"/>
          <w:lang w:eastAsia="en-US"/>
        </w:rPr>
        <w:t xml:space="preserve"> </w:t>
      </w:r>
      <w:r w:rsidR="00C85B70" w:rsidRPr="00280B55">
        <w:rPr>
          <w:rFonts w:ascii="Times New Roman" w:eastAsia="Times New Roman" w:hAnsi="Times New Roman" w:cs="Times New Roman"/>
          <w:lang w:eastAsia="en-US"/>
        </w:rPr>
        <w:t>facie</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spacing w:val="2"/>
          <w:lang w:eastAsia="en-US"/>
        </w:rPr>
        <w:t>cas</w:t>
      </w:r>
      <w:r w:rsidR="00C85B70" w:rsidRPr="00280B55">
        <w:rPr>
          <w:rFonts w:ascii="Times New Roman" w:eastAsia="Times New Roman" w:hAnsi="Times New Roman" w:cs="Times New Roman"/>
          <w:lang w:eastAsia="en-US"/>
        </w:rPr>
        <w:t>e</w:t>
      </w:r>
      <w:r w:rsidR="00C85B70" w:rsidRPr="00280B55">
        <w:rPr>
          <w:rFonts w:ascii="Times New Roman" w:eastAsia="Times New Roman" w:hAnsi="Times New Roman" w:cs="Times New Roman"/>
          <w:spacing w:val="26"/>
          <w:lang w:eastAsia="en-US"/>
        </w:rPr>
        <w:t xml:space="preserve"> </w:t>
      </w:r>
      <w:r w:rsidR="00C85B70" w:rsidRPr="00280B55">
        <w:rPr>
          <w:rFonts w:ascii="Times New Roman" w:eastAsia="Times New Roman" w:hAnsi="Times New Roman" w:cs="Times New Roman"/>
          <w:lang w:eastAsia="en-US"/>
        </w:rPr>
        <w:t>arose</w:t>
      </w:r>
      <w:r w:rsidR="00C85B70" w:rsidRPr="00280B55">
        <w:rPr>
          <w:rFonts w:ascii="Times New Roman" w:eastAsia="Times New Roman" w:hAnsi="Times New Roman" w:cs="Times New Roman"/>
          <w:spacing w:val="25"/>
          <w:lang w:eastAsia="en-US"/>
        </w:rPr>
        <w:t xml:space="preserve"> </w:t>
      </w:r>
      <w:r w:rsidR="00C85B70" w:rsidRPr="00280B55">
        <w:rPr>
          <w:rFonts w:ascii="Times New Roman" w:eastAsia="Times New Roman" w:hAnsi="Times New Roman" w:cs="Times New Roman"/>
          <w:lang w:eastAsia="en-US"/>
        </w:rPr>
        <w:t>from</w:t>
      </w:r>
      <w:r w:rsidR="00C85B70" w:rsidRPr="00280B55">
        <w:rPr>
          <w:rFonts w:ascii="Times New Roman" w:eastAsia="Times New Roman" w:hAnsi="Times New Roman" w:cs="Times New Roman"/>
          <w:spacing w:val="23"/>
          <w:lang w:eastAsia="en-US"/>
        </w:rPr>
        <w:t xml:space="preserve"> </w:t>
      </w:r>
      <w:r w:rsidR="00C85B70" w:rsidRPr="00280B55">
        <w:rPr>
          <w:rFonts w:ascii="Times New Roman" w:eastAsia="Times New Roman" w:hAnsi="Times New Roman" w:cs="Times New Roman"/>
          <w:lang w:eastAsia="en-US"/>
        </w:rPr>
        <w:t>the</w:t>
      </w:r>
      <w:r w:rsidR="00C85B70" w:rsidRPr="00280B55">
        <w:rPr>
          <w:rFonts w:ascii="Times New Roman" w:eastAsia="Times New Roman" w:hAnsi="Times New Roman" w:cs="Times New Roman"/>
          <w:spacing w:val="27"/>
          <w:lang w:eastAsia="en-US"/>
        </w:rPr>
        <w:t xml:space="preserve"> </w:t>
      </w:r>
      <w:r w:rsidR="00C85B70" w:rsidRPr="00280B55">
        <w:rPr>
          <w:rFonts w:ascii="Times New Roman" w:eastAsia="Times New Roman" w:hAnsi="Times New Roman" w:cs="Times New Roman"/>
          <w:lang w:eastAsia="en-US"/>
        </w:rPr>
        <w:t>strong causal</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linkage</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between</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H</w:t>
      </w:r>
      <w:r w:rsidR="00C85B70" w:rsidRPr="00280B55">
        <w:rPr>
          <w:rFonts w:ascii="Times New Roman" w:eastAsia="Times New Roman" w:hAnsi="Times New Roman" w:cs="Times New Roman"/>
          <w:spacing w:val="1"/>
          <w:lang w:eastAsia="en-US"/>
        </w:rPr>
        <w:t>ob</w:t>
      </w:r>
      <w:r w:rsidR="00C85B70" w:rsidRPr="00280B55">
        <w:rPr>
          <w:rFonts w:ascii="Times New Roman" w:eastAsia="Times New Roman" w:hAnsi="Times New Roman" w:cs="Times New Roman"/>
          <w:spacing w:val="2"/>
          <w:lang w:eastAsia="en-US"/>
        </w:rPr>
        <w:t>a</w:t>
      </w:r>
      <w:r w:rsidR="00C85B70" w:rsidRPr="00280B55">
        <w:rPr>
          <w:rFonts w:ascii="Times New Roman" w:eastAsia="Times New Roman" w:hAnsi="Times New Roman" w:cs="Times New Roman"/>
          <w:lang w:eastAsia="en-US"/>
        </w:rPr>
        <w:t>rt</w:t>
      </w:r>
      <w:r w:rsidR="00B05F31">
        <w:rPr>
          <w:rFonts w:ascii="Times New Roman" w:eastAsia="Times New Roman" w:hAnsi="Times New Roman" w:cs="Times New Roman"/>
          <w:spacing w:val="-1"/>
          <w:lang w:eastAsia="en-US"/>
        </w:rPr>
        <w:t>’</w:t>
      </w:r>
      <w:r w:rsidR="00C85B70" w:rsidRPr="00280B55">
        <w:rPr>
          <w:rFonts w:ascii="Times New Roman" w:eastAsia="Times New Roman" w:hAnsi="Times New Roman" w:cs="Times New Roman"/>
          <w:lang w:eastAsia="en-US"/>
        </w:rPr>
        <w:t>s</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negligence and</w:t>
      </w:r>
      <w:r w:rsidR="00C85B70" w:rsidRPr="00280B55">
        <w:rPr>
          <w:rFonts w:ascii="Times New Roman" w:eastAsia="Times New Roman" w:hAnsi="Times New Roman" w:cs="Times New Roman"/>
          <w:spacing w:val="6"/>
          <w:lang w:eastAsia="en-US"/>
        </w:rPr>
        <w:t xml:space="preserve"> </w:t>
      </w:r>
      <w:r w:rsidR="00C85B70" w:rsidRPr="00280B55">
        <w:rPr>
          <w:rFonts w:ascii="Times New Roman" w:eastAsia="Times New Roman" w:hAnsi="Times New Roman" w:cs="Times New Roman"/>
          <w:lang w:eastAsia="en-US"/>
        </w:rPr>
        <w:t>the harm</w:t>
      </w:r>
      <w:r w:rsidR="00C85B70" w:rsidRPr="00280B55">
        <w:rPr>
          <w:rFonts w:ascii="Times New Roman" w:eastAsia="Times New Roman" w:hAnsi="Times New Roman" w:cs="Times New Roman"/>
          <w:spacing w:val="-13"/>
          <w:lang w:eastAsia="en-US"/>
        </w:rPr>
        <w:t xml:space="preserve"> </w:t>
      </w:r>
      <w:r w:rsidR="00C85B70" w:rsidRPr="00280B55">
        <w:rPr>
          <w:rFonts w:ascii="Times New Roman" w:eastAsia="Times New Roman" w:hAnsi="Times New Roman" w:cs="Times New Roman"/>
          <w:lang w:eastAsia="en-US"/>
        </w:rPr>
        <w:t>that</w:t>
      </w:r>
      <w:r w:rsidR="00C85B70" w:rsidRPr="00280B55">
        <w:rPr>
          <w:rFonts w:ascii="Times New Roman" w:eastAsia="Times New Roman" w:hAnsi="Times New Roman" w:cs="Times New Roman"/>
          <w:spacing w:val="-10"/>
          <w:lang w:eastAsia="en-US"/>
        </w:rPr>
        <w:t xml:space="preserve"> </w:t>
      </w:r>
      <w:r w:rsidR="00C85B70" w:rsidRPr="00280B55">
        <w:rPr>
          <w:rFonts w:ascii="Times New Roman" w:eastAsia="Times New Roman" w:hAnsi="Times New Roman" w:cs="Times New Roman"/>
          <w:lang w:eastAsia="en-US"/>
        </w:rPr>
        <w:t xml:space="preserve">occurred. </w:t>
      </w:r>
      <w:r w:rsidR="00C85B70" w:rsidRPr="00280B55">
        <w:rPr>
          <w:rFonts w:ascii="Times New Roman" w:eastAsia="Times New Roman" w:hAnsi="Times New Roman" w:cs="Times New Roman"/>
          <w:spacing w:val="23"/>
          <w:lang w:eastAsia="en-US"/>
        </w:rPr>
        <w:t xml:space="preserve"> </w:t>
      </w:r>
      <w:r w:rsidR="00C85B70" w:rsidRPr="750671CE">
        <w:rPr>
          <w:rFonts w:ascii="Times New Roman" w:eastAsia="Times New Roman" w:hAnsi="Times New Roman" w:cs="Times New Roman"/>
          <w:i/>
          <w:iCs/>
          <w:lang w:eastAsia="en-US"/>
        </w:rPr>
        <w:t>See</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lang w:eastAsia="en-US"/>
        </w:rPr>
        <w:t>Guido</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Calabresi,</w:t>
      </w:r>
      <w:r w:rsidR="00C85B70" w:rsidRPr="00280B55">
        <w:rPr>
          <w:rFonts w:ascii="Times New Roman" w:eastAsia="Times New Roman" w:hAnsi="Times New Roman" w:cs="Times New Roman"/>
          <w:spacing w:val="-14"/>
          <w:lang w:eastAsia="en-US"/>
        </w:rPr>
        <w:t xml:space="preserve"> </w:t>
      </w:r>
      <w:r w:rsidR="00C85B70" w:rsidRPr="750671CE">
        <w:rPr>
          <w:rFonts w:ascii="Times New Roman" w:eastAsia="Times New Roman" w:hAnsi="Times New Roman" w:cs="Times New Roman"/>
          <w:i/>
          <w:iCs/>
          <w:lang w:eastAsia="en-US"/>
        </w:rPr>
        <w:t>Concerning Cause</w:t>
      </w:r>
      <w:r w:rsidR="00C85B70" w:rsidRPr="750671CE">
        <w:rPr>
          <w:rFonts w:ascii="Times New Roman" w:eastAsia="Times New Roman" w:hAnsi="Times New Roman" w:cs="Times New Roman"/>
          <w:i/>
          <w:iCs/>
          <w:spacing w:val="48"/>
          <w:lang w:eastAsia="en-US"/>
        </w:rPr>
        <w:t xml:space="preserve"> </w:t>
      </w:r>
      <w:r w:rsidR="00C85B70" w:rsidRPr="750671CE">
        <w:rPr>
          <w:rFonts w:ascii="Times New Roman" w:eastAsia="Times New Roman" w:hAnsi="Times New Roman" w:cs="Times New Roman"/>
          <w:i/>
          <w:iCs/>
          <w:lang w:eastAsia="en-US"/>
        </w:rPr>
        <w:t>and</w:t>
      </w:r>
      <w:r w:rsidR="00C85B70" w:rsidRPr="750671CE">
        <w:rPr>
          <w:rFonts w:ascii="Times New Roman" w:eastAsia="Times New Roman" w:hAnsi="Times New Roman" w:cs="Times New Roman"/>
          <w:i/>
          <w:iCs/>
          <w:spacing w:val="47"/>
          <w:lang w:eastAsia="en-US"/>
        </w:rPr>
        <w:t xml:space="preserve"> </w:t>
      </w:r>
      <w:r w:rsidR="00C85B70" w:rsidRPr="750671CE">
        <w:rPr>
          <w:rFonts w:ascii="Times New Roman" w:eastAsia="Times New Roman" w:hAnsi="Times New Roman" w:cs="Times New Roman"/>
          <w:i/>
          <w:iCs/>
          <w:lang w:eastAsia="en-US"/>
        </w:rPr>
        <w:t>the</w:t>
      </w:r>
      <w:r w:rsidR="00C85B70" w:rsidRPr="750671CE">
        <w:rPr>
          <w:rFonts w:ascii="Times New Roman" w:eastAsia="Times New Roman" w:hAnsi="Times New Roman" w:cs="Times New Roman"/>
          <w:i/>
          <w:iCs/>
          <w:spacing w:val="36"/>
          <w:lang w:eastAsia="en-US"/>
        </w:rPr>
        <w:t xml:space="preserve"> </w:t>
      </w:r>
      <w:r w:rsidR="00C85B70" w:rsidRPr="750671CE">
        <w:rPr>
          <w:rFonts w:ascii="Times New Roman" w:eastAsia="Times New Roman" w:hAnsi="Times New Roman" w:cs="Times New Roman"/>
          <w:i/>
          <w:iCs/>
          <w:lang w:eastAsia="en-US"/>
        </w:rPr>
        <w:t>Law</w:t>
      </w:r>
      <w:r w:rsidR="00C85B70" w:rsidRPr="750671CE">
        <w:rPr>
          <w:rFonts w:ascii="Times New Roman" w:eastAsia="Times New Roman" w:hAnsi="Times New Roman" w:cs="Times New Roman"/>
          <w:i/>
          <w:iCs/>
          <w:spacing w:val="24"/>
          <w:lang w:eastAsia="en-US"/>
        </w:rPr>
        <w:t xml:space="preserve"> </w:t>
      </w:r>
      <w:r w:rsidR="00C85B70" w:rsidRPr="750671CE">
        <w:rPr>
          <w:rFonts w:ascii="Times New Roman" w:eastAsia="Times New Roman" w:hAnsi="Times New Roman" w:cs="Times New Roman"/>
          <w:i/>
          <w:iCs/>
          <w:lang w:eastAsia="en-US"/>
        </w:rPr>
        <w:t>of</w:t>
      </w:r>
      <w:r w:rsidR="00C85B70" w:rsidRPr="750671CE">
        <w:rPr>
          <w:rFonts w:ascii="Times New Roman" w:eastAsia="Times New Roman" w:hAnsi="Times New Roman" w:cs="Times New Roman"/>
          <w:i/>
          <w:iCs/>
          <w:spacing w:val="26"/>
          <w:lang w:eastAsia="en-US"/>
        </w:rPr>
        <w:t xml:space="preserve"> </w:t>
      </w:r>
      <w:r w:rsidR="00C85B70" w:rsidRPr="750671CE">
        <w:rPr>
          <w:rFonts w:ascii="Times New Roman" w:eastAsia="Times New Roman" w:hAnsi="Times New Roman" w:cs="Times New Roman"/>
          <w:i/>
          <w:iCs/>
          <w:lang w:eastAsia="en-US"/>
        </w:rPr>
        <w:t>Torts: An</w:t>
      </w:r>
      <w:r w:rsidR="00C85B70" w:rsidRPr="750671CE">
        <w:rPr>
          <w:rFonts w:ascii="Times New Roman" w:eastAsia="Times New Roman" w:hAnsi="Times New Roman" w:cs="Times New Roman"/>
          <w:i/>
          <w:iCs/>
          <w:spacing w:val="14"/>
          <w:lang w:eastAsia="en-US"/>
        </w:rPr>
        <w:t xml:space="preserve"> </w:t>
      </w:r>
      <w:r w:rsidR="00C85B70" w:rsidRPr="750671CE">
        <w:rPr>
          <w:rFonts w:ascii="Times New Roman" w:eastAsia="Times New Roman" w:hAnsi="Times New Roman" w:cs="Times New Roman"/>
          <w:i/>
          <w:iCs/>
          <w:lang w:eastAsia="en-US"/>
        </w:rPr>
        <w:t>E</w:t>
      </w:r>
      <w:r w:rsidR="00C85B70" w:rsidRPr="750671CE">
        <w:rPr>
          <w:rFonts w:ascii="Times New Roman" w:eastAsia="Times New Roman" w:hAnsi="Times New Roman" w:cs="Times New Roman"/>
          <w:i/>
          <w:iCs/>
          <w:spacing w:val="2"/>
          <w:lang w:eastAsia="en-US"/>
        </w:rPr>
        <w:t>ss</w:t>
      </w:r>
      <w:r w:rsidR="00C85B70" w:rsidRPr="750671CE">
        <w:rPr>
          <w:rFonts w:ascii="Times New Roman" w:eastAsia="Times New Roman" w:hAnsi="Times New Roman" w:cs="Times New Roman"/>
          <w:i/>
          <w:iCs/>
          <w:spacing w:val="1"/>
          <w:lang w:eastAsia="en-US"/>
        </w:rPr>
        <w:t>a</w:t>
      </w:r>
      <w:r w:rsidR="00C85B70" w:rsidRPr="750671CE">
        <w:rPr>
          <w:rFonts w:ascii="Times New Roman" w:eastAsia="Times New Roman" w:hAnsi="Times New Roman" w:cs="Times New Roman"/>
          <w:i/>
          <w:iCs/>
          <w:lang w:eastAsia="en-US"/>
        </w:rPr>
        <w:t>y</w:t>
      </w:r>
      <w:r w:rsidR="00C85B70" w:rsidRPr="750671CE">
        <w:rPr>
          <w:rFonts w:ascii="Times New Roman" w:eastAsia="Times New Roman" w:hAnsi="Times New Roman" w:cs="Times New Roman"/>
          <w:i/>
          <w:iCs/>
          <w:spacing w:val="36"/>
          <w:lang w:eastAsia="en-US"/>
        </w:rPr>
        <w:t xml:space="preserve"> </w:t>
      </w:r>
      <w:r w:rsidR="00C85B70" w:rsidRPr="750671CE">
        <w:rPr>
          <w:rFonts w:ascii="Times New Roman" w:eastAsia="Times New Roman" w:hAnsi="Times New Roman" w:cs="Times New Roman"/>
          <w:i/>
          <w:iCs/>
          <w:spacing w:val="1"/>
          <w:lang w:eastAsia="en-US"/>
        </w:rPr>
        <w:t>fo</w:t>
      </w:r>
      <w:r w:rsidR="00C85B70" w:rsidRPr="750671CE">
        <w:rPr>
          <w:rFonts w:ascii="Times New Roman" w:eastAsia="Times New Roman" w:hAnsi="Times New Roman" w:cs="Times New Roman"/>
          <w:i/>
          <w:iCs/>
          <w:lang w:eastAsia="en-US"/>
        </w:rPr>
        <w:t>r</w:t>
      </w:r>
      <w:r w:rsidR="00C85B70" w:rsidRPr="750671CE">
        <w:rPr>
          <w:rFonts w:ascii="Times New Roman" w:eastAsia="Times New Roman" w:hAnsi="Times New Roman" w:cs="Times New Roman"/>
          <w:i/>
          <w:iCs/>
          <w:spacing w:val="40"/>
          <w:lang w:eastAsia="en-US"/>
        </w:rPr>
        <w:t xml:space="preserve"> </w:t>
      </w:r>
      <w:r w:rsidR="00C85B70" w:rsidRPr="750671CE">
        <w:rPr>
          <w:rFonts w:ascii="Times New Roman" w:eastAsia="Times New Roman" w:hAnsi="Times New Roman" w:cs="Times New Roman"/>
          <w:i/>
          <w:iCs/>
          <w:lang w:eastAsia="en-US"/>
        </w:rPr>
        <w:t>Harry Kalven,</w:t>
      </w:r>
      <w:r w:rsidR="00C85B70" w:rsidRPr="750671CE">
        <w:rPr>
          <w:rFonts w:ascii="Times New Roman" w:eastAsia="Times New Roman" w:hAnsi="Times New Roman" w:cs="Times New Roman"/>
          <w:i/>
          <w:iCs/>
          <w:spacing w:val="-15"/>
          <w:lang w:eastAsia="en-US"/>
        </w:rPr>
        <w:t xml:space="preserve"> </w:t>
      </w:r>
      <w:r w:rsidR="00C85B70" w:rsidRPr="750671CE">
        <w:rPr>
          <w:rFonts w:ascii="Times New Roman" w:eastAsia="Times New Roman" w:hAnsi="Times New Roman" w:cs="Times New Roman"/>
          <w:i/>
          <w:iCs/>
          <w:lang w:eastAsia="en-US"/>
        </w:rPr>
        <w:t>Jr.</w:t>
      </w:r>
      <w:r w:rsidR="00C85B70" w:rsidRPr="00280B55">
        <w:rPr>
          <w:rFonts w:ascii="Times New Roman" w:eastAsia="Times New Roman" w:hAnsi="Times New Roman" w:cs="Times New Roman"/>
          <w:lang w:eastAsia="en-US"/>
        </w:rPr>
        <w:t>,</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43</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smallCaps/>
          <w:lang w:eastAsia="en-US"/>
        </w:rPr>
        <w:t>U.</w:t>
      </w:r>
      <w:r w:rsidR="00C85B70" w:rsidRPr="00280B55">
        <w:rPr>
          <w:rFonts w:ascii="Times New Roman" w:eastAsia="Times New Roman" w:hAnsi="Times New Roman" w:cs="Times New Roman"/>
          <w:smallCaps/>
          <w:spacing w:val="-20"/>
          <w:lang w:eastAsia="en-US"/>
        </w:rPr>
        <w:t xml:space="preserve"> </w:t>
      </w:r>
      <w:r w:rsidR="00C85B70" w:rsidRPr="00280B55">
        <w:rPr>
          <w:rFonts w:ascii="Times New Roman" w:eastAsia="Times New Roman" w:hAnsi="Times New Roman" w:cs="Times New Roman"/>
          <w:smallCaps/>
          <w:lang w:eastAsia="en-US"/>
        </w:rPr>
        <w:t>Chi.</w:t>
      </w:r>
      <w:r w:rsidR="00C85B70" w:rsidRPr="00280B55">
        <w:rPr>
          <w:rFonts w:ascii="Times New Roman" w:eastAsia="Times New Roman" w:hAnsi="Times New Roman" w:cs="Times New Roman"/>
          <w:smallCaps/>
          <w:spacing w:val="-16"/>
          <w:lang w:eastAsia="en-US"/>
        </w:rPr>
        <w:t xml:space="preserve"> </w:t>
      </w:r>
      <w:r w:rsidR="00C85B70" w:rsidRPr="00280B55">
        <w:rPr>
          <w:rFonts w:ascii="Times New Roman" w:eastAsia="Times New Roman" w:hAnsi="Times New Roman" w:cs="Times New Roman"/>
          <w:smallCaps/>
          <w:lang w:eastAsia="en-US"/>
        </w:rPr>
        <w:t>L. Rev.</w:t>
      </w:r>
      <w:r w:rsidR="00C85B70" w:rsidRPr="00280B55">
        <w:rPr>
          <w:rFonts w:ascii="Times New Roman" w:eastAsia="Times New Roman" w:hAnsi="Times New Roman" w:cs="Times New Roman"/>
          <w:spacing w:val="-16"/>
          <w:lang w:eastAsia="en-US"/>
        </w:rPr>
        <w:t xml:space="preserve"> </w:t>
      </w:r>
      <w:r w:rsidR="00C85B70" w:rsidRPr="00280B55">
        <w:rPr>
          <w:rFonts w:ascii="Times New Roman" w:eastAsia="Times New Roman" w:hAnsi="Times New Roman" w:cs="Times New Roman"/>
          <w:lang w:eastAsia="en-US"/>
        </w:rPr>
        <w:t>69</w:t>
      </w:r>
      <w:r w:rsidR="00C85B70" w:rsidRPr="00280B55">
        <w:rPr>
          <w:rFonts w:ascii="Times New Roman" w:eastAsia="Times New Roman" w:hAnsi="Times New Roman" w:cs="Times New Roman"/>
          <w:spacing w:val="-20"/>
          <w:lang w:eastAsia="en-US"/>
        </w:rPr>
        <w:t xml:space="preserve"> </w:t>
      </w:r>
      <w:r w:rsidR="00C85B70" w:rsidRPr="00280B55">
        <w:rPr>
          <w:rFonts w:ascii="Times New Roman" w:eastAsia="Times New Roman" w:hAnsi="Times New Roman" w:cs="Times New Roman"/>
          <w:lang w:eastAsia="en-US"/>
        </w:rPr>
        <w:t>(1975)</w:t>
      </w:r>
      <w:r w:rsidR="00C85B70" w:rsidRPr="00280B55">
        <w:rPr>
          <w:rFonts w:ascii="Times New Roman" w:eastAsia="Times New Roman" w:hAnsi="Times New Roman" w:cs="Times New Roman"/>
          <w:spacing w:val="-17"/>
          <w:lang w:eastAsia="en-US"/>
        </w:rPr>
        <w:t xml:space="preserve"> </w:t>
      </w:r>
      <w:r w:rsidR="00C85B70" w:rsidRPr="00280B55">
        <w:rPr>
          <w:rFonts w:ascii="Times New Roman" w:eastAsia="Times New Roman" w:hAnsi="Times New Roman" w:cs="Times New Roman"/>
          <w:lang w:eastAsia="en-US"/>
        </w:rPr>
        <w:t>(describing</w:t>
      </w:r>
      <w:r w:rsidR="00C85B70" w:rsidRPr="00280B55">
        <w:rPr>
          <w:rFonts w:ascii="Times New Roman" w:eastAsia="Times New Roman" w:hAnsi="Times New Roman" w:cs="Times New Roman"/>
          <w:spacing w:val="-16"/>
          <w:lang w:eastAsia="en-US"/>
        </w:rPr>
        <w:t xml:space="preserve"> </w:t>
      </w:r>
      <w:r w:rsidR="00C85B70" w:rsidRPr="00280B55">
        <w:rPr>
          <w:rFonts w:ascii="Times New Roman" w:eastAsia="Times New Roman" w:hAnsi="Times New Roman" w:cs="Times New Roman"/>
          <w:lang w:eastAsia="en-US"/>
        </w:rPr>
        <w:t>the concept</w:t>
      </w:r>
      <w:r w:rsidR="00C85B70" w:rsidRPr="00280B55">
        <w:rPr>
          <w:rFonts w:ascii="Times New Roman" w:eastAsia="Times New Roman" w:hAnsi="Times New Roman" w:cs="Times New Roman"/>
          <w:spacing w:val="-3"/>
          <w:lang w:eastAsia="en-US"/>
        </w:rPr>
        <w:t xml:space="preserve"> </w:t>
      </w:r>
      <w:r w:rsidR="00C85B70" w:rsidRPr="00280B55">
        <w:rPr>
          <w:rFonts w:ascii="Times New Roman" w:eastAsia="Times New Roman" w:hAnsi="Times New Roman" w:cs="Times New Roman"/>
          <w:lang w:eastAsia="en-US"/>
        </w:rPr>
        <w:t>of</w:t>
      </w:r>
      <w:r w:rsidR="00C85B70" w:rsidRPr="00280B55">
        <w:rPr>
          <w:rFonts w:ascii="Times New Roman" w:eastAsia="Times New Roman" w:hAnsi="Times New Roman" w:cs="Times New Roman"/>
          <w:spacing w:val="1"/>
          <w:lang w:eastAsia="en-US"/>
        </w:rPr>
        <w:t xml:space="preserve"> </w:t>
      </w:r>
      <w:r w:rsidR="00B05F31">
        <w:rPr>
          <w:rFonts w:ascii="Times New Roman" w:eastAsia="Times New Roman" w:hAnsi="Times New Roman" w:cs="Times New Roman"/>
          <w:lang w:eastAsia="en-US"/>
        </w:rPr>
        <w:t>“</w:t>
      </w:r>
      <w:r w:rsidR="00C85B70" w:rsidRPr="00280B55">
        <w:rPr>
          <w:rFonts w:ascii="Times New Roman" w:eastAsia="Times New Roman" w:hAnsi="Times New Roman" w:cs="Times New Roman"/>
          <w:lang w:eastAsia="en-US"/>
        </w:rPr>
        <w:t>caus</w:t>
      </w:r>
      <w:r w:rsidR="00C85B70" w:rsidRPr="00280B55">
        <w:rPr>
          <w:rFonts w:ascii="Times New Roman" w:eastAsia="Times New Roman" w:hAnsi="Times New Roman" w:cs="Times New Roman"/>
          <w:spacing w:val="2"/>
          <w:lang w:eastAsia="en-US"/>
        </w:rPr>
        <w:t>a</w:t>
      </w:r>
      <w:r w:rsidR="00C85B70" w:rsidRPr="00280B55">
        <w:rPr>
          <w:rFonts w:ascii="Times New Roman" w:eastAsia="Times New Roman" w:hAnsi="Times New Roman" w:cs="Times New Roman"/>
          <w:lang w:eastAsia="en-US"/>
        </w:rPr>
        <w:t>l</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spacing w:val="1"/>
          <w:lang w:eastAsia="en-US"/>
        </w:rPr>
        <w:t>li</w:t>
      </w:r>
      <w:r w:rsidRPr="00280B55">
        <w:rPr>
          <w:rFonts w:ascii="Times New Roman" w:eastAsia="Times New Roman" w:hAnsi="Times New Roman" w:cs="Times New Roman"/>
          <w:lang w:eastAsia="en-US"/>
        </w:rPr>
        <w:t>nk</w:t>
      </w:r>
      <w:r w:rsidR="00B05F31">
        <w:rPr>
          <w:rFonts w:ascii="Times New Roman" w:eastAsia="Times New Roman" w:hAnsi="Times New Roman" w:cs="Times New Roman"/>
          <w:lang w:eastAsia="en-US"/>
        </w:rPr>
        <w:t>”</w:t>
      </w:r>
      <w:r w:rsidR="00C85B70" w:rsidRPr="00280B55">
        <w:rPr>
          <w:rFonts w:ascii="Times New Roman" w:eastAsia="Times New Roman" w:hAnsi="Times New Roman" w:cs="Times New Roman"/>
          <w:lang w:eastAsia="en-US"/>
        </w:rPr>
        <w:t xml:space="preserve">).  </w:t>
      </w:r>
      <w:r w:rsidR="00C85B70" w:rsidRPr="00280B55">
        <w:rPr>
          <w:rFonts w:ascii="Times New Roman" w:eastAsia="Times New Roman" w:hAnsi="Times New Roman" w:cs="Times New Roman"/>
          <w:spacing w:val="4"/>
          <w:lang w:eastAsia="en-US"/>
        </w:rPr>
        <w:t xml:space="preserve"> </w:t>
      </w:r>
      <w:r w:rsidR="00C85B70" w:rsidRPr="00280B55">
        <w:rPr>
          <w:rFonts w:ascii="Times New Roman" w:eastAsia="Times New Roman" w:hAnsi="Times New Roman" w:cs="Times New Roman"/>
          <w:lang w:eastAsia="en-US"/>
        </w:rPr>
        <w:t>And,</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since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the</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prima</w:t>
      </w:r>
      <w:r w:rsidR="00C85B70" w:rsidRPr="00280B55">
        <w:rPr>
          <w:rFonts w:ascii="Times New Roman" w:eastAsia="Times New Roman" w:hAnsi="Times New Roman" w:cs="Times New Roman"/>
          <w:spacing w:val="12"/>
          <w:lang w:eastAsia="en-US"/>
        </w:rPr>
        <w:t xml:space="preserve"> </w:t>
      </w:r>
      <w:r w:rsidR="00C85B70" w:rsidRPr="00280B55">
        <w:rPr>
          <w:rFonts w:ascii="Times New Roman" w:eastAsia="Times New Roman" w:hAnsi="Times New Roman" w:cs="Times New Roman"/>
          <w:lang w:eastAsia="en-US"/>
        </w:rPr>
        <w:t>facie case</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was</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not</w:t>
      </w:r>
      <w:r w:rsidR="00C85B70" w:rsidRPr="00280B55">
        <w:rPr>
          <w:rFonts w:ascii="Times New Roman" w:eastAsia="Times New Roman" w:hAnsi="Times New Roman" w:cs="Times New Roman"/>
          <w:spacing w:val="-2"/>
          <w:lang w:eastAsia="en-US"/>
        </w:rPr>
        <w:t xml:space="preserve"> </w:t>
      </w:r>
      <w:r w:rsidR="00C85B70" w:rsidRPr="00280B55">
        <w:rPr>
          <w:rFonts w:ascii="Times New Roman" w:eastAsia="Times New Roman" w:hAnsi="Times New Roman" w:cs="Times New Roman"/>
          <w:lang w:eastAsia="en-US"/>
        </w:rPr>
        <w:t>rebutted,</w:t>
      </w:r>
      <w:r w:rsidR="00C85B70" w:rsidRPr="00280B55">
        <w:rPr>
          <w:rFonts w:ascii="Times New Roman" w:eastAsia="Times New Roman" w:hAnsi="Times New Roman" w:cs="Times New Roman"/>
          <w:spacing w:val="-6"/>
          <w:lang w:eastAsia="en-US"/>
        </w:rPr>
        <w:t xml:space="preserve"> </w:t>
      </w:r>
      <w:r w:rsidR="00C85B70" w:rsidRPr="00280B55">
        <w:rPr>
          <w:rFonts w:ascii="Times New Roman" w:eastAsia="Times New Roman" w:hAnsi="Times New Roman" w:cs="Times New Roman"/>
          <w:lang w:eastAsia="en-US"/>
        </w:rPr>
        <w:t>it suffices.</w:t>
      </w:r>
    </w:p>
    <w:p w14:paraId="04710CCA" w14:textId="77777777" w:rsidR="00C85B70" w:rsidRPr="00280B55" w:rsidRDefault="00C85B70" w:rsidP="00FE7B7F">
      <w:pPr>
        <w:spacing w:before="12"/>
        <w:rPr>
          <w:rFonts w:ascii="Times New Roman" w:eastAsia="Times New Roman" w:hAnsi="Times New Roman" w:cs="Times New Roman"/>
          <w:lang w:eastAsia="en-US"/>
        </w:rPr>
      </w:pPr>
    </w:p>
    <w:p w14:paraId="00045C5B" w14:textId="544FE046" w:rsidR="00C85B70" w:rsidRPr="00C85B70" w:rsidRDefault="750671CE" w:rsidP="750671CE">
      <w:pPr>
        <w:ind w:left="151" w:right="-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4257C0A9" w14:textId="77777777" w:rsidR="00C85B70" w:rsidRPr="00C85B70" w:rsidRDefault="00C85B70" w:rsidP="00FE7B7F">
      <w:pPr>
        <w:spacing w:before="13"/>
        <w:rPr>
          <w:rFonts w:ascii="Times New Roman" w:eastAsia="Times New Roman" w:hAnsi="Times New Roman" w:cs="Times New Roman"/>
          <w:lang w:eastAsia="en-US"/>
        </w:rPr>
      </w:pPr>
    </w:p>
    <w:p w14:paraId="3B86F6AD" w14:textId="16CD253B" w:rsidR="00C85B70" w:rsidRPr="00C85B70" w:rsidRDefault="00C85B70" w:rsidP="750671CE">
      <w:pPr>
        <w:ind w:right="65" w:firstLine="53"/>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district</w:t>
      </w:r>
      <w:r w:rsidRPr="00C85B70">
        <w:rPr>
          <w:rFonts w:ascii="Times New Roman" w:eastAsia="Times New Roman" w:hAnsi="Times New Roman" w:cs="Times New Roman"/>
          <w:spacing w:val="-2"/>
          <w:lang w:eastAsia="en-US"/>
        </w:rPr>
        <w:t xml:space="preserve"> </w:t>
      </w:r>
      <w:r w:rsidRPr="00C85B70">
        <w:rPr>
          <w:rFonts w:ascii="Times New Roman" w:eastAsia="Times New Roman" w:hAnsi="Times New Roman" w:cs="Times New Roman"/>
          <w:spacing w:val="2"/>
          <w:lang w:eastAsia="en-US"/>
        </w:rPr>
        <w:t>c</w:t>
      </w:r>
      <w:r w:rsidRPr="00C85B70">
        <w:rPr>
          <w:rFonts w:ascii="Times New Roman" w:eastAsia="Times New Roman" w:hAnsi="Times New Roman" w:cs="Times New Roman"/>
          <w:spacing w:val="1"/>
          <w:lang w:eastAsia="en-US"/>
        </w:rPr>
        <w:t>our</w:t>
      </w:r>
      <w:r w:rsidRPr="00C85B70">
        <w:rPr>
          <w:rFonts w:ascii="Times New Roman" w:eastAsia="Times New Roman" w:hAnsi="Times New Roman" w:cs="Times New Roman"/>
          <w:lang w:eastAsia="en-US"/>
        </w:rPr>
        <w:t>t</w:t>
      </w:r>
      <w:r w:rsidRPr="00C85B70">
        <w:rPr>
          <w:rFonts w:ascii="Times New Roman" w:eastAsia="Times New Roman" w:hAnsi="Times New Roman" w:cs="Times New Roman"/>
          <w:spacing w:val="1"/>
          <w:lang w:eastAsia="en-US"/>
        </w:rPr>
        <w:t xml:space="preserve"> </w:t>
      </w:r>
      <w:r w:rsidR="00280B55">
        <w:rPr>
          <w:rFonts w:ascii="Times New Roman" w:eastAsia="Times New Roman" w:hAnsi="Times New Roman" w:cs="Times New Roman"/>
          <w:lang w:eastAsia="en-US"/>
        </w:rPr>
        <w:t xml:space="preserve">did not err. </w:t>
      </w:r>
      <w:r w:rsidRPr="00C85B70">
        <w:rPr>
          <w:rFonts w:ascii="Times New Roman" w:eastAsia="Times New Roman" w:hAnsi="Times New Roman" w:cs="Times New Roman"/>
          <w:spacing w:val="2"/>
          <w:lang w:eastAsia="en-US"/>
        </w:rPr>
        <w:t>W</w:t>
      </w:r>
      <w:r w:rsidRPr="00C85B70">
        <w:rPr>
          <w:rFonts w:ascii="Times New Roman" w:eastAsia="Times New Roman" w:hAnsi="Times New Roman" w:cs="Times New Roman"/>
          <w:lang w:eastAsia="en-US"/>
        </w:rPr>
        <w:t>e affirm</w:t>
      </w:r>
      <w:r w:rsidRPr="00C85B70">
        <w:rPr>
          <w:rFonts w:ascii="Times New Roman" w:eastAsia="Times New Roman" w:hAnsi="Times New Roman" w:cs="Times New Roman"/>
          <w:spacing w:val="-5"/>
          <w:lang w:eastAsia="en-US"/>
        </w:rPr>
        <w:t xml:space="preserve"> </w:t>
      </w:r>
      <w:r w:rsidRPr="00C85B70">
        <w:rPr>
          <w:rFonts w:ascii="Times New Roman" w:eastAsia="Times New Roman" w:hAnsi="Times New Roman" w:cs="Times New Roman"/>
          <w:lang w:eastAsia="en-US"/>
        </w:rPr>
        <w:t>its</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decision in</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all</w:t>
      </w:r>
      <w:r w:rsidRPr="00C85B70">
        <w:rPr>
          <w:rFonts w:ascii="Times New Roman" w:eastAsia="Times New Roman" w:hAnsi="Times New Roman" w:cs="Times New Roman"/>
          <w:spacing w:val="-1"/>
          <w:lang w:eastAsia="en-US"/>
        </w:rPr>
        <w:t xml:space="preserve"> </w:t>
      </w:r>
      <w:r w:rsidRPr="00C85B70">
        <w:rPr>
          <w:rFonts w:ascii="Times New Roman" w:eastAsia="Times New Roman" w:hAnsi="Times New Roman" w:cs="Times New Roman"/>
          <w:lang w:eastAsia="en-US"/>
        </w:rPr>
        <w:t>respects.</w:t>
      </w:r>
    </w:p>
    <w:p w14:paraId="43B22609" w14:textId="77777777" w:rsidR="00C85B70" w:rsidRPr="00C85B70" w:rsidRDefault="00C85B70" w:rsidP="00FE7B7F">
      <w:pPr>
        <w:spacing w:before="12"/>
        <w:rPr>
          <w:rFonts w:ascii="Times New Roman" w:eastAsia="Times New Roman" w:hAnsi="Times New Roman" w:cs="Times New Roman"/>
          <w:lang w:eastAsia="en-US"/>
        </w:rPr>
      </w:pPr>
    </w:p>
    <w:p w14:paraId="246A0349" w14:textId="620ECCFF" w:rsidR="00C85B70" w:rsidRPr="00C85B70" w:rsidRDefault="00C85B70" w:rsidP="750671CE">
      <w:pPr>
        <w:ind w:left="50" w:right="568"/>
        <w:rPr>
          <w:rFonts w:ascii="Times New Roman" w:eastAsia="Times New Roman" w:hAnsi="Times New Roman" w:cs="Times New Roman"/>
          <w:lang w:eastAsia="en-US"/>
        </w:rPr>
      </w:pPr>
      <w:r w:rsidRPr="00671F38">
        <w:rPr>
          <w:rFonts w:ascii="Times New Roman" w:eastAsia="Times New Roman" w:hAnsi="Times New Roman" w:cs="Times New Roman"/>
          <w:smallCaps/>
          <w:lang w:eastAsia="en-US"/>
        </w:rPr>
        <w:t>N</w:t>
      </w:r>
      <w:r w:rsidR="00671F38">
        <w:rPr>
          <w:rFonts w:ascii="Times New Roman" w:eastAsia="Times New Roman" w:hAnsi="Times New Roman" w:cs="Times New Roman"/>
          <w:smallCaps/>
          <w:lang w:eastAsia="en-US"/>
        </w:rPr>
        <w:t>ewman,</w:t>
      </w:r>
      <w:r w:rsidRPr="00C85B70">
        <w:rPr>
          <w:rFonts w:ascii="Times New Roman" w:eastAsia="Times New Roman" w:hAnsi="Times New Roman" w:cs="Times New Roman"/>
          <w:spacing w:val="-10"/>
          <w:lang w:eastAsia="en-US"/>
        </w:rPr>
        <w:t xml:space="preserve"> </w:t>
      </w:r>
      <w:r w:rsidR="0038332A">
        <w:rPr>
          <w:rFonts w:ascii="Times New Roman" w:eastAsia="Times New Roman" w:hAnsi="Times New Roman" w:cs="Times New Roman"/>
          <w:lang w:eastAsia="en-US"/>
        </w:rPr>
        <w:t>J.</w:t>
      </w:r>
      <w:r w:rsidRPr="00C85B70">
        <w:rPr>
          <w:rFonts w:ascii="Times New Roman" w:eastAsia="Times New Roman" w:hAnsi="Times New Roman" w:cs="Times New Roman"/>
          <w:lang w:eastAsia="en-US"/>
        </w:rPr>
        <w:t>,</w:t>
      </w:r>
      <w:r w:rsidRPr="00C85B70">
        <w:rPr>
          <w:rFonts w:ascii="Times New Roman" w:eastAsia="Times New Roman" w:hAnsi="Times New Roman" w:cs="Times New Roman"/>
          <w:spacing w:val="-4"/>
          <w:lang w:eastAsia="en-US"/>
        </w:rPr>
        <w:t xml:space="preserve"> </w:t>
      </w:r>
      <w:r w:rsidRPr="00C85B70">
        <w:rPr>
          <w:rFonts w:ascii="Times New Roman" w:eastAsia="Times New Roman" w:hAnsi="Times New Roman" w:cs="Times New Roman"/>
          <w:lang w:eastAsia="en-US"/>
        </w:rPr>
        <w:t>concurring</w:t>
      </w:r>
      <w:r w:rsidR="0038332A">
        <w:rPr>
          <w:rFonts w:ascii="Times New Roman" w:eastAsia="Times New Roman" w:hAnsi="Times New Roman" w:cs="Times New Roman"/>
          <w:lang w:eastAsia="en-US"/>
        </w:rPr>
        <w:t>.</w:t>
      </w:r>
    </w:p>
    <w:p w14:paraId="120CBD19" w14:textId="77777777" w:rsidR="00C85B70" w:rsidRPr="00C85B70" w:rsidRDefault="00C85B70" w:rsidP="00FE7B7F">
      <w:pPr>
        <w:spacing w:before="13"/>
        <w:rPr>
          <w:rFonts w:ascii="Times New Roman" w:eastAsia="Times New Roman" w:hAnsi="Times New Roman" w:cs="Times New Roman"/>
          <w:lang w:eastAsia="en-US"/>
        </w:rPr>
      </w:pPr>
    </w:p>
    <w:p w14:paraId="0DBF16B1" w14:textId="25A2C0B0" w:rsidR="00C85B70" w:rsidRPr="00C85B70" w:rsidRDefault="750671CE" w:rsidP="750671CE">
      <w:pPr>
        <w:ind w:left="50" w:right="3987"/>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76D63706" w14:textId="77777777" w:rsidR="00C85B70" w:rsidRPr="00C85B70" w:rsidRDefault="00C85B70" w:rsidP="00FE7B7F">
      <w:pPr>
        <w:spacing w:before="13"/>
        <w:rPr>
          <w:rFonts w:ascii="Times New Roman" w:eastAsia="Times New Roman" w:hAnsi="Times New Roman" w:cs="Times New Roman"/>
          <w:lang w:eastAsia="en-US"/>
        </w:rPr>
      </w:pPr>
    </w:p>
    <w:p w14:paraId="36EDF04A" w14:textId="775E5F4D" w:rsidR="00C85B70" w:rsidRPr="00280B55" w:rsidRDefault="00C85B70" w:rsidP="750671CE">
      <w:pPr>
        <w:ind w:right="-14" w:firstLine="720"/>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Those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who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believe 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every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decision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hu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affairs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ra</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ional</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one, influenced</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logically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incentives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disincentives that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inhere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given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set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think</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it perverse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can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liable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failure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to warn</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about</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2"/>
          <w:lang w:eastAsia="en-US"/>
        </w:rPr>
        <w:t>az</w:t>
      </w:r>
      <w:r w:rsidRPr="00280B55">
        <w:rPr>
          <w:rFonts w:ascii="Times New Roman" w:eastAsia="Times New Roman" w:hAnsi="Times New Roman" w:cs="Times New Roman"/>
          <w:lang w:eastAsia="en-US"/>
        </w:rPr>
        <w:t>ard</w:t>
      </w:r>
      <w:r w:rsidRPr="00280B55">
        <w:rPr>
          <w:rFonts w:ascii="Times New Roman" w:eastAsia="Times New Roman" w:hAnsi="Times New Roman" w:cs="Times New Roman"/>
          <w:spacing w:val="37"/>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eat-grinder</w:t>
      </w:r>
      <w:r w:rsidRPr="00280B55">
        <w:rPr>
          <w:rFonts w:ascii="Times New Roman" w:eastAsia="Times New Roman" w:hAnsi="Times New Roman" w:cs="Times New Roman"/>
          <w:spacing w:val="33"/>
          <w:lang w:eastAsia="en-US"/>
        </w:rPr>
        <w:t xml:space="preserve"> </w:t>
      </w:r>
      <w:r w:rsidRPr="00280B55">
        <w:rPr>
          <w:rFonts w:ascii="Times New Roman" w:eastAsia="Times New Roman" w:hAnsi="Times New Roman" w:cs="Times New Roman"/>
          <w:lang w:eastAsia="en-US"/>
        </w:rPr>
        <w:t>originally equipped</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spacing w:val="1"/>
          <w:lang w:eastAsia="en-US"/>
        </w:rPr>
        <w:t>wit</w:t>
      </w:r>
      <w:r w:rsidRPr="00280B55">
        <w:rPr>
          <w:rFonts w:ascii="Times New Roman" w:eastAsia="Times New Roman" w:hAnsi="Times New Roman" w:cs="Times New Roman"/>
          <w:lang w:eastAsia="en-US"/>
        </w:rPr>
        <w:t>h</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6"/>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subsequently been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oved</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even</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though</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had no</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0"/>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31"/>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spacing w:val="2"/>
          <w:lang w:eastAsia="en-US"/>
        </w:rPr>
        <w:t>ee</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nitially</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installed.</w:t>
      </w:r>
      <w:r w:rsidR="00280B55">
        <w:rPr>
          <w:rFonts w:ascii="Times New Roman" w:eastAsia="Times New Roman" w:hAnsi="Times New Roman" w:cs="Times New Roman"/>
          <w:lang w:eastAsia="en-US"/>
        </w:rPr>
        <w:t xml:space="preserve"> </w:t>
      </w:r>
      <w:r w:rsidRPr="00280B55">
        <w:rPr>
          <w:rFonts w:ascii="Times New Roman" w:eastAsia="Times New Roman" w:hAnsi="Times New Roman" w:cs="Times New Roman"/>
          <w:lang w:eastAsia="en-US"/>
        </w:rPr>
        <w:t>Surely,</w:t>
      </w:r>
      <w:r w:rsidRPr="00280B55">
        <w:rPr>
          <w:rFonts w:ascii="Times New Roman" w:eastAsia="Times New Roman" w:hAnsi="Times New Roman" w:cs="Times New Roman"/>
          <w:spacing w:val="28"/>
          <w:lang w:eastAsia="en-US"/>
        </w:rPr>
        <w:t xml:space="preserve"> </w:t>
      </w:r>
      <w:r w:rsidRPr="00280B55">
        <w:rPr>
          <w:rFonts w:ascii="Times New Roman" w:eastAsia="Times New Roman" w:hAnsi="Times New Roman" w:cs="Times New Roman"/>
          <w:lang w:eastAsia="en-US"/>
        </w:rPr>
        <w:t>the devout</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rationalists</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say,</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9"/>
          <w:lang w:eastAsia="en-US"/>
        </w:rPr>
        <w:t xml:space="preserve"> </w:t>
      </w:r>
      <w:r w:rsidRPr="00280B55">
        <w:rPr>
          <w:rFonts w:ascii="Times New Roman" w:eastAsia="Times New Roman" w:hAnsi="Times New Roman" w:cs="Times New Roman"/>
          <w:lang w:eastAsia="en-US"/>
        </w:rPr>
        <w:t>rule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lang w:eastAsia="en-US"/>
        </w:rPr>
        <w:t>countenancing such</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
          <w:lang w:eastAsia="en-US"/>
        </w:rPr>
        <w:t>ee</w:t>
      </w:r>
      <w:r w:rsidRPr="00280B55">
        <w:rPr>
          <w:rFonts w:ascii="Times New Roman" w:eastAsia="Times New Roman" w:hAnsi="Times New Roman" w:cs="Times New Roman"/>
          <w:spacing w:val="-1"/>
          <w:lang w:eastAsia="en-US"/>
        </w:rPr>
        <w:t>m</w:t>
      </w:r>
      <w:r w:rsidRPr="00280B55">
        <w:rPr>
          <w:rFonts w:ascii="Times New Roman" w:eastAsia="Times New Roman" w:hAnsi="Times New Roman" w:cs="Times New Roman"/>
          <w:lang w:eastAsia="en-US"/>
        </w:rPr>
        <w:t>ingly</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contradictory</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results</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43"/>
          <w:lang w:eastAsia="en-US"/>
        </w:rPr>
        <w:t xml:space="preserve"> </w:t>
      </w:r>
      <w:r w:rsidRPr="00280B55">
        <w:rPr>
          <w:rFonts w:ascii="Times New Roman" w:eastAsia="Times New Roman" w:hAnsi="Times New Roman" w:cs="Times New Roman"/>
          <w:lang w:eastAsia="en-US"/>
        </w:rPr>
        <w:t>create</w:t>
      </w:r>
      <w:r w:rsidRPr="00280B55">
        <w:rPr>
          <w:rFonts w:ascii="Times New Roman" w:eastAsia="Times New Roman" w:hAnsi="Times New Roman" w:cs="Times New Roman"/>
          <w:spacing w:val="41"/>
          <w:lang w:eastAsia="en-US"/>
        </w:rPr>
        <w:t xml:space="preserve"> </w:t>
      </w:r>
      <w:r w:rsidRPr="00280B55">
        <w:rPr>
          <w:rFonts w:ascii="Times New Roman" w:eastAsia="Times New Roman" w:hAnsi="Times New Roman" w:cs="Times New Roman"/>
          <w:lang w:eastAsia="en-US"/>
        </w:rPr>
        <w:t>an incentive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3"/>
          <w:lang w:eastAsia="en-US"/>
        </w:rPr>
        <w:t xml:space="preserve"> m</w:t>
      </w:r>
      <w:r w:rsidRPr="00280B55">
        <w:rPr>
          <w:rFonts w:ascii="Times New Roman" w:eastAsia="Times New Roman" w:hAnsi="Times New Roman" w:cs="Times New Roman"/>
          <w:lang w:eastAsia="en-US"/>
        </w:rPr>
        <w:t>eat-grinder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install safety</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2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6"/>
          <w:lang w:eastAsia="en-US"/>
        </w:rPr>
        <w:t xml:space="preserve"> </w:t>
      </w:r>
      <w:r w:rsidRPr="00280B55">
        <w:rPr>
          <w:rFonts w:ascii="Times New Roman" w:eastAsia="Times New Roman" w:hAnsi="Times New Roman" w:cs="Times New Roman"/>
          <w:lang w:eastAsia="en-US"/>
        </w:rPr>
        <w:t>first</w:t>
      </w:r>
      <w:r w:rsidRPr="00280B55">
        <w:rPr>
          <w:rFonts w:ascii="Times New Roman" w:eastAsia="Times New Roman" w:hAnsi="Times New Roman" w:cs="Times New Roman"/>
          <w:spacing w:val="25"/>
          <w:lang w:eastAsia="en-US"/>
        </w:rPr>
        <w:t xml:space="preserve"> </w:t>
      </w:r>
      <w:r w:rsidRPr="00280B55">
        <w:rPr>
          <w:rFonts w:ascii="Times New Roman" w:eastAsia="Times New Roman" w:hAnsi="Times New Roman" w:cs="Times New Roman"/>
          <w:lang w:eastAsia="en-US"/>
        </w:rPr>
        <w:t>pl</w:t>
      </w:r>
      <w:r w:rsidRPr="00280B55">
        <w:rPr>
          <w:rFonts w:ascii="Times New Roman" w:eastAsia="Times New Roman" w:hAnsi="Times New Roman" w:cs="Times New Roman"/>
          <w:spacing w:val="1"/>
          <w:lang w:eastAsia="en-US"/>
        </w:rPr>
        <w:t>ace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24"/>
          <w:lang w:eastAsia="en-US"/>
        </w:rPr>
        <w:t xml:space="preserve"> </w:t>
      </w:r>
      <w:r w:rsidRPr="00280B55">
        <w:rPr>
          <w:rFonts w:ascii="Times New Roman" w:eastAsia="Times New Roman" w:hAnsi="Times New Roman" w:cs="Times New Roman"/>
          <w:lang w:eastAsia="en-US"/>
        </w:rPr>
        <w:t>thereby</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obtaining</w:t>
      </w:r>
      <w:r w:rsidRPr="00280B55">
        <w:rPr>
          <w:rFonts w:ascii="Times New Roman" w:eastAsia="Times New Roman" w:hAnsi="Times New Roman" w:cs="Times New Roman"/>
          <w:spacing w:val="20"/>
          <w:lang w:eastAsia="en-US"/>
        </w:rPr>
        <w:t xml:space="preserve"> </w:t>
      </w:r>
      <w:r w:rsidRPr="00280B55">
        <w:rPr>
          <w:rFonts w:ascii="Times New Roman" w:eastAsia="Times New Roman" w:hAnsi="Times New Roman" w:cs="Times New Roman"/>
          <w:lang w:eastAsia="en-US"/>
        </w:rPr>
        <w:t>at least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chance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escape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und</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today</w:t>
      </w:r>
      <w:r w:rsidR="00B05F31">
        <w:rPr>
          <w:rFonts w:ascii="Times New Roman" w:eastAsia="Times New Roman" w:hAnsi="Times New Roman" w:cs="Times New Roman"/>
          <w:spacing w:val="-1"/>
          <w:lang w:eastAsia="en-US"/>
        </w:rPr>
        <w:t>’</w:t>
      </w:r>
      <w:r w:rsidRPr="00280B55">
        <w:rPr>
          <w:rFonts w:ascii="Times New Roman" w:eastAsia="Times New Roman" w:hAnsi="Times New Roman" w:cs="Times New Roman"/>
          <w:lang w:eastAsia="en-US"/>
        </w:rPr>
        <w:t>s decision,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dee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ed</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appropriate</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jury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consideration. I</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acknowledge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disincentive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in</w:t>
      </w:r>
      <w:r w:rsidRPr="00280B55">
        <w:rPr>
          <w:rFonts w:ascii="Times New Roman" w:eastAsia="Times New Roman" w:hAnsi="Times New Roman" w:cs="Times New Roman"/>
          <w:lang w:eastAsia="en-US"/>
        </w:rPr>
        <w:t>stall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safety guard</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exist,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as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predictions</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ade on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assu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ption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a</w:t>
      </w:r>
      <w:r w:rsidRPr="00280B55">
        <w:rPr>
          <w:rFonts w:ascii="Times New Roman" w:eastAsia="Times New Roman" w:hAnsi="Times New Roman" w:cs="Times New Roman"/>
          <w:spacing w:val="-14"/>
          <w:lang w:eastAsia="en-US"/>
        </w:rPr>
        <w:t xml:space="preserve"> </w:t>
      </w:r>
      <w:r w:rsidRPr="00280B55">
        <w:rPr>
          <w:rFonts w:ascii="Times New Roman" w:eastAsia="Times New Roman" w:hAnsi="Times New Roman" w:cs="Times New Roman"/>
          <w:lang w:eastAsia="en-US"/>
        </w:rPr>
        <w:t>disincentive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take</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will result</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taken</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(or</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incentive to</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take</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result</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action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being</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taken),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 think it is e</w:t>
      </w:r>
      <w:r w:rsidRPr="00280B55">
        <w:rPr>
          <w:rFonts w:ascii="Times New Roman" w:eastAsia="Times New Roman" w:hAnsi="Times New Roman" w:cs="Times New Roman"/>
          <w:spacing w:val="1"/>
          <w:lang w:eastAsia="en-US"/>
        </w:rPr>
        <w:t>xt</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 xml:space="preserve">ely doubtful that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eat-grinder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will</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elect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forgo</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safe</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y</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1"/>
          <w:lang w:eastAsia="en-US"/>
        </w:rPr>
        <w:t>g</w:t>
      </w:r>
      <w:r w:rsidRPr="00280B55">
        <w:rPr>
          <w:rFonts w:ascii="Times New Roman" w:eastAsia="Times New Roman" w:hAnsi="Times New Roman" w:cs="Times New Roman"/>
          <w:lang w:eastAsia="en-US"/>
        </w:rPr>
        <w:t>uards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the hope</w:t>
      </w:r>
      <w:r w:rsidRPr="00280B55">
        <w:rPr>
          <w:rFonts w:ascii="Times New Roman" w:eastAsia="Times New Roman" w:hAnsi="Times New Roman" w:cs="Times New Roman"/>
          <w:spacing w:val="40"/>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lang w:eastAsia="en-US"/>
        </w:rPr>
        <w:t>avoiding</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failure-to-warn</w:t>
      </w:r>
      <w:r w:rsidRPr="00280B55">
        <w:rPr>
          <w:rFonts w:ascii="Times New Roman" w:eastAsia="Times New Roman" w:hAnsi="Times New Roman" w:cs="Times New Roman"/>
          <w:spacing w:val="32"/>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38"/>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4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 grinders from which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such</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oved. </w:t>
      </w:r>
      <w:r w:rsidRPr="00280B55">
        <w:rPr>
          <w:rFonts w:ascii="Times New Roman" w:eastAsia="Times New Roman" w:hAnsi="Times New Roman" w:cs="Times New Roman"/>
          <w:spacing w:val="2"/>
          <w:lang w:eastAsia="en-US"/>
        </w:rPr>
        <w:t>W</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advi</w:t>
      </w:r>
      <w:r w:rsidRPr="00280B55">
        <w:rPr>
          <w:rFonts w:ascii="Times New Roman" w:eastAsia="Times New Roman" w:hAnsi="Times New Roman" w:cs="Times New Roman"/>
          <w:spacing w:val="2"/>
          <w:lang w:eastAsia="en-US"/>
        </w:rPr>
        <w:t>se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1"/>
          <w:lang w:eastAsia="en-US"/>
        </w:rPr>
        <w:t>t</w:t>
      </w:r>
      <w:r w:rsidRPr="00280B55">
        <w:rPr>
          <w:rFonts w:ascii="Times New Roman" w:eastAsia="Times New Roman" w:hAnsi="Times New Roman" w:cs="Times New Roman"/>
          <w:lang w:eastAsia="en-US"/>
        </w:rPr>
        <w:t>hat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life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law</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 not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logic</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experien</w:t>
      </w:r>
      <w:r w:rsidRPr="00280B55">
        <w:rPr>
          <w:rFonts w:ascii="Times New Roman" w:eastAsia="Times New Roman" w:hAnsi="Times New Roman" w:cs="Times New Roman"/>
          <w:spacing w:val="2"/>
          <w:lang w:eastAsia="en-US"/>
        </w:rPr>
        <w:t>ce</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4"/>
          <w:lang w:eastAsia="en-US"/>
        </w:rPr>
        <w:t xml:space="preserve"> </w:t>
      </w:r>
      <w:r w:rsidRPr="750671CE">
        <w:rPr>
          <w:rFonts w:ascii="Times New Roman" w:eastAsia="Times New Roman" w:hAnsi="Times New Roman" w:cs="Times New Roman"/>
          <w:i/>
          <w:iCs/>
          <w:lang w:eastAsia="en-US"/>
        </w:rPr>
        <w:t>see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mallCaps/>
          <w:lang w:eastAsia="en-US"/>
        </w:rPr>
        <w:t xml:space="preserve">Oliver </w:t>
      </w:r>
      <w:r w:rsidRPr="00280B55">
        <w:rPr>
          <w:rFonts w:ascii="Times New Roman" w:eastAsia="Times New Roman" w:hAnsi="Times New Roman" w:cs="Times New Roman"/>
          <w:smallCaps/>
          <w:spacing w:val="2"/>
          <w:lang w:eastAsia="en-US"/>
        </w:rPr>
        <w:t>W</w:t>
      </w:r>
      <w:r w:rsidRPr="00280B55">
        <w:rPr>
          <w:rFonts w:ascii="Times New Roman" w:eastAsia="Times New Roman" w:hAnsi="Times New Roman" w:cs="Times New Roman"/>
          <w:smallCaps/>
          <w:lang w:eastAsia="en-US"/>
        </w:rPr>
        <w:t>endell</w:t>
      </w:r>
      <w:r w:rsidRPr="00280B55">
        <w:rPr>
          <w:rFonts w:ascii="Times New Roman" w:eastAsia="Times New Roman" w:hAnsi="Times New Roman" w:cs="Times New Roman"/>
          <w:smallCaps/>
          <w:spacing w:val="-2"/>
          <w:lang w:eastAsia="en-US"/>
        </w:rPr>
        <w:t xml:space="preserve"> </w:t>
      </w:r>
      <w:r w:rsidRPr="00280B55">
        <w:rPr>
          <w:rFonts w:ascii="Times New Roman" w:eastAsia="Times New Roman" w:hAnsi="Times New Roman" w:cs="Times New Roman"/>
          <w:smallCaps/>
          <w:lang w:eastAsia="en-US"/>
        </w:rPr>
        <w:t>Hol</w:t>
      </w:r>
      <w:r w:rsidRPr="00280B55">
        <w:rPr>
          <w:rFonts w:ascii="Times New Roman" w:eastAsia="Times New Roman" w:hAnsi="Times New Roman" w:cs="Times New Roman"/>
          <w:smallCaps/>
          <w:spacing w:val="-3"/>
          <w:lang w:eastAsia="en-US"/>
        </w:rPr>
        <w:t>m</w:t>
      </w:r>
      <w:r w:rsidRPr="00280B55">
        <w:rPr>
          <w:rFonts w:ascii="Times New Roman" w:eastAsia="Times New Roman" w:hAnsi="Times New Roman" w:cs="Times New Roman"/>
          <w:smallCaps/>
          <w:lang w:eastAsia="en-US"/>
        </w:rPr>
        <w:t>es, Jr., The</w:t>
      </w:r>
      <w:r w:rsidRPr="00280B55">
        <w:rPr>
          <w:rFonts w:ascii="Times New Roman" w:eastAsia="Times New Roman" w:hAnsi="Times New Roman" w:cs="Times New Roman"/>
          <w:smallCaps/>
          <w:spacing w:val="25"/>
          <w:lang w:eastAsia="en-US"/>
        </w:rPr>
        <w:t xml:space="preserve"> </w:t>
      </w:r>
      <w:r w:rsidRPr="00280B55">
        <w:rPr>
          <w:rFonts w:ascii="Times New Roman" w:eastAsia="Times New Roman" w:hAnsi="Times New Roman" w:cs="Times New Roman"/>
          <w:smallCaps/>
          <w:lang w:eastAsia="en-US"/>
        </w:rPr>
        <w:t>Common Law</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lang w:eastAsia="en-US"/>
        </w:rPr>
        <w:t>1</w:t>
      </w:r>
      <w:r w:rsidRPr="00280B55">
        <w:rPr>
          <w:rFonts w:ascii="Times New Roman" w:eastAsia="Times New Roman" w:hAnsi="Times New Roman" w:cs="Times New Roman"/>
          <w:spacing w:val="35"/>
          <w:lang w:eastAsia="en-US"/>
        </w:rPr>
        <w:t xml:space="preserve"> </w:t>
      </w:r>
      <w:r w:rsidRPr="00280B55">
        <w:rPr>
          <w:rFonts w:ascii="Times New Roman" w:eastAsia="Times New Roman" w:hAnsi="Times New Roman" w:cs="Times New Roman"/>
          <w:lang w:eastAsia="en-US"/>
        </w:rPr>
        <w:t>(Little, Brown &amp;</w:t>
      </w:r>
      <w:r w:rsidRPr="00280B55">
        <w:rPr>
          <w:rFonts w:ascii="Times New Roman" w:eastAsia="Times New Roman" w:hAnsi="Times New Roman" w:cs="Times New Roman"/>
          <w:spacing w:val="34"/>
          <w:lang w:eastAsia="en-US"/>
        </w:rPr>
        <w:t xml:space="preserve"> </w:t>
      </w:r>
      <w:r w:rsidRPr="00280B55">
        <w:rPr>
          <w:rFonts w:ascii="Times New Roman" w:eastAsia="Times New Roman" w:hAnsi="Times New Roman" w:cs="Times New Roman"/>
          <w:lang w:eastAsia="en-US"/>
        </w:rPr>
        <w:t>Co.  1990)</w:t>
      </w:r>
      <w:r w:rsidR="005B1B78">
        <w:rPr>
          <w:rFonts w:ascii="Times New Roman" w:eastAsia="Times New Roman" w:hAnsi="Times New Roman" w:cs="Times New Roman"/>
          <w:lang w:eastAsia="en-US"/>
        </w:rPr>
        <w:t xml:space="preserve"> </w:t>
      </w:r>
      <w:r w:rsidRPr="00280B55">
        <w:rPr>
          <w:rFonts w:ascii="Times New Roman" w:eastAsia="Times New Roman" w:hAnsi="Times New Roman" w:cs="Times New Roman"/>
          <w:lang w:eastAsia="en-US"/>
        </w:rPr>
        <w:t>(1891),</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lang w:eastAsia="en-US"/>
        </w:rPr>
        <w:t>and</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often</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that</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life</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life its</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l</w:t>
      </w:r>
      <w:r w:rsidRPr="00280B55">
        <w:rPr>
          <w:rFonts w:ascii="Times New Roman" w:eastAsia="Times New Roman" w:hAnsi="Times New Roman" w:cs="Times New Roman"/>
          <w:lang w:eastAsia="en-US"/>
        </w:rPr>
        <w:t>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1"/>
          <w:lang w:eastAsia="en-US"/>
        </w:rPr>
        <w:t>i</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logic.  Though</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rationality guides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any hu</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actions,</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it</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does</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not</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guide</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them</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all. Despite</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the di</w:t>
      </w:r>
      <w:r w:rsidRPr="00280B55">
        <w:rPr>
          <w:rFonts w:ascii="Times New Roman" w:eastAsia="Times New Roman" w:hAnsi="Times New Roman" w:cs="Times New Roman"/>
          <w:spacing w:val="1"/>
          <w:lang w:eastAsia="en-US"/>
        </w:rPr>
        <w:t>s</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
          <w:lang w:eastAsia="en-US"/>
        </w:rPr>
        <w:t>ce</w:t>
      </w:r>
      <w:r w:rsidRPr="00280B55">
        <w:rPr>
          <w:rFonts w:ascii="Times New Roman" w:eastAsia="Times New Roman" w:hAnsi="Times New Roman" w:cs="Times New Roman"/>
          <w:lang w:eastAsia="en-US"/>
        </w:rPr>
        <w:t xml:space="preserve">ntive </w:t>
      </w:r>
      <w:r w:rsidRPr="00280B55">
        <w:rPr>
          <w:rFonts w:ascii="Times New Roman" w:eastAsia="Times New Roman" w:hAnsi="Times New Roman" w:cs="Times New Roman"/>
          <w:spacing w:val="1"/>
          <w:lang w:eastAsia="en-US"/>
        </w:rPr>
        <w:t>a</w:t>
      </w:r>
      <w:r w:rsidRPr="00280B55">
        <w:rPr>
          <w:rFonts w:ascii="Times New Roman" w:eastAsia="Times New Roman" w:hAnsi="Times New Roman" w:cs="Times New Roman"/>
          <w:lang w:eastAsia="en-US"/>
        </w:rPr>
        <w:t>rguably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1"/>
          <w:lang w:eastAsia="en-US"/>
        </w:rPr>
        <w:t>c</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1"/>
          <w:lang w:eastAsia="en-US"/>
        </w:rPr>
        <w:t>ea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e</w:t>
      </w:r>
      <w:r w:rsidRPr="00280B55">
        <w:rPr>
          <w:rFonts w:ascii="Times New Roman" w:eastAsia="Times New Roman" w:hAnsi="Times New Roman" w:cs="Times New Roman"/>
          <w:lang w:eastAsia="en-US"/>
        </w:rPr>
        <w:t>d</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po</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spacing w:val="1"/>
          <w:lang w:eastAsia="en-US"/>
        </w:rPr>
        <w:t>itio</w:t>
      </w:r>
      <w:r w:rsidRPr="00280B55">
        <w:rPr>
          <w:rFonts w:ascii="Times New Roman" w:eastAsia="Times New Roman" w:hAnsi="Times New Roman" w:cs="Times New Roman"/>
          <w:lang w:eastAsia="en-US"/>
        </w:rPr>
        <w:t>n of liability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case,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ight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well</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elect</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 install</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safety</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guards</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si</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ply</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because they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have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 xml:space="preserve">e </w:t>
      </w:r>
      <w:r w:rsidRPr="00280B55">
        <w:rPr>
          <w:rFonts w:ascii="Times New Roman" w:eastAsia="Times New Roman" w:hAnsi="Times New Roman" w:cs="Times New Roman"/>
          <w:spacing w:val="-1"/>
          <w:lang w:eastAsia="en-US"/>
        </w:rPr>
        <w:t>concer</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(hu</w:t>
      </w:r>
      <w:r w:rsidRPr="00280B55">
        <w:rPr>
          <w:rFonts w:ascii="Times New Roman" w:eastAsia="Times New Roman" w:hAnsi="Times New Roman" w:cs="Times New Roman"/>
          <w:spacing w:val="-4"/>
          <w:lang w:eastAsia="en-US"/>
        </w:rPr>
        <w:t>m</w:t>
      </w:r>
      <w:r w:rsidRPr="00280B55">
        <w:rPr>
          <w:rFonts w:ascii="Times New Roman" w:eastAsia="Times New Roman" w:hAnsi="Times New Roman" w:cs="Times New Roman"/>
          <w:spacing w:val="-1"/>
          <w:lang w:eastAsia="en-US"/>
        </w:rPr>
        <w:t>anitarian</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spacing w:val="-1"/>
          <w:lang w:eastAsia="en-US"/>
        </w:rPr>
        <w:t>no</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22"/>
          <w:lang w:eastAsia="en-US"/>
        </w:rPr>
        <w:t xml:space="preserve"> </w:t>
      </w:r>
      <w:r w:rsidRPr="00280B55">
        <w:rPr>
          <w:rFonts w:ascii="Times New Roman" w:eastAsia="Times New Roman" w:hAnsi="Times New Roman" w:cs="Times New Roman"/>
          <w:spacing w:val="-1"/>
          <w:lang w:eastAsia="en-US"/>
        </w:rPr>
        <w:t>econo</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spacing w:val="-1"/>
          <w:lang w:eastAsia="en-US"/>
        </w:rPr>
        <w:t>ic</w:t>
      </w:r>
      <w:r w:rsidRPr="00280B55">
        <w:rPr>
          <w:rFonts w:ascii="Times New Roman" w:eastAsia="Times New Roman" w:hAnsi="Times New Roman" w:cs="Times New Roman"/>
          <w:lang w:eastAsia="en-US"/>
        </w:rPr>
        <w:t>)</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spacing w:val="-1"/>
          <w:lang w:eastAsia="en-US"/>
        </w:rPr>
        <w:t>tha</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7"/>
          <w:lang w:eastAsia="en-US"/>
        </w:rPr>
        <w:t xml:space="preserve"> </w:t>
      </w:r>
      <w:r w:rsidRPr="00280B55">
        <w:rPr>
          <w:rFonts w:ascii="Times New Roman" w:eastAsia="Times New Roman" w:hAnsi="Times New Roman" w:cs="Times New Roman"/>
          <w:spacing w:val="-1"/>
          <w:lang w:eastAsia="en-US"/>
        </w:rPr>
        <w:t>hand</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21"/>
          <w:lang w:eastAsia="en-US"/>
        </w:rPr>
        <w:t xml:space="preserve"> </w:t>
      </w:r>
      <w:r w:rsidRPr="00280B55">
        <w:rPr>
          <w:rFonts w:ascii="Times New Roman" w:eastAsia="Times New Roman" w:hAnsi="Times New Roman" w:cs="Times New Roman"/>
          <w:spacing w:val="-1"/>
          <w:lang w:eastAsia="en-US"/>
        </w:rPr>
        <w:t xml:space="preserve">should </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1"/>
          <w:lang w:eastAsia="en-US"/>
        </w:rPr>
        <w:t>o</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spacing w:val="1"/>
          <w:lang w:eastAsia="en-US"/>
        </w:rPr>
        <w:t>b</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18"/>
          <w:lang w:eastAsia="en-US"/>
        </w:rPr>
        <w:t xml:space="preserve"> </w:t>
      </w:r>
      <w:r w:rsidRPr="00280B55">
        <w:rPr>
          <w:rFonts w:ascii="Times New Roman" w:eastAsia="Times New Roman" w:hAnsi="Times New Roman" w:cs="Times New Roman"/>
          <w:lang w:eastAsia="en-US"/>
        </w:rPr>
        <w:t>severed</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by</w:t>
      </w:r>
      <w:r w:rsidRPr="00280B55">
        <w:rPr>
          <w:rFonts w:ascii="Times New Roman" w:eastAsia="Times New Roman" w:hAnsi="Times New Roman" w:cs="Times New Roman"/>
          <w:spacing w:val="15"/>
          <w:lang w:eastAsia="en-US"/>
        </w:rPr>
        <w:t xml:space="preserve"> </w:t>
      </w:r>
      <w:r w:rsidRPr="00280B55">
        <w:rPr>
          <w:rFonts w:ascii="Times New Roman" w:eastAsia="Times New Roman" w:hAnsi="Times New Roman" w:cs="Times New Roman"/>
          <w:lang w:eastAsia="en-US"/>
        </w:rPr>
        <w:t>their</w:t>
      </w:r>
      <w:r w:rsidRPr="00280B55">
        <w:rPr>
          <w:rFonts w:ascii="Times New Roman" w:eastAsia="Times New Roman" w:hAnsi="Times New Roman" w:cs="Times New Roman"/>
          <w:spacing w:val="13"/>
          <w:lang w:eastAsia="en-US"/>
        </w:rPr>
        <w:t xml:space="preserve"> </w:t>
      </w:r>
      <w:r w:rsidRPr="00280B55">
        <w:rPr>
          <w:rFonts w:ascii="Times New Roman" w:eastAsia="Times New Roman" w:hAnsi="Times New Roman" w:cs="Times New Roman"/>
          <w:spacing w:val="-3"/>
          <w:lang w:eastAsia="en-US"/>
        </w:rPr>
        <w:t>m</w:t>
      </w:r>
      <w:r w:rsidR="00280B55">
        <w:rPr>
          <w:rFonts w:ascii="Times New Roman" w:eastAsia="Times New Roman" w:hAnsi="Times New Roman" w:cs="Times New Roman"/>
          <w:lang w:eastAsia="en-US"/>
        </w:rPr>
        <w:t xml:space="preserve">achines. </w:t>
      </w:r>
      <w:r w:rsidRPr="00280B55">
        <w:rPr>
          <w:rFonts w:ascii="Times New Roman" w:eastAsia="Times New Roman" w:hAnsi="Times New Roman" w:cs="Times New Roman"/>
          <w:lang w:eastAsia="en-US"/>
        </w:rPr>
        <w:t>Moreover,</w:t>
      </w:r>
      <w:r w:rsidRPr="00280B55">
        <w:rPr>
          <w:rFonts w:ascii="Times New Roman" w:eastAsia="Times New Roman" w:hAnsi="Times New Roman" w:cs="Times New Roman"/>
          <w:spacing w:val="9"/>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16"/>
          <w:lang w:eastAsia="en-US"/>
        </w:rPr>
        <w:t xml:space="preserve"> </w:t>
      </w:r>
      <w:r w:rsidRPr="00280B55">
        <w:rPr>
          <w:rFonts w:ascii="Times New Roman" w:eastAsia="Times New Roman" w:hAnsi="Times New Roman" w:cs="Times New Roman"/>
          <w:lang w:eastAsia="en-US"/>
        </w:rPr>
        <w:t xml:space="preserve">our </w:t>
      </w:r>
      <w:r w:rsidRPr="00280B55">
        <w:rPr>
          <w:rFonts w:ascii="Times New Roman" w:eastAsia="Times New Roman" w:hAnsi="Times New Roman" w:cs="Times New Roman"/>
          <w:spacing w:val="5"/>
          <w:lang w:eastAsia="en-US"/>
        </w:rPr>
        <w:t>decisio</w:t>
      </w:r>
      <w:r w:rsidRPr="00280B55">
        <w:rPr>
          <w:rFonts w:ascii="Times New Roman" w:eastAsia="Times New Roman" w:hAnsi="Times New Roman" w:cs="Times New Roman"/>
          <w:lang w:eastAsia="en-US"/>
        </w:rPr>
        <w:t>n</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spacing w:val="5"/>
          <w:lang w:eastAsia="en-US"/>
        </w:rPr>
        <w:t>correctl</w:t>
      </w:r>
      <w:r w:rsidRPr="00280B55">
        <w:rPr>
          <w:rFonts w:ascii="Times New Roman" w:eastAsia="Times New Roman" w:hAnsi="Times New Roman" w:cs="Times New Roman"/>
          <w:lang w:eastAsia="en-US"/>
        </w:rPr>
        <w:t xml:space="preserve">y </w:t>
      </w:r>
      <w:r w:rsidRPr="00280B55">
        <w:rPr>
          <w:rFonts w:ascii="Times New Roman" w:eastAsia="Times New Roman" w:hAnsi="Times New Roman" w:cs="Times New Roman"/>
          <w:spacing w:val="4"/>
          <w:lang w:eastAsia="en-US"/>
        </w:rPr>
        <w:t>p</w:t>
      </w:r>
      <w:r w:rsidRPr="00280B55">
        <w:rPr>
          <w:rFonts w:ascii="Times New Roman" w:eastAsia="Times New Roman" w:hAnsi="Times New Roman" w:cs="Times New Roman"/>
          <w:spacing w:val="3"/>
          <w:lang w:eastAsia="en-US"/>
        </w:rPr>
        <w:t>r</w:t>
      </w:r>
      <w:r w:rsidRPr="00280B55">
        <w:rPr>
          <w:rFonts w:ascii="Times New Roman" w:eastAsia="Times New Roman" w:hAnsi="Times New Roman" w:cs="Times New Roman"/>
          <w:spacing w:val="5"/>
          <w:lang w:eastAsia="en-US"/>
        </w:rPr>
        <w:t>e</w:t>
      </w:r>
      <w:r w:rsidRPr="00280B55">
        <w:rPr>
          <w:rFonts w:ascii="Times New Roman" w:eastAsia="Times New Roman" w:hAnsi="Times New Roman" w:cs="Times New Roman"/>
          <w:spacing w:val="4"/>
          <w:lang w:eastAsia="en-US"/>
        </w:rPr>
        <w:t>d</w:t>
      </w:r>
      <w:r w:rsidRPr="00280B55">
        <w:rPr>
          <w:rFonts w:ascii="Times New Roman" w:eastAsia="Times New Roman" w:hAnsi="Times New Roman" w:cs="Times New Roman"/>
          <w:spacing w:val="3"/>
          <w:lang w:eastAsia="en-US"/>
        </w:rPr>
        <w:t>i</w:t>
      </w:r>
      <w:r w:rsidRPr="00280B55">
        <w:rPr>
          <w:rFonts w:ascii="Times New Roman" w:eastAsia="Times New Roman" w:hAnsi="Times New Roman" w:cs="Times New Roman"/>
          <w:spacing w:val="5"/>
          <w:lang w:eastAsia="en-US"/>
        </w:rPr>
        <w:t>ct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spacing w:val="5"/>
          <w:lang w:eastAsia="en-US"/>
        </w:rPr>
        <w:t>Ne</w:t>
      </w:r>
      <w:r w:rsidRPr="00280B55">
        <w:rPr>
          <w:rFonts w:ascii="Times New Roman" w:eastAsia="Times New Roman" w:hAnsi="Times New Roman" w:cs="Times New Roman"/>
          <w:lang w:eastAsia="en-US"/>
        </w:rPr>
        <w:t>w</w:t>
      </w:r>
      <w:r w:rsidRPr="00280B55">
        <w:rPr>
          <w:rFonts w:ascii="Times New Roman" w:eastAsia="Times New Roman" w:hAnsi="Times New Roman" w:cs="Times New Roman"/>
          <w:spacing w:val="5"/>
          <w:lang w:eastAsia="en-US"/>
        </w:rPr>
        <w:t xml:space="preserve"> Yor</w:t>
      </w:r>
      <w:r w:rsidRPr="00280B55">
        <w:rPr>
          <w:rFonts w:ascii="Times New Roman" w:eastAsia="Times New Roman" w:hAnsi="Times New Roman" w:cs="Times New Roman"/>
          <w:lang w:eastAsia="en-US"/>
        </w:rPr>
        <w:t>k</w:t>
      </w:r>
      <w:r w:rsidRPr="00280B55">
        <w:rPr>
          <w:rFonts w:ascii="Times New Roman" w:eastAsia="Times New Roman" w:hAnsi="Times New Roman" w:cs="Times New Roman"/>
          <w:spacing w:val="5"/>
          <w:lang w:eastAsia="en-US"/>
        </w:rPr>
        <w:t xml:space="preserve"> law,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anufacturers of</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eat-grinders equipped</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with</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safety guards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can readily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avoid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for</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injuries</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resulting from</w:t>
      </w:r>
      <w:r w:rsidRPr="00280B55">
        <w:rPr>
          <w:rFonts w:ascii="Times New Roman" w:eastAsia="Times New Roman" w:hAnsi="Times New Roman" w:cs="Times New Roman"/>
          <w:spacing w:val="1"/>
          <w:lang w:eastAsia="en-US"/>
        </w:rPr>
        <w:t xml:space="preserve"> u</w:t>
      </w:r>
      <w:r w:rsidRPr="00280B55">
        <w:rPr>
          <w:rFonts w:ascii="Times New Roman" w:eastAsia="Times New Roman" w:hAnsi="Times New Roman" w:cs="Times New Roman"/>
          <w:spacing w:val="2"/>
          <w:lang w:eastAsia="en-US"/>
        </w:rPr>
        <w:t>s</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spacing w:val="2"/>
          <w:lang w:eastAsia="en-US"/>
        </w:rPr>
        <w:t>a</w:t>
      </w:r>
      <w:r w:rsidRPr="00280B55">
        <w:rPr>
          <w:rFonts w:ascii="Times New Roman" w:eastAsia="Times New Roman" w:hAnsi="Times New Roman" w:cs="Times New Roman"/>
          <w:lang w:eastAsia="en-US"/>
        </w:rPr>
        <w:t>fter</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guard</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re</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oved by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 inexpensive furnishing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so</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e</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reasonable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form</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 xml:space="preserve">of </w:t>
      </w:r>
      <w:r w:rsidRPr="00280B55">
        <w:rPr>
          <w:rFonts w:ascii="Times New Roman" w:eastAsia="Times New Roman" w:hAnsi="Times New Roman" w:cs="Times New Roman"/>
          <w:spacing w:val="1"/>
          <w:lang w:eastAsia="en-US"/>
        </w:rPr>
        <w:t>not</w:t>
      </w:r>
      <w:r w:rsidRPr="00280B55">
        <w:rPr>
          <w:rFonts w:ascii="Times New Roman" w:eastAsia="Times New Roman" w:hAnsi="Times New Roman" w:cs="Times New Roman"/>
          <w:lang w:eastAsia="en-US"/>
        </w:rPr>
        <w:t>ice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hazard</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of</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using</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the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 without</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t</w:t>
      </w:r>
      <w:r w:rsidRPr="00280B55">
        <w:rPr>
          <w:rFonts w:ascii="Times New Roman" w:eastAsia="Times New Roman" w:hAnsi="Times New Roman" w:cs="Times New Roman"/>
          <w:spacing w:val="1"/>
          <w:lang w:eastAsia="en-US"/>
        </w:rPr>
        <w:t>h</w:t>
      </w:r>
      <w:r w:rsidR="00280B55">
        <w:rPr>
          <w:rFonts w:ascii="Times New Roman" w:eastAsia="Times New Roman" w:hAnsi="Times New Roman" w:cs="Times New Roman"/>
          <w:lang w:eastAsia="en-US"/>
        </w:rPr>
        <w:t xml:space="preserve">e guard. </w:t>
      </w:r>
      <w:r w:rsidRPr="00280B55">
        <w:rPr>
          <w:rFonts w:ascii="Times New Roman" w:eastAsia="Times New Roman" w:hAnsi="Times New Roman" w:cs="Times New Roman"/>
          <w:lang w:eastAsia="en-US"/>
        </w:rPr>
        <w:t>Hobart</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has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already</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acted</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2"/>
          <w:lang w:eastAsia="en-US"/>
        </w:rPr>
        <w:t xml:space="preserve"> </w:t>
      </w:r>
      <w:r w:rsidRPr="00280B55">
        <w:rPr>
          <w:rFonts w:ascii="Times New Roman" w:eastAsia="Times New Roman" w:hAnsi="Times New Roman" w:cs="Times New Roman"/>
          <w:lang w:eastAsia="en-US"/>
        </w:rPr>
        <w:t>this</w:t>
      </w:r>
      <w:r w:rsidRPr="00280B55">
        <w:rPr>
          <w:rFonts w:ascii="Times New Roman" w:eastAsia="Times New Roman" w:hAnsi="Times New Roman" w:cs="Times New Roman"/>
          <w:spacing w:val="11"/>
          <w:lang w:eastAsia="en-US"/>
        </w:rPr>
        <w:t xml:space="preserve"> </w:t>
      </w:r>
      <w:r w:rsidRPr="00280B55">
        <w:rPr>
          <w:rFonts w:ascii="Times New Roman" w:eastAsia="Times New Roman" w:hAnsi="Times New Roman" w:cs="Times New Roman"/>
          <w:lang w:eastAsia="en-US"/>
        </w:rPr>
        <w:t>direction</w:t>
      </w:r>
      <w:r w:rsidRPr="00280B55">
        <w:rPr>
          <w:rFonts w:ascii="Times New Roman" w:eastAsia="Times New Roman" w:hAnsi="Times New Roman" w:cs="Times New Roman"/>
          <w:spacing w:val="7"/>
          <w:lang w:eastAsia="en-US"/>
        </w:rPr>
        <w:t xml:space="preserve"> </w:t>
      </w:r>
      <w:r w:rsidRPr="00280B55">
        <w:rPr>
          <w:rFonts w:ascii="Times New Roman" w:eastAsia="Times New Roman" w:hAnsi="Times New Roman" w:cs="Times New Roman"/>
          <w:lang w:eastAsia="en-US"/>
        </w:rPr>
        <w:t>by placing</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on</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its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spacing w:val="-3"/>
          <w:lang w:eastAsia="en-US"/>
        </w:rPr>
        <w:t>m</w:t>
      </w:r>
      <w:r w:rsidRPr="00280B55">
        <w:rPr>
          <w:rFonts w:ascii="Times New Roman" w:eastAsia="Times New Roman" w:hAnsi="Times New Roman" w:cs="Times New Roman"/>
          <w:lang w:eastAsia="en-US"/>
        </w:rPr>
        <w:t>achine a</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warning against</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use</w:t>
      </w:r>
      <w:r w:rsidRPr="00280B55">
        <w:rPr>
          <w:rFonts w:ascii="Times New Roman" w:eastAsia="Times New Roman" w:hAnsi="Times New Roman" w:cs="Times New Roman"/>
          <w:spacing w:val="4"/>
          <w:lang w:eastAsia="en-US"/>
        </w:rPr>
        <w:t xml:space="preserve"> </w:t>
      </w:r>
      <w:r w:rsidRPr="00280B55">
        <w:rPr>
          <w:rFonts w:ascii="Times New Roman" w:eastAsia="Times New Roman" w:hAnsi="Times New Roman" w:cs="Times New Roman"/>
          <w:lang w:eastAsia="en-US"/>
        </w:rPr>
        <w:t>if</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the safety guard has</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been</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r</w:t>
      </w:r>
      <w:r w:rsidRPr="00280B55">
        <w:rPr>
          <w:rFonts w:ascii="Times New Roman" w:eastAsia="Times New Roman" w:hAnsi="Times New Roman" w:cs="Times New Roman"/>
          <w:spacing w:val="2"/>
          <w:lang w:eastAsia="en-US"/>
        </w:rPr>
        <w:t>e</w:t>
      </w:r>
      <w:r w:rsidRPr="00280B55">
        <w:rPr>
          <w:rFonts w:ascii="Times New Roman" w:eastAsia="Times New Roman" w:hAnsi="Times New Roman" w:cs="Times New Roman"/>
          <w:spacing w:val="-1"/>
          <w:lang w:eastAsia="en-US"/>
        </w:rPr>
        <w:t>m</w:t>
      </w:r>
      <w:r w:rsidR="00280B55">
        <w:rPr>
          <w:rFonts w:ascii="Times New Roman" w:eastAsia="Times New Roman" w:hAnsi="Times New Roman" w:cs="Times New Roman"/>
          <w:lang w:eastAsia="en-US"/>
        </w:rPr>
        <w:t xml:space="preserve">oved. </w:t>
      </w:r>
      <w:r w:rsidRPr="00280B55">
        <w:rPr>
          <w:rFonts w:ascii="Times New Roman" w:eastAsia="Times New Roman" w:hAnsi="Times New Roman" w:cs="Times New Roman"/>
          <w:lang w:eastAsia="en-US"/>
        </w:rPr>
        <w:t>Thus, the circu</w:t>
      </w:r>
      <w:r w:rsidRPr="00280B55">
        <w:rPr>
          <w:rFonts w:ascii="Times New Roman" w:eastAsia="Times New Roman" w:hAnsi="Times New Roman" w:cs="Times New Roman"/>
          <w:spacing w:val="-2"/>
          <w:lang w:eastAsia="en-US"/>
        </w:rPr>
        <w:t>m</w:t>
      </w:r>
      <w:r w:rsidRPr="00280B55">
        <w:rPr>
          <w:rFonts w:ascii="Times New Roman" w:eastAsia="Times New Roman" w:hAnsi="Times New Roman" w:cs="Times New Roman"/>
          <w:lang w:eastAsia="en-US"/>
        </w:rPr>
        <w:t>stances giving</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rise</w:t>
      </w:r>
      <w:r w:rsidRPr="00280B55">
        <w:rPr>
          <w:rFonts w:ascii="Times New Roman" w:eastAsia="Times New Roman" w:hAnsi="Times New Roman" w:cs="Times New Roman"/>
          <w:spacing w:val="8"/>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Hobart</w:t>
      </w:r>
      <w:r w:rsidR="00B05F31">
        <w:rPr>
          <w:rFonts w:ascii="Times New Roman" w:eastAsia="Times New Roman" w:hAnsi="Times New Roman" w:cs="Times New Roman"/>
          <w:lang w:eastAsia="en-US"/>
        </w:rPr>
        <w:t>’</w:t>
      </w:r>
      <w:r w:rsidRPr="00280B55">
        <w:rPr>
          <w:rFonts w:ascii="Times New Roman" w:eastAsia="Times New Roman" w:hAnsi="Times New Roman" w:cs="Times New Roman"/>
          <w:lang w:eastAsia="en-US"/>
        </w:rPr>
        <w:t>s</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liability</w:t>
      </w:r>
      <w:r w:rsidRPr="00280B55">
        <w:rPr>
          <w:rFonts w:ascii="Times New Roman" w:eastAsia="Times New Roman" w:hAnsi="Times New Roman" w:cs="Times New Roman"/>
          <w:spacing w:val="5"/>
          <w:lang w:eastAsia="en-US"/>
        </w:rPr>
        <w:t xml:space="preserve"> </w:t>
      </w:r>
      <w:r w:rsidRPr="00280B55">
        <w:rPr>
          <w:rFonts w:ascii="Times New Roman" w:eastAsia="Times New Roman" w:hAnsi="Times New Roman" w:cs="Times New Roman"/>
          <w:lang w:eastAsia="en-US"/>
        </w:rPr>
        <w:t>in</w:t>
      </w:r>
      <w:r w:rsidRPr="00280B55">
        <w:rPr>
          <w:rFonts w:ascii="Times New Roman" w:eastAsia="Times New Roman" w:hAnsi="Times New Roman" w:cs="Times New Roman"/>
          <w:spacing w:val="10"/>
          <w:lang w:eastAsia="en-US"/>
        </w:rPr>
        <w:t xml:space="preserve"> </w:t>
      </w:r>
      <w:r w:rsidRPr="00280B55">
        <w:rPr>
          <w:rFonts w:ascii="Times New Roman" w:eastAsia="Times New Roman" w:hAnsi="Times New Roman" w:cs="Times New Roman"/>
          <w:lang w:eastAsia="en-US"/>
        </w:rPr>
        <w:t>this case</w:t>
      </w:r>
      <w:r w:rsidRPr="00280B55">
        <w:rPr>
          <w:rFonts w:ascii="Times New Roman" w:eastAsia="Times New Roman" w:hAnsi="Times New Roman" w:cs="Times New Roman"/>
          <w:spacing w:val="-2"/>
          <w:lang w:eastAsia="en-US"/>
        </w:rPr>
        <w:t xml:space="preserve"> </w:t>
      </w:r>
      <w:r w:rsidRPr="00280B55">
        <w:rPr>
          <w:rFonts w:ascii="Times New Roman" w:eastAsia="Times New Roman" w:hAnsi="Times New Roman" w:cs="Times New Roman"/>
          <w:lang w:eastAsia="en-US"/>
        </w:rPr>
        <w:t>are</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unlikely</w:t>
      </w:r>
      <w:r w:rsidRPr="00280B55">
        <w:rPr>
          <w:rFonts w:ascii="Times New Roman" w:eastAsia="Times New Roman" w:hAnsi="Times New Roman" w:cs="Times New Roman"/>
          <w:spacing w:val="-6"/>
          <w:lang w:eastAsia="en-US"/>
        </w:rPr>
        <w:t xml:space="preserve"> </w:t>
      </w:r>
      <w:r w:rsidRPr="00280B55">
        <w:rPr>
          <w:rFonts w:ascii="Times New Roman" w:eastAsia="Times New Roman" w:hAnsi="Times New Roman" w:cs="Times New Roman"/>
          <w:lang w:eastAsia="en-US"/>
        </w:rPr>
        <w:t>to</w:t>
      </w:r>
      <w:r w:rsidRPr="00280B55">
        <w:rPr>
          <w:rFonts w:ascii="Times New Roman" w:eastAsia="Times New Roman" w:hAnsi="Times New Roman" w:cs="Times New Roman"/>
          <w:spacing w:val="-1"/>
          <w:lang w:eastAsia="en-US"/>
        </w:rPr>
        <w:t xml:space="preserve"> </w:t>
      </w:r>
      <w:r w:rsidRPr="00280B55">
        <w:rPr>
          <w:rFonts w:ascii="Times New Roman" w:eastAsia="Times New Roman" w:hAnsi="Times New Roman" w:cs="Times New Roman"/>
          <w:lang w:eastAsia="en-US"/>
        </w:rPr>
        <w:t>arise</w:t>
      </w:r>
      <w:r w:rsidRPr="00280B55">
        <w:rPr>
          <w:rFonts w:ascii="Times New Roman" w:eastAsia="Times New Roman" w:hAnsi="Times New Roman" w:cs="Times New Roman"/>
          <w:spacing w:val="-3"/>
          <w:lang w:eastAsia="en-US"/>
        </w:rPr>
        <w:t xml:space="preserve"> </w:t>
      </w:r>
      <w:r w:rsidRPr="00280B55">
        <w:rPr>
          <w:rFonts w:ascii="Times New Roman" w:eastAsia="Times New Roman" w:hAnsi="Times New Roman" w:cs="Times New Roman"/>
          <w:lang w:eastAsia="en-US"/>
        </w:rPr>
        <w:t>again.</w:t>
      </w:r>
    </w:p>
    <w:p w14:paraId="61281076" w14:textId="35DFAFD9" w:rsidR="00C85B70" w:rsidRPr="00280B55" w:rsidRDefault="00C85B70" w:rsidP="00280B55">
      <w:pPr>
        <w:tabs>
          <w:tab w:val="left" w:pos="5595"/>
        </w:tabs>
        <w:ind w:right="1678"/>
        <w:rPr>
          <w:rFonts w:ascii="Times New Roman" w:eastAsia="Times New Roman" w:hAnsi="Times New Roman" w:cs="Times New Roman"/>
          <w:lang w:eastAsia="en-US"/>
        </w:rPr>
      </w:pPr>
    </w:p>
    <w:p w14:paraId="590C66F1" w14:textId="23A19C89" w:rsidR="00C85B70" w:rsidRPr="00280B55" w:rsidRDefault="00FD3945" w:rsidP="750671CE">
      <w:pPr>
        <w:ind w:right="1678"/>
        <w:rPr>
          <w:rFonts w:ascii="Times New Roman" w:eastAsia="Times New Roman" w:hAnsi="Times New Roman" w:cs="Times New Roman"/>
          <w:lang w:eastAsia="en-US"/>
        </w:rPr>
      </w:pPr>
      <w:r w:rsidRPr="00280B55">
        <w:rPr>
          <w:rFonts w:ascii="Times New Roman" w:eastAsia="Times New Roman" w:hAnsi="Times New Roman" w:cs="Times New Roman"/>
          <w:lang w:eastAsia="en-US"/>
        </w:rPr>
        <w:t xml:space="preserve">. . . </w:t>
      </w:r>
      <w:r w:rsidR="00C85B70" w:rsidRPr="00280B55">
        <w:rPr>
          <w:rFonts w:ascii="Times New Roman" w:eastAsia="Times New Roman" w:hAnsi="Times New Roman" w:cs="Times New Roman"/>
          <w:lang w:eastAsia="en-US"/>
        </w:rPr>
        <w:t>I</w:t>
      </w:r>
      <w:r w:rsidR="00C85B70" w:rsidRPr="00280B55">
        <w:rPr>
          <w:rFonts w:ascii="Times New Roman" w:eastAsia="Times New Roman" w:hAnsi="Times New Roman" w:cs="Times New Roman"/>
          <w:spacing w:val="-1"/>
          <w:lang w:eastAsia="en-US"/>
        </w:rPr>
        <w:t xml:space="preserve"> </w:t>
      </w:r>
      <w:r w:rsidR="00C85B70" w:rsidRPr="00280B55">
        <w:rPr>
          <w:rFonts w:ascii="Times New Roman" w:eastAsia="Times New Roman" w:hAnsi="Times New Roman" w:cs="Times New Roman"/>
          <w:lang w:eastAsia="en-US"/>
        </w:rPr>
        <w:t>concur.</w:t>
      </w:r>
    </w:p>
    <w:p w14:paraId="4BD610DA" w14:textId="77777777" w:rsidR="00C85B70" w:rsidRPr="00280B55" w:rsidRDefault="00C85B70" w:rsidP="00FE7B7F">
      <w:pPr>
        <w:rPr>
          <w:rFonts w:ascii="Times New Roman" w:eastAsia="Times New Roman" w:hAnsi="Times New Roman" w:cs="Times New Roman"/>
          <w:lang w:eastAsia="en-US"/>
        </w:rPr>
      </w:pPr>
    </w:p>
    <w:p w14:paraId="6E516B36" w14:textId="10D592DE" w:rsidR="00CE12AE" w:rsidRDefault="00CE12AE">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448AE5A9" w14:textId="77777777" w:rsidR="00C85B70" w:rsidRPr="00C85B70" w:rsidRDefault="00C85B70" w:rsidP="00910387">
      <w:pPr>
        <w:pStyle w:val="Heading5"/>
      </w:pPr>
      <w:bookmarkStart w:id="1060" w:name="_Toc364636286"/>
      <w:bookmarkStart w:id="1061" w:name="_Toc518323566"/>
      <w:r w:rsidRPr="00C85B70">
        <w:t>Note</w:t>
      </w:r>
      <w:bookmarkEnd w:id="1060"/>
      <w:bookmarkEnd w:id="1061"/>
    </w:p>
    <w:p w14:paraId="1F9965BB" w14:textId="77777777" w:rsidR="00C85B70" w:rsidRDefault="00C85B70" w:rsidP="00FE7B7F">
      <w:pPr>
        <w:rPr>
          <w:rFonts w:ascii="Times New Roman" w:eastAsia="Times New Roman" w:hAnsi="Times New Roman" w:cs="Times New Roman"/>
          <w:lang w:eastAsia="en-US"/>
        </w:rPr>
      </w:pPr>
    </w:p>
    <w:p w14:paraId="68C8FBBE" w14:textId="77777777" w:rsidR="00945FB9" w:rsidRPr="00C85B70" w:rsidRDefault="00945FB9" w:rsidP="00FE7B7F">
      <w:pPr>
        <w:rPr>
          <w:rFonts w:ascii="Times New Roman" w:eastAsia="Times New Roman" w:hAnsi="Times New Roman" w:cs="Times New Roman"/>
          <w:lang w:eastAsia="en-US"/>
        </w:rPr>
      </w:pPr>
    </w:p>
    <w:p w14:paraId="5AE06889" w14:textId="3A50A2A4" w:rsidR="00C85B70" w:rsidRPr="00F94B7E" w:rsidRDefault="750671CE" w:rsidP="00F94B7E">
      <w:pPr>
        <w:pStyle w:val="ListParagraph"/>
        <w:numPr>
          <w:ilvl w:val="0"/>
          <w:numId w:val="5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256B0E">
        <w:rPr>
          <w:rFonts w:ascii="Times New Roman" w:eastAsia="Times New Roman" w:hAnsi="Times New Roman" w:cs="Times New Roman"/>
          <w:i/>
          <w:iCs/>
          <w:lang w:eastAsia="en-US"/>
        </w:rPr>
        <w:t>r</w:t>
      </w:r>
      <w:r w:rsidRPr="00F94B7E">
        <w:rPr>
          <w:rFonts w:ascii="Times New Roman" w:eastAsia="Times New Roman" w:hAnsi="Times New Roman" w:cs="Times New Roman"/>
          <w:i/>
          <w:iCs/>
          <w:lang w:eastAsia="en-US"/>
        </w:rPr>
        <w:t xml:space="preserve">elationship </w:t>
      </w:r>
      <w:r w:rsidR="00256B0E">
        <w:rPr>
          <w:rFonts w:ascii="Times New Roman" w:eastAsia="Times New Roman" w:hAnsi="Times New Roman" w:cs="Times New Roman"/>
          <w:i/>
          <w:iCs/>
          <w:lang w:eastAsia="en-US"/>
        </w:rPr>
        <w:t>b</w:t>
      </w:r>
      <w:r w:rsidRPr="00F94B7E">
        <w:rPr>
          <w:rFonts w:ascii="Times New Roman" w:eastAsia="Times New Roman" w:hAnsi="Times New Roman" w:cs="Times New Roman"/>
          <w:i/>
          <w:iCs/>
          <w:lang w:eastAsia="en-US"/>
        </w:rPr>
        <w:t xml:space="preserve">etween </w:t>
      </w:r>
      <w:r w:rsidR="00256B0E">
        <w:rPr>
          <w:rFonts w:ascii="Times New Roman" w:eastAsia="Times New Roman" w:hAnsi="Times New Roman" w:cs="Times New Roman"/>
          <w:i/>
          <w:iCs/>
          <w:lang w:eastAsia="en-US"/>
        </w:rPr>
        <w:t>p</w:t>
      </w:r>
      <w:r w:rsidRPr="00F94B7E">
        <w:rPr>
          <w:rFonts w:ascii="Times New Roman" w:eastAsia="Times New Roman" w:hAnsi="Times New Roman" w:cs="Times New Roman"/>
          <w:i/>
          <w:iCs/>
          <w:lang w:eastAsia="en-US"/>
        </w:rPr>
        <w:t xml:space="preserve">roducts </w:t>
      </w:r>
      <w:r w:rsidR="00256B0E">
        <w:rPr>
          <w:rFonts w:ascii="Times New Roman" w:eastAsia="Times New Roman" w:hAnsi="Times New Roman" w:cs="Times New Roman"/>
          <w:i/>
          <w:iCs/>
          <w:lang w:eastAsia="en-US"/>
        </w:rPr>
        <w:t>l</w:t>
      </w:r>
      <w:r w:rsidRPr="00F94B7E">
        <w:rPr>
          <w:rFonts w:ascii="Times New Roman" w:eastAsia="Times New Roman" w:hAnsi="Times New Roman" w:cs="Times New Roman"/>
          <w:i/>
          <w:iCs/>
          <w:lang w:eastAsia="en-US"/>
        </w:rPr>
        <w:t xml:space="preserve">iability and </w:t>
      </w:r>
      <w:r w:rsidR="00256B0E">
        <w:rPr>
          <w:rFonts w:ascii="Times New Roman" w:eastAsia="Times New Roman" w:hAnsi="Times New Roman" w:cs="Times New Roman"/>
          <w:i/>
          <w:iCs/>
          <w:lang w:eastAsia="en-US"/>
        </w:rPr>
        <w:t>r</w:t>
      </w:r>
      <w:r w:rsidRPr="00F94B7E">
        <w:rPr>
          <w:rFonts w:ascii="Times New Roman" w:eastAsia="Times New Roman" w:hAnsi="Times New Roman" w:cs="Times New Roman"/>
          <w:i/>
          <w:iCs/>
          <w:lang w:eastAsia="en-US"/>
        </w:rPr>
        <w:t>egulation.</w:t>
      </w:r>
      <w:r w:rsidRPr="00F94B7E">
        <w:rPr>
          <w:rFonts w:ascii="Times New Roman" w:eastAsia="Times New Roman" w:hAnsi="Times New Roman" w:cs="Times New Roman"/>
          <w:lang w:eastAsia="en-US"/>
        </w:rPr>
        <w:t xml:space="preserve"> Should there even be products liability in markets for heavily regulated products? Understanding how the information that leads to a product recall is generated sheds light on an answer. One view holds that litigation is merely a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follow-on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result of the investigations conducted by regulators. </w:t>
      </w:r>
      <w:r w:rsidRPr="00F94B7E">
        <w:rPr>
          <w:rFonts w:ascii="Times New Roman" w:eastAsia="Times New Roman" w:hAnsi="Times New Roman" w:cs="Times New Roman"/>
          <w:i/>
          <w:iCs/>
          <w:lang w:eastAsia="en-US"/>
        </w:rPr>
        <w:t xml:space="preserve">See, e.g., </w:t>
      </w:r>
      <w:r w:rsidRPr="00F94B7E">
        <w:rPr>
          <w:rFonts w:ascii="Times New Roman" w:eastAsia="Times New Roman" w:hAnsi="Times New Roman" w:cs="Times New Roman"/>
          <w:lang w:eastAsia="en-US"/>
        </w:rPr>
        <w:t xml:space="preserve">Pamela R. Haunschild &amp; Mooweon Rhee, </w:t>
      </w:r>
      <w:r w:rsidRPr="00F94B7E">
        <w:rPr>
          <w:rFonts w:ascii="Times New Roman" w:eastAsia="Times New Roman" w:hAnsi="Times New Roman" w:cs="Times New Roman"/>
          <w:i/>
          <w:iCs/>
          <w:lang w:eastAsia="en-US"/>
        </w:rPr>
        <w:t>The Role of Volition in Organizational Learning: The Case of Automotive Product Recalls</w:t>
      </w:r>
      <w:r w:rsidRPr="00F94B7E">
        <w:rPr>
          <w:rFonts w:ascii="Times New Roman" w:eastAsia="Times New Roman" w:hAnsi="Times New Roman" w:cs="Times New Roman"/>
          <w:lang w:eastAsia="en-US"/>
        </w:rPr>
        <w:t xml:space="preserve">, 50 </w:t>
      </w:r>
      <w:r w:rsidRPr="00F94B7E">
        <w:rPr>
          <w:rFonts w:ascii="Times New Roman" w:eastAsia="Times New Roman" w:hAnsi="Times New Roman" w:cs="Times New Roman"/>
          <w:smallCaps/>
          <w:lang w:eastAsia="en-US"/>
        </w:rPr>
        <w:t>Manag. Sci.</w:t>
      </w:r>
      <w:r w:rsidRPr="00F94B7E">
        <w:rPr>
          <w:rFonts w:ascii="Times New Roman" w:eastAsia="Times New Roman" w:hAnsi="Times New Roman" w:cs="Times New Roman"/>
          <w:lang w:eastAsia="en-US"/>
        </w:rPr>
        <w:t xml:space="preserve"> 1545-1560 (2004). This view is exemplified by the case of fen-phen, a weight-loss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miracle pill</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taken by six million people before it was pulled from the market in 1997 at the request of the FDA. None of the thousands of lawsuits that followed the recall helped to discover the link between fen-phen and heart disease; in fact, the threat of litigation appears to have </w:t>
      </w:r>
      <w:r w:rsidRPr="00F94B7E">
        <w:rPr>
          <w:rFonts w:ascii="Times New Roman" w:eastAsia="Times New Roman" w:hAnsi="Times New Roman" w:cs="Times New Roman"/>
          <w:i/>
          <w:iCs/>
          <w:lang w:eastAsia="en-US"/>
        </w:rPr>
        <w:t xml:space="preserve">delayed </w:t>
      </w:r>
      <w:r w:rsidRPr="00F94B7E">
        <w:rPr>
          <w:rFonts w:ascii="Times New Roman" w:eastAsia="Times New Roman" w:hAnsi="Times New Roman" w:cs="Times New Roman"/>
          <w:lang w:eastAsia="en-US"/>
        </w:rPr>
        <w:t xml:space="preserve">the relaying of findings to the public. </w:t>
      </w:r>
      <w:r w:rsidRPr="00F94B7E">
        <w:rPr>
          <w:rFonts w:ascii="Times New Roman" w:eastAsia="Times New Roman" w:hAnsi="Times New Roman" w:cs="Times New Roman"/>
          <w:i/>
          <w:iCs/>
          <w:lang w:eastAsia="en-US"/>
        </w:rPr>
        <w:t xml:space="preserve">See </w:t>
      </w:r>
      <w:r w:rsidRPr="00F94B7E">
        <w:rPr>
          <w:rFonts w:ascii="Times New Roman" w:eastAsia="Times New Roman" w:hAnsi="Times New Roman" w:cs="Times New Roman"/>
          <w:lang w:eastAsia="en-US"/>
        </w:rPr>
        <w:t>Carrie E. Johnson</w:t>
      </w:r>
      <w:r w:rsidR="00256B0E">
        <w:rPr>
          <w:rFonts w:ascii="Times New Roman" w:eastAsia="Times New Roman" w:hAnsi="Times New Roman" w:cs="Times New Roman"/>
          <w:lang w:eastAsia="en-US"/>
        </w:rPr>
        <w:t>, Timothy L. Sellnow, Matthew W. Seeger, M. Scott Barrett &amp; Kathryn C. Hasbargen</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Blowing The Whistle On Fen-Phen: An Exploration of MeritCare</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 Reporting of Linkages Between Fen-Phen and Valvular Heart Disease</w:t>
      </w:r>
      <w:r w:rsidRPr="00F94B7E">
        <w:rPr>
          <w:rFonts w:ascii="Times New Roman" w:eastAsia="Times New Roman" w:hAnsi="Times New Roman" w:cs="Times New Roman"/>
          <w:lang w:eastAsia="en-US"/>
        </w:rPr>
        <w:t xml:space="preserve">, 41 </w:t>
      </w:r>
      <w:r w:rsidRPr="00F94B7E">
        <w:rPr>
          <w:rFonts w:ascii="Times New Roman" w:eastAsia="Times New Roman" w:hAnsi="Times New Roman" w:cs="Times New Roman"/>
          <w:smallCaps/>
          <w:lang w:eastAsia="en-US"/>
        </w:rPr>
        <w:t>J. Bus. Commun.</w:t>
      </w:r>
      <w:r w:rsidRPr="00F94B7E">
        <w:rPr>
          <w:rFonts w:ascii="Times New Roman" w:eastAsia="Times New Roman" w:hAnsi="Times New Roman" w:cs="Times New Roman"/>
          <w:lang w:eastAsia="en-US"/>
        </w:rPr>
        <w:t xml:space="preserve"> 350-369 (2004).</w:t>
      </w:r>
    </w:p>
    <w:p w14:paraId="6E17330C" w14:textId="77777777" w:rsidR="00C85B70" w:rsidRPr="00C85B70" w:rsidRDefault="00C85B70" w:rsidP="00FE7B7F">
      <w:pPr>
        <w:rPr>
          <w:rFonts w:ascii="Times New Roman" w:eastAsia="Times New Roman" w:hAnsi="Times New Roman" w:cs="Times New Roman"/>
          <w:lang w:eastAsia="en-US"/>
        </w:rPr>
      </w:pPr>
    </w:p>
    <w:p w14:paraId="0B0E470D" w14:textId="427C2FBD"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An alternate view sees discovery as a tool that allows litigation to uncover threats to public safety either unknown to, or ignored by, regulators. </w:t>
      </w:r>
      <w:r w:rsidRPr="750671CE">
        <w:rPr>
          <w:rFonts w:ascii="Times New Roman" w:eastAsia="Times New Roman" w:hAnsi="Times New Roman" w:cs="Times New Roman"/>
          <w:i/>
          <w:iCs/>
          <w:lang w:eastAsia="en-US"/>
        </w:rPr>
        <w:t>See, e.g.</w:t>
      </w:r>
      <w:r w:rsidRPr="00F94B7E">
        <w:rPr>
          <w:rFonts w:ascii="Times New Roman" w:eastAsia="Times New Roman" w:hAnsi="Times New Roman" w:cs="Times New Roman"/>
          <w:iCs/>
          <w:lang w:eastAsia="en-US"/>
        </w:rPr>
        <w:t>,</w:t>
      </w:r>
      <w:r w:rsidRPr="750671CE">
        <w:rPr>
          <w:rFonts w:ascii="Times New Roman" w:eastAsia="Times New Roman" w:hAnsi="Times New Roman" w:cs="Times New Roman"/>
          <w:lang w:eastAsia="en-US"/>
        </w:rPr>
        <w:t xml:space="preserve"> Jon S. Vernick</w:t>
      </w:r>
      <w:r w:rsidR="00256B0E">
        <w:rPr>
          <w:rFonts w:ascii="Times New Roman" w:eastAsia="Times New Roman" w:hAnsi="Times New Roman" w:cs="Times New Roman"/>
          <w:lang w:eastAsia="en-US"/>
        </w:rPr>
        <w:t>, Jason W. Sapsin, Stephen P. Teret &amp; Julie Samia Mair</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How Litigation Can Promote Product Safety</w:t>
      </w:r>
      <w:r w:rsidRPr="750671CE">
        <w:rPr>
          <w:rFonts w:ascii="Times New Roman" w:eastAsia="Times New Roman" w:hAnsi="Times New Roman" w:cs="Times New Roman"/>
          <w:lang w:eastAsia="en-US"/>
        </w:rPr>
        <w:t xml:space="preserve">, 32 </w:t>
      </w:r>
      <w:r w:rsidRPr="750671CE">
        <w:rPr>
          <w:rFonts w:ascii="Times New Roman" w:eastAsia="Times New Roman" w:hAnsi="Times New Roman" w:cs="Times New Roman"/>
          <w:smallCaps/>
          <w:lang w:eastAsia="en-US"/>
        </w:rPr>
        <w:t>J. Law Med. Ethics</w:t>
      </w:r>
      <w:r w:rsidRPr="750671CE">
        <w:rPr>
          <w:rFonts w:ascii="Times New Roman" w:eastAsia="Times New Roman" w:hAnsi="Times New Roman" w:cs="Times New Roman"/>
          <w:lang w:eastAsia="en-US"/>
        </w:rPr>
        <w:t xml:space="preserve"> 551-555 (2004)</w:t>
      </w:r>
      <w:r w:rsidR="00256B0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Take General Motors</w:t>
      </w:r>
      <w:r w:rsidR="00B05F31">
        <w:rPr>
          <w:rFonts w:ascii="Times New Roman" w:eastAsia="Times New Roman" w:hAnsi="Times New Roman" w:cs="Times New Roman"/>
          <w:lang w:eastAsia="en-US"/>
        </w:rPr>
        <w:t>’</w:t>
      </w:r>
      <w:r w:rsidR="00256B0E">
        <w:rPr>
          <w:rFonts w:ascii="Times New Roman" w:eastAsia="Times New Roman" w:hAnsi="Times New Roman" w:cs="Times New Roman"/>
          <w:lang w:eastAsia="en-US"/>
        </w:rPr>
        <w:t>s</w:t>
      </w:r>
      <w:r w:rsidRPr="750671CE">
        <w:rPr>
          <w:rFonts w:ascii="Times New Roman" w:eastAsia="Times New Roman" w:hAnsi="Times New Roman" w:cs="Times New Roman"/>
          <w:lang w:eastAsia="en-US"/>
        </w:rPr>
        <w:t xml:space="preserve"> 2014 recall of 2.6 million vehicles with faulty ignition switches. The recall was prompted by information brought to light by a solo practitioner, Lance Cooper, on behalf of the family of a woman killed while driving her 2005 Chevy Cobalt. Cooper hired experts, deposed G</w:t>
      </w:r>
      <w:r w:rsidR="00256B0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w:t>
      </w:r>
      <w:r w:rsidR="00256B0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Pr="750671CE">
        <w:rPr>
          <w:rFonts w:ascii="Times New Roman" w:eastAsia="Times New Roman" w:hAnsi="Times New Roman" w:cs="Times New Roman"/>
          <w:i/>
          <w:iCs/>
          <w:lang w:eastAsia="en-US"/>
        </w:rPr>
        <w:t xml:space="preserve">See </w:t>
      </w:r>
      <w:r w:rsidRPr="750671CE">
        <w:rPr>
          <w:rFonts w:ascii="Times New Roman" w:eastAsia="Times New Roman" w:hAnsi="Times New Roman" w:cs="Times New Roman"/>
          <w:lang w:eastAsia="en-US"/>
        </w:rPr>
        <w:t xml:space="preserve">Patrick G. Lee &amp; Jeff Plungis, </w:t>
      </w:r>
      <w:r w:rsidRPr="750671CE">
        <w:rPr>
          <w:rFonts w:ascii="Times New Roman" w:eastAsia="Times New Roman" w:hAnsi="Times New Roman" w:cs="Times New Roman"/>
          <w:i/>
          <w:iCs/>
          <w:lang w:eastAsia="en-US"/>
        </w:rPr>
        <w:t>GM Plagued as George Lawyer Presses Regulators on Deaths</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Bloomberg</w:t>
      </w:r>
      <w:r w:rsidRPr="750671CE">
        <w:rPr>
          <w:rFonts w:ascii="Times New Roman" w:eastAsia="Times New Roman" w:hAnsi="Times New Roman" w:cs="Times New Roman"/>
          <w:lang w:eastAsia="en-US"/>
        </w:rPr>
        <w:t>, Mar. 17, 2014. The GM recall closely parallels that of Firestone tires in 2000, which was the result of a publicity campaign mounted by Arkansas lawyer Tab Turner to spur action by NHSTA. Turner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campaign not only led to the recall, but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stunned the public into realizing how much federal auto-safety enforcement had deteriorated in the last 20 years.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i/>
          <w:iCs/>
          <w:lang w:eastAsia="en-US"/>
        </w:rPr>
        <w:t xml:space="preserve"> See </w:t>
      </w:r>
      <w:r w:rsidRPr="750671CE">
        <w:rPr>
          <w:rFonts w:ascii="Times New Roman" w:eastAsia="Times New Roman" w:hAnsi="Times New Roman" w:cs="Times New Roman"/>
          <w:lang w:eastAsia="en-US"/>
        </w:rPr>
        <w:t xml:space="preserve">Michael Winerip, </w:t>
      </w:r>
      <w:r w:rsidRPr="750671CE">
        <w:rPr>
          <w:rFonts w:ascii="Times New Roman" w:eastAsia="Times New Roman" w:hAnsi="Times New Roman" w:cs="Times New Roman"/>
          <w:i/>
          <w:iCs/>
          <w:lang w:eastAsia="en-US"/>
        </w:rPr>
        <w:t>What</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s Tab Turner Got Against Ford?</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N.Y. Times</w:t>
      </w:r>
      <w:r w:rsidRPr="750671CE">
        <w:rPr>
          <w:rFonts w:ascii="Times New Roman" w:eastAsia="Times New Roman" w:hAnsi="Times New Roman" w:cs="Times New Roman"/>
          <w:lang w:eastAsia="en-US"/>
        </w:rPr>
        <w:t>, Dec. 17, 2000.</w:t>
      </w:r>
    </w:p>
    <w:p w14:paraId="3DC88295" w14:textId="77777777" w:rsidR="00C85B70" w:rsidRDefault="00C85B70" w:rsidP="00FE7B7F">
      <w:pPr>
        <w:rPr>
          <w:rFonts w:ascii="Times New Roman" w:eastAsia="Times New Roman" w:hAnsi="Times New Roman" w:cs="Times New Roman"/>
          <w:lang w:eastAsia="en-US"/>
        </w:rPr>
      </w:pPr>
    </w:p>
    <w:p w14:paraId="09FEE9DF" w14:textId="74C3C7E4" w:rsidR="00FD3945" w:rsidRDefault="00FD3945" w:rsidP="750671CE">
      <w:pPr>
        <w:rPr>
          <w:rFonts w:ascii="Times New Roman" w:eastAsia="Times New Roman" w:hAnsi="Times New Roman" w:cs="Times New Roman"/>
          <w:lang w:eastAsia="en-US"/>
        </w:rPr>
      </w:pPr>
      <w:r>
        <w:rPr>
          <w:rFonts w:ascii="Times New Roman" w:eastAsia="Times New Roman" w:hAnsi="Times New Roman" w:cs="Times New Roman"/>
          <w:lang w:eastAsia="en-US"/>
        </w:rPr>
        <w:tab/>
        <w:t>Keep this debate in mind as we move to the next section on the relationship between federal statutes</w:t>
      </w:r>
      <w:r w:rsidR="0004651B">
        <w:rPr>
          <w:rFonts w:ascii="Times New Roman" w:eastAsia="Times New Roman" w:hAnsi="Times New Roman" w:cs="Times New Roman"/>
          <w:lang w:eastAsia="en-US"/>
        </w:rPr>
        <w:t xml:space="preserve"> and </w:t>
      </w:r>
      <w:r>
        <w:rPr>
          <w:rFonts w:ascii="Times New Roman" w:eastAsia="Times New Roman" w:hAnsi="Times New Roman" w:cs="Times New Roman"/>
          <w:lang w:eastAsia="en-US"/>
        </w:rPr>
        <w:t>regulations and their s</w:t>
      </w:r>
      <w:r w:rsidR="0004651B">
        <w:rPr>
          <w:rFonts w:ascii="Times New Roman" w:eastAsia="Times New Roman" w:hAnsi="Times New Roman" w:cs="Times New Roman"/>
          <w:lang w:eastAsia="en-US"/>
        </w:rPr>
        <w:t>tate analogues.</w:t>
      </w:r>
    </w:p>
    <w:p w14:paraId="0C6485C9" w14:textId="77777777" w:rsidR="00FD3945" w:rsidRPr="00C85B70" w:rsidRDefault="00FD3945" w:rsidP="00FE7B7F">
      <w:pPr>
        <w:rPr>
          <w:rFonts w:ascii="Times New Roman" w:eastAsia="Times New Roman" w:hAnsi="Times New Roman" w:cs="Times New Roman"/>
          <w:lang w:eastAsia="en-US"/>
        </w:rPr>
      </w:pPr>
    </w:p>
    <w:p w14:paraId="50466532" w14:textId="77777777" w:rsidR="00C85B70" w:rsidRPr="00C85B70" w:rsidRDefault="00C85B70" w:rsidP="00C85B70">
      <w:pPr>
        <w:rPr>
          <w:rFonts w:ascii="Times New Roman" w:eastAsia="Times New Roman" w:hAnsi="Times New Roman" w:cs="Times New Roman"/>
          <w:lang w:eastAsia="en-US"/>
        </w:rPr>
      </w:pPr>
    </w:p>
    <w:p w14:paraId="37A50B8D" w14:textId="0E954604" w:rsidR="00C85B70" w:rsidRPr="00C85B70" w:rsidRDefault="00C85B70" w:rsidP="00322687">
      <w:pPr>
        <w:pStyle w:val="Heading3"/>
      </w:pPr>
      <w:bookmarkStart w:id="1062" w:name="_Toc364636287"/>
      <w:bookmarkStart w:id="1063" w:name="_Toc518323567"/>
      <w:r w:rsidRPr="00C85B70">
        <w:t>5.  The Preemption Question</w:t>
      </w:r>
      <w:bookmarkEnd w:id="1062"/>
      <w:bookmarkEnd w:id="1063"/>
    </w:p>
    <w:p w14:paraId="51B8F8A3" w14:textId="77777777" w:rsidR="00C85B70" w:rsidRDefault="00C85B70" w:rsidP="00C85B70">
      <w:pPr>
        <w:rPr>
          <w:rFonts w:ascii="Times New Roman" w:eastAsia="Times New Roman" w:hAnsi="Times New Roman" w:cs="Times New Roman"/>
          <w:lang w:eastAsia="en-US"/>
        </w:rPr>
      </w:pPr>
    </w:p>
    <w:p w14:paraId="016E8ADC" w14:textId="77777777" w:rsidR="00945FB9" w:rsidRPr="00C85B70" w:rsidRDefault="00945FB9" w:rsidP="00C85B70">
      <w:pPr>
        <w:rPr>
          <w:rFonts w:ascii="Times New Roman" w:eastAsia="Times New Roman" w:hAnsi="Times New Roman" w:cs="Times New Roman"/>
          <w:lang w:eastAsia="en-US"/>
        </w:rPr>
      </w:pPr>
    </w:p>
    <w:p w14:paraId="40276BF1" w14:textId="31404E69"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Tort law is generally state law.  We have spent a semester reading cases arising out of the state courts</w:t>
      </w:r>
      <w:r w:rsidR="005B1B7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pervasive federal-state overlap. But state and federal law are not made equal.  The Supremacy Clause of the U.S. Constitution makes federal law supreme: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Constitution, and the Laws of the United States . . . shall be the supreme Law of the Land . . .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U.S. Const., art VI.  Accordingly, in certain circumstances</w:t>
      </w:r>
      <w:r w:rsidR="004A311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federal law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preempts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state law.  In such situations, defendants in state law tort suits argue as a defense that they should not be held liable under the state law because the state law is preempted by federal law.</w:t>
      </w:r>
    </w:p>
    <w:p w14:paraId="4364D784" w14:textId="77777777" w:rsidR="00C85B70" w:rsidRPr="00C85B70" w:rsidRDefault="00C85B70" w:rsidP="00C85B70">
      <w:pPr>
        <w:rPr>
          <w:rFonts w:ascii="Times New Roman" w:eastAsia="Times New Roman" w:hAnsi="Times New Roman" w:cs="Times New Roman"/>
          <w:lang w:eastAsia="en-US"/>
        </w:rPr>
      </w:pPr>
    </w:p>
    <w:p w14:paraId="0EACAA10" w14:textId="5380B32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Preemption generally happens in one of three different ways: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express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occurs when Congress states in the text of a federal statute that certain state laws are preempted;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conflict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occurs when the Court finds that state law poses an obstacle to the aims of federal law;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field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occurs when the federal law establishes such a comprehensive regulatory regime that all overlapping state regulation is preempted. This next case, </w:t>
      </w:r>
      <w:r w:rsidRPr="750671CE">
        <w:rPr>
          <w:rFonts w:ascii="Times New Roman" w:eastAsia="Times New Roman" w:hAnsi="Times New Roman" w:cs="Times New Roman"/>
          <w:i/>
          <w:iCs/>
          <w:lang w:eastAsia="en-US"/>
        </w:rPr>
        <w:t>Geier v. American Honda Motor Co</w:t>
      </w:r>
      <w:r w:rsidRPr="750671CE">
        <w:rPr>
          <w:rFonts w:ascii="Times New Roman" w:eastAsia="Times New Roman" w:hAnsi="Times New Roman" w:cs="Times New Roman"/>
          <w:lang w:eastAsia="en-US"/>
        </w:rPr>
        <w:t>., raised preemption defense in the first two categories.  It also set off a run of preemption cases that has turned out to be one of the most important developments in American tort law in the past decade and a half.</w:t>
      </w:r>
    </w:p>
    <w:p w14:paraId="1104E9C1" w14:textId="77777777" w:rsidR="00C85B70" w:rsidRPr="00C85B70" w:rsidRDefault="00C85B70" w:rsidP="00C85B70">
      <w:pPr>
        <w:rPr>
          <w:rFonts w:ascii="Times New Roman" w:eastAsia="Times New Roman" w:hAnsi="Times New Roman" w:cs="Times New Roman"/>
          <w:lang w:eastAsia="en-US"/>
        </w:rPr>
      </w:pPr>
    </w:p>
    <w:p w14:paraId="79D630DF" w14:textId="77777777" w:rsidR="00C85B70" w:rsidRPr="00C85B70" w:rsidRDefault="00C85B70" w:rsidP="00C85B70">
      <w:pPr>
        <w:rPr>
          <w:rFonts w:ascii="Times New Roman" w:eastAsia="Times New Roman" w:hAnsi="Times New Roman" w:cs="Times New Roman"/>
          <w:lang w:eastAsia="en-US"/>
        </w:rPr>
      </w:pPr>
    </w:p>
    <w:p w14:paraId="77087A66" w14:textId="00DC95D0" w:rsidR="00C85B70" w:rsidRPr="00C85B70" w:rsidRDefault="00C85B70" w:rsidP="750671CE">
      <w:pPr>
        <w:rPr>
          <w:rFonts w:ascii="Times New Roman" w:eastAsia="Times New Roman" w:hAnsi="Times New Roman" w:cs="Times New Roman"/>
          <w:b/>
          <w:bCs/>
          <w:lang w:eastAsia="en-US"/>
        </w:rPr>
      </w:pPr>
      <w:bookmarkStart w:id="1064" w:name="_Toc518323568"/>
      <w:r w:rsidRPr="00963BAA">
        <w:rPr>
          <w:rStyle w:val="Heading4Char"/>
        </w:rPr>
        <w:t>Geier v. American Honda Motor Co</w:t>
      </w:r>
      <w:bookmarkEnd w:id="1064"/>
      <w:r w:rsidRPr="750671CE">
        <w:rPr>
          <w:rFonts w:ascii="Times New Roman" w:eastAsia="Times New Roman" w:hAnsi="Times New Roman" w:cs="Times New Roman"/>
          <w:b/>
          <w:bCs/>
          <w:lang w:eastAsia="en-US"/>
        </w:rPr>
        <w:t>.</w:t>
      </w:r>
      <w:r w:rsidR="00963BAA"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529 U.S. 861 (2000)</w:t>
      </w:r>
    </w:p>
    <w:p w14:paraId="1B4CA154" w14:textId="77777777" w:rsidR="00C85B70" w:rsidRPr="00C85B70" w:rsidRDefault="00C85B70" w:rsidP="00C85B70">
      <w:pPr>
        <w:rPr>
          <w:rFonts w:ascii="Times New Roman" w:eastAsia="Times New Roman" w:hAnsi="Times New Roman" w:cs="Times New Roman"/>
          <w:b/>
          <w:lang w:eastAsia="en-US"/>
        </w:rPr>
      </w:pPr>
    </w:p>
    <w:p w14:paraId="65D5DA2C" w14:textId="1FE0A37C"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Breyer</w:t>
      </w:r>
      <w:r w:rsidRPr="750671CE">
        <w:rPr>
          <w:rFonts w:ascii="Times New Roman" w:eastAsia="Times New Roman" w:hAnsi="Times New Roman" w:cs="Times New Roman"/>
          <w:lang w:eastAsia="en-US"/>
        </w:rPr>
        <w:t xml:space="preserve">, J., delivered the opinion of the Court, in which </w:t>
      </w:r>
      <w:r w:rsidRPr="750671CE">
        <w:rPr>
          <w:rFonts w:ascii="Times New Roman" w:eastAsia="Times New Roman" w:hAnsi="Times New Roman" w:cs="Times New Roman"/>
          <w:smallCaps/>
          <w:lang w:eastAsia="en-US"/>
        </w:rPr>
        <w:t>Rehnquist</w:t>
      </w:r>
      <w:r w:rsidRPr="750671CE">
        <w:rPr>
          <w:rFonts w:ascii="Times New Roman" w:eastAsia="Times New Roman" w:hAnsi="Times New Roman" w:cs="Times New Roman"/>
          <w:lang w:eastAsia="en-US"/>
        </w:rPr>
        <w:t xml:space="preserve">, C.J., and </w:t>
      </w:r>
      <w:r w:rsidRPr="750671CE">
        <w:rPr>
          <w:rFonts w:ascii="Times New Roman" w:eastAsia="Times New Roman" w:hAnsi="Times New Roman" w:cs="Times New Roman"/>
          <w:smallCaps/>
          <w:lang w:eastAsia="en-US"/>
        </w:rPr>
        <w:t>O</w:t>
      </w:r>
      <w:r w:rsidR="00B05F31">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Connor</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Scalia</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smallCaps/>
          <w:lang w:eastAsia="en-US"/>
        </w:rPr>
        <w:t>Kennedy</w:t>
      </w:r>
      <w:r w:rsidRPr="750671CE">
        <w:rPr>
          <w:rFonts w:ascii="Times New Roman" w:eastAsia="Times New Roman" w:hAnsi="Times New Roman" w:cs="Times New Roman"/>
          <w:lang w:eastAsia="en-US"/>
        </w:rPr>
        <w:t xml:space="preserve">, JJ., joined. </w:t>
      </w:r>
    </w:p>
    <w:p w14:paraId="581FAED6" w14:textId="77777777" w:rsidR="00C85B70" w:rsidRPr="00C85B70" w:rsidRDefault="00C85B70" w:rsidP="00C85B70">
      <w:pPr>
        <w:rPr>
          <w:rFonts w:ascii="Times New Roman" w:eastAsia="Times New Roman" w:hAnsi="Times New Roman" w:cs="Times New Roman"/>
          <w:lang w:eastAsia="en-US"/>
        </w:rPr>
      </w:pPr>
    </w:p>
    <w:p w14:paraId="52833450"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C85B70" w:rsidRDefault="00C85B70" w:rsidP="00C85B70">
      <w:pPr>
        <w:rPr>
          <w:rFonts w:ascii="Times New Roman" w:eastAsia="Times New Roman" w:hAnsi="Times New Roman" w:cs="Times New Roman"/>
          <w:lang w:eastAsia="en-US"/>
        </w:rPr>
      </w:pPr>
    </w:p>
    <w:p w14:paraId="16835488"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C85B70" w:rsidRDefault="00C85B70" w:rsidP="00C85B70">
      <w:pPr>
        <w:rPr>
          <w:rFonts w:ascii="Times New Roman" w:eastAsia="Times New Roman" w:hAnsi="Times New Roman" w:cs="Times New Roman"/>
          <w:lang w:eastAsia="en-US"/>
        </w:rPr>
      </w:pPr>
    </w:p>
    <w:p w14:paraId="2E17FE98" w14:textId="7DEADEB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Geier and her parents, also petitioners, sued the car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side airbag. </w:t>
      </w:r>
    </w:p>
    <w:p w14:paraId="698ECE8E" w14:textId="77777777" w:rsidR="00C85B70" w:rsidRPr="00C85B70" w:rsidRDefault="00C85B70" w:rsidP="00C85B70">
      <w:pPr>
        <w:rPr>
          <w:rFonts w:ascii="Times New Roman" w:eastAsia="Times New Roman" w:hAnsi="Times New Roman" w:cs="Times New Roman"/>
          <w:lang w:eastAsia="en-US"/>
        </w:rPr>
      </w:pPr>
    </w:p>
    <w:p w14:paraId="2697066A" w14:textId="36D17AAF"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first ask whether the Safety Act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express pre-emption provision pre-empts this tort action. The provision reads as follows:</w:t>
      </w:r>
    </w:p>
    <w:p w14:paraId="0ADDC868" w14:textId="77777777" w:rsidR="00C85B70" w:rsidRPr="00C85B70" w:rsidRDefault="00C85B70" w:rsidP="00C85B70">
      <w:pPr>
        <w:rPr>
          <w:rFonts w:ascii="Times New Roman" w:eastAsia="Times New Roman" w:hAnsi="Times New Roman" w:cs="Times New Roman"/>
          <w:lang w:eastAsia="en-US"/>
        </w:rPr>
      </w:pPr>
    </w:p>
    <w:p w14:paraId="795E0496" w14:textId="7777777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C85B70" w:rsidRDefault="00C85B70" w:rsidP="00C85B70">
      <w:pPr>
        <w:rPr>
          <w:rFonts w:ascii="Times New Roman" w:eastAsia="Times New Roman" w:hAnsi="Times New Roman" w:cs="Times New Roman"/>
          <w:lang w:eastAsia="en-US"/>
        </w:rPr>
      </w:pPr>
    </w:p>
    <w:p w14:paraId="2970E0C9" w14:textId="6559B696" w:rsidR="00C85B70" w:rsidRPr="00C85B70" w:rsidRDefault="750671CE" w:rsidP="002129D4">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Act contains another provision . . . . That provision,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saving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clause, says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[c]ompliance with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 federal safety standard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does not exempt any person from any liability under common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saving clause assumes that there are some significant number of common-law liability cases to save. . . .</w:t>
      </w:r>
    </w:p>
    <w:p w14:paraId="6A6C34F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438DF8A"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C85B70" w:rsidRDefault="00C85B70" w:rsidP="00C85B70">
      <w:pPr>
        <w:rPr>
          <w:rFonts w:ascii="Times New Roman" w:eastAsia="Times New Roman" w:hAnsi="Times New Roman" w:cs="Times New Roman"/>
          <w:lang w:eastAsia="en-US"/>
        </w:rPr>
      </w:pPr>
    </w:p>
    <w:p w14:paraId="7140C6C5"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3F1C987E" w14:textId="31CA9A9D"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basic question, then, is whether a common-law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 airbag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action like the one before us actually conflicts with FMVSS 208. We hold that it does.</w:t>
      </w:r>
    </w:p>
    <w:p w14:paraId="4712EBBF" w14:textId="77777777" w:rsidR="00C85B70" w:rsidRPr="00C85B70" w:rsidRDefault="00C85B70" w:rsidP="00C85B70">
      <w:pPr>
        <w:rPr>
          <w:rFonts w:ascii="Times New Roman" w:eastAsia="Times New Roman" w:hAnsi="Times New Roman" w:cs="Times New Roman"/>
          <w:lang w:eastAsia="en-US"/>
        </w:rPr>
      </w:pPr>
    </w:p>
    <w:p w14:paraId="3BEACD49" w14:textId="0B0CE97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petitioners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the dissent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view, FMVSS 208 sets a minimum airbag standard. As far as FMVSS 208 is concerned, the more airbags, and the sooner, the better. But that was not the Secretary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view. The Department of Transportation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safety objectives. . . .</w:t>
      </w:r>
    </w:p>
    <w:p w14:paraId="53F8C060" w14:textId="62A247C8" w:rsidR="00C85B70" w:rsidRPr="00C85B70" w:rsidRDefault="00C85B70" w:rsidP="00CE12A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r w:rsidR="00CE12AE">
        <w:rPr>
          <w:rFonts w:ascii="Times New Roman" w:eastAsia="Times New Roman" w:hAnsi="Times New Roman" w:cs="Times New Roman"/>
          <w:lang w:eastAsia="en-US"/>
        </w:rPr>
        <w:tab/>
      </w:r>
      <w:r w:rsidR="750671CE" w:rsidRPr="750671CE">
        <w:rPr>
          <w:rFonts w:ascii="Times New Roman" w:eastAsia="Times New Roman" w:hAnsi="Times New Roman" w:cs="Times New Roman"/>
          <w:lang w:eastAsia="en-US"/>
        </w:rPr>
        <w:t xml:space="preserve">DOT gave manufacturers a further choice for new vehicles manufactured between 1972 and August 1975. Manufacturers could either install a passive restraint device such as automatic seatbelts or airbags or retain manual belts and add an </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ignition interlock</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with the public. And Congress, responding to public pressure, passed a law that forbade DOT from requiring, or permitting compliance by means of, such devices. </w:t>
      </w:r>
    </w:p>
    <w:p w14:paraId="08F90722" w14:textId="77777777" w:rsidR="00C85B70" w:rsidRPr="00C85B70" w:rsidRDefault="00C85B70" w:rsidP="00C85B70">
      <w:pPr>
        <w:rPr>
          <w:rFonts w:ascii="Times New Roman" w:eastAsia="Times New Roman" w:hAnsi="Times New Roman" w:cs="Times New Roman"/>
          <w:lang w:eastAsia="en-US"/>
        </w:rPr>
      </w:pPr>
    </w:p>
    <w:p w14:paraId="5493582D" w14:textId="21157ED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That experience influenced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C85B70" w:rsidRDefault="00C85B70" w:rsidP="00C85B70">
      <w:pPr>
        <w:rPr>
          <w:rFonts w:ascii="Times New Roman" w:eastAsia="Times New Roman" w:hAnsi="Times New Roman" w:cs="Times New Roman"/>
          <w:lang w:eastAsia="en-US"/>
        </w:rPr>
      </w:pPr>
    </w:p>
    <w:p w14:paraId="31BDAF5C" w14:textId="7F5C116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Read in light of this history,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p>
    <w:p w14:paraId="54FD3164" w14:textId="0964389F"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Sixth, airbags were expected to be significantly more expensive than other passive restraint devices . . . </w:t>
      </w:r>
      <w:r w:rsidR="004A3114">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C85B70" w:rsidRDefault="00C85B70" w:rsidP="00C85B70">
      <w:pPr>
        <w:rPr>
          <w:rFonts w:ascii="Times New Roman" w:eastAsia="Times New Roman" w:hAnsi="Times New Roman" w:cs="Times New Roman"/>
          <w:lang w:eastAsia="en-US"/>
        </w:rPr>
      </w:pPr>
    </w:p>
    <w:p w14:paraId="4CCFBB96" w14:textId="6FE593B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all airbag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standard because of safety concerns (perceived or real) associated with airbags, which concerns threatened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backlash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more easily overcome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if airbags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were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the only way of complying.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C85B70" w:rsidRDefault="00C85B70" w:rsidP="00C85B70">
      <w:pPr>
        <w:rPr>
          <w:rFonts w:ascii="Times New Roman" w:eastAsia="Times New Roman" w:hAnsi="Times New Roman" w:cs="Times New Roman"/>
          <w:lang w:eastAsia="en-US"/>
        </w:rPr>
      </w:pPr>
    </w:p>
    <w:p w14:paraId="66EBE169"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other nonseatbelt passive restraint systems played a more prominent role than would otherwise result, and would promote public acceptance. . . . </w:t>
      </w:r>
    </w:p>
    <w:p w14:paraId="0233681E" w14:textId="77777777" w:rsidR="00C85B70" w:rsidRPr="00C85B70" w:rsidRDefault="00C85B70" w:rsidP="00C85B70">
      <w:pPr>
        <w:rPr>
          <w:rFonts w:ascii="Times New Roman" w:eastAsia="Times New Roman" w:hAnsi="Times New Roman" w:cs="Times New Roman"/>
          <w:lang w:eastAsia="en-US"/>
        </w:rPr>
      </w:pPr>
    </w:p>
    <w:p w14:paraId="092DFAC1" w14:textId="2F73CF49"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sum, as DOT now tells us through the Solicitor General, the 1984 version of FMVSS 208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embodies the Secretary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policy judgment that safety would best be promoted if manufacturers installed alternative protection systems in their fleets rather than one particular system in every car.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Petitioners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tort suit claims that the manufacturers of the 1987 Honda Accord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had a duty to design, manufacture, distribute and sell a motor vehicle with an effective and safe passive restraint system, including, but not limited to, airbags.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43F965E7" w14:textId="77777777" w:rsidR="00C85B70" w:rsidRPr="00C85B70" w:rsidRDefault="00C85B70" w:rsidP="00C85B70">
      <w:pPr>
        <w:rPr>
          <w:rFonts w:ascii="Times New Roman" w:eastAsia="Times New Roman" w:hAnsi="Times New Roman" w:cs="Times New Roman"/>
          <w:lang w:eastAsia="en-US"/>
        </w:rPr>
      </w:pPr>
    </w:p>
    <w:p w14:paraId="51C72AB2" w14:textId="065C10A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effect, petitioners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Columbia</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related portion of their 1987 new car fleet, even though FMVSS 208 at that time required only that 10% of a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as an obstacle to the accomplishment and execution of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important means-related federal objectives that we have just discussed, it is pre-empted. . . .  </w:t>
      </w:r>
    </w:p>
    <w:p w14:paraId="60BDCCC6" w14:textId="77777777" w:rsidR="00C85B70" w:rsidRPr="00C85B70" w:rsidRDefault="00C85B70" w:rsidP="00C85B70">
      <w:pPr>
        <w:rPr>
          <w:rFonts w:ascii="Times New Roman" w:eastAsia="Times New Roman" w:hAnsi="Times New Roman" w:cs="Times New Roman"/>
          <w:lang w:eastAsia="en-US"/>
        </w:rPr>
      </w:pPr>
    </w:p>
    <w:p w14:paraId="6C65A729"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judgment of the Court of Appeals is affirmed.</w:t>
      </w:r>
    </w:p>
    <w:p w14:paraId="771C6055" w14:textId="14F6C0E4" w:rsidR="0004651B" w:rsidRDefault="0004651B">
      <w:pPr>
        <w:rPr>
          <w:rFonts w:ascii="Times New Roman" w:eastAsia="Times New Roman" w:hAnsi="Times New Roman" w:cs="Times New Roman"/>
          <w:lang w:eastAsia="en-US"/>
        </w:rPr>
      </w:pPr>
    </w:p>
    <w:p w14:paraId="08D7C9D5" w14:textId="1A8D48C9"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Stevens</w:t>
      </w:r>
      <w:r w:rsidRPr="750671CE">
        <w:rPr>
          <w:rFonts w:ascii="Times New Roman" w:eastAsia="Times New Roman" w:hAnsi="Times New Roman" w:cs="Times New Roman"/>
          <w:lang w:eastAsia="en-US"/>
        </w:rPr>
        <w:t>,</w:t>
      </w:r>
      <w:r w:rsidR="001B5615">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with whom </w:t>
      </w:r>
      <w:r w:rsidRPr="750671CE">
        <w:rPr>
          <w:rFonts w:ascii="Times New Roman" w:eastAsia="Times New Roman" w:hAnsi="Times New Roman" w:cs="Times New Roman"/>
          <w:smallCaps/>
          <w:lang w:eastAsia="en-US"/>
        </w:rPr>
        <w:t>Souter</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Thomas</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smallCaps/>
          <w:lang w:eastAsia="en-US"/>
        </w:rPr>
        <w:t>Ginsburg</w:t>
      </w:r>
      <w:r w:rsidR="001B5615">
        <w:rPr>
          <w:rFonts w:ascii="Times New Roman" w:eastAsia="Times New Roman" w:hAnsi="Times New Roman" w:cs="Times New Roman"/>
          <w:smallCaps/>
          <w:lang w:eastAsia="en-US"/>
        </w:rPr>
        <w:t>, JJ.,</w:t>
      </w:r>
      <w:r w:rsidRPr="750671CE">
        <w:rPr>
          <w:rFonts w:ascii="Times New Roman" w:eastAsia="Times New Roman" w:hAnsi="Times New Roman" w:cs="Times New Roman"/>
          <w:lang w:eastAsia="en-US"/>
        </w:rPr>
        <w:t xml:space="preserve"> join, dissenting.</w:t>
      </w:r>
    </w:p>
    <w:p w14:paraId="59669AC9" w14:textId="77777777" w:rsidR="00C85B70" w:rsidRPr="00C85B70" w:rsidRDefault="00C85B70" w:rsidP="00C85B70">
      <w:pPr>
        <w:rPr>
          <w:rFonts w:ascii="Times New Roman" w:eastAsia="Times New Roman" w:hAnsi="Times New Roman" w:cs="Times New Roman"/>
          <w:lang w:eastAsia="en-US"/>
        </w:rPr>
      </w:pPr>
    </w:p>
    <w:p w14:paraId="504D09E1" w14:textId="53C4D6AA"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Airbag technology has been available to automobile manufacturers for over 30 years. There is now general agreement on the proposition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to be safe, a car must have an airbag.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Indeed, current federal law imposes that requirement on all automobile manufacturers. The question raised by petitioners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common-law tort action is whether that proposition was sufficiently obvious when Honda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1987 Accord was manufactured to make the failure to install such a safety feature actionable under theories of negligence or defective design. The Court holds that an interim regulation motivated by the Secretary of Transportation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desire to foster gradual development of a variety of passive restraint devices deprives state courts of jurisdiction to answer that question. I respectfully dissent from that holding, and especially from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unprecedented extension of the doctrine of pre-emption. As a preface to an explanation of my understanding of the statute and the regulation, these preliminary observations seem appropriate.</w:t>
      </w:r>
    </w:p>
    <w:p w14:paraId="3680D60E" w14:textId="77777777" w:rsidR="00C85B70" w:rsidRPr="00C85B70" w:rsidRDefault="00C85B70" w:rsidP="00C85B70">
      <w:pPr>
        <w:rPr>
          <w:rFonts w:ascii="Times New Roman" w:eastAsia="Times New Roman" w:hAnsi="Times New Roman" w:cs="Times New Roman"/>
          <w:lang w:eastAsia="en-US"/>
        </w:rPr>
      </w:pPr>
    </w:p>
    <w:p w14:paraId="07A09E59" w14:textId="3C4124EC" w:rsidR="00C85B70" w:rsidRPr="00C85B70" w:rsidRDefault="00B05F31" w:rsidP="750671CE">
      <w:pPr>
        <w:ind w:firstLine="720"/>
        <w:rPr>
          <w:rFonts w:ascii="Times New Roman" w:eastAsia="Times New Roman" w:hAnsi="Times New Roman" w:cs="Times New Roman"/>
          <w:lang w:eastAsia="en-US"/>
        </w:rPr>
      </w:pP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This is a case about federalism,</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that is, about respect for </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the constitutional role of the States as sovereign entities.</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w:t>
      </w:r>
      <w:r>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s interpretation of the final commentary accompanying an interim administrative regulation and the history of airbag regulation generally. . . .</w:t>
      </w:r>
    </w:p>
    <w:p w14:paraId="37E765D8"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433ADB12" w14:textId="631261B5"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ordinary experience-proved principles of conflict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43F325F1" w14:textId="77777777" w:rsidR="00C85B70" w:rsidRPr="00C85B70" w:rsidRDefault="00C85B70" w:rsidP="00C85B70">
      <w:pPr>
        <w:rPr>
          <w:rFonts w:ascii="Times New Roman" w:eastAsia="Times New Roman" w:hAnsi="Times New Roman" w:cs="Times New Roman"/>
          <w:lang w:eastAsia="en-US"/>
        </w:rPr>
      </w:pPr>
    </w:p>
    <w:p w14:paraId="620377AC" w14:textId="77777777" w:rsidR="00C85B70" w:rsidRPr="00C85B70" w:rsidRDefault="00C85B70" w:rsidP="00C85B70">
      <w:pPr>
        <w:rPr>
          <w:rFonts w:ascii="Times New Roman" w:eastAsia="Times New Roman" w:hAnsi="Times New Roman" w:cs="Times New Roman"/>
          <w:lang w:eastAsia="en-US"/>
        </w:rPr>
      </w:pPr>
    </w:p>
    <w:p w14:paraId="3A12FB9E" w14:textId="77777777" w:rsidR="00C85B70" w:rsidRPr="00C85B70" w:rsidRDefault="00C85B70" w:rsidP="00910387">
      <w:pPr>
        <w:pStyle w:val="Heading5"/>
      </w:pPr>
      <w:bookmarkStart w:id="1065" w:name="_Toc364636288"/>
      <w:bookmarkStart w:id="1066" w:name="_Toc518323569"/>
      <w:r w:rsidRPr="00C85B70">
        <w:t>Notes</w:t>
      </w:r>
      <w:bookmarkEnd w:id="1065"/>
      <w:bookmarkEnd w:id="1066"/>
    </w:p>
    <w:p w14:paraId="054BB917" w14:textId="77777777" w:rsidR="00C85B70" w:rsidRDefault="00C85B70" w:rsidP="00C85B70">
      <w:pPr>
        <w:rPr>
          <w:rFonts w:ascii="Times New Roman" w:eastAsia="Times New Roman" w:hAnsi="Times New Roman" w:cs="Times New Roman"/>
          <w:b/>
          <w:i/>
          <w:lang w:eastAsia="en-US"/>
        </w:rPr>
      </w:pPr>
    </w:p>
    <w:p w14:paraId="08D1BD71" w14:textId="77777777" w:rsidR="00945FB9" w:rsidRPr="00C85B70" w:rsidRDefault="00945FB9" w:rsidP="00C85B70">
      <w:pPr>
        <w:rPr>
          <w:rFonts w:ascii="Times New Roman" w:eastAsia="Times New Roman" w:hAnsi="Times New Roman" w:cs="Times New Roman"/>
          <w:b/>
          <w:i/>
          <w:lang w:eastAsia="en-US"/>
        </w:rPr>
      </w:pPr>
    </w:p>
    <w:p w14:paraId="45084EEB" w14:textId="35BE76FD" w:rsidR="00C85B70" w:rsidRPr="00F94B7E" w:rsidRDefault="750671CE" w:rsidP="00F94B7E">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Startling coalitions</w:t>
      </w:r>
      <w:r w:rsidRPr="00F94B7E">
        <w:rPr>
          <w:rFonts w:ascii="Times New Roman" w:eastAsia="Times New Roman" w:hAnsi="Times New Roman" w:cs="Times New Roman"/>
          <w:lang w:eastAsia="en-US"/>
        </w:rPr>
        <w:t xml:space="preserve">. A striking feature of the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case is the coalitions it created on the Court. In an age in which we are all too accustomed to party-line 5-4 splits in the U.S. Supreme Court, the preemption issue in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split the Court along a different axis.</w:t>
      </w:r>
    </w:p>
    <w:p w14:paraId="6AC8639C" w14:textId="77777777" w:rsidR="00C85B70" w:rsidRPr="00C85B70" w:rsidRDefault="00C85B70" w:rsidP="00C85B70">
      <w:pPr>
        <w:rPr>
          <w:rFonts w:ascii="Times New Roman" w:eastAsia="Times New Roman" w:hAnsi="Times New Roman" w:cs="Times New Roman"/>
          <w:lang w:eastAsia="en-US"/>
        </w:rPr>
      </w:pPr>
    </w:p>
    <w:p w14:paraId="24A25A80" w14:textId="77777777" w:rsidR="00C85B70" w:rsidRPr="00C85B70" w:rsidRDefault="00C85B70" w:rsidP="00C85B70">
      <w:pPr>
        <w:rPr>
          <w:rFonts w:ascii="Times New Roman" w:eastAsia="Times New Roman" w:hAnsi="Times New Roman" w:cs="Times New Roman"/>
          <w:lang w:eastAsia="en-US"/>
        </w:rPr>
      </w:pPr>
    </w:p>
    <w:p w14:paraId="037699AD" w14:textId="66E795FC" w:rsidR="00C85B70" w:rsidRPr="00F94B7E" w:rsidRDefault="750671CE" w:rsidP="00F94B7E">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clauses and savings clauses</w:t>
      </w:r>
      <w:r w:rsidRPr="00F94B7E">
        <w:rPr>
          <w:rFonts w:ascii="Times New Roman" w:eastAsia="Times New Roman" w:hAnsi="Times New Roman" w:cs="Times New Roman"/>
          <w:lang w:eastAsia="en-US"/>
        </w:rPr>
        <w:t xml:space="preserve">. The National Traffic and Motor Vehicle Safety Act of 1966 is hardly alone in combining a preemption clause with a savings clause. For example, regulations under the National Bank Act empower national banks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make real estate loans . . . , without regard to state law limitations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simultaneously have a savings clause stating that state laws on torts, contracts, taxation and other areas are not preempted. 12 C.F.R. § 34.4(a)). What are courts to make of these conflicting instructions? Is a principled doctrinal answer possible, or are courts forced to decide a policy question of whether federal law should preempt?</w:t>
      </w:r>
    </w:p>
    <w:p w14:paraId="77F225A9" w14:textId="77777777" w:rsidR="00C85B70" w:rsidRPr="00C85B70" w:rsidRDefault="00C85B70" w:rsidP="00C85B70">
      <w:pPr>
        <w:rPr>
          <w:rFonts w:ascii="Times New Roman" w:eastAsia="Times New Roman" w:hAnsi="Times New Roman" w:cs="Times New Roman"/>
          <w:lang w:eastAsia="en-US"/>
        </w:rPr>
      </w:pPr>
    </w:p>
    <w:p w14:paraId="1F9BBDDB" w14:textId="77777777" w:rsidR="00C85B70" w:rsidRPr="00C85B70" w:rsidRDefault="00C85B70" w:rsidP="00C85B70">
      <w:pPr>
        <w:rPr>
          <w:rFonts w:ascii="Times New Roman" w:eastAsia="Times New Roman" w:hAnsi="Times New Roman" w:cs="Times New Roman"/>
          <w:lang w:eastAsia="en-US"/>
        </w:rPr>
      </w:pPr>
    </w:p>
    <w:p w14:paraId="34CF3EF8" w14:textId="712E5BC9" w:rsidR="00C85B70" w:rsidRPr="00F94B7E" w:rsidRDefault="750671CE" w:rsidP="00F94B7E">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presumption against preemption?</w:t>
      </w:r>
      <w:r w:rsidRPr="00F94B7E">
        <w:rPr>
          <w:rFonts w:ascii="Times New Roman" w:eastAsia="Times New Roman" w:hAnsi="Times New Roman" w:cs="Times New Roman"/>
          <w:lang w:eastAsia="en-US"/>
        </w:rPr>
        <w:t xml:space="preserve"> One doctrinal answer that has emerged is that courts should generally presume that federal law does </w:t>
      </w:r>
      <w:r w:rsidRPr="00F94B7E">
        <w:rPr>
          <w:rFonts w:ascii="Times New Roman" w:eastAsia="Times New Roman" w:hAnsi="Times New Roman" w:cs="Times New Roman"/>
          <w:i/>
          <w:iCs/>
          <w:lang w:eastAsia="en-US"/>
        </w:rPr>
        <w:t>not</w:t>
      </w:r>
      <w:r w:rsidRPr="00F94B7E">
        <w:rPr>
          <w:rFonts w:ascii="Times New Roman" w:eastAsia="Times New Roman" w:hAnsi="Times New Roman" w:cs="Times New Roman"/>
          <w:lang w:eastAsia="en-US"/>
        </w:rPr>
        <w:t xml:space="preserve"> preempt state law. </w:t>
      </w:r>
      <w:r w:rsidR="004A3114">
        <w:rPr>
          <w:rFonts w:ascii="Times New Roman" w:eastAsia="Times New Roman" w:hAnsi="Times New Roman" w:cs="Times New Roman"/>
          <w:lang w:eastAsia="en-US"/>
        </w:rPr>
        <w:t>Professor Roderick Hills</w:t>
      </w:r>
      <w:r w:rsidRPr="00F94B7E">
        <w:rPr>
          <w:rFonts w:ascii="Times New Roman" w:eastAsia="Times New Roman" w:hAnsi="Times New Roman" w:cs="Times New Roman"/>
          <w:lang w:eastAsia="en-US"/>
        </w:rPr>
        <w:t xml:space="preserve"> argues that this presumption is justified as a way to jump-start democratic deliberation in the national lawmaking process:</w:t>
      </w:r>
    </w:p>
    <w:p w14:paraId="0DAF83B8" w14:textId="77777777" w:rsidR="00C85B70" w:rsidRPr="00C85B70" w:rsidRDefault="00C85B70" w:rsidP="00C85B70">
      <w:pPr>
        <w:rPr>
          <w:rFonts w:ascii="Times New Roman" w:eastAsia="Times New Roman" w:hAnsi="Times New Roman" w:cs="Times New Roman"/>
          <w:lang w:eastAsia="en-US"/>
        </w:rPr>
      </w:pPr>
    </w:p>
    <w:p w14:paraId="215CD23B" w14:textId="2D0090A2"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agenda by enacting state legislation. Because business groups tend to have more consistent incentives to seek preemption than anti-preemption interests have to oppose preemption, controversial regulatory issues are more likely to end up on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agenda if business groups bear the burden of seeking preemption. . . . Therefore, by adopting an anti-preemption rule of construction, the courts would tend to promote a more highly visible, vigorous style of public debate in Congress. . . .  </w:t>
      </w:r>
    </w:p>
    <w:p w14:paraId="00F9F79B" w14:textId="77777777" w:rsidR="00C85B70" w:rsidRPr="00C85B70" w:rsidRDefault="00C85B70" w:rsidP="00C85B70">
      <w:pPr>
        <w:ind w:left="720" w:right="720"/>
        <w:rPr>
          <w:rFonts w:ascii="Times New Roman" w:eastAsia="Times New Roman" w:hAnsi="Times New Roman" w:cs="Times New Roman"/>
          <w:lang w:eastAsia="en-US"/>
        </w:rPr>
      </w:pPr>
    </w:p>
    <w:p w14:paraId="109CA471" w14:textId="050E4531"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Hills contends that regulated industries favoring preemption have systematically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greater capacity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obtain votes on preemption than do the opponents of preemption. Only the former, goes the argument, have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interest in regulatory uniformity for its own sake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because only national business and industry groups benefit greatly from national uniformity.  </w:t>
      </w:r>
      <w:r w:rsidRPr="750671CE">
        <w:rPr>
          <w:rFonts w:ascii="Times New Roman" w:eastAsia="Times New Roman" w:hAnsi="Times New Roman" w:cs="Times New Roman"/>
          <w:i/>
          <w:iCs/>
          <w:lang w:eastAsia="en-US"/>
        </w:rPr>
        <w:t xml:space="preserve">See </w:t>
      </w:r>
      <w:r w:rsidRPr="750671CE">
        <w:rPr>
          <w:rFonts w:ascii="Times New Roman" w:eastAsia="Times New Roman" w:hAnsi="Times New Roman" w:cs="Times New Roman"/>
          <w:lang w:eastAsia="en-US"/>
        </w:rPr>
        <w:t xml:space="preserve">Roderick M. Hills, Jr., </w:t>
      </w:r>
      <w:r w:rsidRPr="750671CE">
        <w:rPr>
          <w:rFonts w:ascii="Times New Roman" w:eastAsia="Times New Roman" w:hAnsi="Times New Roman" w:cs="Times New Roman"/>
          <w:i/>
          <w:iCs/>
          <w:lang w:eastAsia="en-US"/>
        </w:rPr>
        <w:t>Against Preemption: How Federalism Can Improve the National Legislative Process</w:t>
      </w:r>
      <w:r w:rsidRPr="750671CE">
        <w:rPr>
          <w:rFonts w:ascii="Times New Roman" w:eastAsia="Times New Roman" w:hAnsi="Times New Roman" w:cs="Times New Roman"/>
          <w:lang w:eastAsia="en-US"/>
        </w:rPr>
        <w:t xml:space="preserve">, 82 N.Y.U. L. </w:t>
      </w:r>
      <w:r w:rsidRPr="00F94B7E">
        <w:rPr>
          <w:rFonts w:ascii="Times New Roman" w:eastAsia="Times New Roman" w:hAnsi="Times New Roman" w:cs="Times New Roman"/>
          <w:smallCaps/>
          <w:lang w:eastAsia="en-US"/>
        </w:rPr>
        <w:t>Rev.</w:t>
      </w:r>
      <w:r w:rsidRPr="750671CE">
        <w:rPr>
          <w:rFonts w:ascii="Times New Roman" w:eastAsia="Times New Roman" w:hAnsi="Times New Roman" w:cs="Times New Roman"/>
          <w:lang w:eastAsia="en-US"/>
        </w:rPr>
        <w:t xml:space="preserve"> 1 (2007).</w:t>
      </w:r>
    </w:p>
    <w:p w14:paraId="645D4031" w14:textId="77777777" w:rsidR="00C85B70" w:rsidRPr="00C85B70" w:rsidRDefault="00C85B70" w:rsidP="00C85B70">
      <w:pPr>
        <w:rPr>
          <w:rFonts w:ascii="Times New Roman" w:eastAsia="Times New Roman" w:hAnsi="Times New Roman" w:cs="Times New Roman"/>
          <w:lang w:eastAsia="en-US"/>
        </w:rPr>
      </w:pPr>
    </w:p>
    <w:p w14:paraId="68748588" w14:textId="77777777" w:rsidR="00C85B70" w:rsidRPr="00C85B70" w:rsidRDefault="00C85B70" w:rsidP="00C85B70">
      <w:pPr>
        <w:rPr>
          <w:rFonts w:ascii="Times New Roman" w:eastAsia="Times New Roman" w:hAnsi="Times New Roman" w:cs="Times New Roman"/>
          <w:lang w:eastAsia="en-US"/>
        </w:rPr>
      </w:pPr>
    </w:p>
    <w:p w14:paraId="59339FF3" w14:textId="1A843485" w:rsidR="00C85B70" w:rsidRPr="00F94B7E" w:rsidRDefault="750671CE" w:rsidP="00F94B7E">
      <w:pPr>
        <w:pStyle w:val="ListParagraph"/>
        <w:numPr>
          <w:ilvl w:val="0"/>
          <w:numId w:val="52"/>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lang w:eastAsia="en-US"/>
        </w:rPr>
        <w:t xml:space="preserve">What did </w:t>
      </w:r>
      <w:r w:rsidRPr="00F94B7E">
        <w:rPr>
          <w:rFonts w:ascii="Times New Roman" w:eastAsia="Times New Roman" w:hAnsi="Times New Roman" w:cs="Times New Roman"/>
          <w:iCs/>
          <w:lang w:eastAsia="en-US"/>
        </w:rPr>
        <w:t>Geier</w:t>
      </w:r>
      <w:r w:rsidRPr="00F94B7E">
        <w:rPr>
          <w:rFonts w:ascii="Times New Roman" w:eastAsia="Times New Roman" w:hAnsi="Times New Roman" w:cs="Times New Roman"/>
          <w:i/>
          <w:lang w:eastAsia="en-US"/>
        </w:rPr>
        <w:t xml:space="preserve"> mean for future preemption cases?</w:t>
      </w:r>
      <w:r w:rsidRPr="00F94B7E">
        <w:rPr>
          <w:rFonts w:ascii="Times New Roman" w:eastAsia="Times New Roman" w:hAnsi="Times New Roman" w:cs="Times New Roman"/>
          <w:lang w:eastAsia="en-US"/>
        </w:rPr>
        <w:t xml:space="preserve"> The next case, in the prescription drug context, contains a lengthy debate about what exactly were the core principles of </w:t>
      </w:r>
      <w:r w:rsidRPr="00F94B7E">
        <w:rPr>
          <w:rFonts w:ascii="Times New Roman" w:eastAsia="Times New Roman" w:hAnsi="Times New Roman" w:cs="Times New Roman"/>
          <w:i/>
          <w:iCs/>
          <w:lang w:eastAsia="en-US"/>
        </w:rPr>
        <w:t xml:space="preserve">Geier </w:t>
      </w:r>
      <w:r w:rsidRPr="00F94B7E">
        <w:rPr>
          <w:rFonts w:ascii="Times New Roman" w:eastAsia="Times New Roman" w:hAnsi="Times New Roman" w:cs="Times New Roman"/>
          <w:lang w:eastAsia="en-US"/>
        </w:rPr>
        <w:t>and how far they should reach.</w:t>
      </w:r>
    </w:p>
    <w:p w14:paraId="2C8C1C8C" w14:textId="77777777" w:rsidR="00C85B70" w:rsidRPr="00C85B70" w:rsidRDefault="00C85B70" w:rsidP="00C85B70">
      <w:pPr>
        <w:rPr>
          <w:rFonts w:ascii="Times New Roman" w:eastAsia="Times New Roman" w:hAnsi="Times New Roman" w:cs="Times New Roman"/>
          <w:lang w:eastAsia="en-US"/>
        </w:rPr>
      </w:pPr>
    </w:p>
    <w:p w14:paraId="49139628" w14:textId="5CDF8797" w:rsidR="0004651B" w:rsidRDefault="0004651B">
      <w:pPr>
        <w:rPr>
          <w:rFonts w:ascii="Times New Roman" w:eastAsia="Times New Roman" w:hAnsi="Times New Roman" w:cs="Times New Roman"/>
          <w:lang w:eastAsia="en-US"/>
        </w:rPr>
      </w:pPr>
    </w:p>
    <w:p w14:paraId="7FF3CBB8" w14:textId="6CB8E2A9" w:rsidR="00C85B70" w:rsidRPr="00C85B70" w:rsidRDefault="00C85B70" w:rsidP="750671CE">
      <w:pPr>
        <w:rPr>
          <w:rFonts w:ascii="Times New Roman" w:eastAsia="Times New Roman" w:hAnsi="Times New Roman" w:cs="Times New Roman"/>
          <w:b/>
          <w:bCs/>
          <w:lang w:eastAsia="en-US"/>
        </w:rPr>
      </w:pPr>
      <w:bookmarkStart w:id="1067" w:name="_Toc518323570"/>
      <w:r w:rsidRPr="00963BAA">
        <w:rPr>
          <w:rStyle w:val="Heading4Char"/>
        </w:rPr>
        <w:t>Wyeth v. Levine</w:t>
      </w:r>
      <w:bookmarkEnd w:id="1067"/>
      <w:r w:rsidR="00963BAA"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555 U.S. 555 (2009)</w:t>
      </w:r>
    </w:p>
    <w:p w14:paraId="46DB5305" w14:textId="77777777" w:rsidR="00C85B70" w:rsidRPr="00C85B70" w:rsidRDefault="00C85B70" w:rsidP="00C85B70">
      <w:pPr>
        <w:rPr>
          <w:rFonts w:ascii="Times New Roman" w:eastAsia="Times New Roman" w:hAnsi="Times New Roman" w:cs="Times New Roman"/>
          <w:b/>
          <w:lang w:eastAsia="en-US"/>
        </w:rPr>
      </w:pPr>
    </w:p>
    <w:p w14:paraId="670CC659" w14:textId="78C22DDF"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Stevens</w:t>
      </w:r>
      <w:r w:rsidR="001B5615">
        <w:rPr>
          <w:rFonts w:ascii="Times New Roman" w:eastAsia="Times New Roman" w:hAnsi="Times New Roman" w:cs="Times New Roman"/>
          <w:smallCaps/>
          <w:lang w:eastAsia="en-US"/>
        </w:rPr>
        <w:t>, J</w:t>
      </w:r>
      <w:r w:rsidRPr="750671CE">
        <w:rPr>
          <w:rFonts w:ascii="Times New Roman" w:eastAsia="Times New Roman" w:hAnsi="Times New Roman" w:cs="Times New Roman"/>
          <w:lang w:eastAsia="en-US"/>
        </w:rPr>
        <w:t xml:space="preserve">. </w:t>
      </w:r>
    </w:p>
    <w:p w14:paraId="702234DF" w14:textId="77777777" w:rsidR="00C85B70" w:rsidRPr="00C85B70" w:rsidRDefault="00C85B70" w:rsidP="00C85B70">
      <w:pPr>
        <w:rPr>
          <w:rFonts w:ascii="Times New Roman" w:eastAsia="Times New Roman" w:hAnsi="Times New Roman" w:cs="Times New Roman"/>
          <w:lang w:eastAsia="en-US"/>
        </w:rPr>
      </w:pPr>
    </w:p>
    <w:p w14:paraId="6B534878" w14:textId="101673CD"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Directly injecting the drug Phenergan into a patient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 had been deemed sufficient by the federal Food and Drug Administration (FDA) when it approved Wyeth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new drug application in 1955 and when it later approved changes in the drug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labeling. The question we must decide is whether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approvals provide Wyeth with a complete defense to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tort claims. We conclude that they do not.</w:t>
      </w:r>
    </w:p>
    <w:p w14:paraId="75100E5D" w14:textId="77777777" w:rsidR="00C85B70" w:rsidRPr="00C85B70" w:rsidRDefault="00C85B70" w:rsidP="00C85B70">
      <w:pPr>
        <w:rPr>
          <w:rFonts w:ascii="Times New Roman" w:eastAsia="Times New Roman" w:hAnsi="Times New Roman" w:cs="Times New Roman"/>
          <w:lang w:eastAsia="en-US"/>
        </w:rPr>
      </w:pPr>
    </w:p>
    <w:p w14:paraId="0403FFD9" w14:textId="196D8AB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Phenergan is Wyeth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brand name for promethazine hydrochloride, an antihistamine used to treat nausea. The injectable form of Phenergan can be administered intramuscularly or intravenously, and it can be administered intravenously through either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IV-push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method, whereby the drug is injected directly into a patient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vein, or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IV-drip</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method, whereby the drug is introduced into a saline solution in a hanging intravenous bag and slowly descends through a catheter inserted in a patient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vein. The drug is corrosive and causes irreversible gangrene if it enters a patient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artery.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therapeutic benefits. Wyeth filed a motion for summary judgment, arguing that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failure-to-warn claims were pre-empted by federal law.</w:t>
      </w:r>
    </w:p>
    <w:p w14:paraId="287AD743" w14:textId="77777777" w:rsidR="00C85B70" w:rsidRPr="00C85B70" w:rsidRDefault="00C85B70" w:rsidP="00C85B70">
      <w:pPr>
        <w:rPr>
          <w:rFonts w:ascii="Times New Roman" w:eastAsia="Times New Roman" w:hAnsi="Times New Roman" w:cs="Times New Roman"/>
          <w:lang w:eastAsia="en-US"/>
        </w:rPr>
      </w:pPr>
    </w:p>
    <w:p w14:paraId="0BA0FE5C" w14:textId="6E43C06A"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Wyeth first argues that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state-law claims are pre-empted because it is impossible for it to comply with both the state-law duties underlying those claims and its federal labeling duties.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approval. Among other things, this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changes being effected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(CBE) regulation provides that if a manufacturer is changing a label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add or strengthen a contraindication, warning, precaution, or adverse reaction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or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add or strengthen an instruction about dosage and administration that is intended to increase the safe use of the drug product,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it may make the labeling change upon filing its supplemental application with the FDA; it need not wait for FDA approval. . . .</w:t>
      </w:r>
    </w:p>
    <w:p w14:paraId="3A4ABACE"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5FED5131" w14:textId="739A255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Wyeth </w:t>
      </w:r>
      <w:r w:rsidR="00D107F6">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argues that requiring it to comply with a state-law duty to provide a stronger warning about IV-push administration would obstruct the purposes and objectives of federal drug labeling regulation.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tort claims, it maintains, are pre-empted because they interfere with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purpose to entrust an expert agency to make drug labeling decisions that strike a balance between competing objectives.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We find no merit in this argument, which relies on an untenable interpretation of congressional intent and an overbroad view of an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power to pre-empt state law.</w:t>
      </w:r>
      <w:r w:rsidR="009E54E4">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w:t>
      </w:r>
      <w:r w:rsidR="00121DBE">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w:t>
      </w:r>
      <w:r w:rsidR="00121DBE">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w:t>
      </w:r>
    </w:p>
    <w:p w14:paraId="2E50B545"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6946E431" w14:textId="431C2BB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If Congress thought state-law suits posed an obstacle to its objectives, it surely would have enacted an express pre-emption provision at some point during the FDCA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70</w:t>
      </w:r>
      <w:r w:rsidR="004A311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C85B70" w:rsidRDefault="00C85B70" w:rsidP="00C85B70">
      <w:pPr>
        <w:rPr>
          <w:rFonts w:ascii="Times New Roman" w:eastAsia="Times New Roman" w:hAnsi="Times New Roman" w:cs="Times New Roman"/>
          <w:lang w:eastAsia="en-US"/>
        </w:rPr>
      </w:pPr>
    </w:p>
    <w:p w14:paraId="0EE3120B" w14:textId="64880236"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both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floor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ceiling,</w:t>
      </w:r>
      <w:r w:rsidR="00B05F31">
        <w:rPr>
          <w:rFonts w:ascii="Times New Roman" w:eastAsia="Times New Roman" w:hAnsi="Times New Roman" w:cs="Times New Roman"/>
          <w:lang w:eastAsia="en-US"/>
        </w:rPr>
        <w:t>’</w:t>
      </w:r>
      <w:r w:rsidR="004A311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so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FDA approval of labeling </w:t>
      </w:r>
      <w:r w:rsidR="004A3114">
        <w:rPr>
          <w:rFonts w:ascii="Times New Roman" w:eastAsia="Times New Roman" w:hAnsi="Times New Roman" w:cs="Times New Roman"/>
          <w:lang w:eastAsia="en-US"/>
        </w:rPr>
        <w:t>. . .</w:t>
      </w:r>
      <w:r w:rsidR="004A3114"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preempts conflicting or contrary State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It further stated that certain state-law actions, such as those involving failure-to-warn claims,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threaten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statutorily prescribed role as the expert Federal agency responsible for evaluating and regulating drugs.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3837E007" w14:textId="77777777" w:rsidR="00C85B70" w:rsidRPr="00C85B70" w:rsidRDefault="00C85B70" w:rsidP="00C85B70">
      <w:pPr>
        <w:rPr>
          <w:rFonts w:ascii="Times New Roman" w:eastAsia="Times New Roman" w:hAnsi="Times New Roman" w:cs="Times New Roman"/>
          <w:lang w:eastAsia="en-US"/>
        </w:rPr>
      </w:pPr>
    </w:p>
    <w:p w14:paraId="529A3094" w14:textId="6373490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Court has recognized that an agency regulation with the force of law can pre-empt conflicting state requirements. </w:t>
      </w:r>
      <w:r w:rsidRPr="750671CE">
        <w:rPr>
          <w:rFonts w:ascii="Times New Roman" w:eastAsia="Times New Roman" w:hAnsi="Times New Roman" w:cs="Times New Roman"/>
          <w:i/>
          <w:iCs/>
          <w:lang w:eastAsia="en-US"/>
        </w:rPr>
        <w:t>See, e.g.</w:t>
      </w:r>
      <w:r w:rsidRPr="00F94B7E">
        <w:rPr>
          <w:rFonts w:ascii="Times New Roman" w:eastAsia="Times New Roman" w:hAnsi="Times New Roman" w:cs="Times New Roman"/>
          <w:iCs/>
          <w:lang w:eastAsia="en-US"/>
        </w:rPr>
        <w:t>,</w:t>
      </w:r>
      <w:r w:rsidRPr="750671CE">
        <w:rPr>
          <w:rFonts w:ascii="Times New Roman" w:eastAsia="Times New Roman" w:hAnsi="Times New Roman" w:cs="Times New Roman"/>
          <w:i/>
          <w:iCs/>
          <w:lang w:eastAsia="en-US"/>
        </w:rPr>
        <w:t xml:space="preserve"> Geier v. American Honda Motor Co</w:t>
      </w:r>
      <w:r w:rsidRPr="750671CE">
        <w:rPr>
          <w:rFonts w:ascii="Times New Roman" w:eastAsia="Times New Roman" w:hAnsi="Times New Roman" w:cs="Times New Roman"/>
          <w:lang w:eastAsia="en-US"/>
        </w:rPr>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mere assertion that state law is an obstacle to achieving its statutory objectives. Because Congress has not authorized the FDA to pre-empt state law directly, the question is what weight we should accord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w:t>
      </w:r>
    </w:p>
    <w:p w14:paraId="004674E9" w14:textId="77777777" w:rsidR="00C85B70" w:rsidRPr="00C85B70" w:rsidRDefault="00C85B70" w:rsidP="00C85B70">
      <w:pPr>
        <w:rPr>
          <w:rFonts w:ascii="Times New Roman" w:eastAsia="Times New Roman" w:hAnsi="Times New Roman" w:cs="Times New Roman"/>
          <w:lang w:eastAsia="en-US"/>
        </w:rPr>
      </w:pPr>
    </w:p>
    <w:p w14:paraId="29FFCBA3" w14:textId="4EAFDD4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prior cases, we have given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some weight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an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views about the impact of tort law on federal objectives when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subject matter is technica[l] and the relevant history and background are complex and extensive.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529 U.S., at 883. Even in such cases, however, we have not deferred to an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conclusion that state law is pre-empted. Rather, we have attended to an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obstacle to the accomplishment and execution of the full purposes and objectives of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weight we accord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explanation of state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impact on the federal scheme depends on its thoroughness, consistency, and persuasiveness. </w:t>
      </w:r>
    </w:p>
    <w:p w14:paraId="55340082" w14:textId="77777777" w:rsidR="00C85B70" w:rsidRPr="00C85B70" w:rsidRDefault="00C85B70" w:rsidP="00C85B70">
      <w:pPr>
        <w:rPr>
          <w:rFonts w:ascii="Times New Roman" w:eastAsia="Times New Roman" w:hAnsi="Times New Roman" w:cs="Times New Roman"/>
          <w:lang w:eastAsia="en-US"/>
        </w:rPr>
      </w:pPr>
    </w:p>
    <w:p w14:paraId="470470B7" w14:textId="4BE6A27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Under this standard,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2006 preamble does not merit deference. When the FDA issued its notice of proposed rulemaking in December 2000, it explained that the rule would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contain policies that have federalism implications or that preempt State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2006, the agency finalized the rule and, without offering States or other interested parties notice or opportunity for comment, articulated a sweeping position on the FDCA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pre-emptive effect in the regulatory preamble.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views on state law are inherently suspect in light of this procedural failure.</w:t>
      </w:r>
    </w:p>
    <w:p w14:paraId="1064EF21" w14:textId="77777777" w:rsidR="00C85B70" w:rsidRPr="00C85B70" w:rsidRDefault="00C85B70" w:rsidP="00C85B70">
      <w:pPr>
        <w:rPr>
          <w:rFonts w:ascii="Times New Roman" w:eastAsia="Times New Roman" w:hAnsi="Times New Roman" w:cs="Times New Roman"/>
          <w:lang w:eastAsia="en-US"/>
        </w:rPr>
      </w:pPr>
    </w:p>
    <w:p w14:paraId="0B3685E1" w14:textId="5EF0AC8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Further, the preamble is at odds with what evidence we have of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purposes, and it reverses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own longstanding position without providing a reasoned explanation, including any discussion of how state law has interfered with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regulation of drug labeling during decades of coexistence.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2006 position plainly does not reflect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own view at all times relevant to this litigation. Not once prior to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believe that the evolution of state tort law [would] cause the development of standards that would be at odds with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regulations.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It further noted that, in establishing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minimal standards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drug labels, it did not intend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preclude the states from imposing additional labeling requirements.</w:t>
      </w:r>
      <w:r w:rsidR="00B05F31">
        <w:rPr>
          <w:rFonts w:ascii="Times New Roman" w:eastAsia="Times New Roman" w:hAnsi="Times New Roman" w:cs="Times New Roman"/>
          <w:lang w:eastAsia="en-US"/>
        </w:rPr>
        <w:t>”</w:t>
      </w:r>
    </w:p>
    <w:p w14:paraId="45BAC7C1" w14:textId="77777777" w:rsidR="00C85B70" w:rsidRPr="00C85B70" w:rsidRDefault="00C85B70" w:rsidP="00C85B70">
      <w:pPr>
        <w:rPr>
          <w:rFonts w:ascii="Times New Roman" w:eastAsia="Times New Roman" w:hAnsi="Times New Roman" w:cs="Times New Roman"/>
          <w:lang w:eastAsia="en-US"/>
        </w:rPr>
      </w:pPr>
    </w:p>
    <w:p w14:paraId="298E07BD" w14:textId="443D1D65"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keeping with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2006 preamble represents a dramatic change in position.</w:t>
      </w:r>
    </w:p>
    <w:p w14:paraId="48CBA238" w14:textId="77777777" w:rsidR="00C85B70" w:rsidRPr="00C85B70" w:rsidRDefault="00C85B70" w:rsidP="00C85B70">
      <w:pPr>
        <w:rPr>
          <w:rFonts w:ascii="Times New Roman" w:eastAsia="Times New Roman" w:hAnsi="Times New Roman" w:cs="Times New Roman"/>
          <w:lang w:eastAsia="en-US"/>
        </w:rPr>
      </w:pPr>
    </w:p>
    <w:p w14:paraId="471B1FE6" w14:textId="66475C3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Largely based on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new position, Wyeth argues that this case presents a conflict between state and federal law analogous to the one at issue in Geier. There, we held that state tort claims premised on Honda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failure to install airbags conflicted with a federal regulation that did not require airbags for all cars. The Department of Transportation had promulgated a rule that provided car manufacturers with a range of choices among passive restraint devices. Rejecting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all airbag</w:t>
      </w:r>
      <w:r w:rsidR="00B05F31">
        <w:rPr>
          <w:rFonts w:ascii="Times New Roman" w:eastAsia="Times New Roman" w:hAnsi="Times New Roman" w:cs="Times New Roman"/>
          <w:lang w:eastAsia="en-US"/>
        </w:rPr>
        <w:t>’</w:t>
      </w:r>
      <w:r w:rsidR="00231BD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standard, the agency had called for a gradual phase-in of a mix of passive restraints in order to spur technological development and win consumer acceptance. Because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claim was that car manufacturers had a duty to install airbags, it presented an obstacle to achieving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variety and mix of devices that the federal regulation sought.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76A3A76C" w14:textId="77777777" w:rsidR="00C85B70" w:rsidRPr="00C85B70" w:rsidRDefault="00C85B70" w:rsidP="00C85B70">
      <w:pPr>
        <w:rPr>
          <w:rFonts w:ascii="Times New Roman" w:eastAsia="Times New Roman" w:hAnsi="Times New Roman" w:cs="Times New Roman"/>
          <w:lang w:eastAsia="en-US"/>
        </w:rPr>
      </w:pPr>
    </w:p>
    <w:p w14:paraId="7F5AD783" w14:textId="60B2132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Wyeth and the dissent contend that the regulatory scheme in this case is nearly identical, but, as we have described, it is quite different. In Geier, the DOT conducted a formal rulemaking and then adopted a plan to phase in a mix of passive restraint devices. Examining the rule itself and the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explanation of how state law interfered with its regulation, regarding it as further support for our independent conclusion that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tort claim obstructed the federal regime.</w:t>
      </w:r>
    </w:p>
    <w:p w14:paraId="5B0AB167" w14:textId="77777777" w:rsidR="00C85B70" w:rsidRPr="00C85B70" w:rsidRDefault="00C85B70" w:rsidP="00C85B70">
      <w:pPr>
        <w:rPr>
          <w:rFonts w:ascii="Times New Roman" w:eastAsia="Times New Roman" w:hAnsi="Times New Roman" w:cs="Times New Roman"/>
          <w:lang w:eastAsia="en-US"/>
        </w:rPr>
      </w:pPr>
    </w:p>
    <w:p w14:paraId="44449D27" w14:textId="0423D92E"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By contrast, we have no occasion in this case to consider the pre-emptive effect of a specific agency regulation bearing the force of law. And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newfound opinion, expressed in its 2006 preamble, that state law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frustrate[s]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implementation of its statutory mandate,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does not merit deference for the reasons we have explained. Indeed,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complex and extensive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regulatory history and background relevant to this case undercut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recent pronouncements of pre-emption, as they reveal the longstanding coexistence of state and federal law and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traditional recognition of state-law remedies—a recognition in place each time the agency reviewed Wyeth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Phenergan label.</w:t>
      </w:r>
    </w:p>
    <w:p w14:paraId="174DA7C1" w14:textId="77777777" w:rsidR="00C85B70" w:rsidRPr="00C85B70" w:rsidRDefault="00C85B70" w:rsidP="00C85B70">
      <w:pPr>
        <w:rPr>
          <w:rFonts w:ascii="Times New Roman" w:eastAsia="Times New Roman" w:hAnsi="Times New Roman" w:cs="Times New Roman"/>
          <w:lang w:eastAsia="en-US"/>
        </w:rPr>
      </w:pPr>
    </w:p>
    <w:p w14:paraId="19294EA3" w14:textId="072992E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short, Wyeth has not persuaded us that failure-to-warn claims like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obstruct the federal regulation of drug labeling. Congress has repeatedly declined to pre-empt state law, and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recently adopted position that state tort suits interfere with its statutory mandate is entitled to no weight. Although we recognize that some state-law claims might well frustrate the achievement of congressional objectives, this is not such a case.</w:t>
      </w:r>
    </w:p>
    <w:p w14:paraId="60BA8D8B" w14:textId="77777777" w:rsidR="00C85B70" w:rsidRPr="00C85B70" w:rsidRDefault="00C85B70" w:rsidP="00C85B70">
      <w:pPr>
        <w:rPr>
          <w:rFonts w:ascii="Times New Roman" w:eastAsia="Times New Roman" w:hAnsi="Times New Roman" w:cs="Times New Roman"/>
          <w:lang w:eastAsia="en-US"/>
        </w:rPr>
      </w:pPr>
    </w:p>
    <w:p w14:paraId="6CDB2F9F" w14:textId="77777777" w:rsidR="00671F38" w:rsidRDefault="00671F38" w:rsidP="750671CE">
      <w:pPr>
        <w:rPr>
          <w:rFonts w:ascii="Times New Roman" w:eastAsia="Times New Roman" w:hAnsi="Times New Roman" w:cs="Times New Roman"/>
          <w:lang w:eastAsia="en-US"/>
        </w:rPr>
      </w:pPr>
    </w:p>
    <w:p w14:paraId="2FBED090" w14:textId="77777777" w:rsidR="00671F38" w:rsidRDefault="00671F38" w:rsidP="750671CE">
      <w:pPr>
        <w:rPr>
          <w:rFonts w:ascii="Times New Roman" w:eastAsia="Times New Roman" w:hAnsi="Times New Roman" w:cs="Times New Roman"/>
          <w:lang w:eastAsia="en-US"/>
        </w:rPr>
      </w:pPr>
    </w:p>
    <w:p w14:paraId="4653EA12" w14:textId="77777777" w:rsidR="00671F38" w:rsidRDefault="00671F38" w:rsidP="750671CE">
      <w:pPr>
        <w:rPr>
          <w:rFonts w:ascii="Times New Roman" w:eastAsia="Times New Roman" w:hAnsi="Times New Roman" w:cs="Times New Roman"/>
          <w:lang w:eastAsia="en-US"/>
        </w:rPr>
      </w:pPr>
    </w:p>
    <w:p w14:paraId="6FD4EE87"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V</w:t>
      </w:r>
    </w:p>
    <w:p w14:paraId="56CF937F" w14:textId="77777777" w:rsidR="00C85B70" w:rsidRPr="00C85B70" w:rsidRDefault="00C85B70" w:rsidP="00C85B70">
      <w:pPr>
        <w:rPr>
          <w:rFonts w:ascii="Times New Roman" w:eastAsia="Times New Roman" w:hAnsi="Times New Roman" w:cs="Times New Roman"/>
          <w:lang w:eastAsia="en-US"/>
        </w:rPr>
      </w:pPr>
    </w:p>
    <w:p w14:paraId="745A630C" w14:textId="3978518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conclude that it is not impossible for Wyeth to comply with its state and federal law obligations and that Levine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common-law claims do not stand as an obstacle to the accomplishment of Congress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purposes in the FDCA. Accordingly, the judgment of the Vermont Supreme Court is affirmed.</w:t>
      </w:r>
    </w:p>
    <w:p w14:paraId="4A96C37D" w14:textId="77777777" w:rsidR="00C85B70" w:rsidRPr="00C85B70" w:rsidRDefault="00C85B70" w:rsidP="00C85B70">
      <w:pPr>
        <w:rPr>
          <w:rFonts w:ascii="Times New Roman" w:eastAsia="Times New Roman" w:hAnsi="Times New Roman" w:cs="Times New Roman"/>
          <w:lang w:eastAsia="en-US"/>
        </w:rPr>
      </w:pPr>
    </w:p>
    <w:p w14:paraId="14D65D44"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so ordered.</w:t>
      </w:r>
    </w:p>
    <w:p w14:paraId="7EC4BEC9" w14:textId="77777777" w:rsidR="00C85B70" w:rsidRPr="00C85B70" w:rsidRDefault="00C85B70" w:rsidP="00C85B70">
      <w:pPr>
        <w:rPr>
          <w:rFonts w:ascii="Times New Roman" w:eastAsia="Times New Roman" w:hAnsi="Times New Roman" w:cs="Times New Roman"/>
          <w:lang w:eastAsia="en-US"/>
        </w:rPr>
      </w:pPr>
    </w:p>
    <w:p w14:paraId="5CD810FD" w14:textId="59FA275D"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Alito</w:t>
      </w:r>
      <w:r w:rsidRPr="750671CE">
        <w:rPr>
          <w:rFonts w:ascii="Times New Roman" w:eastAsia="Times New Roman" w:hAnsi="Times New Roman" w:cs="Times New Roman"/>
          <w:lang w:eastAsia="en-US"/>
        </w:rPr>
        <w:t>,</w:t>
      </w:r>
      <w:r w:rsidR="001B5615">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with whom </w:t>
      </w:r>
      <w:r w:rsidR="001B5615">
        <w:rPr>
          <w:rFonts w:ascii="Times New Roman" w:eastAsia="Times New Roman" w:hAnsi="Times New Roman" w:cs="Times New Roman"/>
          <w:lang w:eastAsia="en-US"/>
        </w:rPr>
        <w:t>Roberts, C.J.,</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smallCaps/>
          <w:lang w:eastAsia="en-US"/>
        </w:rPr>
        <w:t>Scalia</w:t>
      </w:r>
      <w:r w:rsidR="001B5615">
        <w:rPr>
          <w:rFonts w:ascii="Times New Roman" w:eastAsia="Times New Roman" w:hAnsi="Times New Roman" w:cs="Times New Roman"/>
          <w:smallCaps/>
          <w:lang w:eastAsia="en-US"/>
        </w:rPr>
        <w:t>, J.,</w:t>
      </w:r>
      <w:r w:rsidRPr="750671CE">
        <w:rPr>
          <w:rFonts w:ascii="Times New Roman" w:eastAsia="Times New Roman" w:hAnsi="Times New Roman" w:cs="Times New Roman"/>
          <w:lang w:eastAsia="en-US"/>
        </w:rPr>
        <w:t xml:space="preserve"> join, dissenting.</w:t>
      </w:r>
    </w:p>
    <w:p w14:paraId="6810B05F" w14:textId="77777777" w:rsidR="00C85B70" w:rsidRPr="00C85B70" w:rsidRDefault="00C85B70" w:rsidP="00C85B70">
      <w:pPr>
        <w:rPr>
          <w:rFonts w:ascii="Times New Roman" w:eastAsia="Times New Roman" w:hAnsi="Times New Roman" w:cs="Times New Roman"/>
          <w:lang w:eastAsia="en-US"/>
        </w:rPr>
      </w:pPr>
    </w:p>
    <w:p w14:paraId="634B0D04"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750671CE">
        <w:rPr>
          <w:rFonts w:ascii="Times New Roman" w:eastAsia="Times New Roman" w:hAnsi="Times New Roman" w:cs="Times New Roman"/>
          <w:i/>
          <w:iCs/>
          <w:lang w:eastAsia="en-US"/>
        </w:rPr>
        <w:t>Geier v. American Honda Motor Co</w:t>
      </w:r>
      <w:r w:rsidRPr="750671CE">
        <w:rPr>
          <w:rFonts w:ascii="Times New Roman" w:eastAsia="Times New Roman" w:hAnsi="Times New Roman" w:cs="Times New Roman"/>
          <w:lang w:eastAsia="en-US"/>
        </w:rPr>
        <w:t>., or general principles of conflict pre-emption. I respectfully dissent.</w:t>
      </w:r>
    </w:p>
    <w:p w14:paraId="513F50DB" w14:textId="77777777" w:rsidR="00C85B70" w:rsidRPr="00C85B70" w:rsidRDefault="00C85B70" w:rsidP="00C85B70">
      <w:pPr>
        <w:rPr>
          <w:rFonts w:ascii="Times New Roman" w:eastAsia="Times New Roman" w:hAnsi="Times New Roman" w:cs="Times New Roman"/>
          <w:lang w:eastAsia="en-US"/>
        </w:rPr>
      </w:pPr>
    </w:p>
    <w:p w14:paraId="050DCBD0" w14:textId="31FA202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 [T]he real issue is whether a state tort jury can countermand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considered judgment that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FDA-mandated warning label renders its intravenous (IV) use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Indeed, respondent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amended complaint alleged that Phenergan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reasonably safe for intravenous administration,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respondent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attorney told the jury that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 should say,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Do not use this drug intravenously</w:t>
      </w:r>
      <w:r w:rsidR="00B05F31">
        <w:rPr>
          <w:rFonts w:ascii="Times New Roman" w:eastAsia="Times New Roman" w:hAnsi="Times New Roman" w:cs="Times New Roman"/>
          <w:lang w:eastAsia="en-US"/>
        </w:rPr>
        <w:t>’</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respondent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expert told the jury,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I think the drug should be labeled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for IV use</w:t>
      </w:r>
      <w:r w:rsidR="00B05F31">
        <w:rPr>
          <w:rFonts w:ascii="Times New Roman" w:eastAsia="Times New Roman" w:hAnsi="Times New Roman" w:cs="Times New Roman"/>
          <w:lang w:eastAsia="en-US"/>
        </w:rPr>
        <w:t>’</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and during his closing argument, respondent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attorney told the jury,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Thank God we don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 rely on the FDA to </w:t>
      </w:r>
      <w:r w:rsidR="00231BD1">
        <w:rPr>
          <w:rFonts w:ascii="Times New Roman" w:eastAsia="Times New Roman" w:hAnsi="Times New Roman" w:cs="Times New Roman"/>
          <w:lang w:eastAsia="en-US"/>
        </w:rPr>
        <w:t>. . .</w:t>
      </w:r>
      <w:r w:rsidR="00231BD1"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make the safe[ty] decision. You will make the decision. ... The FDA doesn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make the decision, you do.</w:t>
      </w:r>
      <w:r w:rsidR="00B05F31">
        <w:rPr>
          <w:rFonts w:ascii="Times New Roman" w:eastAsia="Times New Roman" w:hAnsi="Times New Roman" w:cs="Times New Roman"/>
          <w:lang w:eastAsia="en-US"/>
        </w:rPr>
        <w:t>”</w:t>
      </w:r>
    </w:p>
    <w:p w14:paraId="7D508D6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64D9405" w14:textId="1670D218"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year</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long regulatory proceedings—that the drug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effective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when used in accordance with its FDA-mandated labeling. The unfortunate fact that respondent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healthcare providers ignored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labeling may make this an ideal medical-malpractice case. But turning a common-law tort suit into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frontal assault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regulatory regime for drug labeling upsets the well-settled meaning of the Supremacy Clause and our conflict pre-emption jurisprudence. . . . </w:t>
      </w:r>
    </w:p>
    <w:p w14:paraId="39343100" w14:textId="77777777" w:rsidR="00C85B70" w:rsidRPr="00C85B70" w:rsidRDefault="00C85B70" w:rsidP="00C85B70">
      <w:pPr>
        <w:rPr>
          <w:rFonts w:ascii="Times New Roman" w:eastAsia="Times New Roman" w:hAnsi="Times New Roman" w:cs="Times New Roman"/>
          <w:lang w:eastAsia="en-US"/>
        </w:rPr>
      </w:pPr>
    </w:p>
    <w:p w14:paraId="224894C9" w14:textId="12AC9EC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Given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balance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that the FDA struck between the costs and benefits of administering Phenergan via IV push,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compels the pre-emption of tort suits (like this one) that would upset that balance. The contrary conclusion requires turning yesterday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dissent into today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majority opinion.</w:t>
      </w:r>
    </w:p>
    <w:p w14:paraId="558096F2" w14:textId="77777777" w:rsidR="00C85B70" w:rsidRPr="00C85B70" w:rsidRDefault="00C85B70" w:rsidP="00C85B70">
      <w:pPr>
        <w:rPr>
          <w:rFonts w:ascii="Times New Roman" w:eastAsia="Times New Roman" w:hAnsi="Times New Roman" w:cs="Times New Roman"/>
          <w:lang w:eastAsia="en-US"/>
        </w:rPr>
      </w:pPr>
    </w:p>
    <w:p w14:paraId="412B9708" w14:textId="15F6BC66"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First, the Court denies the existence of a federal-state conflict in this case because Vermont merely countermanded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determination that IV push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when performed in accordance with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warning label; the Court concludes that there is no conflict because Vermont did not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mandate a particular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label as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replacement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the one that the jury nullified, and because the State stopped short of altogether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contraindicating IV-push administration.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as we emphasized in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(over the dissent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assertions to the contrary), the degree of a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C85B70" w:rsidRDefault="00C85B70" w:rsidP="00C85B70">
      <w:pPr>
        <w:rPr>
          <w:rFonts w:ascii="Times New Roman" w:eastAsia="Times New Roman" w:hAnsi="Times New Roman" w:cs="Times New Roman"/>
          <w:lang w:eastAsia="en-US"/>
        </w:rPr>
      </w:pPr>
    </w:p>
    <w:p w14:paraId="09BA454D" w14:textId="3D8BB996"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Second, the Court today distinguishes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because the FDA articulated its pre-emptive intent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without offering States or other interested parties notice or opportunity for comment.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the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because the FDA (unlike the DOT) declared its pre-emptive intent in the Federal Register. Yet the majority dismisses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published preamble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inherently suspect,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an afterthought that is entitled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 weight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 </w:t>
      </w:r>
      <w:r w:rsidR="00231BD1">
        <w:rPr>
          <w:rFonts w:ascii="Times New Roman" w:eastAsia="Times New Roman" w:hAnsi="Times New Roman" w:cs="Times New Roman"/>
          <w:lang w:eastAsia="en-US"/>
        </w:rPr>
        <w:t>.</w:t>
      </w:r>
    </w:p>
    <w:p w14:paraId="4A015198" w14:textId="77777777" w:rsidR="00C85B70" w:rsidRPr="00C85B70" w:rsidRDefault="00C85B70" w:rsidP="00C85B70">
      <w:pPr>
        <w:rPr>
          <w:rFonts w:ascii="Times New Roman" w:eastAsia="Times New Roman" w:hAnsi="Times New Roman" w:cs="Times New Roman"/>
          <w:lang w:eastAsia="en-US"/>
        </w:rPr>
      </w:pPr>
    </w:p>
    <w:p w14:paraId="2FA41E05" w14:textId="72A564E5"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Third, the Court distinguishes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because the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regulation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bear[s] the force of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whereas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preamble does not. But it is irrelevant that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preamble does not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bear the force of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because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labeling decisions surely do. . . . Moreover, it cannot be said that </w:t>
      </w:r>
      <w:r w:rsidRPr="750671CE">
        <w:rPr>
          <w:rFonts w:ascii="Times New Roman" w:eastAsia="Times New Roman" w:hAnsi="Times New Roman" w:cs="Times New Roman"/>
          <w:i/>
          <w:iCs/>
          <w:lang w:eastAsia="en-US"/>
        </w:rPr>
        <w:t>Geier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outcome hinged on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choice to promulgate a rule. The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Court relied—again over the dissenters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protestations—on materials other than the Secretary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regulation to explain the conflict between state and federal law. </w:t>
      </w:r>
    </w:p>
    <w:p w14:paraId="46206B93" w14:textId="77777777" w:rsidR="00C85B70" w:rsidRPr="00C85B70" w:rsidRDefault="00C85B70" w:rsidP="00C85B70">
      <w:pPr>
        <w:rPr>
          <w:rFonts w:ascii="Times New Roman" w:eastAsia="Times New Roman" w:hAnsi="Times New Roman" w:cs="Times New Roman"/>
          <w:lang w:eastAsia="en-US"/>
        </w:rPr>
      </w:pPr>
    </w:p>
    <w:p w14:paraId="64CBC45C" w14:textId="4D699CC8"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Fourth, the Court sandwiches its discussion of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between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presumption against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heavy emphasis 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longstanding coexistence of state and federal law and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traditional recognition of state-law remedies.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the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Court specifically rejected the argument (again made by the dissenters in that case) that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presumption against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is relevant to the conflict pre-emption analysis. Rather than invoking such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presumption,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Court emphasized that it was applying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ordinary,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longstanding,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experience-proved principles of conflict pre-emption.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Under these principles, the sole question is whether there is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actual conflict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between state and federal law; if so, then pre-emption follows automatically by operation of the Supremacy Clause. </w:t>
      </w:r>
      <w:r w:rsidR="00231BD1">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Accordingly—and in contrast to situations implicating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federalism concerns and the historic primacy of state regulation of matters of health and safety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 presumption against pre-emption obtains in this case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(citation omitted)).</w:t>
      </w:r>
    </w:p>
    <w:p w14:paraId="7838F514" w14:textId="77777777" w:rsidR="00C85B70" w:rsidRPr="00C85B70" w:rsidRDefault="00C85B70" w:rsidP="00C85B70">
      <w:pPr>
        <w:rPr>
          <w:rFonts w:ascii="Times New Roman" w:eastAsia="Times New Roman" w:hAnsi="Times New Roman" w:cs="Times New Roman"/>
          <w:lang w:eastAsia="en-US"/>
        </w:rPr>
      </w:pPr>
    </w:p>
    <w:p w14:paraId="3C1F038A" w14:textId="4C2AD4B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Finally, the </w:t>
      </w: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Court went out of its way to emphasize (yet again over the dissenters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objections) that it placed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some weight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 the DOT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amicus brief, which explained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regulatory objectives and the effects of state tort suits on the federal regulatory regime. Yet today,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explanation of the conflict between state tort suits and the federal labeling regime, set forth in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amicus brief, is not even mentioned in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 Instead of relying on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explanation of its own regulatory purposes, the Court relies on a decade-old and now-repudiated statement, which the majority finds preferable. . . . </w:t>
      </w:r>
    </w:p>
    <w:p w14:paraId="0CD7A7F7" w14:textId="77777777" w:rsidR="00C85B70" w:rsidRPr="00C85B70" w:rsidRDefault="00C85B70" w:rsidP="00C85B70">
      <w:pPr>
        <w:rPr>
          <w:rFonts w:ascii="Times New Roman" w:eastAsia="Times New Roman" w:hAnsi="Times New Roman" w:cs="Times New Roman"/>
          <w:lang w:eastAsia="en-US"/>
        </w:rPr>
      </w:pPr>
    </w:p>
    <w:p w14:paraId="4853789C" w14:textId="40C69F98"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Geier</w:t>
      </w:r>
      <w:r w:rsidRPr="750671CE">
        <w:rPr>
          <w:rFonts w:ascii="Times New Roman" w:eastAsia="Times New Roman" w:hAnsi="Times New Roman" w:cs="Times New Roman"/>
          <w:lang w:eastAsia="en-US"/>
        </w:rPr>
        <w:t xml:space="preserve"> does not countenance the use of state tort suits to second-guess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labeling decisions. And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contrary conclusion has potentially far-reaching consequences.</w:t>
      </w:r>
    </w:p>
    <w:p w14:paraId="0309EB17" w14:textId="77777777" w:rsidR="00642C0A" w:rsidRDefault="00642C0A" w:rsidP="00642C0A">
      <w:pPr>
        <w:ind w:firstLine="720"/>
        <w:rPr>
          <w:rFonts w:ascii="Times New Roman" w:eastAsia="Times New Roman" w:hAnsi="Times New Roman" w:cs="Times New Roman"/>
          <w:lang w:eastAsia="en-US"/>
        </w:rPr>
      </w:pPr>
    </w:p>
    <w:p w14:paraId="4546D642" w14:textId="4601C88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By their very nature, juries are ill equipped to perform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cost-benefit-balancing function. </w:t>
      </w:r>
      <w:r w:rsidR="00BF71DD">
        <w:rPr>
          <w:rFonts w:ascii="Times New Roman" w:eastAsia="Times New Roman" w:hAnsi="Times New Roman" w:cs="Times New Roman"/>
          <w:lang w:eastAsia="en-US"/>
        </w:rPr>
        <w:t>. . . [J]</w:t>
      </w:r>
      <w:r w:rsidRPr="750671CE">
        <w:rPr>
          <w:rFonts w:ascii="Times New Roman" w:eastAsia="Times New Roman" w:hAnsi="Times New Roman" w:cs="Times New Roman"/>
          <w:lang w:eastAsia="en-US"/>
        </w:rPr>
        <w:t>uries tend to focus on the risk of a particular product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design or warning label that arguably contributed to a particular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injury, not on the overall benefits of that design or label;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patients who reaped those benefits are not represented in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Indeed, patients like respondent are the only ones whom tort juries ever see, and for a patient like respondent—who has already suffered a tragic accident—Phenergan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risks are no longer a matter of probabilities and potentialities.</w:t>
      </w:r>
    </w:p>
    <w:p w14:paraId="2C583B44" w14:textId="574BBC0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contrast, the FDA has the benefit of the long view. Its drug-approval determinations consider the interests of all potential users of a drug, including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those who would suffer without new medical [products]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if juries in all 50 States were free to contradict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expert determinations. And the FDA conveys its warnings with one voice, rather than whipsawing the medical community with 50 (or more) potentially conflicting ones. After today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ruling, however, parochialism may prevail.</w:t>
      </w:r>
    </w:p>
    <w:p w14:paraId="4FE65A4C" w14:textId="77777777" w:rsidR="00C85B70" w:rsidRPr="00C85B70" w:rsidRDefault="00C85B70" w:rsidP="00C85B70">
      <w:pPr>
        <w:rPr>
          <w:rFonts w:ascii="Times New Roman" w:eastAsia="Times New Roman" w:hAnsi="Times New Roman" w:cs="Times New Roman"/>
          <w:lang w:eastAsia="en-US"/>
        </w:rPr>
      </w:pPr>
    </w:p>
    <w:p w14:paraId="5322F119" w14:textId="4AE03D3A"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problem is well illustrated by the labels borne by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vesicant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drugs, many of which are used for chemotherapy. As a class, vesicants are much more dangerous than drugs like Phenergan, but the vast majority of vesicant labels—like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s—either allow or do not disallow IV push. Because vesicant extravasation can have devastating consequences, and because the potentially lifesaving benefits of these drugs offer hollow solace to the victim of such a tragedy, a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cost-benefit analysis in a particular case may well differ from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 . . </w:t>
      </w:r>
    </w:p>
    <w:p w14:paraId="7E881D9A" w14:textId="77777777" w:rsidR="00C85B70" w:rsidRPr="00C85B70" w:rsidRDefault="00C85B70" w:rsidP="00C85B70">
      <w:pPr>
        <w:rPr>
          <w:rFonts w:ascii="Times New Roman" w:eastAsia="Times New Roman" w:hAnsi="Times New Roman" w:cs="Times New Roman"/>
          <w:lang w:eastAsia="en-US"/>
        </w:rPr>
      </w:pPr>
    </w:p>
    <w:p w14:paraId="46E48EC3" w14:textId="7A215B8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 be sure, state tort suits can peacefully coexist with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labeling regime, and they have done so for decades. But this case is far from peaceful coexistence. The FDA told Wyeth that Phenergan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 renders its use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the State of Vermont, through its tort law, said: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so.</w:t>
      </w:r>
      <w:r w:rsidR="00B05F31">
        <w:rPr>
          <w:rFonts w:ascii="Times New Roman" w:eastAsia="Times New Roman" w:hAnsi="Times New Roman" w:cs="Times New Roman"/>
          <w:lang w:eastAsia="en-US"/>
        </w:rPr>
        <w:t>”</w:t>
      </w:r>
    </w:p>
    <w:p w14:paraId="4945A562" w14:textId="77777777" w:rsidR="00C85B70" w:rsidRPr="00C85B70" w:rsidRDefault="00C85B70" w:rsidP="00C85B70">
      <w:pPr>
        <w:rPr>
          <w:rFonts w:ascii="Times New Roman" w:eastAsia="Times New Roman" w:hAnsi="Times New Roman" w:cs="Times New Roman"/>
          <w:lang w:eastAsia="en-US"/>
        </w:rPr>
      </w:pPr>
    </w:p>
    <w:p w14:paraId="0FE67294"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state-law rule at issue here is squarely pre-empted. Therefore, I would reverse the judgment of the Supreme Court of Vermont.</w:t>
      </w:r>
    </w:p>
    <w:p w14:paraId="16C6404E" w14:textId="77777777" w:rsidR="00C85B70" w:rsidRPr="00C85B70" w:rsidRDefault="00C85B70" w:rsidP="00C85B70">
      <w:pPr>
        <w:rPr>
          <w:rFonts w:ascii="Times New Roman" w:eastAsia="Times New Roman" w:hAnsi="Times New Roman" w:cs="Times New Roman"/>
          <w:lang w:eastAsia="en-US"/>
        </w:rPr>
      </w:pPr>
    </w:p>
    <w:p w14:paraId="122C0285" w14:textId="77777777" w:rsidR="00C85B70" w:rsidRPr="00C85B70" w:rsidRDefault="00C85B70" w:rsidP="00910387">
      <w:pPr>
        <w:pStyle w:val="Heading5"/>
      </w:pPr>
      <w:bookmarkStart w:id="1068" w:name="_Toc364636289"/>
      <w:bookmarkStart w:id="1069" w:name="_Toc518323571"/>
      <w:r w:rsidRPr="00C85B70">
        <w:t>Notes</w:t>
      </w:r>
      <w:bookmarkEnd w:id="1068"/>
      <w:bookmarkEnd w:id="1069"/>
    </w:p>
    <w:p w14:paraId="3D696635" w14:textId="77777777" w:rsidR="00C85B70" w:rsidRDefault="00C85B70" w:rsidP="00C85B70">
      <w:pPr>
        <w:rPr>
          <w:rFonts w:ascii="Times New Roman" w:eastAsia="Times New Roman" w:hAnsi="Times New Roman" w:cs="Times New Roman"/>
          <w:lang w:eastAsia="en-US"/>
        </w:rPr>
      </w:pPr>
    </w:p>
    <w:p w14:paraId="715D4F45" w14:textId="77777777" w:rsidR="00945FB9" w:rsidRPr="00C85B70" w:rsidRDefault="00945FB9" w:rsidP="00C85B70">
      <w:pPr>
        <w:rPr>
          <w:rFonts w:ascii="Times New Roman" w:eastAsia="Times New Roman" w:hAnsi="Times New Roman" w:cs="Times New Roman"/>
          <w:lang w:eastAsia="en-US"/>
        </w:rPr>
      </w:pPr>
    </w:p>
    <w:p w14:paraId="0F82DA72" w14:textId="78008935" w:rsidR="00C85B70" w:rsidRPr="00F94B7E" w:rsidRDefault="750671CE" w:rsidP="00F94B7E">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by agencies</w:t>
      </w:r>
      <w:r w:rsidRPr="00F94B7E">
        <w:rPr>
          <w:rFonts w:ascii="Times New Roman" w:eastAsia="Times New Roman" w:hAnsi="Times New Roman" w:cs="Times New Roman"/>
          <w:lang w:eastAsia="en-US"/>
        </w:rPr>
        <w:t xml:space="preserve">.  In both </w:t>
      </w:r>
      <w:r w:rsidRPr="00F94B7E">
        <w:rPr>
          <w:rFonts w:ascii="Times New Roman" w:eastAsia="Times New Roman" w:hAnsi="Times New Roman" w:cs="Times New Roman"/>
          <w:i/>
          <w:iCs/>
          <w:lang w:eastAsia="en-US"/>
        </w:rPr>
        <w:t>Geier</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the view of the agency charged with implementing the federal statute was the subject of significant focus for the Court</w:t>
      </w:r>
      <w:r w:rsidR="001B5615">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even if the agency did not ultimately prevail in </w:t>
      </w:r>
      <w:r w:rsidRPr="00F94B7E">
        <w:rPr>
          <w:rFonts w:ascii="Times New Roman" w:eastAsia="Times New Roman" w:hAnsi="Times New Roman" w:cs="Times New Roman"/>
          <w:i/>
          <w:iCs/>
          <w:lang w:eastAsia="en-US"/>
        </w:rPr>
        <w:t>Wyeth</w:t>
      </w:r>
      <w:r w:rsidRPr="00F94B7E">
        <w:rPr>
          <w:rFonts w:ascii="Times New Roman" w:eastAsia="Times New Roman" w:hAnsi="Times New Roman" w:cs="Times New Roman"/>
          <w:lang w:eastAsia="en-US"/>
        </w:rPr>
        <w:t xml:space="preserve">. What should be the significance of such agency views? One author argues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ever-growing role of agencies gives scholars the coherent analytical framework for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preemption jurisprudence . . . that they have long sought.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Catherine M. Sharkey, </w:t>
      </w:r>
      <w:r w:rsidRPr="00F94B7E">
        <w:rPr>
          <w:rFonts w:ascii="Times New Roman" w:eastAsia="Times New Roman" w:hAnsi="Times New Roman" w:cs="Times New Roman"/>
          <w:i/>
          <w:iCs/>
          <w:lang w:eastAsia="en-US"/>
        </w:rPr>
        <w:t>Inside Agency Preemption</w:t>
      </w:r>
      <w:r w:rsidRPr="00F94B7E">
        <w:rPr>
          <w:rFonts w:ascii="Times New Roman" w:eastAsia="Times New Roman" w:hAnsi="Times New Roman" w:cs="Times New Roman"/>
          <w:lang w:eastAsia="en-US"/>
        </w:rPr>
        <w:t xml:space="preserve">, 110 </w:t>
      </w:r>
      <w:r w:rsidRPr="00F94B7E">
        <w:rPr>
          <w:rFonts w:ascii="Times New Roman" w:eastAsia="Times New Roman" w:hAnsi="Times New Roman" w:cs="Times New Roman"/>
          <w:smallCaps/>
          <w:lang w:eastAsia="en-US"/>
        </w:rPr>
        <w:t>Mich. L. Rev.</w:t>
      </w:r>
      <w:r w:rsidRPr="00F94B7E">
        <w:rPr>
          <w:rFonts w:ascii="Times New Roman" w:eastAsia="Times New Roman" w:hAnsi="Times New Roman" w:cs="Times New Roman"/>
          <w:lang w:eastAsia="en-US"/>
        </w:rPr>
        <w:t xml:space="preserve"> 521 (2012). Professor Sharkey points to a comment Justice Breyer made from the bench in a preemption case dealing with an administrative automobile safety regulation:</w:t>
      </w:r>
    </w:p>
    <w:p w14:paraId="2A02FD10" w14:textId="77777777" w:rsidR="00C85B70" w:rsidRPr="00C85B70" w:rsidRDefault="00C85B70" w:rsidP="00C85B70">
      <w:pPr>
        <w:rPr>
          <w:rFonts w:ascii="Times New Roman" w:eastAsia="Times New Roman" w:hAnsi="Times New Roman" w:cs="Times New Roman"/>
          <w:lang w:eastAsia="en-US"/>
        </w:rPr>
      </w:pPr>
    </w:p>
    <w:p w14:paraId="4FB32AC0" w14:textId="62515754"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Justice Stephen Breyer . . . tipped his hand during oral argument [in </w:t>
      </w:r>
      <w:r w:rsidRPr="750671CE">
        <w:rPr>
          <w:rFonts w:ascii="Times New Roman" w:eastAsia="Times New Roman" w:hAnsi="Times New Roman" w:cs="Times New Roman"/>
          <w:i/>
          <w:iCs/>
          <w:lang w:eastAsia="en-US"/>
        </w:rPr>
        <w:t>Williamson v. Mazda Motor of America</w:t>
      </w:r>
      <w:r w:rsidRPr="750671CE">
        <w:rPr>
          <w:rFonts w:ascii="Times New Roman" w:eastAsia="Times New Roman" w:hAnsi="Times New Roman" w:cs="Times New Roman"/>
          <w:lang w:eastAsia="en-US"/>
        </w:rPr>
        <w:t xml:space="preserve">, 562 U.S. __, 131 S. Ct. 1131 (2011)], asking rhetorically: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Who is most likely to know what 40,000 pages of agency record actually mean and say? People in the agency. And the second most likely is the [Solicitor General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rPr>
          <w:rFonts w:ascii="Times New Roman" w:eastAsia="Times New Roman" w:hAnsi="Times New Roman" w:cs="Times New Roman"/>
          <w:lang w:eastAsia="en-US"/>
        </w:rPr>
        <w:t>”</w:t>
      </w:r>
    </w:p>
    <w:p w14:paraId="277BDCB8" w14:textId="77777777" w:rsidR="00C85B70" w:rsidRPr="00C85B70" w:rsidRDefault="00C85B70" w:rsidP="00C85B70">
      <w:pPr>
        <w:ind w:left="720" w:right="720"/>
        <w:rPr>
          <w:rFonts w:ascii="Times New Roman" w:eastAsia="Times New Roman" w:hAnsi="Times New Roman" w:cs="Times New Roman"/>
          <w:lang w:eastAsia="en-US"/>
        </w:rPr>
      </w:pPr>
    </w:p>
    <w:p w14:paraId="55CF57EF" w14:textId="479CBAF4"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 xml:space="preserve">  As Professor Sharkey notes, the Court in </w:t>
      </w:r>
      <w:r w:rsidRPr="750671CE">
        <w:rPr>
          <w:rFonts w:ascii="Times New Roman" w:eastAsia="Times New Roman" w:hAnsi="Times New Roman" w:cs="Times New Roman"/>
          <w:i/>
          <w:iCs/>
          <w:lang w:eastAsia="en-US"/>
        </w:rPr>
        <w:t>Levine</w:t>
      </w:r>
      <w:r w:rsidRPr="750671CE">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looked with particular disdain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 the agency preemption provision in </w:t>
      </w:r>
      <w:r w:rsidRPr="750671CE">
        <w:rPr>
          <w:rFonts w:ascii="Times New Roman" w:eastAsia="Times New Roman" w:hAnsi="Times New Roman" w:cs="Times New Roman"/>
          <w:i/>
          <w:iCs/>
          <w:lang w:eastAsia="en-US"/>
        </w:rPr>
        <w:t>Levine</w:t>
      </w:r>
      <w:r w:rsidR="001B561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far more disdain than Breyer suggested here in his comments from the bench two years later.  Why?  Because, as Professor Sharkey puts it,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procedural irregularities that accompanied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inclusion of its preemptive intent statement in the preamble to the drug labeling rule.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0E6D448B"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0EB3E5F" w14:textId="1B5EB24C"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When the FDA issued its notice of proposed rulemaking in December 2000, it explained that the rule would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contain policies that have federalism implications or that preempt State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2006, the agency finalized the rule and, without offering States or other interested parties notice or opportunity for comment, articulated a sweeping position on the FDCA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pre-emptive effect in the regulatory preamble. The agency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views on state law are inherently suspect in light of this procedural failure.</w:t>
      </w:r>
    </w:p>
    <w:p w14:paraId="2BC48CFE" w14:textId="77777777" w:rsidR="00C85B70" w:rsidRPr="00C85B70" w:rsidRDefault="00C85B70" w:rsidP="00C85B70">
      <w:pPr>
        <w:ind w:left="720" w:right="720"/>
        <w:rPr>
          <w:rFonts w:ascii="Times New Roman" w:eastAsia="Times New Roman" w:hAnsi="Times New Roman" w:cs="Times New Roman"/>
          <w:lang w:eastAsia="en-US"/>
        </w:rPr>
      </w:pPr>
    </w:p>
    <w:p w14:paraId="2E61B4E1" w14:textId="316C267A"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 xml:space="preserve">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preemption provision, in other words, did not comply with the basic procedural requirements for rulemaking in the administrative state as set out in the Administrative Procedure Act.</w:t>
      </w:r>
    </w:p>
    <w:p w14:paraId="7564F5F3" w14:textId="77777777" w:rsidR="00C85B70" w:rsidRPr="00C85B70" w:rsidRDefault="00C85B70" w:rsidP="00C85B70">
      <w:pPr>
        <w:rPr>
          <w:rFonts w:ascii="Times New Roman" w:eastAsia="Times New Roman" w:hAnsi="Times New Roman" w:cs="Times New Roman"/>
          <w:lang w:eastAsia="en-US"/>
        </w:rPr>
      </w:pPr>
    </w:p>
    <w:p w14:paraId="3D3C5FCB" w14:textId="77777777" w:rsidR="00C85B70" w:rsidRPr="00C85B70" w:rsidRDefault="00C85B70" w:rsidP="00C85B70">
      <w:pPr>
        <w:rPr>
          <w:rFonts w:ascii="Times New Roman" w:eastAsia="Times New Roman" w:hAnsi="Times New Roman" w:cs="Times New Roman"/>
          <w:lang w:eastAsia="en-US"/>
        </w:rPr>
      </w:pPr>
    </w:p>
    <w:p w14:paraId="5033B39B" w14:textId="62BCF07D" w:rsidR="00C85B70" w:rsidRPr="00F94B7E" w:rsidRDefault="750671CE" w:rsidP="00F94B7E">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and administrative compensation schemes.</w:t>
      </w:r>
      <w:r w:rsidRPr="00F94B7E">
        <w:rPr>
          <w:rFonts w:ascii="Times New Roman" w:eastAsia="Times New Roman" w:hAnsi="Times New Roman" w:cs="Times New Roman"/>
          <w:lang w:eastAsia="en-US"/>
        </w:rPr>
        <w:t xml:space="preserve"> Federal agency regulation of conduct may effectively substitute for state tort law causes of action (in one sense, at least) by ensuring that manufacturers of devices make safe products. But agency regulation typically does not provide compensation to people injured by devices. One alternative scheme is the framework established for vaccines, described by the Court in </w:t>
      </w:r>
      <w:r w:rsidRPr="00F94B7E">
        <w:rPr>
          <w:rFonts w:ascii="Times New Roman" w:eastAsia="Times New Roman" w:hAnsi="Times New Roman" w:cs="Times New Roman"/>
          <w:i/>
          <w:iCs/>
          <w:lang w:eastAsia="en-US"/>
        </w:rPr>
        <w:t>Bruesewitz v. Wyeth</w:t>
      </w:r>
      <w:r w:rsidRPr="00F94B7E">
        <w:rPr>
          <w:rFonts w:ascii="Times New Roman" w:eastAsia="Times New Roman" w:hAnsi="Times New Roman" w:cs="Times New Roman"/>
          <w:lang w:eastAsia="en-US"/>
        </w:rPr>
        <w:t>, 562 U.S. 223 (2011).</w:t>
      </w:r>
    </w:p>
    <w:p w14:paraId="6A7E185F" w14:textId="77777777" w:rsidR="00C85B70" w:rsidRPr="00C85B70" w:rsidRDefault="00C85B70" w:rsidP="00C85B70">
      <w:pPr>
        <w:rPr>
          <w:rFonts w:ascii="Times New Roman" w:eastAsia="Times New Roman" w:hAnsi="Times New Roman" w:cs="Times New Roman"/>
          <w:lang w:eastAsia="en-US"/>
        </w:rPr>
      </w:pPr>
    </w:p>
    <w:p w14:paraId="0279F744" w14:textId="6F52888C"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one of the greatest achievements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of public health in the 20th century. But in the 1970</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and 1980</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C85B70" w:rsidRDefault="00C85B70" w:rsidP="00F94B7E">
      <w:pPr>
        <w:ind w:left="720" w:right="720"/>
        <w:jc w:val="both"/>
        <w:rPr>
          <w:rFonts w:ascii="Times New Roman" w:eastAsia="Times New Roman" w:hAnsi="Times New Roman" w:cs="Times New Roman"/>
          <w:lang w:eastAsia="en-US"/>
        </w:rPr>
      </w:pPr>
    </w:p>
    <w:p w14:paraId="1E23DBD8" w14:textId="524C3B96"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Much of the concern centered around vaccines against diphtheria, tetanus, and pertussis (DTP), which were blamed for children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disabilities and developmental delays. This led to a massive increase in vaccine-related tort litigation. Whereas between 1978 and 1981 only nine product-liability suits were filed against DTP manufacturers, by the mid-1980</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C85B70" w:rsidRDefault="00C85B70" w:rsidP="00F94B7E">
      <w:pPr>
        <w:ind w:left="720" w:right="720"/>
        <w:jc w:val="both"/>
        <w:rPr>
          <w:rFonts w:ascii="Times New Roman" w:eastAsia="Times New Roman" w:hAnsi="Times New Roman" w:cs="Times New Roman"/>
          <w:lang w:eastAsia="en-US"/>
        </w:rPr>
      </w:pPr>
    </w:p>
    <w:p w14:paraId="3689CBF2" w14:textId="7777777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C85B70" w:rsidRDefault="00C85B70" w:rsidP="00F94B7E">
      <w:pPr>
        <w:ind w:left="720" w:right="720"/>
        <w:jc w:val="both"/>
        <w:rPr>
          <w:rFonts w:ascii="Times New Roman" w:eastAsia="Times New Roman" w:hAnsi="Times New Roman" w:cs="Times New Roman"/>
          <w:lang w:eastAsia="en-US"/>
        </w:rPr>
      </w:pPr>
    </w:p>
    <w:p w14:paraId="44E9519E" w14:textId="0328932F"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To stabilize the vaccine market and facilitate compensation, Congress enacted the NCVIA [National Childhood Vaccine Injury Act] in 1986. The Act establishes a no-fault compensation program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designed to work faster and with greater ease than the civil tort system.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  </w:t>
      </w:r>
    </w:p>
    <w:p w14:paraId="45ECF716" w14:textId="77777777" w:rsidR="00C85B70" w:rsidRPr="00C85B70" w:rsidRDefault="00C85B70" w:rsidP="00F94B7E">
      <w:pPr>
        <w:ind w:left="720" w:right="720"/>
        <w:jc w:val="both"/>
        <w:rPr>
          <w:rFonts w:ascii="Times New Roman" w:eastAsia="Times New Roman" w:hAnsi="Times New Roman" w:cs="Times New Roman"/>
          <w:lang w:eastAsia="en-US"/>
        </w:rPr>
      </w:pPr>
    </w:p>
    <w:p w14:paraId="2ECFD4EB" w14:textId="1FDF3AC5"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Fast, informal adjudication is made possible by the Act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Vaccine Injury Table, which lists the vaccines covered under the Act; describes each vaccine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C85B70" w:rsidRDefault="00C85B70" w:rsidP="00F94B7E">
      <w:pPr>
        <w:ind w:left="720" w:right="720"/>
        <w:jc w:val="both"/>
        <w:rPr>
          <w:rFonts w:ascii="Times New Roman" w:eastAsia="Times New Roman" w:hAnsi="Times New Roman" w:cs="Times New Roman"/>
          <w:lang w:eastAsia="en-US"/>
        </w:rPr>
      </w:pPr>
    </w:p>
    <w:p w14:paraId="7A38907E" w14:textId="048791B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physician. They are immunized from liability for punitive damages absent failure to comply with regulatory requirements,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fraud,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intentional and wrongful withholding of information,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or other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criminal or illegal activity.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most relevant to the present case, the Act expressly eliminates liability for a vaccine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unavoidable, adverse side effects[.]</w:t>
      </w:r>
    </w:p>
    <w:p w14:paraId="670C37AB" w14:textId="77777777" w:rsidR="00C85B70" w:rsidRPr="00C85B70" w:rsidRDefault="00C85B70" w:rsidP="00C85B70">
      <w:pPr>
        <w:ind w:left="720" w:right="720"/>
        <w:rPr>
          <w:rFonts w:ascii="Times New Roman" w:eastAsia="Times New Roman" w:hAnsi="Times New Roman" w:cs="Times New Roman"/>
          <w:lang w:eastAsia="en-US"/>
        </w:rPr>
      </w:pPr>
    </w:p>
    <w:p w14:paraId="5AC08BBD" w14:textId="3F4291E2" w:rsidR="00C85B70" w:rsidRPr="00C85B70" w:rsidRDefault="750671CE" w:rsidP="001B5615">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w:t>
      </w:r>
      <w:r w:rsidRPr="750671CE">
        <w:rPr>
          <w:rFonts w:ascii="Times New Roman" w:eastAsia="Times New Roman" w:hAnsi="Times New Roman" w:cs="Times New Roman"/>
          <w:i/>
          <w:iCs/>
          <w:lang w:eastAsia="en-US"/>
        </w:rPr>
        <w:t>Breusewitz</w:t>
      </w:r>
      <w:r w:rsidRPr="750671CE">
        <w:rPr>
          <w:rFonts w:ascii="Times New Roman" w:eastAsia="Times New Roman" w:hAnsi="Times New Roman" w:cs="Times New Roman"/>
          <w:lang w:eastAsia="en-US"/>
        </w:rPr>
        <w:t xml:space="preserve">, the Court held that the National Childhood Vaccine Injury Act preempted state tort claims alleging that a vaccine was defectively designed. This statutory scheme has a mechanism for deterrence (compliance with federal regulation) and a mechanism for compensation (a no-fault compensation scheme funding through an excise tax). But unlike state tort law, the Vaccine Injury Act does not link the two functions together.  </w:t>
      </w:r>
    </w:p>
    <w:p w14:paraId="27BDABBA" w14:textId="77777777" w:rsidR="00C85B70" w:rsidRPr="00C85B70" w:rsidRDefault="00C85B70" w:rsidP="00C85B70">
      <w:pPr>
        <w:ind w:right="720"/>
        <w:rPr>
          <w:rFonts w:ascii="Times New Roman" w:eastAsia="Times New Roman" w:hAnsi="Times New Roman" w:cs="Times New Roman"/>
          <w:lang w:eastAsia="en-US"/>
        </w:rPr>
      </w:pPr>
    </w:p>
    <w:p w14:paraId="3271BEC9" w14:textId="77777777" w:rsidR="00C85B70" w:rsidRPr="00C85B70" w:rsidRDefault="00C85B70" w:rsidP="00C85B70">
      <w:pPr>
        <w:ind w:right="720"/>
        <w:rPr>
          <w:rFonts w:ascii="Times New Roman" w:eastAsia="Times New Roman" w:hAnsi="Times New Roman" w:cs="Times New Roman"/>
          <w:lang w:eastAsia="en-US"/>
        </w:rPr>
      </w:pPr>
    </w:p>
    <w:p w14:paraId="50B0F20C" w14:textId="3D6069F1" w:rsidR="00C85B70" w:rsidRPr="00F94B7E" w:rsidRDefault="750671CE" w:rsidP="00F94B7E">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Medical device preemption</w:t>
      </w:r>
      <w:r w:rsidRPr="00F94B7E">
        <w:rPr>
          <w:rFonts w:ascii="Times New Roman" w:eastAsia="Times New Roman" w:hAnsi="Times New Roman" w:cs="Times New Roman"/>
          <w:lang w:eastAsia="en-US"/>
        </w:rPr>
        <w:t xml:space="preserve">. Medical devices, despite being similar to prescription drugs in many ways, face a different preemption structure from the one at issue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For devices, the text of the relevant statute provides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21 U.S.C. § 360k(a). The U.S. Supreme Court has interpreted this statute </w:t>
      </w:r>
      <w:r w:rsidR="00231BD1">
        <w:rPr>
          <w:rFonts w:ascii="Times New Roman" w:eastAsia="Times New Roman" w:hAnsi="Times New Roman" w:cs="Times New Roman"/>
          <w:lang w:eastAsia="en-US"/>
        </w:rPr>
        <w:t xml:space="preserve">broadly </w:t>
      </w:r>
      <w:r w:rsidRPr="00F94B7E">
        <w:rPr>
          <w:rFonts w:ascii="Times New Roman" w:eastAsia="Times New Roman" w:hAnsi="Times New Roman" w:cs="Times New Roman"/>
          <w:lang w:eastAsia="en-US"/>
        </w:rPr>
        <w:t xml:space="preserve">to preempt state tort claims concerning devices that have gone through the full FDA premarket approval process. </w:t>
      </w:r>
      <w:r w:rsidRPr="00F94B7E">
        <w:rPr>
          <w:rFonts w:ascii="Times New Roman" w:eastAsia="Times New Roman" w:hAnsi="Times New Roman" w:cs="Times New Roman"/>
          <w:i/>
          <w:iCs/>
          <w:lang w:eastAsia="en-US"/>
        </w:rPr>
        <w:t>See Riegel v. Medtronic, Inc</w:t>
      </w:r>
      <w:r w:rsidRPr="00F94B7E">
        <w:rPr>
          <w:rFonts w:ascii="Times New Roman" w:eastAsia="Times New Roman" w:hAnsi="Times New Roman" w:cs="Times New Roman"/>
          <w:lang w:eastAsia="en-US"/>
        </w:rPr>
        <w:t xml:space="preserve">., 555 U.S. 312 (2008). However, devices that were already on the market before the creation of the medical devices regulatory regime were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grandfathered</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exempted from the premarket approval process, as were devices that were substantially similar to grandfathered devices. The Court ruled that such devices were not subject to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requirements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under the statute, and therefore that state tort claims were generally not preempted. </w:t>
      </w:r>
      <w:r w:rsidRPr="00F94B7E">
        <w:rPr>
          <w:rFonts w:ascii="Times New Roman" w:eastAsia="Times New Roman" w:hAnsi="Times New Roman" w:cs="Times New Roman"/>
          <w:i/>
          <w:iCs/>
          <w:lang w:eastAsia="en-US"/>
        </w:rPr>
        <w:t>Medtronic, Inc. v. Lohr</w:t>
      </w:r>
      <w:r w:rsidRPr="00F94B7E">
        <w:rPr>
          <w:rFonts w:ascii="Times New Roman" w:eastAsia="Times New Roman" w:hAnsi="Times New Roman" w:cs="Times New Roman"/>
          <w:lang w:eastAsia="en-US"/>
        </w:rPr>
        <w:t>, 518 U.S. 470 (1996).</w:t>
      </w:r>
    </w:p>
    <w:p w14:paraId="2F4285B6" w14:textId="77777777" w:rsidR="00C85B70" w:rsidRPr="00C85B70" w:rsidRDefault="00C85B70" w:rsidP="00C85B70">
      <w:pPr>
        <w:ind w:right="720"/>
        <w:rPr>
          <w:rFonts w:ascii="Times New Roman" w:eastAsia="Times New Roman" w:hAnsi="Times New Roman" w:cs="Times New Roman"/>
          <w:lang w:eastAsia="en-US"/>
        </w:rPr>
      </w:pPr>
    </w:p>
    <w:p w14:paraId="2610584F" w14:textId="77777777" w:rsidR="00C85B70" w:rsidRPr="00C85B70" w:rsidRDefault="00C85B70" w:rsidP="00C85B70">
      <w:pPr>
        <w:rPr>
          <w:rFonts w:ascii="Times New Roman" w:eastAsia="Times New Roman" w:hAnsi="Times New Roman" w:cs="Times New Roman"/>
          <w:lang w:eastAsia="en-US"/>
        </w:rPr>
      </w:pPr>
    </w:p>
    <w:p w14:paraId="5C188339" w14:textId="36CD2190" w:rsidR="00C85B70" w:rsidRPr="00F94B7E" w:rsidRDefault="750671CE" w:rsidP="00F94B7E">
      <w:pPr>
        <w:pStyle w:val="ListParagraph"/>
        <w:numPr>
          <w:ilvl w:val="0"/>
          <w:numId w:val="53"/>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took up the question of brand-name manufacturers and their obligations under state tort law. But what about the manufacturers of generic drugs? That question came to the Supreme Court a short two years later:</w:t>
      </w:r>
    </w:p>
    <w:p w14:paraId="336F0836" w14:textId="77777777" w:rsidR="00C85B70" w:rsidRPr="00C85B70" w:rsidRDefault="00C85B70" w:rsidP="00C85B70">
      <w:pPr>
        <w:rPr>
          <w:rFonts w:ascii="Times New Roman" w:eastAsia="Times New Roman" w:hAnsi="Times New Roman" w:cs="Times New Roman"/>
          <w:lang w:eastAsia="en-US"/>
        </w:rPr>
      </w:pPr>
    </w:p>
    <w:p w14:paraId="5D9E5151" w14:textId="06A8C1FD" w:rsidR="00671F38" w:rsidRDefault="00671F38">
      <w:pPr>
        <w:rPr>
          <w:rFonts w:ascii="Times New Roman" w:eastAsia="Times New Roman" w:hAnsi="Times New Roman" w:cs="Times New Roman"/>
          <w:lang w:eastAsia="en-US"/>
        </w:rPr>
      </w:pPr>
    </w:p>
    <w:p w14:paraId="7CD32D5A" w14:textId="768D5113" w:rsidR="00C85B70" w:rsidRPr="00C85B70" w:rsidRDefault="00C85B70" w:rsidP="750671CE">
      <w:pPr>
        <w:rPr>
          <w:rFonts w:ascii="Times New Roman" w:eastAsia="Times New Roman" w:hAnsi="Times New Roman" w:cs="Times New Roman"/>
          <w:b/>
          <w:bCs/>
          <w:lang w:eastAsia="en-US"/>
        </w:rPr>
      </w:pPr>
      <w:bookmarkStart w:id="1070" w:name="_Toc518323572"/>
      <w:r w:rsidRPr="00642C0A">
        <w:rPr>
          <w:rStyle w:val="Heading4Char"/>
        </w:rPr>
        <w:t>PLIVA, Inc. v. Mensing</w:t>
      </w:r>
      <w:bookmarkEnd w:id="1070"/>
      <w:r w:rsidR="00642C0A" w:rsidRPr="750671CE">
        <w:rPr>
          <w:rFonts w:ascii="Times New Roman" w:eastAsia="Times New Roman" w:hAnsi="Times New Roman" w:cs="Times New Roman"/>
          <w:b/>
          <w:bCs/>
          <w:lang w:eastAsia="en-US"/>
        </w:rPr>
        <w:t xml:space="preserve">, </w:t>
      </w:r>
      <w:r w:rsidR="00231BD1">
        <w:rPr>
          <w:rFonts w:ascii="Times New Roman" w:eastAsia="Times New Roman" w:hAnsi="Times New Roman" w:cs="Times New Roman"/>
          <w:b/>
          <w:bCs/>
          <w:lang w:eastAsia="en-US"/>
        </w:rPr>
        <w:t xml:space="preserve">564 U.S. 604 </w:t>
      </w:r>
      <w:r w:rsidRPr="750671CE">
        <w:rPr>
          <w:rFonts w:ascii="Times New Roman" w:eastAsia="Times New Roman" w:hAnsi="Times New Roman" w:cs="Times New Roman"/>
          <w:b/>
          <w:bCs/>
          <w:lang w:eastAsia="en-US"/>
        </w:rPr>
        <w:t>(2011)</w:t>
      </w:r>
    </w:p>
    <w:p w14:paraId="4C7FD0CD" w14:textId="77777777" w:rsidR="00C85B70" w:rsidRPr="00C85B70" w:rsidRDefault="00C85B70" w:rsidP="00C85B70">
      <w:pPr>
        <w:rPr>
          <w:rFonts w:ascii="Times New Roman" w:eastAsia="Times New Roman" w:hAnsi="Times New Roman" w:cs="Times New Roman"/>
          <w:b/>
          <w:lang w:eastAsia="en-US"/>
        </w:rPr>
      </w:pPr>
    </w:p>
    <w:p w14:paraId="5E7A3318" w14:textId="4C14848A"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Thomas</w:t>
      </w:r>
      <w:r w:rsidR="001B5615">
        <w:rPr>
          <w:rFonts w:ascii="Times New Roman" w:eastAsia="Times New Roman" w:hAnsi="Times New Roman" w:cs="Times New Roman"/>
          <w:smallCaps/>
          <w:lang w:eastAsia="en-US"/>
        </w:rPr>
        <w:t>, J.,</w:t>
      </w:r>
      <w:r w:rsidRPr="750671CE">
        <w:rPr>
          <w:rFonts w:ascii="Times New Roman" w:eastAsia="Times New Roman" w:hAnsi="Times New Roman" w:cs="Times New Roman"/>
          <w:lang w:eastAsia="en-US"/>
        </w:rPr>
        <w:t xml:space="preserve"> </w:t>
      </w:r>
    </w:p>
    <w:p w14:paraId="11070BC5" w14:textId="77777777" w:rsidR="00C85B70" w:rsidRPr="00C85B70" w:rsidRDefault="00C85B70" w:rsidP="00C85B70">
      <w:pPr>
        <w:rPr>
          <w:rFonts w:ascii="Times New Roman" w:eastAsia="Times New Roman" w:hAnsi="Times New Roman" w:cs="Times New Roman"/>
          <w:lang w:eastAsia="en-US"/>
        </w:rPr>
      </w:pPr>
    </w:p>
    <w:p w14:paraId="565B3532" w14:textId="666AD5F3" w:rsidR="00C85B70" w:rsidRPr="00121DBE" w:rsidRDefault="750671CE" w:rsidP="750671CE">
      <w:pPr>
        <w:ind w:firstLine="720"/>
        <w:rPr>
          <w:rFonts w:ascii="Times New Roman" w:eastAsia="Times New Roman" w:hAnsi="Times New Roman" w:cs="Times New Roman"/>
          <w:lang w:eastAsia="en-US"/>
        </w:rPr>
      </w:pPr>
      <w:r w:rsidRPr="00121DBE">
        <w:rPr>
          <w:rFonts w:ascii="Times New Roman" w:eastAsia="Times New Roman" w:hAnsi="Times New Roman" w:cs="Times New Roman"/>
          <w:lang w:eastAsia="en-US"/>
        </w:rPr>
        <w:t>These consolidated lawsuits involve state tort-law claims based on certain drug</w:t>
      </w:r>
      <w:r w:rsidRPr="00DB5930">
        <w:rPr>
          <w:rFonts w:ascii="Times New Roman" w:eastAsia="Times New Roman" w:hAnsi="Times New Roman" w:cs="Times New Roman"/>
          <w:lang w:eastAsia="en-US"/>
        </w:rPr>
        <w:t xml:space="preserve"> manufacturers</w:t>
      </w:r>
      <w:r w:rsidR="00B05F31" w:rsidRPr="00121DBE">
        <w:rPr>
          <w:rFonts w:ascii="Times New Roman" w:eastAsia="Times New Roman" w:hAnsi="Times New Roman" w:cs="Times New Roman"/>
          <w:lang w:eastAsia="en-US"/>
        </w:rPr>
        <w:t>’</w:t>
      </w:r>
      <w:r w:rsidRPr="00121DBE">
        <w:rPr>
          <w:rFonts w:ascii="Times New Roman" w:eastAsia="Times New Roman" w:hAnsi="Times New Roman" w:cs="Times New Roman"/>
          <w:lang w:eastAsia="en-US"/>
        </w:rPr>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04149496" w14:textId="77777777" w:rsidR="00C85B70" w:rsidRPr="00121DBE" w:rsidRDefault="00C85B70" w:rsidP="00C85B70">
      <w:pPr>
        <w:rPr>
          <w:rFonts w:ascii="Times New Roman" w:eastAsia="Times New Roman" w:hAnsi="Times New Roman" w:cs="Times New Roman"/>
          <w:lang w:eastAsia="en-US"/>
        </w:rPr>
      </w:pPr>
    </w:p>
    <w:p w14:paraId="2494F4AB" w14:textId="77777777" w:rsidR="00C85B70" w:rsidRPr="00121DBE" w:rsidRDefault="750671CE" w:rsidP="750671CE">
      <w:pPr>
        <w:ind w:firstLine="720"/>
        <w:rPr>
          <w:rFonts w:ascii="Times New Roman" w:eastAsia="Times New Roman" w:hAnsi="Times New Roman" w:cs="Times New Roman"/>
          <w:lang w:eastAsia="en-US"/>
        </w:rPr>
      </w:pPr>
      <w:r w:rsidRPr="00121DBE">
        <w:rPr>
          <w:rFonts w:ascii="Times New Roman" w:eastAsia="Times New Roman" w:hAnsi="Times New Roman" w:cs="Times New Roman"/>
          <w:lang w:eastAsia="en-US"/>
        </w:rPr>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121DBE" w:rsidRDefault="00C85B70" w:rsidP="00C85B70">
      <w:pPr>
        <w:rPr>
          <w:rFonts w:ascii="Times New Roman" w:eastAsia="Times New Roman" w:hAnsi="Times New Roman" w:cs="Times New Roman"/>
          <w:lang w:eastAsia="en-US"/>
        </w:rPr>
      </w:pPr>
    </w:p>
    <w:p w14:paraId="675984A8" w14:textId="4A2D89E8" w:rsidR="00C85B70" w:rsidRPr="00121DBE" w:rsidRDefault="750671CE" w:rsidP="750671CE">
      <w:pPr>
        <w:ind w:firstLine="720"/>
        <w:rPr>
          <w:rFonts w:ascii="Times New Roman" w:eastAsia="Times New Roman" w:hAnsi="Times New Roman" w:cs="Times New Roman"/>
          <w:lang w:eastAsia="en-US"/>
        </w:rPr>
      </w:pPr>
      <w:r w:rsidRPr="00121DBE">
        <w:rPr>
          <w:rFonts w:ascii="Times New Roman" w:eastAsia="Times New Roman" w:hAnsi="Times New Roman" w:cs="Times New Roman"/>
          <w:lang w:eastAsia="en-US"/>
        </w:rPr>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121DBE" w:rsidRDefault="00C85B70" w:rsidP="00C85B70">
      <w:pPr>
        <w:rPr>
          <w:rFonts w:ascii="Times New Roman" w:eastAsia="Times New Roman" w:hAnsi="Times New Roman" w:cs="Times New Roman"/>
          <w:lang w:eastAsia="en-US"/>
        </w:rPr>
      </w:pPr>
    </w:p>
    <w:p w14:paraId="54E6F6EA" w14:textId="77777777" w:rsidR="00C85B70" w:rsidRPr="00121DBE" w:rsidRDefault="750671CE" w:rsidP="750671CE">
      <w:pPr>
        <w:ind w:firstLine="720"/>
        <w:rPr>
          <w:rFonts w:ascii="Times New Roman" w:eastAsia="Times New Roman" w:hAnsi="Times New Roman" w:cs="Times New Roman"/>
          <w:lang w:eastAsia="en-US"/>
        </w:rPr>
      </w:pPr>
      <w:r w:rsidRPr="00121DBE">
        <w:rPr>
          <w:rFonts w:ascii="Times New Roman" w:eastAsia="Times New Roman" w:hAnsi="Times New Roman" w:cs="Times New Roman"/>
          <w:lang w:eastAsia="en-US"/>
        </w:rPr>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p>
    <w:p w14:paraId="3B9B4C72" w14:textId="77777777" w:rsidR="00C85B70" w:rsidRPr="00C85B70" w:rsidRDefault="00C85B70" w:rsidP="00C85B70">
      <w:pPr>
        <w:rPr>
          <w:rFonts w:ascii="Times New Roman" w:eastAsia="Times New Roman" w:hAnsi="Times New Roman" w:cs="Times New Roman"/>
          <w:lang w:eastAsia="en-US"/>
        </w:rPr>
      </w:pPr>
    </w:p>
    <w:p w14:paraId="4FD0784C" w14:textId="01BB0FD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p>
    <w:p w14:paraId="0BA3CF02" w14:textId="77777777" w:rsidR="00C85B70" w:rsidRPr="00C85B70" w:rsidRDefault="00C85B70" w:rsidP="00C85B70">
      <w:pPr>
        <w:rPr>
          <w:rFonts w:ascii="Times New Roman" w:eastAsia="Times New Roman" w:hAnsi="Times New Roman" w:cs="Times New Roman"/>
          <w:lang w:eastAsia="en-US"/>
        </w:rPr>
      </w:pPr>
    </w:p>
    <w:p w14:paraId="26493993" w14:textId="5010791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First, Mensing and Demahy urge that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changes-being-effected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(CBE) process allowed the Manufacturers to change their labels when necessary. The CBE process permits drug manufacturers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add or strengthen a contraindication, warning, [or] precaution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C85B70" w:rsidRDefault="00C85B70" w:rsidP="00C85B70">
      <w:pPr>
        <w:rPr>
          <w:rFonts w:ascii="Times New Roman" w:eastAsia="Times New Roman" w:hAnsi="Times New Roman" w:cs="Times New Roman"/>
          <w:lang w:eastAsia="en-US"/>
        </w:rPr>
      </w:pPr>
    </w:p>
    <w:p w14:paraId="45484D69" w14:textId="247BFDF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FDA denies that the Manufacturers could have used the CBE process to unilaterally strengthen their warning labels. . . . The FDA argues that CBE changes unilaterally made to strengthen a generic drug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warning label would violate the statutes and regulations requiring a generic drug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 to match its brand-name counterpart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We defer to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interpretation of its CBE and generic labeling regulations. . . . We therefore conclude that the CBE process was not open to the Manufacturers for the sort of change required by state law. . . .</w:t>
      </w:r>
    </w:p>
    <w:p w14:paraId="01CE7CDB" w14:textId="77777777" w:rsidR="00C85B70" w:rsidRPr="00C85B70" w:rsidRDefault="00C85B70" w:rsidP="00C85B70">
      <w:pPr>
        <w:rPr>
          <w:rFonts w:ascii="Times New Roman" w:eastAsia="Times New Roman" w:hAnsi="Times New Roman" w:cs="Times New Roman"/>
          <w:lang w:eastAsia="en-US"/>
        </w:rPr>
      </w:pPr>
    </w:p>
    <w:p w14:paraId="69988A83"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C85B70" w:rsidRDefault="00C85B70" w:rsidP="00C85B70">
      <w:pPr>
        <w:rPr>
          <w:rFonts w:ascii="Times New Roman" w:eastAsia="Times New Roman" w:hAnsi="Times New Roman" w:cs="Times New Roman"/>
          <w:lang w:eastAsia="en-US"/>
        </w:rPr>
      </w:pPr>
    </w:p>
    <w:p w14:paraId="4A7B2C75" w14:textId="1198752E"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According to the FDA . . .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central premise of federal drug regulation is that the manufacturer bears responsibility for the content of its label at all times.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C85B70" w:rsidRDefault="00C85B70" w:rsidP="00C85B70">
      <w:pPr>
        <w:rPr>
          <w:rFonts w:ascii="Times New Roman" w:eastAsia="Times New Roman" w:hAnsi="Times New Roman" w:cs="Times New Roman"/>
          <w:lang w:eastAsia="en-US"/>
        </w:rPr>
      </w:pPr>
    </w:p>
    <w:p w14:paraId="33A52161" w14:textId="08B00A7A"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 summarize, the relevant state and federal requirements are these: State tort law places a duty directly on all drug manufacturers to adequately and safely label their products. Taking Mensing and Demahy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C85B70" w:rsidRDefault="00C85B70" w:rsidP="00C85B70">
      <w:pPr>
        <w:rPr>
          <w:rFonts w:ascii="Times New Roman" w:eastAsia="Times New Roman" w:hAnsi="Times New Roman" w:cs="Times New Roman"/>
          <w:lang w:eastAsia="en-US"/>
        </w:rPr>
      </w:pPr>
    </w:p>
    <w:p w14:paraId="16155AD8" w14:textId="070D3320" w:rsidR="00C85B70" w:rsidRPr="00C85B70" w:rsidRDefault="00C85B70" w:rsidP="750671CE">
      <w:pPr>
        <w:ind w:firstLine="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We find impossibility [preemption] here. It was not lawful under federal law for the Manufacturers to do what state law required of them. And even if they had fulfilled their federal duty to ask for FDA</w:t>
      </w:r>
      <w:r w:rsidR="001B5615">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assistance, they would not have satisfied the requirements of state law.</w:t>
      </w:r>
    </w:p>
    <w:p w14:paraId="4C4ABC00" w14:textId="77777777" w:rsidR="00C85B70" w:rsidRPr="00C85B70" w:rsidRDefault="00C85B70" w:rsidP="00C85B70">
      <w:pPr>
        <w:rPr>
          <w:rFonts w:ascii="Times New Roman" w:eastAsia="Times New Roman" w:hAnsi="Times New Roman" w:cs="Times New Roman"/>
          <w:lang w:eastAsia="en-US"/>
        </w:rPr>
      </w:pPr>
    </w:p>
    <w:p w14:paraId="6A1B3A4B" w14:textId="4FA71D0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If the Manufacturers had independently changed their labels to satisfy their state-law duty, they would have violated federal law. Taking Mensing and Demahy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C85B70" w:rsidRDefault="00C85B70" w:rsidP="00C85B70">
      <w:pPr>
        <w:rPr>
          <w:rFonts w:ascii="Times New Roman" w:eastAsia="Times New Roman" w:hAnsi="Times New Roman" w:cs="Times New Roman"/>
          <w:lang w:eastAsia="en-US"/>
        </w:rPr>
      </w:pPr>
    </w:p>
    <w:p w14:paraId="3794E9D6" w14:textId="03FCE1A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federal duty to ask the FDA for help in strengthening the corresponding brand-name label, assuming such a duty exists, does not change this analysis. Although requesting FDA assistance would have satisfied the Manufacturers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Manufacturers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freely concede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that they could have asked the FDA for help. If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0C9D5FF7" w14:textId="63A22AA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question for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impossibility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argument to its logical conclusion, it is also possible that, by asking, the Manufacturers could have persuaded the FDA to rewrite its generic drug regulations entirely or talked Congress into amending the Hatch–Waxman Amendments.</w:t>
      </w:r>
    </w:p>
    <w:p w14:paraId="0C773A82"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550C5468" w14:textId="79696700" w:rsidR="00C85B70" w:rsidRPr="00C85B70" w:rsidRDefault="750671CE" w:rsidP="750671CE">
      <w:pPr>
        <w:rPr>
          <w:rFonts w:ascii="Times New Roman" w:eastAsia="Times New Roman" w:hAnsi="Times New Roman" w:cs="Times New Roman"/>
          <w:lang w:eastAsia="en-US"/>
        </w:rPr>
      </w:pPr>
      <w:r w:rsidRPr="00F94B7E">
        <w:rPr>
          <w:rFonts w:ascii="Times New Roman" w:eastAsia="Times New Roman" w:hAnsi="Times New Roman" w:cs="Times New Roman"/>
          <w:i/>
          <w:lang w:eastAsia="en-US"/>
        </w:rPr>
        <w:t>Wyeth</w:t>
      </w:r>
      <w:r w:rsidRPr="750671CE">
        <w:rPr>
          <w:rFonts w:ascii="Times New Roman" w:eastAsia="Times New Roman" w:hAnsi="Times New Roman" w:cs="Times New Roman"/>
          <w:lang w:eastAsia="en-US"/>
        </w:rPr>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unilaterally strengthen its warning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without prior FDA approval. Thus, the federal regulations applicable to Wyeth allowed the company, of its own volition, to strengthen its label in compliance with its state tort duty.</w:t>
      </w:r>
    </w:p>
    <w:p w14:paraId="550F090C" w14:textId="77777777" w:rsidR="00C85B70" w:rsidRPr="00C85B70" w:rsidRDefault="00C85B70" w:rsidP="00C85B70">
      <w:pPr>
        <w:rPr>
          <w:rFonts w:ascii="Times New Roman" w:eastAsia="Times New Roman" w:hAnsi="Times New Roman" w:cs="Times New Roman"/>
          <w:lang w:eastAsia="en-US"/>
        </w:rPr>
      </w:pPr>
    </w:p>
    <w:p w14:paraId="3CDB0772" w14:textId="206F104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We recognize that from the perspective of Mensing and Demahy, finding pre-emption here but not in </w:t>
      </w:r>
      <w:r w:rsidRPr="00F94B7E">
        <w:rPr>
          <w:rFonts w:ascii="Times New Roman" w:eastAsia="Times New Roman" w:hAnsi="Times New Roman" w:cs="Times New Roman"/>
          <w:i/>
          <w:lang w:eastAsia="en-US"/>
        </w:rPr>
        <w:t>Wyeth</w:t>
      </w:r>
      <w:r w:rsidRPr="750671CE">
        <w:rPr>
          <w:rFonts w:ascii="Times New Roman" w:eastAsia="Times New Roman" w:hAnsi="Times New Roman" w:cs="Times New Roman"/>
          <w:lang w:eastAsia="en-US"/>
        </w:rPr>
        <w:t xml:space="preserve"> makes little sense. Had Mensing and Demahy taken Reglan, the brand-name drug prescribed by their doctors, </w:t>
      </w:r>
      <w:r w:rsidRPr="00F94B7E">
        <w:rPr>
          <w:rFonts w:ascii="Times New Roman" w:eastAsia="Times New Roman" w:hAnsi="Times New Roman" w:cs="Times New Roman"/>
          <w:i/>
          <w:lang w:eastAsia="en-US"/>
        </w:rPr>
        <w:t>Wyeth</w:t>
      </w:r>
      <w:r w:rsidRPr="750671CE">
        <w:rPr>
          <w:rFonts w:ascii="Times New Roman" w:eastAsia="Times New Roman" w:hAnsi="Times New Roman" w:cs="Times New Roman"/>
          <w:lang w:eastAsia="en-US"/>
        </w:rPr>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Default="00671F38">
      <w:pPr>
        <w:rPr>
          <w:rFonts w:ascii="Times New Roman" w:eastAsia="Times New Roman" w:hAnsi="Times New Roman" w:cs="Times New Roman"/>
          <w:lang w:eastAsia="en-US"/>
        </w:rPr>
      </w:pPr>
    </w:p>
    <w:p w14:paraId="1D1ACFB3" w14:textId="0C1F2A1C"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Sotomayor</w:t>
      </w:r>
      <w:r w:rsidRPr="750671CE">
        <w:rPr>
          <w:rFonts w:ascii="Times New Roman" w:eastAsia="Times New Roman" w:hAnsi="Times New Roman" w:cs="Times New Roman"/>
          <w:lang w:eastAsia="en-US"/>
        </w:rPr>
        <w:t>,</w:t>
      </w:r>
      <w:r w:rsidR="001B5615">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with whom </w:t>
      </w:r>
      <w:r w:rsidRPr="750671CE">
        <w:rPr>
          <w:rFonts w:ascii="Times New Roman" w:eastAsia="Times New Roman" w:hAnsi="Times New Roman" w:cs="Times New Roman"/>
          <w:smallCaps/>
          <w:lang w:eastAsia="en-US"/>
        </w:rPr>
        <w:t>Ginsburg</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Breyer</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smallCaps/>
          <w:lang w:eastAsia="en-US"/>
        </w:rPr>
        <w:t>Kagan</w:t>
      </w:r>
      <w:r w:rsidR="001B5615">
        <w:rPr>
          <w:rFonts w:ascii="Times New Roman" w:eastAsia="Times New Roman" w:hAnsi="Times New Roman" w:cs="Times New Roman"/>
          <w:smallCaps/>
          <w:lang w:eastAsia="en-US"/>
        </w:rPr>
        <w:t>, JJ.,</w:t>
      </w:r>
      <w:r w:rsidRPr="750671CE">
        <w:rPr>
          <w:rFonts w:ascii="Times New Roman" w:eastAsia="Times New Roman" w:hAnsi="Times New Roman" w:cs="Times New Roman"/>
          <w:lang w:eastAsia="en-US"/>
        </w:rPr>
        <w:t xml:space="preserve"> join, dissenting.</w:t>
      </w:r>
    </w:p>
    <w:p w14:paraId="289EC80A" w14:textId="77777777" w:rsidR="00C85B70" w:rsidRPr="00C85B70" w:rsidRDefault="00C85B70" w:rsidP="00C85B70">
      <w:pPr>
        <w:rPr>
          <w:rFonts w:ascii="Times New Roman" w:eastAsia="Times New Roman" w:hAnsi="Times New Roman" w:cs="Times New Roman"/>
          <w:lang w:eastAsia="en-US"/>
        </w:rPr>
      </w:pPr>
    </w:p>
    <w:p w14:paraId="6E6D0272"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C85B70" w:rsidRDefault="00C85B70" w:rsidP="00C85B70">
      <w:pPr>
        <w:rPr>
          <w:rFonts w:ascii="Times New Roman" w:eastAsia="Times New Roman" w:hAnsi="Times New Roman" w:cs="Times New Roman"/>
          <w:lang w:eastAsia="en-US"/>
        </w:rPr>
      </w:pPr>
    </w:p>
    <w:p w14:paraId="135B6A89" w14:textId="35DA2FF4"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hypothetical or potential conflict.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3512BD79" w14:textId="77777777" w:rsidR="00C85B70" w:rsidRPr="00C85B70" w:rsidRDefault="00C85B70" w:rsidP="00C85B70">
      <w:pPr>
        <w:rPr>
          <w:rFonts w:ascii="Times New Roman" w:eastAsia="Times New Roman" w:hAnsi="Times New Roman" w:cs="Times New Roman"/>
          <w:lang w:eastAsia="en-US"/>
        </w:rPr>
      </w:pPr>
    </w:p>
    <w:p w14:paraId="2AFB8B2C" w14:textId="13E08321"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Like the majority, the Manufacturers focus on the fact that they cannot change their labels unilaterally—which distinguishes them from the brand-name-manufacturer defendant in </w:t>
      </w:r>
      <w:r w:rsidRPr="750671CE">
        <w:rPr>
          <w:rFonts w:ascii="Times New Roman" w:eastAsia="Times New Roman" w:hAnsi="Times New Roman" w:cs="Times New Roman"/>
          <w:i/>
          <w:iCs/>
          <w:lang w:eastAsia="en-US"/>
        </w:rPr>
        <w:t>Wyeth</w:t>
      </w:r>
      <w:r w:rsidRPr="750671CE">
        <w:rPr>
          <w:rFonts w:ascii="Times New Roman" w:eastAsia="Times New Roman" w:hAnsi="Times New Roman" w:cs="Times New Roman"/>
          <w:lang w:eastAsia="en-US"/>
        </w:rPr>
        <w:t xml:space="preserve">. They correctly point out that in </w:t>
      </w:r>
      <w:r w:rsidRPr="750671CE">
        <w:rPr>
          <w:rFonts w:ascii="Times New Roman" w:eastAsia="Times New Roman" w:hAnsi="Times New Roman" w:cs="Times New Roman"/>
          <w:i/>
          <w:iCs/>
          <w:lang w:eastAsia="en-US"/>
        </w:rPr>
        <w:t>Wyeth</w:t>
      </w:r>
      <w:r w:rsidRPr="750671CE">
        <w:rPr>
          <w:rFonts w:ascii="Times New Roman" w:eastAsia="Times New Roman" w:hAnsi="Times New Roman" w:cs="Times New Roman"/>
          <w:lang w:eastAsia="en-US"/>
        </w:rPr>
        <w:t xml:space="preserve"> we concluded that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CBE regulation authorized the defendant to strengthen its warnings before receiving agency approval of its supplemental application describing the label change. But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 change was contingent on FDA acceptance, as the FDA retained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authority to reject labeling changes made pursuant to the CBE regulation.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Thus, in the long run, a brand-name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clear evidence that the FDA would not have approved a change to [the] label.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0F16E404" w14:textId="77777777" w:rsidR="00C85B70" w:rsidRPr="00C85B70" w:rsidRDefault="00C85B70" w:rsidP="00C85B70">
      <w:pPr>
        <w:rPr>
          <w:rFonts w:ascii="Times New Roman" w:eastAsia="Times New Roman" w:hAnsi="Times New Roman" w:cs="Times New Roman"/>
          <w:lang w:eastAsia="en-US"/>
        </w:rPr>
      </w:pPr>
    </w:p>
    <w:p w14:paraId="7C361670" w14:textId="0F034DE3"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accommodated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Manufacturers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state-law duties. It was not necessarily impossible for the Manufacturers to comply with both federal and state law because, had they approached the FDA, the FDA may well have agreed that a label change was necessary. Accordingly, as in </w:t>
      </w:r>
      <w:r w:rsidRPr="00F94B7E">
        <w:rPr>
          <w:rFonts w:ascii="Times New Roman" w:eastAsia="Times New Roman" w:hAnsi="Times New Roman" w:cs="Times New Roman"/>
          <w:i/>
          <w:lang w:eastAsia="en-US"/>
        </w:rPr>
        <w:t>Wyeth</w:t>
      </w:r>
      <w:r w:rsidRPr="750671CE">
        <w:rPr>
          <w:rFonts w:ascii="Times New Roman" w:eastAsia="Times New Roman" w:hAnsi="Times New Roman" w:cs="Times New Roman"/>
          <w:lang w:eastAsia="en-US"/>
        </w:rPr>
        <w:t xml:space="preserve">, I would require the Manufacturers to show that the FDA would not have approved a proposed label change. They have not made such a showing: They do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argue that [they] attempted to give the kind of warning required by [state law] but [were] prohibited from doing so by the FDA.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Wyeth</w:t>
      </w:r>
      <w:r w:rsidRPr="750671CE">
        <w:rPr>
          <w:rFonts w:ascii="Times New Roman" w:eastAsia="Times New Roman" w:hAnsi="Times New Roman" w:cs="Times New Roman"/>
          <w:lang w:eastAsia="en-US"/>
        </w:rPr>
        <w:t>, 555 U.S., at 572 . . . .</w:t>
      </w:r>
    </w:p>
    <w:p w14:paraId="4207AE3D" w14:textId="77777777" w:rsidR="00C85B70" w:rsidRPr="00C85B70" w:rsidRDefault="00C85B70" w:rsidP="00C85B70">
      <w:pPr>
        <w:rPr>
          <w:rFonts w:ascii="Times New Roman" w:eastAsia="Times New Roman" w:hAnsi="Times New Roman" w:cs="Times New Roman"/>
          <w:lang w:eastAsia="en-US"/>
        </w:rPr>
      </w:pPr>
    </w:p>
    <w:p w14:paraId="3BB43533" w14:textId="1E96F9F8"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Given the longstanding existence of product liability actions, including for failure to warn,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[i]t is difficult to believe that Congress would, without comment, remove all means of judicial recourse for those injured by illegal conduct.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C85B70" w:rsidRDefault="00C85B70" w:rsidP="00C85B70">
      <w:pPr>
        <w:rPr>
          <w:rFonts w:ascii="Times New Roman" w:eastAsia="Times New Roman" w:hAnsi="Times New Roman" w:cs="Times New Roman"/>
          <w:lang w:eastAsia="en-US"/>
        </w:rPr>
      </w:pPr>
    </w:p>
    <w:p w14:paraId="711BFF1F" w14:textId="17AF1E5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As the majority itself admits, a drug consumer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750671CE">
        <w:rPr>
          <w:rFonts w:ascii="Times New Roman" w:eastAsia="Times New Roman" w:hAnsi="Times New Roman" w:cs="Times New Roman"/>
          <w:i/>
          <w:iCs/>
          <w:lang w:eastAsia="en-US"/>
        </w:rPr>
        <w:t>Wyeth</w:t>
      </w:r>
      <w:r w:rsidRPr="750671CE">
        <w:rPr>
          <w:rFonts w:ascii="Times New Roman" w:eastAsia="Times New Roman" w:hAnsi="Times New Roman" w:cs="Times New Roman"/>
          <w:lang w:eastAsia="en-US"/>
        </w:rPr>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physician. Even when consumers can request brand-name drugs, the price of the brand-name drug or the consumers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insurance plans may make it impossible to do so. As a result, in many cases, consumers will have no ability to preserve their state-law right to recover for injuries caused by inadequate warnings.</w:t>
      </w:r>
    </w:p>
    <w:p w14:paraId="5A1742D8" w14:textId="77777777" w:rsidR="00C85B70" w:rsidRPr="00C85B70" w:rsidRDefault="00C85B70" w:rsidP="00C85B70">
      <w:pPr>
        <w:rPr>
          <w:rFonts w:ascii="Times New Roman" w:eastAsia="Times New Roman" w:hAnsi="Times New Roman" w:cs="Times New Roman"/>
          <w:lang w:eastAsia="en-US"/>
        </w:rPr>
      </w:pPr>
    </w:p>
    <w:p w14:paraId="496C389A" w14:textId="51336957" w:rsidR="00CE12AE" w:rsidRDefault="00CE12AE">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57C44782" w14:textId="77777777" w:rsidR="00C85B70" w:rsidRPr="00C85B70" w:rsidRDefault="00C85B70" w:rsidP="00910387">
      <w:pPr>
        <w:pStyle w:val="Heading5"/>
      </w:pPr>
      <w:bookmarkStart w:id="1071" w:name="_Toc364636290"/>
      <w:bookmarkStart w:id="1072" w:name="_Toc518323573"/>
      <w:r w:rsidRPr="00C85B70">
        <w:t>Notes</w:t>
      </w:r>
      <w:bookmarkEnd w:id="1071"/>
      <w:bookmarkEnd w:id="1072"/>
    </w:p>
    <w:p w14:paraId="1FF81EB8" w14:textId="77777777" w:rsidR="00C85B70" w:rsidRDefault="00C85B70" w:rsidP="00C85B70">
      <w:pPr>
        <w:rPr>
          <w:rFonts w:ascii="Times New Roman" w:eastAsia="Times New Roman" w:hAnsi="Times New Roman" w:cs="Times New Roman"/>
          <w:lang w:eastAsia="en-US"/>
        </w:rPr>
      </w:pPr>
    </w:p>
    <w:p w14:paraId="531F29F9" w14:textId="77777777" w:rsidR="00945FB9" w:rsidRPr="00C85B70" w:rsidRDefault="00945FB9" w:rsidP="00C85B70">
      <w:pPr>
        <w:rPr>
          <w:rFonts w:ascii="Times New Roman" w:eastAsia="Times New Roman" w:hAnsi="Times New Roman" w:cs="Times New Roman"/>
          <w:lang w:eastAsia="en-US"/>
        </w:rPr>
      </w:pPr>
    </w:p>
    <w:p w14:paraId="0CBF402E" w14:textId="37679F48" w:rsidR="00C85B70" w:rsidRPr="00F94B7E" w:rsidRDefault="750671CE" w:rsidP="00F94B7E">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Familiar coalitions</w:t>
      </w:r>
      <w:r w:rsidRPr="00F94B7E">
        <w:rPr>
          <w:rFonts w:ascii="Times New Roman" w:eastAsia="Times New Roman" w:hAnsi="Times New Roman" w:cs="Times New Roman"/>
          <w:lang w:eastAsia="en-US"/>
        </w:rPr>
        <w:t>.  Observe that the familiar partisan split in the Court</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broken in earlier preemption cases like </w:t>
      </w:r>
      <w:r w:rsidRPr="00F94B7E">
        <w:rPr>
          <w:rFonts w:ascii="Times New Roman" w:eastAsia="Times New Roman" w:hAnsi="Times New Roman" w:cs="Times New Roman"/>
          <w:i/>
          <w:iCs/>
          <w:lang w:eastAsia="en-US"/>
        </w:rPr>
        <w:t>Geier</w:t>
      </w:r>
      <w:r w:rsidR="00B967C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has reemerged in </w:t>
      </w:r>
      <w:r w:rsidRPr="00F94B7E">
        <w:rPr>
          <w:rFonts w:ascii="Times New Roman" w:eastAsia="Times New Roman" w:hAnsi="Times New Roman" w:cs="Times New Roman"/>
          <w:i/>
          <w:iCs/>
          <w:lang w:eastAsia="en-US"/>
        </w:rPr>
        <w:t>PLIVA v. Mensing</w:t>
      </w:r>
      <w:r w:rsidRPr="00F94B7E">
        <w:rPr>
          <w:rFonts w:ascii="Times New Roman" w:eastAsia="Times New Roman" w:hAnsi="Times New Roman" w:cs="Times New Roman"/>
          <w:lang w:eastAsia="en-US"/>
        </w:rPr>
        <w:t>.</w:t>
      </w:r>
    </w:p>
    <w:p w14:paraId="200DD531" w14:textId="77777777" w:rsidR="00C85B70" w:rsidRPr="00C85B70" w:rsidRDefault="00C85B70" w:rsidP="00C85B70">
      <w:pPr>
        <w:rPr>
          <w:rFonts w:ascii="Times New Roman" w:eastAsia="Times New Roman" w:hAnsi="Times New Roman" w:cs="Times New Roman"/>
          <w:lang w:eastAsia="en-US"/>
        </w:rPr>
      </w:pPr>
    </w:p>
    <w:p w14:paraId="4DB88048" w14:textId="77777777" w:rsidR="00C85B70" w:rsidRPr="00C85B70" w:rsidRDefault="00C85B70" w:rsidP="00C85B70">
      <w:pPr>
        <w:rPr>
          <w:rFonts w:ascii="Times New Roman" w:eastAsia="Times New Roman" w:hAnsi="Times New Roman" w:cs="Times New Roman"/>
          <w:lang w:eastAsia="en-US"/>
        </w:rPr>
      </w:pPr>
    </w:p>
    <w:p w14:paraId="3A1E2EEF" w14:textId="15AEC257" w:rsidR="00C85B70" w:rsidRPr="00F94B7E" w:rsidRDefault="750671CE" w:rsidP="00F94B7E">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role of agencies?</w:t>
      </w:r>
      <w:r w:rsidRPr="00F94B7E">
        <w:rPr>
          <w:rFonts w:ascii="Times New Roman" w:eastAsia="Times New Roman" w:hAnsi="Times New Roman" w:cs="Times New Roman"/>
          <w:lang w:eastAsia="en-US"/>
        </w:rPr>
        <w:t xml:space="preserve"> In both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the Court ultimately rejected the position taken by the FDA through the Solicitor General.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the FDA argued that suits against brand-name companies were preempted because of a statement in the regulatory preamble</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a statement rejected by the Court as insufficient.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the FDA argued that generic manufacturers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C85B70" w:rsidRDefault="00C85B70" w:rsidP="00C85B70">
      <w:pPr>
        <w:rPr>
          <w:rFonts w:ascii="Times New Roman" w:eastAsia="Times New Roman" w:hAnsi="Times New Roman" w:cs="Times New Roman"/>
          <w:lang w:eastAsia="en-US"/>
        </w:rPr>
      </w:pPr>
    </w:p>
    <w:p w14:paraId="727B771F" w14:textId="77777777" w:rsidR="00C85B70" w:rsidRPr="00C85B70" w:rsidRDefault="00C85B70" w:rsidP="00C85B70">
      <w:pPr>
        <w:rPr>
          <w:rFonts w:ascii="Times New Roman" w:eastAsia="Times New Roman" w:hAnsi="Times New Roman" w:cs="Times New Roman"/>
          <w:lang w:eastAsia="en-US"/>
        </w:rPr>
      </w:pPr>
    </w:p>
    <w:p w14:paraId="0595E530" w14:textId="0EC853BA" w:rsidR="00C85B70" w:rsidRPr="00F94B7E" w:rsidRDefault="750671CE" w:rsidP="00F94B7E">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Preemption and design defects</w:t>
      </w:r>
      <w:r w:rsidRPr="00F94B7E">
        <w:rPr>
          <w:rFonts w:ascii="Times New Roman" w:eastAsia="Times New Roman" w:hAnsi="Times New Roman" w:cs="Times New Roman"/>
          <w:lang w:eastAsia="en-US"/>
        </w:rPr>
        <w:t xml:space="preserve">. One question is whether design defect claims against generic manufacturers ought to fare any differently than failure to warn claims. In </w:t>
      </w:r>
      <w:r w:rsidRPr="00F94B7E">
        <w:rPr>
          <w:rFonts w:ascii="Times New Roman" w:eastAsia="Times New Roman" w:hAnsi="Times New Roman" w:cs="Times New Roman"/>
          <w:i/>
          <w:iCs/>
          <w:lang w:eastAsia="en-US"/>
        </w:rPr>
        <w:t>Mutual Pharm. Co., Inc. v. Bartlett</w:t>
      </w:r>
      <w:r w:rsidRPr="00F94B7E">
        <w:rPr>
          <w:rFonts w:ascii="Times New Roman" w:eastAsia="Times New Roman" w:hAnsi="Times New Roman" w:cs="Times New Roman"/>
          <w:lang w:eastAsia="en-US"/>
        </w:rPr>
        <w:t xml:space="preserve">, 133 S. Ct. 2466 (2013), the Court answered in the negative. The majority opinion held that the design defect claim was no different than the failure to warn claim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Justice Sotomayor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dissent argued that the state law design defect claim was really a state requirement to </w:t>
      </w:r>
      <w:r w:rsidRPr="00F94B7E">
        <w:rPr>
          <w:rFonts w:ascii="Times New Roman" w:eastAsia="Times New Roman" w:hAnsi="Times New Roman" w:cs="Times New Roman"/>
          <w:i/>
          <w:iCs/>
          <w:lang w:eastAsia="en-US"/>
        </w:rPr>
        <w:t>either</w:t>
      </w:r>
      <w:r w:rsidRPr="00F94B7E">
        <w:rPr>
          <w:rFonts w:ascii="Times New Roman" w:eastAsia="Times New Roman" w:hAnsi="Times New Roman" w:cs="Times New Roman"/>
          <w:lang w:eastAsia="en-US"/>
        </w:rPr>
        <w:t xml:space="preserve"> have a different design </w:t>
      </w:r>
      <w:r w:rsidRPr="00F94B7E">
        <w:rPr>
          <w:rFonts w:ascii="Times New Roman" w:eastAsia="Times New Roman" w:hAnsi="Times New Roman" w:cs="Times New Roman"/>
          <w:i/>
          <w:iCs/>
          <w:lang w:eastAsia="en-US"/>
        </w:rPr>
        <w:t>or</w:t>
      </w:r>
      <w:r w:rsidRPr="00F94B7E">
        <w:rPr>
          <w:rFonts w:ascii="Times New Roman" w:eastAsia="Times New Roman" w:hAnsi="Times New Roman" w:cs="Times New Roman"/>
          <w:lang w:eastAsia="en-US"/>
        </w:rPr>
        <w:t xml:space="preserve"> pay damages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and that paying damages was an obligation consistent with federal regulatory requirements. Do you find this argument compelling? Is it in fact a distinction between the design defect claim and a failure to warn claim?</w:t>
      </w:r>
    </w:p>
    <w:p w14:paraId="62861EE7" w14:textId="77777777" w:rsidR="00C85B70" w:rsidRPr="00C85B70" w:rsidRDefault="00C85B70" w:rsidP="00C85B70">
      <w:pPr>
        <w:rPr>
          <w:rFonts w:ascii="Times New Roman" w:eastAsia="Times New Roman" w:hAnsi="Times New Roman" w:cs="Times New Roman"/>
          <w:lang w:eastAsia="en-US"/>
        </w:rPr>
      </w:pPr>
    </w:p>
    <w:p w14:paraId="4E5C7429" w14:textId="77777777" w:rsidR="00C85B70" w:rsidRPr="00C85B70" w:rsidRDefault="00C85B70" w:rsidP="00C85B70">
      <w:pPr>
        <w:rPr>
          <w:rFonts w:ascii="Times New Roman" w:eastAsia="Times New Roman" w:hAnsi="Times New Roman" w:cs="Times New Roman"/>
          <w:lang w:eastAsia="en-US"/>
        </w:rPr>
      </w:pPr>
    </w:p>
    <w:p w14:paraId="4BE1267B" w14:textId="6D2B24A6" w:rsidR="00C85B70" w:rsidRPr="00F94B7E" w:rsidRDefault="750671CE" w:rsidP="00F94B7E">
      <w:pPr>
        <w:pStyle w:val="ListParagraph"/>
        <w:numPr>
          <w:ilvl w:val="0"/>
          <w:numId w:val="54"/>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Unanticipated consequences</w:t>
      </w:r>
      <w:r w:rsidRPr="00F94B7E">
        <w:rPr>
          <w:rFonts w:ascii="Times New Roman" w:eastAsia="Times New Roman" w:hAnsi="Times New Roman" w:cs="Times New Roman"/>
          <w:lang w:eastAsia="en-US"/>
        </w:rPr>
        <w:t>.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mixed decisions in </w:t>
      </w:r>
      <w:r w:rsidRPr="00F94B7E">
        <w:rPr>
          <w:rFonts w:ascii="Times New Roman" w:eastAsia="Times New Roman" w:hAnsi="Times New Roman" w:cs="Times New Roman"/>
          <w:i/>
          <w:iCs/>
          <w:lang w:eastAsia="en-US"/>
        </w:rPr>
        <w:t>Wyeth v. Levine</w:t>
      </w:r>
      <w:r w:rsidRPr="00F94B7E">
        <w:rPr>
          <w:rFonts w:ascii="Times New Roman" w:eastAsia="Times New Roman" w:hAnsi="Times New Roman" w:cs="Times New Roman"/>
          <w:lang w:eastAsia="en-US"/>
        </w:rPr>
        <w:t xml:space="preserve"> and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have created interesting and unexpected effects. Justice Sotomayor noted in dissent in </w:t>
      </w:r>
      <w:r w:rsidRPr="00F94B7E">
        <w:rPr>
          <w:rFonts w:ascii="Times New Roman" w:eastAsia="Times New Roman" w:hAnsi="Times New Roman" w:cs="Times New Roman"/>
          <w:i/>
          <w:iCs/>
          <w:lang w:eastAsia="en-US"/>
        </w:rPr>
        <w:t>Mensing</w:t>
      </w:r>
      <w:r w:rsidRPr="00F94B7E">
        <w:rPr>
          <w:rFonts w:ascii="Times New Roman" w:eastAsia="Times New Roman" w:hAnsi="Times New Roman" w:cs="Times New Roman"/>
          <w:lang w:eastAsia="en-US"/>
        </w:rPr>
        <w:t xml:space="preserve"> that the majority seemed to have foreclosed consumers of generic drugs from seeking compensation for injuries caused by inadequate labels. If a patient, Justice Sotomayor wrote,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takes a generic drug, as occurs 75 percent of the time, she now has no right to sue.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the </w:t>
      </w:r>
      <w:r w:rsidR="000B1659">
        <w:rPr>
          <w:rFonts w:ascii="Times New Roman" w:eastAsia="Times New Roman" w:hAnsi="Times New Roman" w:cs="Times New Roman"/>
          <w:lang w:eastAsia="en-US"/>
        </w:rPr>
        <w:t>J</w:t>
      </w:r>
      <w:r w:rsidRPr="00F94B7E">
        <w:rPr>
          <w:rFonts w:ascii="Times New Roman" w:eastAsia="Times New Roman" w:hAnsi="Times New Roman" w:cs="Times New Roman"/>
          <w:lang w:eastAsia="en-US"/>
        </w:rPr>
        <w:t>ustice may have protested too much.  As is so often the case in the development of American tort law, the creativity of the plaintiffs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bar soon called the dissenting conclusion into question, and at least one court has gone along. In </w:t>
      </w:r>
      <w:r w:rsidRPr="00F94B7E">
        <w:rPr>
          <w:rFonts w:ascii="Times New Roman" w:eastAsia="Times New Roman" w:hAnsi="Times New Roman" w:cs="Times New Roman"/>
          <w:i/>
          <w:iCs/>
          <w:lang w:eastAsia="en-US"/>
        </w:rPr>
        <w:t>Wyeth v. Weeks</w:t>
      </w:r>
      <w:r w:rsidRPr="00F94B7E">
        <w:rPr>
          <w:rFonts w:ascii="Times New Roman" w:eastAsia="Times New Roman" w:hAnsi="Times New Roman" w:cs="Times New Roman"/>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C85B70" w:rsidRDefault="00C85B70" w:rsidP="00C85B70">
      <w:pPr>
        <w:rPr>
          <w:rFonts w:ascii="Times New Roman" w:eastAsia="Times New Roman" w:hAnsi="Times New Roman" w:cs="Times New Roman"/>
          <w:lang w:eastAsia="en-US"/>
        </w:rPr>
      </w:pPr>
    </w:p>
    <w:p w14:paraId="40424D04" w14:textId="7777777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750671CE">
        <w:rPr>
          <w:rFonts w:ascii="Times New Roman" w:eastAsia="Times New Roman" w:hAnsi="Times New Roman" w:cs="Times New Roman"/>
          <w:i/>
          <w:iCs/>
          <w:lang w:eastAsia="en-US"/>
        </w:rPr>
        <w:t>Wyeth v. Levine</w:t>
      </w:r>
      <w:r w:rsidRPr="750671CE">
        <w:rPr>
          <w:rFonts w:ascii="Times New Roman" w:eastAsia="Times New Roman" w:hAnsi="Times New Roman" w:cs="Times New Roman"/>
          <w:lang w:eastAsia="en-US"/>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C85B70" w:rsidRDefault="00C85B70" w:rsidP="00F94B7E">
      <w:pPr>
        <w:ind w:left="720" w:right="720"/>
        <w:jc w:val="both"/>
        <w:rPr>
          <w:rFonts w:ascii="Times New Roman" w:eastAsia="Times New Roman" w:hAnsi="Times New Roman" w:cs="Times New Roman"/>
          <w:lang w:eastAsia="en-US"/>
        </w:rPr>
      </w:pPr>
    </w:p>
    <w:p w14:paraId="49055EA2" w14:textId="35628FE3"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FDA regulations require that a generic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labeling for a prescription drug be exactly the same as the brand-name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labeling. The Supreme Court in </w:t>
      </w:r>
      <w:r w:rsidRPr="750671CE">
        <w:rPr>
          <w:rFonts w:ascii="Times New Roman" w:eastAsia="Times New Roman" w:hAnsi="Times New Roman" w:cs="Times New Roman"/>
          <w:i/>
          <w:iCs/>
          <w:lang w:eastAsia="en-US"/>
        </w:rPr>
        <w:t>PLIVA</w:t>
      </w:r>
      <w:r w:rsidRPr="750671CE">
        <w:rPr>
          <w:rFonts w:ascii="Times New Roman" w:eastAsia="Times New Roman" w:hAnsi="Times New Roman" w:cs="Times New Roman"/>
          <w:lang w:eastAsia="en-US"/>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C85B70" w:rsidRDefault="00C85B70" w:rsidP="00F94B7E">
      <w:pPr>
        <w:ind w:left="720" w:right="720"/>
        <w:jc w:val="both"/>
        <w:rPr>
          <w:rFonts w:ascii="Times New Roman" w:eastAsia="Times New Roman" w:hAnsi="Times New Roman" w:cs="Times New Roman"/>
          <w:lang w:eastAsia="en-US"/>
        </w:rPr>
      </w:pPr>
    </w:p>
    <w:p w14:paraId="66C1B453" w14:textId="77777777" w:rsidR="00C85B70" w:rsidRPr="00C85B70" w:rsidRDefault="750671CE" w:rsidP="00F94B7E">
      <w:pPr>
        <w:ind w:left="720" w:right="720"/>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C85B70" w:rsidRDefault="00C85B70" w:rsidP="00C85B70">
      <w:pPr>
        <w:ind w:left="720" w:right="720"/>
        <w:rPr>
          <w:rFonts w:ascii="Times New Roman" w:eastAsia="Times New Roman" w:hAnsi="Times New Roman" w:cs="Times New Roman"/>
          <w:lang w:eastAsia="en-US"/>
        </w:rPr>
      </w:pPr>
    </w:p>
    <w:p w14:paraId="3573FE6C" w14:textId="58B65E70"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Wyeth, Inc. v. Weeks</w:t>
      </w:r>
      <w:r w:rsidRPr="750671CE">
        <w:rPr>
          <w:rFonts w:ascii="Times New Roman" w:eastAsia="Times New Roman" w:hAnsi="Times New Roman" w:cs="Times New Roman"/>
          <w:lang w:eastAsia="en-US"/>
        </w:rPr>
        <w:t>, No. 1101397, 2014 WL 4055813 (Ala. Aug. 15, 2014).  Does it make sense to hold brand-name manufacturers liable for the injuries of consumers of the generic drug?  From one perspective, it is a simple outgrowth of the requirement that the generic manufacturers adopt the brand-name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label.  Perhaps the brand-name manufacturer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liability in such instances is part of the responsibility that comes along with the privileges of its patent period and its FDA approval.  From another view, however, the Alabama approach seems outrageous. </w:t>
      </w:r>
      <w:r w:rsidR="00521AF7">
        <w:rPr>
          <w:rFonts w:ascii="Times New Roman" w:eastAsia="Times New Roman" w:hAnsi="Times New Roman" w:cs="Times New Roman"/>
          <w:lang w:eastAsia="en-US"/>
        </w:rPr>
        <w:t xml:space="preserve"> As then-Chief Judge Roy Moore contended in his vigorous dissent, the </w:t>
      </w:r>
      <w:r w:rsidR="00521AF7" w:rsidRPr="00521AF7">
        <w:rPr>
          <w:rFonts w:ascii="Times New Roman" w:eastAsia="Times New Roman" w:hAnsi="Times New Roman" w:cs="Times New Roman"/>
          <w:i/>
          <w:lang w:eastAsia="en-US"/>
        </w:rPr>
        <w:t>Wyeth v. Weeks</w:t>
      </w:r>
      <w:r w:rsidR="00521AF7">
        <w:rPr>
          <w:rFonts w:ascii="Times New Roman" w:eastAsia="Times New Roman" w:hAnsi="Times New Roman" w:cs="Times New Roman"/>
          <w:lang w:eastAsia="en-US"/>
        </w:rPr>
        <w:t xml:space="preserve"> decision required</w:t>
      </w:r>
      <w:r w:rsidRPr="750671CE">
        <w:rPr>
          <w:rFonts w:ascii="Times New Roman" w:eastAsia="Times New Roman" w:hAnsi="Times New Roman" w:cs="Times New Roman"/>
          <w:lang w:eastAsia="en-US"/>
        </w:rPr>
        <w:t xml:space="preserve"> brand</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name manufacturers to compensate consumers with whom they have no relationship at all: consumers who never purchased their product, let alone consumed it.  </w:t>
      </w:r>
    </w:p>
    <w:p w14:paraId="3DF44422" w14:textId="77777777" w:rsidR="00C85B70" w:rsidRPr="00C85B70" w:rsidRDefault="00C85B70" w:rsidP="00C85B70">
      <w:pPr>
        <w:rPr>
          <w:rFonts w:ascii="Times New Roman" w:eastAsia="Times New Roman" w:hAnsi="Times New Roman" w:cs="Times New Roman"/>
          <w:lang w:eastAsia="en-US"/>
        </w:rPr>
      </w:pPr>
    </w:p>
    <w:p w14:paraId="5EE6B074" w14:textId="5017A71A" w:rsidR="00C85B70" w:rsidRPr="00C85B70" w:rsidRDefault="00C85B70" w:rsidP="750671CE">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Which of these two views has the better argument?</w:t>
      </w:r>
      <w:r w:rsidR="00521AF7">
        <w:rPr>
          <w:rFonts w:ascii="Times New Roman" w:eastAsia="Times New Roman" w:hAnsi="Times New Roman" w:cs="Times New Roman"/>
          <w:lang w:eastAsia="en-US"/>
        </w:rPr>
        <w:t xml:space="preserve">  Note that shortly after the </w:t>
      </w:r>
      <w:r w:rsidR="00521AF7" w:rsidRPr="00521AF7">
        <w:rPr>
          <w:rFonts w:ascii="Times New Roman" w:eastAsia="Times New Roman" w:hAnsi="Times New Roman" w:cs="Times New Roman"/>
          <w:i/>
          <w:lang w:eastAsia="en-US"/>
        </w:rPr>
        <w:t>Weeks</w:t>
      </w:r>
      <w:r w:rsidR="00521AF7">
        <w:rPr>
          <w:rFonts w:ascii="Times New Roman" w:eastAsia="Times New Roman" w:hAnsi="Times New Roman" w:cs="Times New Roman"/>
          <w:lang w:eastAsia="en-US"/>
        </w:rPr>
        <w:t xml:space="preserve"> decision</w:t>
      </w:r>
      <w:r w:rsidR="000D150D">
        <w:rPr>
          <w:rFonts w:ascii="Times New Roman" w:eastAsia="Times New Roman" w:hAnsi="Times New Roman" w:cs="Times New Roman"/>
          <w:lang w:eastAsia="en-US"/>
        </w:rPr>
        <w:t xml:space="preserve">, the Alabama legislature </w:t>
      </w:r>
      <w:r w:rsidR="00521AF7">
        <w:rPr>
          <w:rFonts w:ascii="Times New Roman" w:eastAsia="Times New Roman" w:hAnsi="Times New Roman" w:cs="Times New Roman"/>
          <w:lang w:eastAsia="en-US"/>
        </w:rPr>
        <w:t xml:space="preserve">intervened, </w:t>
      </w:r>
      <w:r w:rsidR="000D150D">
        <w:rPr>
          <w:rFonts w:ascii="Times New Roman" w:eastAsia="Times New Roman" w:hAnsi="Times New Roman" w:cs="Times New Roman"/>
          <w:lang w:eastAsia="en-US"/>
        </w:rPr>
        <w:t>enact</w:t>
      </w:r>
      <w:r w:rsidR="00521AF7">
        <w:rPr>
          <w:rFonts w:ascii="Times New Roman" w:eastAsia="Times New Roman" w:hAnsi="Times New Roman" w:cs="Times New Roman"/>
          <w:lang w:eastAsia="en-US"/>
        </w:rPr>
        <w:t>ing</w:t>
      </w:r>
      <w:r w:rsidR="000D150D">
        <w:rPr>
          <w:rFonts w:ascii="Times New Roman" w:eastAsia="Times New Roman" w:hAnsi="Times New Roman" w:cs="Times New Roman"/>
          <w:lang w:eastAsia="en-US"/>
        </w:rPr>
        <w:t xml:space="preserve"> S.B. No. </w:t>
      </w:r>
      <w:r w:rsidR="00521AF7">
        <w:rPr>
          <w:rFonts w:ascii="Times New Roman" w:eastAsia="Times New Roman" w:hAnsi="Times New Roman" w:cs="Times New Roman"/>
          <w:lang w:eastAsia="en-US"/>
        </w:rPr>
        <w:t xml:space="preserve">80, An Act Relating to Products Liability, reversing the rule of </w:t>
      </w:r>
      <w:r w:rsidR="00521AF7" w:rsidRPr="00521AF7">
        <w:rPr>
          <w:rFonts w:ascii="Times New Roman" w:eastAsia="Times New Roman" w:hAnsi="Times New Roman" w:cs="Times New Roman"/>
          <w:i/>
          <w:lang w:eastAsia="en-US"/>
        </w:rPr>
        <w:t>Wyeth v. Weeks</w:t>
      </w:r>
      <w:r w:rsidR="00521AF7">
        <w:rPr>
          <w:rFonts w:ascii="Times New Roman" w:eastAsia="Times New Roman" w:hAnsi="Times New Roman" w:cs="Times New Roman"/>
          <w:lang w:eastAsia="en-US"/>
        </w:rPr>
        <w:t xml:space="preserve"> and requiring that products liability plaintiffs show that the particular product causing them injury was designed, manufactured, sold, or leased by the defendant.  </w:t>
      </w:r>
      <w:r w:rsidR="00521AF7" w:rsidRPr="00521AF7">
        <w:rPr>
          <w:rFonts w:ascii="Times New Roman" w:eastAsia="Times New Roman" w:hAnsi="Times New Roman" w:cs="Times New Roman"/>
          <w:i/>
          <w:lang w:eastAsia="en-US"/>
        </w:rPr>
        <w:t>See</w:t>
      </w:r>
      <w:r w:rsidR="00521AF7">
        <w:rPr>
          <w:rFonts w:ascii="Times New Roman" w:eastAsia="Times New Roman" w:hAnsi="Times New Roman" w:cs="Times New Roman"/>
          <w:lang w:eastAsia="en-US"/>
        </w:rPr>
        <w:t xml:space="preserve"> Ala. Code 1975 s. 6-5-530.   </w:t>
      </w:r>
    </w:p>
    <w:p w14:paraId="530C45C1" w14:textId="77777777" w:rsidR="00C85B70" w:rsidRPr="00C85B70" w:rsidRDefault="00C85B70" w:rsidP="00C85B70">
      <w:pPr>
        <w:rPr>
          <w:rFonts w:ascii="Times New Roman" w:eastAsia="Times New Roman" w:hAnsi="Times New Roman" w:cs="Times New Roman"/>
          <w:lang w:eastAsia="en-US"/>
        </w:rPr>
      </w:pPr>
    </w:p>
    <w:p w14:paraId="18DCE15F" w14:textId="77777777" w:rsidR="00C85B70" w:rsidRPr="00C85B70" w:rsidRDefault="00C85B70" w:rsidP="00C85B70">
      <w:pPr>
        <w:rPr>
          <w:rFonts w:ascii="Times New Roman" w:eastAsia="Times New Roman" w:hAnsi="Times New Roman" w:cs="Times New Roman"/>
          <w:lang w:eastAsia="en-US"/>
        </w:rPr>
      </w:pPr>
    </w:p>
    <w:p w14:paraId="6CBEAE55"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A32F540"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3FF79A8D"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18F0E832"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D0878E3"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79129B8A"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59E5FFBB" w14:textId="77777777" w:rsidR="00C85B70" w:rsidRP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p>
    <w:p w14:paraId="679099D9" w14:textId="1E362923" w:rsidR="00C85B70" w:rsidRDefault="00C85B70" w:rsidP="00C85B70">
      <w:pPr>
        <w:widowControl w:val="0"/>
        <w:overflowPunct w:val="0"/>
        <w:autoSpaceDE w:val="0"/>
        <w:autoSpaceDN w:val="0"/>
        <w:adjustRightInd w:val="0"/>
        <w:spacing w:line="264" w:lineRule="auto"/>
        <w:rPr>
          <w:rFonts w:ascii="Times New Roman" w:eastAsiaTheme="minorHAnsi" w:hAnsi="Times New Roman" w:cs="Times New Roman"/>
          <w:lang w:eastAsia="en-US"/>
        </w:rPr>
      </w:pPr>
      <w:r w:rsidRPr="00C85B70">
        <w:rPr>
          <w:rFonts w:ascii="Times New Roman" w:eastAsiaTheme="minorHAnsi" w:hAnsi="Times New Roman" w:cs="Times New Roman"/>
          <w:lang w:eastAsia="en-US"/>
        </w:rPr>
        <w:tab/>
      </w:r>
    </w:p>
    <w:p w14:paraId="1ED4E5A7" w14:textId="77777777" w:rsidR="00C85B70" w:rsidRDefault="00C85B70">
      <w:pPr>
        <w:rPr>
          <w:rFonts w:ascii="Times New Roman" w:eastAsiaTheme="minorHAnsi" w:hAnsi="Times New Roman" w:cs="Times New Roman"/>
          <w:lang w:eastAsia="en-US"/>
        </w:rPr>
      </w:pPr>
      <w:r>
        <w:rPr>
          <w:rFonts w:ascii="Times New Roman" w:eastAsiaTheme="minorHAnsi" w:hAnsi="Times New Roman" w:cs="Times New Roman"/>
          <w:lang w:eastAsia="en-US"/>
        </w:rPr>
        <w:br w:type="page"/>
      </w:r>
    </w:p>
    <w:p w14:paraId="6BF43B37" w14:textId="77777777" w:rsidR="00097917" w:rsidRDefault="00097917" w:rsidP="00296689">
      <w:pPr>
        <w:pStyle w:val="Heading1"/>
        <w:sectPr w:rsidR="00097917" w:rsidSect="00FF20BE">
          <w:headerReference w:type="default" r:id="rId82"/>
          <w:pgSz w:w="12240" w:h="15840"/>
          <w:pgMar w:top="1440" w:right="1800" w:bottom="1440" w:left="1800" w:header="720" w:footer="720" w:gutter="0"/>
          <w:cols w:space="720"/>
          <w:noEndnote/>
        </w:sectPr>
      </w:pPr>
    </w:p>
    <w:p w14:paraId="13412B5C" w14:textId="410EB2F5" w:rsidR="00C85B70" w:rsidRPr="00DE214D" w:rsidRDefault="750671CE" w:rsidP="00296689">
      <w:pPr>
        <w:pStyle w:val="Heading1"/>
      </w:pPr>
      <w:bookmarkStart w:id="1073" w:name="_Toc364636291"/>
      <w:bookmarkStart w:id="1074" w:name="_Toc518323574"/>
      <w:r>
        <w:t>CHAPTER 10. DAMAGES</w:t>
      </w:r>
      <w:bookmarkEnd w:id="1073"/>
      <w:bookmarkEnd w:id="1074"/>
    </w:p>
    <w:p w14:paraId="46292FFA" w14:textId="77777777" w:rsidR="00C85B70" w:rsidRPr="00C85B70" w:rsidRDefault="00C85B70" w:rsidP="00C85B70">
      <w:pPr>
        <w:autoSpaceDE w:val="0"/>
        <w:autoSpaceDN w:val="0"/>
        <w:adjustRightInd w:val="0"/>
        <w:contextualSpacing/>
        <w:jc w:val="both"/>
        <w:rPr>
          <w:rFonts w:ascii="Times New Roman" w:eastAsia="Times New Roman" w:hAnsi="Times New Roman" w:cs="Times New Roman"/>
          <w:lang w:eastAsia="en-US"/>
        </w:rPr>
      </w:pPr>
    </w:p>
    <w:p w14:paraId="35227591" w14:textId="77777777" w:rsidR="00C85B70" w:rsidRPr="00C85B70" w:rsidRDefault="00C85B70" w:rsidP="00C85B70">
      <w:pPr>
        <w:autoSpaceDE w:val="0"/>
        <w:autoSpaceDN w:val="0"/>
        <w:adjustRightInd w:val="0"/>
        <w:contextualSpacing/>
        <w:jc w:val="both"/>
        <w:rPr>
          <w:rFonts w:ascii="Times New Roman" w:eastAsia="Times New Roman" w:hAnsi="Times New Roman" w:cs="Times New Roman"/>
          <w:lang w:eastAsia="en-US"/>
        </w:rPr>
      </w:pPr>
    </w:p>
    <w:p w14:paraId="06051D29" w14:textId="77777777" w:rsidR="00C85B70" w:rsidRPr="00C85B70" w:rsidRDefault="750671CE" w:rsidP="750671CE">
      <w:pPr>
        <w:autoSpaceDE w:val="0"/>
        <w:autoSpaceDN w:val="0"/>
        <w:adjustRightInd w:val="0"/>
        <w:ind w:left="1440" w:right="1440"/>
        <w:contextualSpacing/>
        <w:jc w:val="both"/>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O reader, to what shifts is poor Society reduced, struggling to give still some account of herself, in epochs when Cash Payment has become the sole nexus of man to men!  </w:t>
      </w:r>
    </w:p>
    <w:p w14:paraId="0D3C6D70" w14:textId="77777777" w:rsidR="00C85B70" w:rsidRPr="00C85B70" w:rsidRDefault="00C85B70" w:rsidP="00C85B70">
      <w:pPr>
        <w:autoSpaceDE w:val="0"/>
        <w:autoSpaceDN w:val="0"/>
        <w:adjustRightInd w:val="0"/>
        <w:ind w:left="1440" w:right="1440"/>
        <w:contextualSpacing/>
        <w:jc w:val="both"/>
        <w:rPr>
          <w:rFonts w:ascii="Times New Roman" w:eastAsia="Times New Roman" w:hAnsi="Times New Roman" w:cs="Times New Roman"/>
          <w:lang w:eastAsia="en-US"/>
        </w:rPr>
      </w:pPr>
    </w:p>
    <w:p w14:paraId="623F165C" w14:textId="7F636A68" w:rsidR="00C85B70" w:rsidRPr="00C85B70" w:rsidRDefault="750671CE" w:rsidP="750671CE">
      <w:pPr>
        <w:autoSpaceDE w:val="0"/>
        <w:autoSpaceDN w:val="0"/>
        <w:adjustRightInd w:val="0"/>
        <w:ind w:left="1440" w:right="1440"/>
        <w:contextualSpacing/>
        <w:jc w:val="cente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Thomas Carlyle, </w:t>
      </w:r>
      <w:r w:rsidRPr="750671CE">
        <w:rPr>
          <w:rFonts w:ascii="Times New Roman" w:eastAsia="Times New Roman" w:hAnsi="Times New Roman" w:cs="Times New Roman"/>
          <w:i/>
          <w:iCs/>
          <w:lang w:eastAsia="en-US"/>
        </w:rPr>
        <w:t>Chartism</w:t>
      </w:r>
      <w:r w:rsidRPr="750671CE">
        <w:rPr>
          <w:rFonts w:ascii="Times New Roman" w:eastAsia="Times New Roman" w:hAnsi="Times New Roman" w:cs="Times New Roman"/>
          <w:lang w:eastAsia="en-US"/>
        </w:rPr>
        <w:t xml:space="preserve"> 61 (1840)</w:t>
      </w:r>
    </w:p>
    <w:p w14:paraId="2949BBD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CB8CB1B" w14:textId="391EC519" w:rsidR="00C85B70" w:rsidRPr="00C85B70" w:rsidRDefault="750671CE" w:rsidP="750671CE">
      <w:pPr>
        <w:autoSpaceDE w:val="0"/>
        <w:autoSpaceDN w:val="0"/>
        <w:adjustRightInd w:val="0"/>
        <w:ind w:left="1440" w:right="144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The ones showing up in court demanding justice, all they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ve got their eye 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that million dollar price tag.</w:t>
      </w:r>
    </w:p>
    <w:p w14:paraId="285478AB" w14:textId="00E9CFC2" w:rsidR="00C85B70" w:rsidRPr="00C85B70" w:rsidRDefault="750671CE" w:rsidP="750671CE">
      <w:pPr>
        <w:autoSpaceDE w:val="0"/>
        <w:autoSpaceDN w:val="0"/>
        <w:adjustRightInd w:val="0"/>
        <w:ind w:left="1440" w:right="144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not simply the money no . . . because the money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just a yardstick isn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it. 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the only common reference people have for making other people take them as seriously as they take themselves.</w:t>
      </w:r>
    </w:p>
    <w:p w14:paraId="4BA5F1E4" w14:textId="77777777" w:rsidR="00C85B70" w:rsidRPr="00C85B70" w:rsidRDefault="00C85B70" w:rsidP="00C85B70">
      <w:pPr>
        <w:autoSpaceDE w:val="0"/>
        <w:autoSpaceDN w:val="0"/>
        <w:adjustRightInd w:val="0"/>
        <w:ind w:left="1440" w:right="1440"/>
        <w:contextualSpacing/>
        <w:rPr>
          <w:rFonts w:ascii="Times New Roman" w:eastAsia="Times New Roman" w:hAnsi="Times New Roman" w:cs="Times New Roman"/>
          <w:lang w:eastAsia="en-US"/>
        </w:rPr>
      </w:pPr>
    </w:p>
    <w:p w14:paraId="383D9364" w14:textId="23F6148A" w:rsidR="00C85B70" w:rsidRPr="00C85B70" w:rsidRDefault="750671CE" w:rsidP="750671CE">
      <w:pPr>
        <w:autoSpaceDE w:val="0"/>
        <w:autoSpaceDN w:val="0"/>
        <w:adjustRightInd w:val="0"/>
        <w:ind w:left="2160" w:right="1440" w:firstLine="720"/>
        <w:contextualSpacing/>
        <w:jc w:val="center"/>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William Gaddis, </w:t>
      </w:r>
      <w:r w:rsidRPr="750671CE">
        <w:rPr>
          <w:rFonts w:ascii="Times New Roman" w:eastAsia="Times New Roman" w:hAnsi="Times New Roman" w:cs="Times New Roman"/>
          <w:i/>
          <w:iCs/>
          <w:lang w:eastAsia="en-US"/>
        </w:rPr>
        <w:t>A Frolic of His Own</w:t>
      </w:r>
      <w:r w:rsidRPr="750671CE">
        <w:rPr>
          <w:rFonts w:ascii="Times New Roman" w:eastAsia="Times New Roman" w:hAnsi="Times New Roman" w:cs="Times New Roman"/>
          <w:lang w:eastAsia="en-US"/>
        </w:rPr>
        <w:t xml:space="preserve"> (1994)</w:t>
      </w:r>
    </w:p>
    <w:p w14:paraId="2D4C3BD2" w14:textId="327EB63E"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DDC4E8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7BDB835" w14:textId="717E6BC5"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as a litigant I should dread a lawsuit beyond almost anything else short of sickness and death.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 xml:space="preserve">Gerald Gunther, </w:t>
      </w:r>
      <w:r w:rsidRPr="00F94B7E">
        <w:rPr>
          <w:rFonts w:ascii="Times New Roman" w:eastAsia="Times New Roman" w:hAnsi="Times New Roman" w:cs="Times New Roman"/>
          <w:iCs/>
          <w:smallCaps/>
          <w:lang w:eastAsia="en-US"/>
        </w:rPr>
        <w:t>Learned Hand: The Man and the Judge</w:t>
      </w:r>
      <w:r w:rsidRPr="750671CE">
        <w:rPr>
          <w:rFonts w:ascii="Times New Roman" w:eastAsia="Times New Roman" w:hAnsi="Times New Roman" w:cs="Times New Roman"/>
          <w:lang w:eastAsia="en-US"/>
        </w:rPr>
        <w:t xml:space="preserve"> 122 (2d ed. 2010).</w:t>
      </w:r>
    </w:p>
    <w:p w14:paraId="0450AC6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5F2115B" w14:textId="0980244F"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the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family, or jail time for the tortfeasor. Instead, the stated aim of damages in tort is to order money damages sufficient to restore the plaintiff to his or her prior state. </w:t>
      </w:r>
    </w:p>
    <w:p w14:paraId="52909D29"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10EA0437" w14:textId="19F95CB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Of course, this aspiration immediately begs more questions than it answers.  Can money ever restore the status quo ante?  The notion is especially challenging in cases involving the loss of life or limb.  And what does it mean to treat money as a kind of equivalent to such losses?  Thomas Carlyle, a forceful nineteenth century English critic of the market, objected that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cash nexus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impoverished social relations.  Like-minded critics today observe that the regime of money damages risks commodifying things like life and health that we would never allow to be sold in the marketplace.  (Some go on to note too the inequalities that can result from making the market our measure of value.)  </w:t>
      </w:r>
    </w:p>
    <w:p w14:paraId="7CB06F0B"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17A0FAA0" w14:textId="1375153E"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criticisms of money damages have great weight.  And yet there is also something extraordinary about money damages.  In a liberal society in which we choose our own values, in which each person gets to decide what matters to herself, money serves as a common currency of value, connecting people with radically different values.  The oenophile may not share the same priorities as the NASCAR fan.  The bridge player may not see the world in the same fashion as the BASE jumper.  But dollars translate their divergent interests into a common coin.  Cash, one might say, is the </w:t>
      </w:r>
      <w:r w:rsidRPr="750671CE">
        <w:rPr>
          <w:rFonts w:ascii="Times New Roman" w:eastAsia="Times New Roman" w:hAnsi="Times New Roman" w:cs="Times New Roman"/>
          <w:i/>
          <w:iCs/>
          <w:lang w:eastAsia="en-US"/>
        </w:rPr>
        <w:t>lingua franca</w:t>
      </w:r>
      <w:r w:rsidR="009F09D0" w:rsidRPr="009F09D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Esperanto</w:t>
      </w:r>
      <w:r w:rsidR="009F09D0" w:rsidRPr="009F09D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of liberal value pluralism.  </w:t>
      </w:r>
    </w:p>
    <w:p w14:paraId="15BB88E5"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567F7894"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Or so the beginnings of a defense of money damages might run.  The critics will likely remain unmollified.  And yet there is no gainsaying the centrality of money damages in the law and social practice of damages in American tort law.  </w:t>
      </w:r>
    </w:p>
    <w:p w14:paraId="7341B93A"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34E6C32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3DA96FA" w14:textId="77777777" w:rsidR="00C85B70" w:rsidRPr="00C85B70" w:rsidRDefault="00C85B70" w:rsidP="750671CE">
      <w:pPr>
        <w:pStyle w:val="Heading2"/>
        <w:rPr>
          <w:lang w:eastAsia="en-US"/>
        </w:rPr>
      </w:pPr>
      <w:bookmarkStart w:id="1075" w:name="_Toc364636292"/>
      <w:bookmarkStart w:id="1076" w:name="_Toc518323575"/>
      <w:r w:rsidRPr="00C85B70">
        <w:rPr>
          <w:lang w:eastAsia="en-US"/>
        </w:rPr>
        <w:t>A.  Compensatory Damages</w:t>
      </w:r>
      <w:bookmarkEnd w:id="1075"/>
      <w:bookmarkEnd w:id="1076"/>
    </w:p>
    <w:p w14:paraId="5149ED81"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1C294336" w14:textId="77777777"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The calculation, however, is not always as easy as it might seem. </w:t>
      </w:r>
    </w:p>
    <w:p w14:paraId="76041DD2"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6F8EBC4"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66797606" w14:textId="77777777" w:rsidR="00C85B70" w:rsidRPr="00C85B70" w:rsidRDefault="00C85B70" w:rsidP="00322687">
      <w:pPr>
        <w:pStyle w:val="Heading3"/>
      </w:pPr>
      <w:bookmarkStart w:id="1077" w:name="_Toc364636293"/>
      <w:bookmarkStart w:id="1078" w:name="_Toc518323576"/>
      <w:r w:rsidRPr="00C85B70">
        <w:t>1.  Pecuniary Damages</w:t>
      </w:r>
      <w:bookmarkEnd w:id="1077"/>
      <w:bookmarkEnd w:id="1078"/>
    </w:p>
    <w:p w14:paraId="5CB1AA61"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26E24227"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0367EB29" w14:textId="0DBCA299" w:rsidR="00C85B70" w:rsidRPr="00C85B70" w:rsidRDefault="00C85B70" w:rsidP="750671CE">
      <w:pPr>
        <w:autoSpaceDE w:val="0"/>
        <w:autoSpaceDN w:val="0"/>
        <w:adjustRightInd w:val="0"/>
        <w:contextualSpacing/>
        <w:rPr>
          <w:rFonts w:ascii="Times New Roman" w:eastAsia="Times New Roman" w:hAnsi="Times New Roman" w:cs="Times New Roman"/>
          <w:i/>
          <w:iCs/>
          <w:lang w:eastAsia="en-US"/>
        </w:rPr>
      </w:pPr>
      <w:bookmarkStart w:id="1079" w:name="_Toc518323577"/>
      <w:r w:rsidRPr="00DE214D">
        <w:rPr>
          <w:rStyle w:val="Heading4Char"/>
        </w:rPr>
        <w:t>O</w:t>
      </w:r>
      <w:r w:rsidR="00B05F31">
        <w:rPr>
          <w:rStyle w:val="Heading4Char"/>
        </w:rPr>
        <w:t>’</w:t>
      </w:r>
      <w:r w:rsidRPr="00DE214D">
        <w:rPr>
          <w:rStyle w:val="Heading4Char"/>
        </w:rPr>
        <w:t>Shea v. Riverway Towing Co</w:t>
      </w:r>
      <w:bookmarkEnd w:id="1079"/>
      <w:r w:rsidRPr="750671CE">
        <w:rPr>
          <w:rFonts w:ascii="Times New Roman" w:eastAsia="Times New Roman" w:hAnsi="Times New Roman" w:cs="Times New Roman"/>
          <w:b/>
          <w:bCs/>
          <w:lang w:eastAsia="en-US"/>
        </w:rPr>
        <w:t>.</w:t>
      </w:r>
      <w:r w:rsidR="00DE214D" w:rsidRPr="750671CE">
        <w:rPr>
          <w:rFonts w:ascii="Times New Roman" w:eastAsia="Times New Roman" w:hAnsi="Times New Roman" w:cs="Times New Roman"/>
          <w:b/>
          <w:bCs/>
          <w:lang w:eastAsia="en-US"/>
        </w:rPr>
        <w:t xml:space="preserve">, </w:t>
      </w:r>
      <w:r w:rsidRPr="750671CE">
        <w:rPr>
          <w:rFonts w:ascii="Times New Roman,ＭＳ ゴシック" w:eastAsia="Times New Roman,ＭＳ ゴシック" w:hAnsi="Times New Roman,ＭＳ ゴシック" w:cs="Times New Roman,ＭＳ ゴシック"/>
          <w:b/>
          <w:bCs/>
          <w:lang w:eastAsia="en-US"/>
        </w:rPr>
        <w:t>677 F.2d 1194 (7</w:t>
      </w:r>
      <w:r w:rsidR="009F09D0">
        <w:rPr>
          <w:rFonts w:ascii="Times New Roman,ＭＳ ゴシック" w:eastAsia="Times New Roman,ＭＳ ゴシック" w:hAnsi="Times New Roman,ＭＳ ゴシック" w:cs="Times New Roman,ＭＳ ゴシック"/>
          <w:b/>
          <w:bCs/>
          <w:lang w:eastAsia="en-US"/>
        </w:rPr>
        <w:t>th</w:t>
      </w:r>
      <w:r w:rsidRPr="750671CE">
        <w:rPr>
          <w:rFonts w:ascii="Times New Roman,ＭＳ ゴシック" w:eastAsia="Times New Roman,ＭＳ ゴシック" w:hAnsi="Times New Roman,ＭＳ ゴシック" w:cs="Times New Roman,ＭＳ ゴシック"/>
          <w:b/>
          <w:bCs/>
          <w:lang w:eastAsia="en-US"/>
        </w:rPr>
        <w:t xml:space="preserve"> Cir. 1982)</w:t>
      </w:r>
    </w:p>
    <w:p w14:paraId="44B523AA"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74260B32" w14:textId="268422DB" w:rsidR="00C85B70" w:rsidRPr="00E679A7" w:rsidRDefault="750671CE" w:rsidP="750671CE">
      <w:pPr>
        <w:tabs>
          <w:tab w:val="left" w:pos="8640"/>
        </w:tabs>
        <w:autoSpaceDE w:val="0"/>
        <w:autoSpaceDN w:val="0"/>
        <w:adjustRightInd w:val="0"/>
        <w:contextualSpacing/>
        <w:rPr>
          <w:rFonts w:ascii="Times New Roman" w:eastAsia="Times New Roman" w:hAnsi="Times New Roman" w:cs="Times New Roman"/>
          <w:smallCaps/>
          <w:lang w:eastAsia="en-US"/>
        </w:rPr>
      </w:pPr>
      <w:r w:rsidRPr="750671CE">
        <w:rPr>
          <w:rFonts w:ascii="Times New Roman" w:eastAsia="Times New Roman" w:hAnsi="Times New Roman" w:cs="Times New Roman"/>
          <w:smallCaps/>
          <w:lang w:eastAsia="en-US"/>
        </w:rPr>
        <w:t>Posner, J.</w:t>
      </w:r>
    </w:p>
    <w:p w14:paraId="7288603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4E02346" w14:textId="18B68E78"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the day of the accident, Margaret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was coming off duty as a cook on a towboat plying the Mississippi River. A harbor boat operated by the defendant, Riverway Towing Company, carried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to shore and while getting off the boat she fell and sustained the injury complained of. The district judge found Riverway negligent and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free from contributory negligence, and assessed damages in excess of $150,000. Riverway appeals only from the finding that there was no contributory negligence and from the part of the damage award that was intended to compensate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for her lost future wages.</w:t>
      </w:r>
    </w:p>
    <w:p w14:paraId="55B63A0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4ADCF349" w14:textId="22636056" w:rsidR="00C85B70" w:rsidRPr="00C85B70" w:rsidRDefault="750671CE" w:rsidP="750671CE">
      <w:pPr>
        <w:tabs>
          <w:tab w:val="left" w:pos="8640"/>
        </w:tabs>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196E221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11DCB41" w14:textId="735296A8" w:rsidR="00C85B70" w:rsidRPr="00C85B70" w:rsidRDefault="750671CE" w:rsidP="750671CE">
      <w:pPr>
        <w:autoSpaceDE w:val="0"/>
        <w:autoSpaceDN w:val="0"/>
        <w:adjustRightInd w:val="0"/>
        <w:ind w:firstLine="720"/>
        <w:contextualSpacing/>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The . . . substantial issues in this appeal relate to the computation of lost wages.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job as a cook paid her $40 a day, and since the custom was to work 30 days consecutively and then have the next 30 days off, this comes to $7200 a year although, as we shall see, she never had earned that much in a single year. She testified that when the accident occurred she had been about to get another cook</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job on a Mississippi towboat that would have paid her $60 a day ($10,800 a year). She also testified that she had been intending to work as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cook until she was 70</w:t>
      </w:r>
      <w:r w:rsidR="009F09D0" w:rsidRPr="009F09D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longer if she was able. An economist who testified on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9F09D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$86,033</w:t>
      </w:r>
      <w:r w:rsidR="009F09D0" w:rsidRPr="009F09D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near the midpoint of this range. . . .</w:t>
      </w:r>
    </w:p>
    <w:p w14:paraId="5F0B57B9"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1314F9D" w14:textId="3ECCF7D5"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There is no doubt that the accident disabled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from working as a cook on a boat. . . . But Riverway argues that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69DDF4F" w14:textId="4B8E3222"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question is not whether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Shea is totally disabled in the sense, relevant to social security disability cases but not tort cases, that there is no job in the American economy for which she is medically fit. </w:t>
      </w:r>
      <w:r w:rsidR="00405F11">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It is whether she can by reasonable diligence find gainful employment, given the physical condition in which the accident left her. </w:t>
      </w:r>
      <w:r w:rsidR="00405F11">
        <w:rPr>
          <w:rFonts w:ascii="Times New Roman" w:eastAsia="Times New Roman" w:hAnsi="Times New Roman" w:cs="Times New Roman"/>
          <w:lang w:eastAsia="en-US"/>
        </w:rPr>
        <w:t>. . .</w:t>
      </w:r>
      <w:r w:rsidR="00405F11"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lost future wages as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cook the wages in some other job, discounted (i.e., multiplied) by the probability</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very low</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she would in fact be able to get another job. But the district judge cannot be criticized for having failed to use a 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3FD7FC0" w14:textId="14D660CD"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Riverway argues next that it was wrong for the judge to award damages on the basis of a wage not validated, as it were, by at least a year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employment at that wage.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12946B5" w14:textId="158958E0" w:rsidR="00C85B70" w:rsidRPr="00C85B70" w:rsidRDefault="750671CE" w:rsidP="750671CE">
      <w:pPr>
        <w:autoSpaceDE w:val="0"/>
        <w:autoSpaceDN w:val="0"/>
        <w:adjustRightInd w:val="0"/>
        <w:ind w:firstLine="720"/>
        <w:contextualSpacing/>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If we are correct so far,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(apparent) finding that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would have worked till she was 70 nor contends that the lost wages for each year until then should be discounted by the probability that she would in fact have been alive and working as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cook throughout the damage period, we may also assume that her wages would have been at least $7200 a year for the 12 years between the date of the accident and her seventieth birthday. . . . </w:t>
      </w:r>
      <w:r w:rsidRPr="750671CE">
        <w:rPr>
          <w:rFonts w:ascii="Times New Roman" w:eastAsia="Times New Roman" w:hAnsi="Times New Roman" w:cs="Times New Roman"/>
          <w:b/>
          <w:bCs/>
          <w:lang w:eastAsia="en-US"/>
        </w:rPr>
        <w:t xml:space="preserve"> </w:t>
      </w:r>
    </w:p>
    <w:p w14:paraId="078A6D84"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49819AC" w14:textId="33E3CEB1"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come at last to the most important issue in the case, which is the proper treatment of inflation in calculating lost future wages.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economist based the six to eight percent range which he used to estimate future increases in the wages of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choice of an 8.5 percent discount rate for reducing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lost future wages to present value, although the rate includes an allowance</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very large allowance</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 inflation.</w:t>
      </w:r>
    </w:p>
    <w:p w14:paraId="3A1DC895"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23A4C197" w14:textId="6F33F904"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 explain, the object of discounting lost future wages to present value is to give the plaintiff an amount of money which, invested safely, will grow to a sum equal to those wages. So if we thought that but for the accident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would have earned $7200 in 1990, and we were computing in 1980 (when this case was tried) her damages based on those lost 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reflection will show that to give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750671CE">
        <w:rPr>
          <w:rFonts w:ascii="Times New Roman" w:eastAsia="Times New Roman" w:hAnsi="Times New Roman" w:cs="Times New Roman"/>
          <w:i/>
          <w:iCs/>
          <w:lang w:eastAsia="en-US"/>
        </w:rPr>
        <w:t>Doca v. Marina Mercante Nicaraguense, S.A</w:t>
      </w:r>
      <w:r w:rsidRPr="750671CE">
        <w:rPr>
          <w:rFonts w:ascii="Times New Roman" w:eastAsia="Times New Roman" w:hAnsi="Times New Roman" w:cs="Times New Roman"/>
          <w:lang w:eastAsia="en-US"/>
        </w:rPr>
        <w:t>., 634 F.2d 30, 39 n.2 (2d Cir. 1980). Additional percentage points above that level reflect inflation anticipated over the life of the loan. But if there is inflation it will affect wages as well as prices. Therefore to give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$2318 today because that is the present value of $7200 10 years hence, computed at a discount rate</w:t>
      </w:r>
      <w:r w:rsidR="00405F11" w:rsidRPr="00405F1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12 percent</w:t>
      </w:r>
      <w:r w:rsidR="00405F11" w:rsidRPr="00405F1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5702255" w14:textId="37E4FCC0" w:rsidR="00C85B70" w:rsidRPr="00C85B70" w:rsidRDefault="750671CE" w:rsidP="750671CE">
      <w:pPr>
        <w:tabs>
          <w:tab w:val="left" w:pos="8640"/>
        </w:tabs>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49E1F24B"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7C1908CD" w14:textId="2A964E38" w:rsidR="00C85B70" w:rsidRPr="00C85B70" w:rsidRDefault="00DE214D" w:rsidP="750671CE">
      <w:pPr>
        <w:autoSpaceDE w:val="0"/>
        <w:autoSpaceDN w:val="0"/>
        <w:adjustRightInd w:val="0"/>
        <w:contextualSpacing/>
        <w:rPr>
          <w:rFonts w:ascii="Times New Roman" w:eastAsia="Times New Roman" w:hAnsi="Times New Roman" w:cs="Times New Roman"/>
          <w:lang w:eastAsia="en-US"/>
        </w:rPr>
      </w:pPr>
      <w:r>
        <w:rPr>
          <w:rFonts w:ascii="Times New Roman" w:eastAsia="Times New Roman" w:hAnsi="Times New Roman" w:cs="Times New Roman"/>
          <w:iCs/>
          <w:lang w:eastAsia="en-US"/>
        </w:rPr>
        <w:tab/>
      </w:r>
      <w:r w:rsidR="00C85B70" w:rsidRPr="750671CE">
        <w:rPr>
          <w:rFonts w:ascii="Times New Roman" w:eastAsia="Times New Roman" w:hAnsi="Times New Roman" w:cs="Times New Roman"/>
          <w:lang w:eastAsia="en-US"/>
        </w:rPr>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750671CE">
        <w:rPr>
          <w:rFonts w:ascii="Times New Roman" w:eastAsia="Times New Roman" w:hAnsi="Times New Roman" w:cs="Times New Roman"/>
          <w:i/>
          <w:iCs/>
          <w:lang w:eastAsia="en-US"/>
        </w:rPr>
        <w:t>See, e.g.</w:t>
      </w:r>
      <w:r w:rsidR="00C85B70" w:rsidRPr="00F94B7E">
        <w:rPr>
          <w:rFonts w:ascii="Times New Roman" w:eastAsia="Times New Roman" w:hAnsi="Times New Roman" w:cs="Times New Roman"/>
          <w:iCs/>
          <w:lang w:eastAsia="en-US"/>
        </w:rPr>
        <w:t>,</w:t>
      </w:r>
      <w:r w:rsidR="00C85B70" w:rsidRPr="750671CE">
        <w:rPr>
          <w:rFonts w:ascii="Times New Roman" w:eastAsia="Times New Roman" w:hAnsi="Times New Roman" w:cs="Times New Roman"/>
          <w:i/>
          <w:iCs/>
          <w:lang w:eastAsia="en-US"/>
        </w:rPr>
        <w:t xml:space="preserve"> Culver v. Slater Boat Co</w:t>
      </w:r>
      <w:r w:rsidR="00C85B70" w:rsidRPr="750671CE">
        <w:rPr>
          <w:rFonts w:ascii="Times New Roman" w:eastAsia="Times New Roman" w:hAnsi="Times New Roman" w:cs="Times New Roman"/>
          <w:lang w:eastAsia="en-US"/>
        </w:rPr>
        <w:t xml:space="preserve">., 644 F.2d 460, 464 (5th Cir. 1981) (using a 9.125 percent discount rate). We align ourselves instead with those circuits (a majority, </w:t>
      </w:r>
      <w:r w:rsidR="00C85B70" w:rsidRPr="750671CE">
        <w:rPr>
          <w:rFonts w:ascii="Times New Roman" w:eastAsia="Times New Roman" w:hAnsi="Times New Roman" w:cs="Times New Roman"/>
          <w:i/>
          <w:iCs/>
          <w:lang w:eastAsia="en-US"/>
        </w:rPr>
        <w:t>see Doca v. Marina Mercante Nicaraguense, S.A., supra</w:t>
      </w:r>
      <w:r w:rsidR="00C85B70" w:rsidRPr="750671CE">
        <w:rPr>
          <w:rFonts w:ascii="Times New Roman" w:eastAsia="Times New Roman" w:hAnsi="Times New Roman" w:cs="Times New Roman"/>
          <w:lang w:eastAsia="en-US"/>
        </w:rPr>
        <w:t xml:space="preserve">, 634 F.2d at 35-36), notably the Second, that require that inflation be treated consistently in choosing a discount rate and in estimating the future lost wages to be discounted to present value using that rate. See </w:t>
      </w:r>
      <w:r w:rsidR="00C85B70" w:rsidRPr="750671CE">
        <w:rPr>
          <w:rFonts w:ascii="Times New Roman" w:eastAsia="Times New Roman" w:hAnsi="Times New Roman" w:cs="Times New Roman"/>
          <w:i/>
          <w:iCs/>
          <w:lang w:eastAsia="en-US"/>
        </w:rPr>
        <w:t>id</w:t>
      </w:r>
      <w:r w:rsidR="00C85B70" w:rsidRPr="750671CE">
        <w:rPr>
          <w:rFonts w:ascii="Times New Roman" w:eastAsia="Times New Roman" w:hAnsi="Times New Roman" w:cs="Times New Roman"/>
          <w:lang w:eastAsia="en-US"/>
        </w:rPr>
        <w:t>. at 36-39. . . .</w:t>
      </w:r>
    </w:p>
    <w:p w14:paraId="67738D57"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7023FF6" w14:textId="181A3AEA"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economist] made no allowance for the fact that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whose health history quite apart from the accident is not outstanding, might very well not have survived</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let alone survived and been working as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cook or in an equivalent job</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until the age of 70. The damage award is a sum certain, but the lost future wages to which that award is equated by means of the discount rate are mere probabilities. If the probability of her being employed as a boat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750671CE">
        <w:rPr>
          <w:rFonts w:ascii="Times New Roman" w:eastAsia="Times New Roman" w:hAnsi="Times New Roman" w:cs="Times New Roman"/>
          <w:i/>
          <w:iCs/>
          <w:lang w:eastAsia="en-US"/>
        </w:rPr>
        <w:t>Cf. Conte v. Flota Mercante del Estado</w:t>
      </w:r>
      <w:r w:rsidRPr="750671CE">
        <w:rPr>
          <w:rFonts w:ascii="Times New Roman" w:eastAsia="Times New Roman" w:hAnsi="Times New Roman" w:cs="Times New Roman"/>
          <w:lang w:eastAsia="en-US"/>
        </w:rPr>
        <w:t>, 277 F.2d 664, 670 (2d Cir. 1960). The economist did not do this, and by failing to do this he overstated the loss due to the accident.</w:t>
      </w:r>
    </w:p>
    <w:p w14:paraId="0C5C95CA"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56EB1C8E" w14:textId="76FA9B4C" w:rsidR="00C85B70" w:rsidRPr="00C85B70" w:rsidRDefault="750671CE" w:rsidP="750671CE">
      <w:pPr>
        <w:tabs>
          <w:tab w:val="left" w:pos="8640"/>
        </w:tabs>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But Riverway does not make an issue of this aspect of the economist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analysis. . . .</w:t>
      </w:r>
    </w:p>
    <w:p w14:paraId="14B359F1"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3F8E2AAC" w14:textId="4152E46C" w:rsidR="00C85B70" w:rsidRPr="00C85B70" w:rsidRDefault="750671CE" w:rsidP="750671CE">
      <w:pPr>
        <w:autoSpaceDE w:val="0"/>
        <w:autoSpaceDN w:val="0"/>
        <w:adjustRightInd w:val="0"/>
        <w:ind w:firstLine="720"/>
        <w:contextualSpacing/>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Although we are not entirely satisfied with the economic analysis on which the judge, in the absence of any other evidence of the present value of Mrs.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especially when, as in the present case, the defendant does not offer any economic evidence himself and does not object to the questionable steps in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economic analysis. We cannot say the result here was unreasonable. . . .</w:t>
      </w:r>
    </w:p>
    <w:p w14:paraId="4C07E432" w14:textId="77777777" w:rsidR="00C85B70" w:rsidRPr="00C85B70" w:rsidRDefault="00C85B70" w:rsidP="00C85B70">
      <w:pPr>
        <w:tabs>
          <w:tab w:val="left" w:pos="8640"/>
        </w:tabs>
        <w:autoSpaceDE w:val="0"/>
        <w:autoSpaceDN w:val="0"/>
        <w:adjustRightInd w:val="0"/>
        <w:contextualSpacing/>
        <w:rPr>
          <w:rFonts w:ascii="Times New Roman" w:eastAsia="Times New Roman" w:hAnsi="Times New Roman" w:cs="Times New Roman"/>
          <w:iCs/>
          <w:lang w:eastAsia="en-US"/>
        </w:rPr>
      </w:pPr>
    </w:p>
    <w:p w14:paraId="65CA3897" w14:textId="77777777" w:rsidR="00C85B70" w:rsidRPr="00C85B70" w:rsidRDefault="750671CE" w:rsidP="750671CE">
      <w:pPr>
        <w:tabs>
          <w:tab w:val="left" w:pos="8640"/>
        </w:tabs>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Judgment affirmed.</w:t>
      </w:r>
    </w:p>
    <w:p w14:paraId="19E9DE50"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C02544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406881AF" w14:textId="77777777" w:rsidR="00C85B70" w:rsidRPr="00C85B70" w:rsidRDefault="00C85B70" w:rsidP="00910387">
      <w:pPr>
        <w:pStyle w:val="Heading5"/>
      </w:pPr>
      <w:bookmarkStart w:id="1080" w:name="_Toc364636294"/>
      <w:bookmarkStart w:id="1081" w:name="_Toc518323578"/>
      <w:r w:rsidRPr="00C85B70">
        <w:t>Notes</w:t>
      </w:r>
      <w:bookmarkEnd w:id="1080"/>
      <w:bookmarkEnd w:id="1081"/>
    </w:p>
    <w:p w14:paraId="0443F882" w14:textId="77777777" w:rsid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6D9A27CC" w14:textId="77777777" w:rsidR="00945FB9" w:rsidRPr="00C85B70" w:rsidRDefault="00945FB9" w:rsidP="00C85B70">
      <w:pPr>
        <w:autoSpaceDE w:val="0"/>
        <w:autoSpaceDN w:val="0"/>
        <w:adjustRightInd w:val="0"/>
        <w:contextualSpacing/>
        <w:rPr>
          <w:rFonts w:ascii="Times New Roman" w:eastAsia="Times New Roman" w:hAnsi="Times New Roman" w:cs="Times New Roman"/>
          <w:iCs/>
          <w:lang w:eastAsia="en-US"/>
        </w:rPr>
      </w:pPr>
    </w:p>
    <w:p w14:paraId="3EA15636" w14:textId="3C345A68" w:rsidR="00C85B70" w:rsidRPr="00F94B7E" w:rsidRDefault="750671CE" w:rsidP="00F94B7E">
      <w:pPr>
        <w:pStyle w:val="ListParagraph"/>
        <w:numPr>
          <w:ilvl w:val="0"/>
          <w:numId w:val="12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Social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nsurance</w:t>
      </w:r>
      <w:r w:rsidR="00FA0CAD" w:rsidRPr="00F94B7E">
        <w:rPr>
          <w:rFonts w:ascii="Times New Roman" w:eastAsia="Times New Roman" w:hAnsi="Times New Roman" w:cs="Times New Roman"/>
          <w:i/>
          <w:iCs/>
          <w:lang w:eastAsia="en-US"/>
        </w:rPr>
        <w:t xml:space="preserve"> p</w:t>
      </w:r>
      <w:r w:rsidRPr="00F94B7E">
        <w:rPr>
          <w:rFonts w:ascii="Times New Roman" w:eastAsia="Times New Roman" w:hAnsi="Times New Roman" w:cs="Times New Roman"/>
          <w:i/>
          <w:iCs/>
          <w:lang w:eastAsia="en-US"/>
        </w:rPr>
        <w:t xml:space="preserve">rograms and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orts.  </w:t>
      </w:r>
      <w:r w:rsidRPr="00F94B7E">
        <w:rPr>
          <w:rFonts w:ascii="Times New Roman" w:eastAsia="Times New Roman" w:hAnsi="Times New Roman" w:cs="Times New Roman"/>
          <w:lang w:eastAsia="en-US"/>
        </w:rPr>
        <w:t>Because of her injury,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may qualify for Social Security Disability Insurance (SSDI), a federal social insurance program that pays out monthly benefits to permanently totally disabled people. As Judge Posner noted, the standards for SSDI are significantly more demanding than those in a tort lawsuit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The question is not whether Mrs.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is totally disabled in the sense, relevant to social security disability cases but not tort cases, that there is no job in the American economy for which she is medically fit.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677 F.2d at 1197.) Unlike tort damages, SSDI does not aim for full wage replacement; benefits are capped at a level significantly lower than median wages. There are a variety of othe</w:t>
      </w:r>
      <w:r w:rsidR="000570CB">
        <w:rPr>
          <w:rFonts w:ascii="Times New Roman" w:eastAsia="Times New Roman" w:hAnsi="Times New Roman" w:cs="Times New Roman"/>
          <w:lang w:eastAsia="en-US"/>
        </w:rPr>
        <w:t xml:space="preserve">r social insurance programs for which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Insurance (SSI) or other need-bas</w:t>
      </w:r>
      <w:r w:rsidR="000570CB">
        <w:rPr>
          <w:rFonts w:ascii="Times New Roman" w:eastAsia="Times New Roman" w:hAnsi="Times New Roman" w:cs="Times New Roman"/>
          <w:lang w:eastAsia="en-US"/>
        </w:rPr>
        <w:t xml:space="preserve">ed welfare programs. Should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tort award be decreased if she were to qualify for additional insurance due to her injury?</w:t>
      </w:r>
    </w:p>
    <w:p w14:paraId="4E753E4B"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02E39393" w14:textId="06AE571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As Kenneth Abraham and Lance Liebman noted, </w:t>
      </w:r>
      <w:r w:rsidR="00B05F31">
        <w:rPr>
          <w:rFonts w:ascii="Times New Roman" w:eastAsia="Times New Roman" w:hAnsi="Times New Roman" w:cs="Times New Roman"/>
          <w:lang w:eastAsia="en-US"/>
        </w:rPr>
        <w:t>“</w:t>
      </w:r>
      <w:r w:rsidR="000B1659">
        <w:rPr>
          <w:rFonts w:ascii="Times New Roman" w:eastAsia="Times New Roman" w:hAnsi="Times New Roman" w:cs="Times New Roman"/>
          <w:lang w:eastAsia="en-US"/>
        </w:rPr>
        <w:t>[t]</w:t>
      </w:r>
      <w:r w:rsidRPr="750671CE">
        <w:rPr>
          <w:rFonts w:ascii="Times New Roman" w:eastAsia="Times New Roman" w:hAnsi="Times New Roman" w:cs="Times New Roman"/>
          <w:lang w:eastAsia="en-US"/>
        </w:rPr>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Kenneth S. Abraham </w:t>
      </w:r>
      <w:r w:rsidR="00A55837">
        <w:rPr>
          <w:rFonts w:ascii="Times New Roman" w:eastAsia="Times New Roman" w:hAnsi="Times New Roman" w:cs="Times New Roman"/>
          <w:lang w:eastAsia="en-US"/>
        </w:rPr>
        <w:t>&amp;</w:t>
      </w:r>
      <w:r w:rsidR="00A55837"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Lance Liebman, </w:t>
      </w:r>
      <w:r w:rsidRPr="750671CE">
        <w:rPr>
          <w:rFonts w:ascii="Times New Roman" w:eastAsia="Times New Roman" w:hAnsi="Times New Roman" w:cs="Times New Roman"/>
          <w:i/>
          <w:iCs/>
          <w:lang w:eastAsia="en-US"/>
        </w:rPr>
        <w:t>Private Insurance, Social Insurance, and Tort Reform: Toward a New Vision of Compensation for Illness and Injury</w:t>
      </w:r>
      <w:r w:rsidRPr="750671CE">
        <w:rPr>
          <w:rFonts w:ascii="Times New Roman" w:eastAsia="Times New Roman" w:hAnsi="Times New Roman" w:cs="Times New Roman"/>
          <w:lang w:eastAsia="en-US"/>
        </w:rPr>
        <w:t xml:space="preserve">, 93 </w:t>
      </w:r>
      <w:r w:rsidRPr="750671CE">
        <w:rPr>
          <w:rFonts w:ascii="Times New Roman" w:eastAsia="Times New Roman" w:hAnsi="Times New Roman" w:cs="Times New Roman"/>
          <w:smallCaps/>
          <w:lang w:eastAsia="en-US"/>
        </w:rPr>
        <w:t>Colum. L. Rev</w:t>
      </w:r>
      <w:r w:rsidRPr="750671CE">
        <w:rPr>
          <w:rFonts w:ascii="Times New Roman" w:eastAsia="Times New Roman" w:hAnsi="Times New Roman" w:cs="Times New Roman"/>
          <w:lang w:eastAsia="en-US"/>
        </w:rPr>
        <w:t>. 75, 75 (1993).</w:t>
      </w:r>
    </w:p>
    <w:p w14:paraId="6FA11716"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1FF990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59ECA5C" w14:textId="3CC4F65A" w:rsidR="00C85B70" w:rsidRPr="00F94B7E" w:rsidRDefault="750671CE" w:rsidP="00F94B7E">
      <w:pPr>
        <w:pStyle w:val="ListParagraph"/>
        <w:numPr>
          <w:ilvl w:val="0"/>
          <w:numId w:val="126"/>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ompensation and the</w:t>
      </w:r>
      <w:r w:rsidR="000B1659">
        <w:rPr>
          <w:rFonts w:ascii="Times New Roman" w:eastAsia="Times New Roman" w:hAnsi="Times New Roman" w:cs="Times New Roman"/>
          <w:i/>
          <w:iCs/>
          <w:lang w:eastAsia="en-US"/>
        </w:rPr>
        <w:t xml:space="preserve"> d</w:t>
      </w:r>
      <w:r w:rsidRPr="00F94B7E">
        <w:rPr>
          <w:rFonts w:ascii="Times New Roman" w:eastAsia="Times New Roman" w:hAnsi="Times New Roman" w:cs="Times New Roman"/>
          <w:i/>
          <w:iCs/>
          <w:lang w:eastAsia="en-US"/>
        </w:rPr>
        <w:t xml:space="preserve">isplacement of </w:t>
      </w:r>
      <w:r w:rsidR="00FA0CAD" w:rsidRPr="00F94B7E">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ort. </w:t>
      </w:r>
      <w:r w:rsidR="000570CB">
        <w:rPr>
          <w:rFonts w:ascii="Times New Roman" w:eastAsia="Times New Roman" w:hAnsi="Times New Roman" w:cs="Times New Roman"/>
          <w:lang w:eastAsia="en-US"/>
        </w:rPr>
        <w:t xml:space="preserve">If </w:t>
      </w:r>
      <w:r w:rsidRPr="00F94B7E">
        <w:rPr>
          <w:rFonts w:ascii="Times New Roman" w:eastAsia="Times New Roman" w:hAnsi="Times New Roman" w:cs="Times New Roman"/>
          <w:lang w:eastAsia="en-US"/>
        </w:rPr>
        <w:t>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Shea had been injured on the boat she worked on, her tort lawsuit would probably have been displaced by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statutes. In almost every state, employees injured in the course of their employment are entitled to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benefits, typically paid for by the employer, in return for which tort lawsuits by employees against their employers for workplace injuries are barred. (Texas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program is voluntary; non-participating employers are still subject to tort lawsuits).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differs from tort damages in two primary ways. First,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is a </w:t>
      </w:r>
      <w:r w:rsidRPr="00F94B7E">
        <w:rPr>
          <w:rFonts w:ascii="Times New Roman" w:eastAsia="Times New Roman" w:hAnsi="Times New Roman" w:cs="Times New Roman"/>
          <w:i/>
          <w:iCs/>
          <w:lang w:eastAsia="en-US"/>
        </w:rPr>
        <w:t>no fault</w:t>
      </w:r>
      <w:r w:rsidRPr="00F94B7E">
        <w:rPr>
          <w:rFonts w:ascii="Times New Roman" w:eastAsia="Times New Roman" w:hAnsi="Times New Roman" w:cs="Times New Roman"/>
          <w:lang w:eastAsia="en-US"/>
        </w:rPr>
        <w:t xml:space="preserve"> system</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 order to collect, an employee only has to prove that the injury was workplace-related, not that the employer was negligent. Second,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damages are not fully compensatory</w:t>
      </w:r>
      <w:r w:rsidR="00361A5F"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rather, worker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4E60BF94" w14:textId="4A5D543F"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Does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preserve the deterrent effect of the torts system? Most state tort systems have an experience-rating system for employers, so employers who have had more employees file claims pay higher premiums. In theory, this creates incentives for employers to lower their rating through improved safety programs. However, experience rating has been criticized as a mechanism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encourages motivated employers to attempt to prevent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costs by reducing the filing of claims instead of the occurrence of injuries.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Emily </w:t>
      </w:r>
      <w:r w:rsidR="000B1659">
        <w:rPr>
          <w:rFonts w:ascii="Times New Roman" w:eastAsia="Times New Roman" w:hAnsi="Times New Roman" w:cs="Times New Roman"/>
          <w:lang w:eastAsia="en-US"/>
        </w:rPr>
        <w:t xml:space="preserve">A. </w:t>
      </w:r>
      <w:r w:rsidRPr="750671CE">
        <w:rPr>
          <w:rFonts w:ascii="Times New Roman" w:eastAsia="Times New Roman" w:hAnsi="Times New Roman" w:cs="Times New Roman"/>
          <w:lang w:eastAsia="en-US"/>
        </w:rPr>
        <w:t xml:space="preserve">Spieler, </w:t>
      </w:r>
      <w:r w:rsidRPr="750671CE">
        <w:rPr>
          <w:rFonts w:ascii="Times New Roman" w:eastAsia="Times New Roman" w:hAnsi="Times New Roman" w:cs="Times New Roman"/>
          <w:i/>
          <w:iCs/>
          <w:lang w:eastAsia="en-US"/>
        </w:rPr>
        <w:t>Perpetuating Risk? Workers</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 xml:space="preserve"> Compensation and the Persistence of Occupational Injuries</w:t>
      </w:r>
      <w:r w:rsidRPr="750671CE">
        <w:rPr>
          <w:rFonts w:ascii="Times New Roman" w:eastAsia="Times New Roman" w:hAnsi="Times New Roman" w:cs="Times New Roman"/>
          <w:lang w:eastAsia="en-US"/>
        </w:rPr>
        <w:t xml:space="preserve">, 31 </w:t>
      </w:r>
      <w:r w:rsidRPr="750671CE">
        <w:rPr>
          <w:rFonts w:ascii="Times New Roman" w:eastAsia="Times New Roman" w:hAnsi="Times New Roman" w:cs="Times New Roman"/>
          <w:smallCaps/>
          <w:lang w:eastAsia="en-US"/>
        </w:rPr>
        <w:t>Hous. L. Rev</w:t>
      </w:r>
      <w:r w:rsidRPr="750671CE">
        <w:rPr>
          <w:rFonts w:ascii="Times New Roman" w:eastAsia="Times New Roman" w:hAnsi="Times New Roman" w:cs="Times New Roman"/>
          <w:lang w:eastAsia="en-US"/>
        </w:rPr>
        <w:t>. 119, 127 (1994).</w:t>
      </w:r>
    </w:p>
    <w:p w14:paraId="70A26A3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1D22EA1"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7539E33" w14:textId="4ED19DD1" w:rsidR="00C85B70" w:rsidRPr="00F94B7E" w:rsidRDefault="750671CE" w:rsidP="00F94B7E">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w:t>
      </w:r>
      <w:r w:rsidR="00FA0CAD"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 xml:space="preserve">ncidence of </w:t>
      </w:r>
      <w:r w:rsidR="00FA0CAD" w:rsidRPr="00F94B7E">
        <w:rPr>
          <w:rFonts w:ascii="Times New Roman" w:eastAsia="Times New Roman" w:hAnsi="Times New Roman" w:cs="Times New Roman"/>
          <w:i/>
          <w:iCs/>
          <w:lang w:eastAsia="en-US"/>
        </w:rPr>
        <w:t>wo</w:t>
      </w:r>
      <w:r w:rsidRPr="00F94B7E">
        <w:rPr>
          <w:rFonts w:ascii="Times New Roman" w:eastAsia="Times New Roman" w:hAnsi="Times New Roman" w:cs="Times New Roman"/>
          <w:i/>
          <w:iCs/>
          <w:lang w:eastAsia="en-US"/>
        </w:rPr>
        <w:t>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ompensation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osts. </w:t>
      </w:r>
      <w:r w:rsidRPr="00F94B7E">
        <w:rPr>
          <w:rFonts w:ascii="Times New Roman" w:eastAsia="Times New Roman" w:hAnsi="Times New Roman" w:cs="Times New Roman"/>
          <w:lang w:eastAsia="en-US"/>
        </w:rPr>
        <w:t>Before the rise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evidence indicates that workers in jobs with a high likelihood of workplace injuries received a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risk premium</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of higher wages. Those premiums levelled out with the introduction of mandatory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essentially forces employers to pay their workers in not just wages</w:t>
      </w:r>
      <w:r w:rsidR="000B1659">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also insurance. Do workers get paid less in wages because some of their compensation is in the form of insurance? Historical data indicates that workers bore the brunt of the incidence of workers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compensation costs through lower wages. Price V. Fishback </w:t>
      </w:r>
      <w:r w:rsidR="00CA526C" w:rsidRPr="00F94B7E">
        <w:rPr>
          <w:rFonts w:ascii="Times New Roman" w:eastAsia="Times New Roman" w:hAnsi="Times New Roman" w:cs="Times New Roman"/>
          <w:lang w:eastAsia="en-US"/>
        </w:rPr>
        <w:t xml:space="preserve">&amp; </w:t>
      </w:r>
      <w:r w:rsidRPr="00F94B7E">
        <w:rPr>
          <w:rFonts w:ascii="Times New Roman" w:eastAsia="Times New Roman" w:hAnsi="Times New Roman" w:cs="Times New Roman"/>
          <w:lang w:eastAsia="en-US"/>
        </w:rPr>
        <w:t xml:space="preserve">Shawn Kantor, </w:t>
      </w:r>
      <w:r w:rsidRPr="00F94B7E">
        <w:rPr>
          <w:rFonts w:ascii="Times New Roman" w:eastAsia="Times New Roman" w:hAnsi="Times New Roman" w:cs="Times New Roman"/>
          <w:i/>
          <w:iCs/>
          <w:lang w:eastAsia="en-US"/>
        </w:rPr>
        <w:t>Did Workers Gain from the Passage of Workers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Compensation Laws</w:t>
      </w:r>
      <w:r w:rsidRPr="00F94B7E">
        <w:rPr>
          <w:rFonts w:ascii="Times New Roman" w:eastAsia="Times New Roman" w:hAnsi="Times New Roman" w:cs="Times New Roman"/>
          <w:i/>
          <w:lang w:eastAsia="en-US"/>
        </w:rPr>
        <w:t>?</w:t>
      </w:r>
      <w:r w:rsidRPr="00F94B7E">
        <w:rPr>
          <w:rFonts w:ascii="Times New Roman" w:eastAsia="Times New Roman" w:hAnsi="Times New Roman" w:cs="Times New Roman"/>
          <w:lang w:eastAsia="en-US"/>
        </w:rPr>
        <w:t xml:space="preserve"> 110 </w:t>
      </w:r>
      <w:r w:rsidR="00D45F4B">
        <w:rPr>
          <w:rFonts w:ascii="Times New Roman" w:eastAsia="Times New Roman" w:hAnsi="Times New Roman" w:cs="Times New Roman"/>
          <w:smallCaps/>
          <w:lang w:eastAsia="en-US"/>
        </w:rPr>
        <w:t>Q.</w:t>
      </w:r>
      <w:r w:rsidR="000B1659">
        <w:rPr>
          <w:rFonts w:ascii="Times New Roman" w:eastAsia="Times New Roman" w:hAnsi="Times New Roman" w:cs="Times New Roman"/>
          <w:smallCaps/>
          <w:lang w:eastAsia="en-US"/>
        </w:rPr>
        <w:t>J.</w:t>
      </w:r>
      <w:r w:rsidR="000B1659" w:rsidRPr="00F94B7E">
        <w:rPr>
          <w:rFonts w:ascii="Times New Roman" w:eastAsia="Times New Roman" w:hAnsi="Times New Roman" w:cs="Times New Roman"/>
          <w:smallCaps/>
          <w:lang w:eastAsia="en-US"/>
        </w:rPr>
        <w:t xml:space="preserve"> </w:t>
      </w:r>
      <w:r w:rsidRPr="00F94B7E">
        <w:rPr>
          <w:rFonts w:ascii="Times New Roman" w:eastAsia="Times New Roman" w:hAnsi="Times New Roman" w:cs="Times New Roman"/>
          <w:smallCaps/>
          <w:lang w:eastAsia="en-US"/>
        </w:rPr>
        <w:t>Econ</w:t>
      </w:r>
      <w:r w:rsidR="000B1659">
        <w:rPr>
          <w:rFonts w:ascii="Times New Roman" w:eastAsia="Times New Roman" w:hAnsi="Times New Roman" w:cs="Times New Roman"/>
          <w:smallCaps/>
          <w:lang w:eastAsia="en-US"/>
        </w:rPr>
        <w:t>.</w:t>
      </w:r>
      <w:r w:rsidRPr="00F94B7E">
        <w:rPr>
          <w:rFonts w:ascii="Times New Roman" w:eastAsia="Times New Roman" w:hAnsi="Times New Roman" w:cs="Times New Roman"/>
          <w:lang w:eastAsia="en-US"/>
        </w:rPr>
        <w:t xml:space="preserve"> 713 (1995).</w:t>
      </w:r>
    </w:p>
    <w:p w14:paraId="7DE8B77B"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63D3E949" w14:textId="4C66CBC8"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laws do not preempt lawsuits against third parties, such as the tug-boat company that ferried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Shea to work or the manufacturers of industrial equipment. If both the employer and the third party are at fault, they would have been held jointly and severally liable and thus shared the costs before the enactment of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Under the current regime, the third party often bears the entire cost because the claim against the employer is pre-empted. Is this a positive development? On the one hand, these third parties may be held liable out of proportion to their damages; on the other hand, not immunizing the employers substantially undoes the quid pro quo of the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deal in which the employer provides certain compensation regardless of fault in return for immunity from suit in tort.</w:t>
      </w:r>
    </w:p>
    <w:p w14:paraId="53A97C3F"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81057DA"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16070D4E" w14:textId="2B31FE04" w:rsidR="00C85B70" w:rsidRPr="00F94B7E" w:rsidRDefault="750671CE" w:rsidP="00F94B7E">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w:t>
      </w:r>
      <w:r w:rsidR="00FA0CAD" w:rsidRPr="00F94B7E">
        <w:rPr>
          <w:rFonts w:ascii="Times New Roman" w:eastAsia="Times New Roman" w:hAnsi="Times New Roman" w:cs="Times New Roman"/>
          <w:i/>
          <w:iCs/>
          <w:lang w:eastAsia="en-US"/>
        </w:rPr>
        <w:t>c</w:t>
      </w:r>
      <w:r w:rsidRPr="00F94B7E">
        <w:rPr>
          <w:rFonts w:ascii="Times New Roman" w:eastAsia="Times New Roman" w:hAnsi="Times New Roman" w:cs="Times New Roman"/>
          <w:i/>
          <w:iCs/>
          <w:lang w:eastAsia="en-US"/>
        </w:rPr>
        <w:t xml:space="preserve">ollateral </w:t>
      </w:r>
      <w:r w:rsidR="00FA0CAD" w:rsidRPr="00F94B7E">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 xml:space="preserve">ource </w:t>
      </w:r>
      <w:r w:rsidR="00FA0CAD" w:rsidRPr="00F94B7E">
        <w:rPr>
          <w:rFonts w:ascii="Times New Roman" w:eastAsia="Times New Roman" w:hAnsi="Times New Roman" w:cs="Times New Roman"/>
          <w:i/>
          <w:iCs/>
          <w:lang w:eastAsia="en-US"/>
        </w:rPr>
        <w:t>r</w:t>
      </w:r>
      <w:r w:rsidRPr="00F94B7E">
        <w:rPr>
          <w:rFonts w:ascii="Times New Roman" w:eastAsia="Times New Roman" w:hAnsi="Times New Roman" w:cs="Times New Roman"/>
          <w:i/>
          <w:iCs/>
          <w:lang w:eastAsia="en-US"/>
        </w:rPr>
        <w:t xml:space="preserve">ule. </w:t>
      </w:r>
      <w:r w:rsidRPr="00F94B7E">
        <w:rPr>
          <w:rFonts w:ascii="Times New Roman" w:eastAsia="Times New Roman" w:hAnsi="Times New Roman" w:cs="Times New Roman"/>
          <w:lang w:eastAsia="en-US"/>
        </w:rPr>
        <w:t>If O</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Shea had disability insurance, would that affect her tort award? Most likely not.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collateral source rule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provides that the damages award a plaintiff receives shall not be affected by payments from third parties, such as insurers, to cover the cost of those injuries. </w:t>
      </w:r>
      <w:r w:rsidRPr="00F94B7E">
        <w:rPr>
          <w:rFonts w:ascii="Times New Roman" w:eastAsia="Times New Roman" w:hAnsi="Times New Roman" w:cs="Times New Roman"/>
          <w:smallCaps/>
          <w:lang w:eastAsia="en-US"/>
        </w:rPr>
        <w:t>Restatement (Second) of Torts</w:t>
      </w:r>
      <w:r w:rsidRPr="00F94B7E">
        <w:rPr>
          <w:rFonts w:ascii="Times New Roman" w:eastAsia="Times New Roman" w:hAnsi="Times New Roman" w:cs="Times New Roman"/>
          <w:lang w:eastAsia="en-US"/>
        </w:rPr>
        <w:t xml:space="preserve"> § 920A(2). This rule means that</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in theory, a plaintiff could receive compensation from her property insurance company for damages to her house and receive compensation from the tortfeasor for those same damages. Note that while the collateral source rule makes sense from a deterrence perspective, it is hard to understand if compensation is our goal. In a deterrence framework, the fact of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insurance is irrelevant to the level at which the defendant should have to pay out in order to create optimal deterrence. In a compensation framework, a plaintiff who has already been made whole by an insurer will not need further compensation; at the very least, the high expenses of compensation through tort are likely unjustified purely for compensation purposes.</w:t>
      </w:r>
    </w:p>
    <w:p w14:paraId="27962B46" w14:textId="77777777" w:rsidR="00C85B70" w:rsidRPr="00C85B70" w:rsidRDefault="00C85B70" w:rsidP="00C85B70">
      <w:pPr>
        <w:autoSpaceDE w:val="0"/>
        <w:autoSpaceDN w:val="0"/>
        <w:adjustRightInd w:val="0"/>
        <w:ind w:firstLine="720"/>
        <w:contextualSpacing/>
        <w:rPr>
          <w:rFonts w:ascii="Times New Roman" w:eastAsia="Times New Roman" w:hAnsi="Times New Roman" w:cs="Times New Roman"/>
          <w:iCs/>
          <w:lang w:eastAsia="en-US"/>
        </w:rPr>
      </w:pPr>
    </w:p>
    <w:p w14:paraId="4706F046" w14:textId="2BB7351C" w:rsidR="00C85B70" w:rsidRPr="00C85B70" w:rsidRDefault="00C85B70" w:rsidP="00463042">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iCs/>
          <w:lang w:eastAsia="en-US"/>
        </w:rPr>
        <w:tab/>
      </w:r>
      <w:r w:rsidRPr="750671CE">
        <w:rPr>
          <w:rFonts w:ascii="Times New Roman" w:eastAsia="Times New Roman" w:hAnsi="Times New Roman" w:cs="Times New Roman"/>
          <w:lang w:eastAsia="en-US"/>
        </w:rPr>
        <w:t xml:space="preserve">Note that it is not always clear that the collateral source rule should be thought of as providing for double payment. On the one hand, the plaintiff may be recovering twice for the same damage, an apparent windfall. On the other hand, the plaintiff has been paying insurance premiums for one payout, so the insurance payout is hardly a free windfall. Even if the collateral source rule allows double payment, is it necessary to preserve the deterrence effects of torts? Or, is it necessary to preserve an incentive to purchase insurance? Many states have passed legislation restricting the collateral source rule in some form to restrict the potential double payment to plaintiffs, most often in the context of medical insurance and malpractice claims. David Schap &amp; Andrew Feeley, </w:t>
      </w:r>
      <w:r w:rsidRPr="00F94B7E">
        <w:rPr>
          <w:rFonts w:ascii="Times New Roman" w:eastAsia="Times New Roman" w:hAnsi="Times New Roman" w:cs="Times New Roman"/>
          <w:i/>
          <w:lang w:eastAsia="en-US"/>
        </w:rPr>
        <w:t>The Collateral Source Rule: Statutory Reform and Special Interests</w:t>
      </w:r>
      <w:r w:rsidRPr="750671CE">
        <w:rPr>
          <w:rFonts w:ascii="Times New Roman" w:eastAsia="Times New Roman" w:hAnsi="Times New Roman" w:cs="Times New Roman"/>
          <w:lang w:eastAsia="en-US"/>
        </w:rPr>
        <w:t xml:space="preserve">, 28 </w:t>
      </w:r>
      <w:r w:rsidRPr="00F94B7E">
        <w:rPr>
          <w:rFonts w:ascii="Times New Roman" w:eastAsia="Times New Roman" w:hAnsi="Times New Roman" w:cs="Times New Roman"/>
          <w:smallCaps/>
          <w:lang w:eastAsia="en-US"/>
        </w:rPr>
        <w:t>Cato J.</w:t>
      </w:r>
      <w:r w:rsidRPr="750671CE">
        <w:rPr>
          <w:rFonts w:ascii="Times New Roman" w:eastAsia="Times New Roman" w:hAnsi="Times New Roman" w:cs="Times New Roman"/>
          <w:lang w:eastAsia="en-US"/>
        </w:rPr>
        <w:t xml:space="preserve"> 83, 89 (2008).  Why should defendants get the benefit a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insurance arrangements?  The case for the traditional collateral source rule is especially clear in the context of private insurance, where the plaintiff has paid (often very high) premiums to be protected.  But even with respect to public insurance mechanisms, why should a defendant be able to make a claim on the public tax resources that have gone toward</w:t>
      </w:r>
      <w:r w:rsidR="00E87CBB">
        <w:rPr>
          <w:rFonts w:ascii="Times New Roman" w:eastAsia="Times New Roman" w:hAnsi="Times New Roman" w:cs="Times New Roman"/>
          <w:lang w:eastAsia="en-US"/>
        </w:rPr>
        <w:t>s</w:t>
      </w:r>
      <w:r w:rsidRPr="750671CE">
        <w:rPr>
          <w:rFonts w:ascii="Times New Roman" w:eastAsia="Times New Roman" w:hAnsi="Times New Roman" w:cs="Times New Roman"/>
          <w:lang w:eastAsia="en-US"/>
        </w:rPr>
        <w:t xml:space="preserve"> paying for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insurance.</w:t>
      </w:r>
    </w:p>
    <w:p w14:paraId="703C911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E96C2CC" w14:textId="59769A6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What pecuniary damages should be awarded </w:t>
      </w:r>
      <w:r w:rsidR="00E87CBB">
        <w:rPr>
          <w:rFonts w:ascii="Times New Roman" w:eastAsia="Times New Roman" w:hAnsi="Times New Roman" w:cs="Times New Roman"/>
          <w:lang w:eastAsia="en-US"/>
        </w:rPr>
        <w:t xml:space="preserve">to </w:t>
      </w:r>
      <w:r w:rsidRPr="750671CE">
        <w:rPr>
          <w:rFonts w:ascii="Times New Roman" w:eastAsia="Times New Roman" w:hAnsi="Times New Roman" w:cs="Times New Roman"/>
          <w:lang w:eastAsia="en-US"/>
        </w:rPr>
        <w:t xml:space="preserve">someone who has no history in the labor market </w:t>
      </w:r>
      <w:r w:rsidR="00E87CBB">
        <w:rPr>
          <w:rFonts w:ascii="Times New Roman" w:eastAsia="Times New Roman" w:hAnsi="Times New Roman" w:cs="Times New Roman"/>
          <w:lang w:eastAsia="en-US"/>
        </w:rPr>
        <w:t xml:space="preserve">by which </w:t>
      </w:r>
      <w:r w:rsidRPr="750671CE">
        <w:rPr>
          <w:rFonts w:ascii="Times New Roman" w:eastAsia="Times New Roman" w:hAnsi="Times New Roman" w:cs="Times New Roman"/>
          <w:lang w:eastAsia="en-US"/>
        </w:rPr>
        <w:t>to calculate lost wages? What assumptions should be made about her likely participation in the workforce? Keep in mind that the case below was decided in 1975, when different assumptions might have been made about the deceased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life plans.</w:t>
      </w:r>
    </w:p>
    <w:p w14:paraId="58BBE2CD"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AF8B262"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71E02042" w14:textId="251F6AD8" w:rsidR="00C85B70" w:rsidRPr="00F94B7E" w:rsidRDefault="750671CE" w:rsidP="00F94B7E">
      <w:pPr>
        <w:pStyle w:val="ListParagraph"/>
        <w:numPr>
          <w:ilvl w:val="0"/>
          <w:numId w:val="126"/>
        </w:numPr>
        <w:autoSpaceDE w:val="0"/>
        <w:autoSpaceDN w:val="0"/>
        <w:adjustRightInd w:val="0"/>
        <w:ind w:left="0" w:firstLine="360"/>
        <w:rPr>
          <w:rFonts w:ascii="Times New Roman" w:eastAsia="Times New Roman" w:hAnsi="Times New Roman" w:cs="Times New Roman"/>
          <w:i/>
          <w:iCs/>
          <w:lang w:eastAsia="en-US"/>
        </w:rPr>
      </w:pPr>
      <w:r w:rsidRPr="00F94B7E">
        <w:rPr>
          <w:rFonts w:ascii="Times New Roman" w:eastAsia="Times New Roman" w:hAnsi="Times New Roman" w:cs="Times New Roman"/>
          <w:i/>
          <w:iCs/>
          <w:lang w:eastAsia="en-US"/>
        </w:rPr>
        <w:t xml:space="preserve">The taxation of tort awards. </w:t>
      </w:r>
      <w:r w:rsidRPr="00F94B7E">
        <w:rPr>
          <w:rFonts w:ascii="Times New Roman" w:eastAsia="Times New Roman" w:hAnsi="Times New Roman" w:cs="Times New Roman"/>
          <w:lang w:eastAsia="en-US"/>
        </w:rPr>
        <w:t>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expert in </w:t>
      </w:r>
      <w:r w:rsidRPr="00F94B7E">
        <w:rPr>
          <w:rFonts w:ascii="Times New Roman" w:eastAsia="Times New Roman" w:hAnsi="Times New Roman" w:cs="Times New Roman"/>
          <w:i/>
          <w:lang w:eastAsia="en-US"/>
        </w:rPr>
        <w:t>O</w:t>
      </w:r>
      <w:r w:rsidR="00B05F31" w:rsidRPr="00F94B7E">
        <w:rPr>
          <w:rFonts w:ascii="Times New Roman" w:eastAsia="Times New Roman" w:hAnsi="Times New Roman" w:cs="Times New Roman"/>
          <w:i/>
          <w:lang w:eastAsia="en-US"/>
        </w:rPr>
        <w:t>’</w:t>
      </w:r>
      <w:r w:rsidRPr="00F94B7E">
        <w:rPr>
          <w:rFonts w:ascii="Times New Roman" w:eastAsia="Times New Roman" w:hAnsi="Times New Roman" w:cs="Times New Roman"/>
          <w:i/>
          <w:lang w:eastAsia="en-US"/>
        </w:rPr>
        <w:t>Shea</w:t>
      </w:r>
      <w:r w:rsidRPr="00F94B7E">
        <w:rPr>
          <w:rFonts w:ascii="Times New Roman" w:eastAsia="Times New Roman" w:hAnsi="Times New Roman" w:cs="Times New Roman"/>
          <w:lang w:eastAsia="en-US"/>
        </w:rPr>
        <w:t xml:space="preserve"> discounted her future earnings by reference to her expected federal income tax obligations. But as Judge Posner observed in a part of the </w:t>
      </w:r>
      <w:r w:rsidRPr="00F94B7E">
        <w:rPr>
          <w:rFonts w:ascii="Times New Roman" w:eastAsia="Times New Roman" w:hAnsi="Times New Roman" w:cs="Times New Roman"/>
          <w:i/>
          <w:iCs/>
          <w:lang w:eastAsia="en-US"/>
        </w:rPr>
        <w:t>O</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Shea</w:t>
      </w:r>
      <w:r w:rsidRPr="00F94B7E">
        <w:rPr>
          <w:rFonts w:ascii="Times New Roman" w:eastAsia="Times New Roman" w:hAnsi="Times New Roman" w:cs="Times New Roman"/>
          <w:lang w:eastAsia="en-US"/>
        </w:rPr>
        <w:t xml:space="preserve"> opinion not excerpted here, this was an error. 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tax liability or saving is a matter not pertinent to the damages issue, being a matter between the plaintiff and the taxing authority.</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Hicks ex rel. Saus v. Jones</w:t>
      </w:r>
      <w:r w:rsidRPr="00F94B7E">
        <w:rPr>
          <w:rFonts w:ascii="Times New Roman" w:eastAsia="Times New Roman" w:hAnsi="Times New Roman" w:cs="Times New Roman"/>
          <w:lang w:eastAsia="en-US"/>
        </w:rPr>
        <w:t>, 217 W. Va. 107, 113, 617 S.E.2d 457, 463 (2005). The logic seems to be that defendants should pay the full cost of the damages they caused. How that payment is then divided between the state and the plaintiff is not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concern, but rather is up to the state. If states choose to adopt a tax regime friendly to tort plaintiffs, that policy decision should hardly benefit the defendants! Any other outcome is a tax break for tortfeasors. </w:t>
      </w:r>
    </w:p>
    <w:p w14:paraId="3E4268D5"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37D648FA" w14:textId="5E125D7E" w:rsidR="00C85B70" w:rsidRPr="00C85B70" w:rsidRDefault="00154C5D" w:rsidP="00F94B7E">
      <w:pPr>
        <w:autoSpaceDE w:val="0"/>
        <w:autoSpaceDN w:val="0"/>
        <w:adjustRightInd w:val="0"/>
        <w:ind w:firstLine="720"/>
        <w:contextualSpacing/>
        <w:rPr>
          <w:rFonts w:ascii="Times New Roman" w:eastAsia="Times New Roman" w:hAnsi="Times New Roman" w:cs="Times New Roman"/>
          <w:i/>
          <w:iCs/>
          <w:lang w:eastAsia="en-US"/>
        </w:rPr>
      </w:pPr>
      <w:r>
        <w:rPr>
          <w:rFonts w:ascii="Times New Roman" w:eastAsia="Times New Roman" w:hAnsi="Times New Roman" w:cs="Times New Roman"/>
          <w:lang w:eastAsia="en-US"/>
        </w:rPr>
        <w:t xml:space="preserve">Alaska </w:t>
      </w:r>
      <w:r w:rsidR="750671CE" w:rsidRPr="750671CE">
        <w:rPr>
          <w:rFonts w:ascii="Times New Roman" w:eastAsia="Times New Roman" w:hAnsi="Times New Roman" w:cs="Times New Roman"/>
          <w:lang w:eastAsia="en-US"/>
        </w:rPr>
        <w:t>holds that income taxes should not be deducted for a different reason</w:t>
      </w:r>
      <w:r w:rsidR="00463042" w:rsidRPr="00463042">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that </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s tortious conduct.</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w:t>
      </w:r>
      <w:r w:rsidR="750671CE" w:rsidRPr="750671CE">
        <w:rPr>
          <w:rFonts w:ascii="Times New Roman" w:eastAsia="Times New Roman" w:hAnsi="Times New Roman" w:cs="Times New Roman"/>
          <w:i/>
          <w:iCs/>
          <w:lang w:eastAsia="en-US"/>
        </w:rPr>
        <w:t>Beaulieu v. Elliott</w:t>
      </w:r>
      <w:r w:rsidR="750671CE" w:rsidRPr="750671CE">
        <w:rPr>
          <w:rFonts w:ascii="Times New Roman" w:eastAsia="Times New Roman" w:hAnsi="Times New Roman" w:cs="Times New Roman"/>
          <w:lang w:eastAsia="en-US"/>
        </w:rPr>
        <w:t xml:space="preserve">, 434 P.2d 665, 673 (Alaska 1967). This leads to the interesting consequence that the court should deduct </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taxes on income earned prior to trial [which] can be easily calculated based on income tax laws and regulations as they existed at the time the wages would have been earned.</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w:t>
      </w:r>
      <w:r w:rsidR="750671CE" w:rsidRPr="750671CE">
        <w:rPr>
          <w:rFonts w:ascii="Times New Roman" w:eastAsia="Times New Roman" w:hAnsi="Times New Roman" w:cs="Times New Roman"/>
          <w:i/>
          <w:iCs/>
          <w:lang w:eastAsia="en-US"/>
        </w:rPr>
        <w:t>Id.</w:t>
      </w:r>
      <w:r w:rsidR="750671CE" w:rsidRPr="750671CE">
        <w:rPr>
          <w:rFonts w:ascii="Times New Roman" w:eastAsia="Times New Roman" w:hAnsi="Times New Roman" w:cs="Times New Roman"/>
          <w:lang w:eastAsia="en-US"/>
        </w:rPr>
        <w:t xml:space="preserve">  Should defendants gain the benefit of a plaintiff</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s likely future contributions to the public fisc?</w:t>
      </w:r>
    </w:p>
    <w:p w14:paraId="32BA657B"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33D3DE2D" w14:textId="77777777" w:rsidR="00C85B70" w:rsidRPr="00C85B70" w:rsidRDefault="00C85B70" w:rsidP="00C85B70">
      <w:pPr>
        <w:autoSpaceDE w:val="0"/>
        <w:autoSpaceDN w:val="0"/>
        <w:adjustRightInd w:val="0"/>
        <w:contextualSpacing/>
        <w:rPr>
          <w:rFonts w:ascii="Times New Roman" w:eastAsia="Times New Roman" w:hAnsi="Times New Roman" w:cs="Times New Roman"/>
          <w:i/>
          <w:iCs/>
          <w:lang w:eastAsia="en-US"/>
        </w:rPr>
      </w:pPr>
    </w:p>
    <w:p w14:paraId="15106AFF" w14:textId="2F863855" w:rsidR="00C85B70" w:rsidRPr="00C85B70" w:rsidRDefault="00C85B70" w:rsidP="750671CE">
      <w:pPr>
        <w:autoSpaceDE w:val="0"/>
        <w:autoSpaceDN w:val="0"/>
        <w:adjustRightInd w:val="0"/>
        <w:contextualSpacing/>
        <w:rPr>
          <w:rFonts w:ascii="Times New Roman" w:eastAsia="Times New Roman" w:hAnsi="Times New Roman" w:cs="Times New Roman"/>
          <w:b/>
          <w:bCs/>
          <w:lang w:eastAsia="en-US"/>
        </w:rPr>
      </w:pPr>
      <w:bookmarkStart w:id="1082" w:name="_Toc518323579"/>
      <w:r w:rsidRPr="001B55CC">
        <w:rPr>
          <w:rStyle w:val="Heading4Char"/>
        </w:rPr>
        <w:t>Feldman v. Allegheny Airlines</w:t>
      </w:r>
      <w:bookmarkEnd w:id="1082"/>
      <w:r w:rsidR="001B55CC"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524 F.2d 384 (2</w:t>
      </w:r>
      <w:r w:rsidRPr="00F94B7E">
        <w:rPr>
          <w:rFonts w:ascii="Times New Roman" w:eastAsia="Times New Roman" w:hAnsi="Times New Roman" w:cs="Times New Roman"/>
          <w:b/>
          <w:bCs/>
          <w:lang w:eastAsia="en-US"/>
        </w:rPr>
        <w:t>d</w:t>
      </w:r>
      <w:r w:rsidRPr="750671CE">
        <w:rPr>
          <w:rFonts w:ascii="Times New Roman" w:eastAsia="Times New Roman" w:hAnsi="Times New Roman" w:cs="Times New Roman"/>
          <w:b/>
          <w:bCs/>
          <w:lang w:eastAsia="en-US"/>
        </w:rPr>
        <w:t xml:space="preserve"> Cir. 1975) </w:t>
      </w:r>
    </w:p>
    <w:p w14:paraId="31E571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A34DD6A" w14:textId="6D249506"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Lasker,</w:t>
      </w:r>
      <w:r w:rsidR="0038332A">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w:t>
      </w:r>
    </w:p>
    <w:p w14:paraId="691EF9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44B4DF4" w14:textId="3C58221B"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judgment awarding $444,056 to Reid Laurence Feldman, as administrator of the estate of his late wife.</w:t>
      </w:r>
    </w:p>
    <w:p w14:paraId="37FA727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E061D7E" w14:textId="2F7607C2"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In accordance with Connecticut law, the judgment represented the sum of (1) the value of Mrs. Feldman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lost earning capacity and (2) the destruction of her capacity to enjoy life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non-remunerative activities, less (3) deductions for her necessary personal living expenses. No award was made for conscious pain and suffering before Mrs. Feldman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death because the evidence on this point was too speculative, nor did the award include pre-judgment interest.</w:t>
      </w:r>
    </w:p>
    <w:p w14:paraId="6BA6319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1C8ED8E" w14:textId="732ACC0E"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Damages in a wrongful death action must of necessity represent a crude monetary forecast of how the decedent</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s life would have evolved. Prior to stating his specific findings, the district judge noted, and we agree, that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the whole problem of assessing damages for wrongful death . . . defies any precise mathematical computation,</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citing </w:t>
      </w:r>
      <w:r w:rsidRPr="00F94B7E">
        <w:rPr>
          <w:rFonts w:ascii="Times New Roman" w:eastAsia="Times New Roman" w:hAnsi="Times New Roman" w:cs="Times New Roman"/>
          <w:i/>
          <w:lang w:eastAsia="en-US"/>
        </w:rPr>
        <w:t>Floyd v. Fruit Industries, Inc</w:t>
      </w:r>
      <w:r w:rsidRPr="00E87CBB">
        <w:rPr>
          <w:rFonts w:ascii="Times New Roman" w:eastAsia="Times New Roman" w:hAnsi="Times New Roman" w:cs="Times New Roman"/>
          <w:lang w:eastAsia="en-US"/>
        </w:rPr>
        <w:t xml:space="preserve">., </w:t>
      </w:r>
      <w:r w:rsidRPr="00F94B7E">
        <w:rPr>
          <w:rFonts w:ascii="Times New Roman" w:eastAsia="Times New Roman" w:hAnsi="Times New Roman" w:cs="Times New Roman"/>
          <w:i/>
          <w:lang w:eastAsia="en-US"/>
        </w:rPr>
        <w:t>supra</w:t>
      </w:r>
      <w:r w:rsidRPr="00E87CBB">
        <w:rPr>
          <w:rFonts w:ascii="Times New Roman" w:eastAsia="Times New Roman" w:hAnsi="Times New Roman" w:cs="Times New Roman"/>
          <w:lang w:eastAsia="en-US"/>
        </w:rPr>
        <w:t>, 144 Conn. at 675, 136 A.2d at 927 (382 F. Supp. at 1282).</w:t>
      </w:r>
    </w:p>
    <w:p w14:paraId="744E44E9"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79B6A729" w14:textId="562B54F3" w:rsidR="00C85B70" w:rsidRPr="00F94B7E" w:rsidRDefault="750671CE" w:rsidP="750671CE">
      <w:pPr>
        <w:widowControl w:val="0"/>
        <w:autoSpaceDE w:val="0"/>
        <w:autoSpaceDN w:val="0"/>
        <w:adjustRightInd w:val="0"/>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It is clear from Judge Blumenfeld</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F94B7E">
        <w:rPr>
          <w:rFonts w:ascii="Times New Roman" w:eastAsia="Times New Roman,Cambria" w:hAnsi="Times New Roman" w:cs="Times New Roman"/>
          <w:lang w:eastAsia="en-US"/>
        </w:rPr>
        <w:t>[be]</w:t>
      </w:r>
      <w:r w:rsidRPr="00F94B7E">
        <w:rPr>
          <w:rFonts w:ascii="Times New Roman" w:eastAsia="Times New Roman,Cambria" w:hAnsi="Times New Roman" w:cs="Times New Roman"/>
          <w:lang w:eastAsia="en-US"/>
        </w:rPr>
        <w:t>remanded.</w:t>
      </w:r>
    </w:p>
    <w:p w14:paraId="6F37CE4C" w14:textId="77777777" w:rsidR="00C85B70" w:rsidRPr="00E87CBB" w:rsidRDefault="00C85B70" w:rsidP="00C85B70">
      <w:pPr>
        <w:widowControl w:val="0"/>
        <w:autoSpaceDE w:val="0"/>
        <w:autoSpaceDN w:val="0"/>
        <w:adjustRightInd w:val="0"/>
        <w:ind w:firstLine="720"/>
        <w:rPr>
          <w:rFonts w:ascii="Times New Roman" w:eastAsiaTheme="minorHAnsi" w:hAnsi="Times New Roman" w:cs="Times New Roman"/>
          <w:lang w:eastAsia="en-US"/>
        </w:rPr>
      </w:pPr>
    </w:p>
    <w:p w14:paraId="4AF223EF" w14:textId="5E146BA0" w:rsidR="00C85B70" w:rsidRPr="00F94B7E" w:rsidRDefault="750671CE" w:rsidP="750671CE">
      <w:pPr>
        <w:autoSpaceDE w:val="0"/>
        <w:autoSpaceDN w:val="0"/>
        <w:adjustRightInd w:val="0"/>
        <w:contextualSpacing/>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 . .</w:t>
      </w:r>
    </w:p>
    <w:p w14:paraId="46595813"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6C9498FB" w14:textId="776D83FD"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Nancy Feldman was 25 years old at the time of her death. From 1968 until shortly before the plane crash, she lived and worked in New Haven while her husband studied at Yale Law School. On Mr. Feldman</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5B2EDA0A" w14:textId="37838187" w:rsidR="00C85B70" w:rsidRPr="00E87CBB" w:rsidRDefault="750671CE" w:rsidP="750671CE">
      <w:pPr>
        <w:autoSpaceDE w:val="0"/>
        <w:autoSpaceDN w:val="0"/>
        <w:adjustRightInd w:val="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 . .</w:t>
      </w:r>
    </w:p>
    <w:p w14:paraId="2F6FA121"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68852D40" w14:textId="4B0CF88D"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In computing the value of Mrs. Feldman</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lost earning capacity, the trial judge found that Mrs. Feldman</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the loss of earning capacity, not future earnings per se . . .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may thus fairly be measured by reference to the earning capacity possessed by the decedent</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42330790" w14:textId="362B552C"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We believe the trial judge erred in automatically valuing Mrs. Feldman</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loss for the child-bearing period at the level of her salary. As Judge Blumenfeld</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opinion points out, the Connecticut cases distinguish clearly between loss of earning capacity and loss of capacity to carry on life</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non-remunerative activities. As we read Connecticut law, where a decedent suffers both kinds of loss for the same period each must be valued independently in relation to the elements particular to it.</w:t>
      </w:r>
    </w:p>
    <w:p w14:paraId="3AB5FD20"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72BC77FC" w14:textId="4BA81143"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 xml:space="preserve">The court in </w:t>
      </w:r>
      <w:r w:rsidRPr="00E87CBB">
        <w:rPr>
          <w:rFonts w:ascii="Times New Roman" w:eastAsia="Times New Roman" w:hAnsi="Times New Roman" w:cs="Times New Roman"/>
          <w:i/>
          <w:iCs/>
          <w:lang w:eastAsia="en-US"/>
        </w:rPr>
        <w:t>Floyd v. Fruit Industries, Inc</w:t>
      </w:r>
      <w:r w:rsidRPr="00E87CBB">
        <w:rPr>
          <w:rFonts w:ascii="Times New Roman" w:eastAsia="Times New Roman" w:hAnsi="Times New Roman" w:cs="Times New Roman"/>
          <w:lang w:eastAsia="en-US"/>
        </w:rPr>
        <w:t xml:space="preserve">., </w:t>
      </w:r>
      <w:r w:rsidRPr="00E87CBB">
        <w:rPr>
          <w:rFonts w:ascii="Times New Roman" w:eastAsia="Times New Roman" w:hAnsi="Times New Roman" w:cs="Times New Roman"/>
          <w:i/>
          <w:iCs/>
          <w:lang w:eastAsia="en-US"/>
        </w:rPr>
        <w:t>supra</w:t>
      </w:r>
      <w:r w:rsidRPr="00E87CBB">
        <w:rPr>
          <w:rFonts w:ascii="Times New Roman" w:eastAsia="Times New Roman" w:hAnsi="Times New Roman" w:cs="Times New Roman"/>
          <w:lang w:eastAsia="en-US"/>
        </w:rPr>
        <w:t xml:space="preserve">, equated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earning capacity</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with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the capacity to carry on the particular activity of earning money.</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loss of earnings</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E87CBB" w:rsidRDefault="00C85B70" w:rsidP="00C85B70">
      <w:pPr>
        <w:autoSpaceDE w:val="0"/>
        <w:autoSpaceDN w:val="0"/>
        <w:adjustRightInd w:val="0"/>
        <w:contextualSpacing/>
        <w:rPr>
          <w:rFonts w:ascii="Times New Roman" w:eastAsia="Times New Roman" w:hAnsi="Times New Roman" w:cs="Times New Roman"/>
          <w:lang w:eastAsia="en-US"/>
        </w:rPr>
      </w:pPr>
    </w:p>
    <w:p w14:paraId="04532C43" w14:textId="08ED589C" w:rsidR="00C85B70" w:rsidRPr="00E87CBB"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00E87CBB">
        <w:rPr>
          <w:rFonts w:ascii="Times New Roman" w:eastAsia="Times New Roman" w:hAnsi="Times New Roman" w:cs="Times New Roman"/>
          <w:lang w:eastAsia="en-US"/>
        </w:rPr>
        <w:t xml:space="preserve">This conclusion is consistent with the other leading authority in Connecticut. In </w:t>
      </w:r>
      <w:r w:rsidRPr="00E87CBB">
        <w:rPr>
          <w:rFonts w:ascii="Times New Roman" w:eastAsia="Times New Roman" w:hAnsi="Times New Roman" w:cs="Times New Roman"/>
          <w:i/>
          <w:iCs/>
          <w:lang w:eastAsia="en-US"/>
        </w:rPr>
        <w:t>Chase v. Fitzgerald</w:t>
      </w:r>
      <w:r w:rsidRPr="00E87CBB">
        <w:rPr>
          <w:rFonts w:ascii="Times New Roman" w:eastAsia="Times New Roman" w:hAnsi="Times New Roman" w:cs="Times New Roman"/>
          <w:lang w:eastAsia="en-US"/>
        </w:rPr>
        <w:t xml:space="preserve">, 132 Conn. 461, 45 A.2d 789 (1946), an award for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loss of future earnings</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s loss of earning capacity, but rather on her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loss of the enjoyment of life</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activities.</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132 Conn. at 470, 45 A.2d at 793. Consistently with the holding in Chase, we conclude that any award in relation to the portion of the child-raising period during which Mrs. Feldman would not have been working must be predicated on her </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loss of the enjoyment of life</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s activities</w:t>
      </w:r>
      <w:r w:rsidR="00B05F31" w:rsidRPr="00E87CBB">
        <w:rPr>
          <w:rFonts w:ascii="Times New Roman" w:eastAsia="Times New Roman" w:hAnsi="Times New Roman" w:cs="Times New Roman"/>
          <w:lang w:eastAsia="en-US"/>
        </w:rPr>
        <w:t>”</w:t>
      </w:r>
      <w:r w:rsidRPr="00E87CBB">
        <w:rPr>
          <w:rFonts w:ascii="Times New Roman" w:eastAsia="Times New Roman" w:hAnsi="Times New Roman" w:cs="Times New Roman"/>
          <w:lang w:eastAsia="en-US"/>
        </w:rPr>
        <w:t xml:space="preserve"> rather than on loss of earnings, and on remand the district judge should reevaluate the elements accordingly.</w:t>
      </w:r>
    </w:p>
    <w:p w14:paraId="05D5BED7" w14:textId="77777777" w:rsidR="00C85B70" w:rsidRPr="00E87CBB" w:rsidRDefault="00C85B70" w:rsidP="00C85B70">
      <w:pPr>
        <w:autoSpaceDE w:val="0"/>
        <w:autoSpaceDN w:val="0"/>
        <w:adjustRightInd w:val="0"/>
        <w:ind w:firstLine="720"/>
        <w:contextualSpacing/>
        <w:rPr>
          <w:rFonts w:ascii="Times New Roman" w:eastAsia="Times New Roman" w:hAnsi="Times New Roman" w:cs="Times New Roman"/>
          <w:lang w:eastAsia="en-US"/>
        </w:rPr>
      </w:pPr>
    </w:p>
    <w:p w14:paraId="7406EFEE" w14:textId="09AB2198" w:rsidR="00C85B70" w:rsidRPr="00F94B7E" w:rsidRDefault="750671CE" w:rsidP="750671CE">
      <w:pPr>
        <w:widowControl w:val="0"/>
        <w:autoSpaceDE w:val="0"/>
        <w:autoSpaceDN w:val="0"/>
        <w:adjustRightInd w:val="0"/>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We recognize that thus computed the total award for Mrs. Feldman</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s child- raising years may be similar to that already made, but conclude that the conceptual framework we have described is required by Connecticut</w:t>
      </w:r>
      <w:r w:rsidR="00B05F31"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s distinctive law of damages. . </w:t>
      </w:r>
      <w:r w:rsidR="00B05FEE" w:rsidRPr="00F94B7E">
        <w:rPr>
          <w:rFonts w:ascii="Times New Roman" w:eastAsia="Times New Roman,Cambria" w:hAnsi="Times New Roman" w:cs="Times New Roman"/>
          <w:lang w:eastAsia="en-US"/>
        </w:rPr>
        <w:t>.</w:t>
      </w:r>
      <w:r w:rsidRPr="00F94B7E">
        <w:rPr>
          <w:rFonts w:ascii="Times New Roman" w:eastAsia="Times New Roman,Cambria" w:hAnsi="Times New Roman" w:cs="Times New Roman"/>
          <w:lang w:eastAsia="en-US"/>
        </w:rPr>
        <w:t xml:space="preserve"> .</w:t>
      </w:r>
    </w:p>
    <w:p w14:paraId="492F75A5" w14:textId="77777777" w:rsidR="00C85B70" w:rsidRPr="00E87CBB" w:rsidRDefault="00C85B70" w:rsidP="00C85B70">
      <w:pPr>
        <w:widowControl w:val="0"/>
        <w:autoSpaceDE w:val="0"/>
        <w:autoSpaceDN w:val="0"/>
        <w:adjustRightInd w:val="0"/>
        <w:ind w:firstLine="720"/>
        <w:rPr>
          <w:rFonts w:ascii="Times New Roman" w:eastAsiaTheme="minorHAnsi" w:hAnsi="Times New Roman" w:cs="Times New Roman"/>
          <w:lang w:eastAsia="en-US"/>
        </w:rPr>
      </w:pPr>
    </w:p>
    <w:p w14:paraId="3CC12245" w14:textId="77777777" w:rsidR="00C85B70" w:rsidRPr="00F94B7E" w:rsidRDefault="750671CE" w:rsidP="750671CE">
      <w:pPr>
        <w:widowControl w:val="0"/>
        <w:autoSpaceDE w:val="0"/>
        <w:autoSpaceDN w:val="0"/>
        <w:adjustRightInd w:val="0"/>
        <w:ind w:firstLine="720"/>
        <w:rPr>
          <w:rFonts w:ascii="Times New Roman" w:eastAsia="Times New Roman,Cambria" w:hAnsi="Times New Roman" w:cs="Times New Roman"/>
          <w:lang w:eastAsia="en-US"/>
        </w:rPr>
      </w:pPr>
      <w:r w:rsidRPr="00F94B7E">
        <w:rPr>
          <w:rFonts w:ascii="Times New Roman" w:eastAsia="Times New Roman,Cambria" w:hAnsi="Times New Roman" w:cs="Times New Roman"/>
          <w:lang w:eastAsia="en-US"/>
        </w:rPr>
        <w:t>The judgment is affirmed in part, reversed in part and remanded.</w:t>
      </w:r>
    </w:p>
    <w:p w14:paraId="30AF480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F6A2C66" w14:textId="05346710"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Friendly</w:t>
      </w:r>
      <w:r w:rsidRPr="750671CE">
        <w:rPr>
          <w:rFonts w:ascii="Times New Roman" w:eastAsia="Times New Roman" w:hAnsi="Times New Roman" w:cs="Times New Roman"/>
          <w:lang w:eastAsia="en-US"/>
        </w:rPr>
        <w:t xml:space="preserve">, </w:t>
      </w:r>
      <w:r w:rsidR="0038332A">
        <w:rPr>
          <w:rFonts w:ascii="Times New Roman" w:eastAsia="Times New Roman" w:hAnsi="Times New Roman" w:cs="Times New Roman"/>
          <w:lang w:eastAsia="en-US"/>
        </w:rPr>
        <w:t>J., concurring.</w:t>
      </w:r>
      <w:r w:rsidRPr="750671CE">
        <w:rPr>
          <w:rFonts w:ascii="Times New Roman" w:eastAsia="Times New Roman" w:hAnsi="Times New Roman" w:cs="Times New Roman"/>
          <w:lang w:eastAsia="en-US"/>
        </w:rPr>
        <w:t xml:space="preserve"> </w:t>
      </w:r>
    </w:p>
    <w:p w14:paraId="37361D5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20FAB95" w14:textId="4662960C"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1E362FF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FDB29D1" w14:textId="3C17E11A"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 would . . . question the likelihood</w:t>
      </w:r>
      <w:r w:rsidR="00463042" w:rsidRPr="0046304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indeed, the certainty as found by the court</w:t>
      </w:r>
      <w:r w:rsidR="00463042" w:rsidRPr="00463042">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7A067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D693DF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97B595D" w14:textId="77777777" w:rsidR="00C85B70" w:rsidRPr="00C85B70" w:rsidRDefault="00C85B70" w:rsidP="00910387">
      <w:pPr>
        <w:pStyle w:val="Heading5"/>
      </w:pPr>
      <w:bookmarkStart w:id="1083" w:name="_Toc364636295"/>
      <w:bookmarkStart w:id="1084" w:name="_Toc518323580"/>
      <w:r w:rsidRPr="00C85B70">
        <w:t>Notes</w:t>
      </w:r>
      <w:bookmarkEnd w:id="1083"/>
      <w:bookmarkEnd w:id="1084"/>
    </w:p>
    <w:p w14:paraId="0C2031CF" w14:textId="77777777" w:rsidR="00C85B70" w:rsidRDefault="00C85B70" w:rsidP="00C85B70">
      <w:pPr>
        <w:autoSpaceDE w:val="0"/>
        <w:autoSpaceDN w:val="0"/>
        <w:adjustRightInd w:val="0"/>
        <w:contextualSpacing/>
        <w:rPr>
          <w:rFonts w:ascii="Times New Roman" w:eastAsia="Times New Roman" w:hAnsi="Times New Roman" w:cs="Times New Roman"/>
          <w:lang w:eastAsia="en-US"/>
        </w:rPr>
      </w:pPr>
    </w:p>
    <w:p w14:paraId="4DF59DFE" w14:textId="77777777" w:rsidR="00945FB9" w:rsidRPr="00C85B70" w:rsidRDefault="00945FB9" w:rsidP="00C85B70">
      <w:pPr>
        <w:autoSpaceDE w:val="0"/>
        <w:autoSpaceDN w:val="0"/>
        <w:adjustRightInd w:val="0"/>
        <w:contextualSpacing/>
        <w:rPr>
          <w:rFonts w:ascii="Times New Roman" w:eastAsia="Times New Roman" w:hAnsi="Times New Roman" w:cs="Times New Roman"/>
          <w:lang w:eastAsia="en-US"/>
        </w:rPr>
      </w:pPr>
    </w:p>
    <w:p w14:paraId="51757C61" w14:textId="1AAEB657" w:rsidR="00C85B70" w:rsidRPr="00F94B7E" w:rsidRDefault="750671CE" w:rsidP="00F94B7E">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Gender and tort damages. </w:t>
      </w:r>
      <w:r w:rsidRPr="00F94B7E">
        <w:rPr>
          <w:rFonts w:ascii="Times New Roman" w:eastAsia="Times New Roman" w:hAnsi="Times New Roman" w:cs="Times New Roman"/>
          <w:lang w:eastAsia="en-US"/>
        </w:rPr>
        <w:t xml:space="preserve">Legal scholar Martha Chamallas offers a pointed critique of the logic of </w:t>
      </w:r>
      <w:r w:rsidRPr="00F94B7E">
        <w:rPr>
          <w:rFonts w:ascii="Times New Roman" w:eastAsia="Times New Roman" w:hAnsi="Times New Roman" w:cs="Times New Roman"/>
          <w:i/>
          <w:iCs/>
          <w:lang w:eastAsia="en-US"/>
        </w:rPr>
        <w:t>Feldman</w:t>
      </w:r>
      <w:r w:rsidRPr="00F94B7E">
        <w:rPr>
          <w:rFonts w:ascii="Times New Roman" w:eastAsia="Times New Roman" w:hAnsi="Times New Roman" w:cs="Times New Roman"/>
          <w:lang w:eastAsia="en-US"/>
        </w:rPr>
        <w:t>:</w:t>
      </w:r>
    </w:p>
    <w:p w14:paraId="2331728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A1E7052" w14:textId="7C86F2ED" w:rsidR="00C85B70" w:rsidRPr="00C85B70" w:rsidRDefault="750671CE" w:rsidP="00582514">
      <w:pPr>
        <w:pStyle w:val="blockquote"/>
        <w:rPr>
          <w:lang w:eastAsia="en-US"/>
        </w:rPr>
      </w:pPr>
      <w:r w:rsidRPr="750671CE">
        <w:rPr>
          <w:lang w:eastAsia="en-US"/>
        </w:rPr>
        <w:t xml:space="preserve">Gender and race have disappeared from the face of tort law. </w:t>
      </w:r>
      <w:r w:rsidR="00582514">
        <w:rPr>
          <w:lang w:eastAsia="en-US"/>
        </w:rPr>
        <w:t xml:space="preserve">. . .  </w:t>
      </w:r>
      <w:r w:rsidRPr="750671CE">
        <w:rPr>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5AA8037" w14:textId="2276A400" w:rsidR="00C85B70" w:rsidRPr="00C85B70" w:rsidRDefault="750671CE" w:rsidP="0038332A">
      <w:pPr>
        <w:widowControl w:val="0"/>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Martha Chamallas, </w:t>
      </w:r>
      <w:r w:rsidRPr="750671CE">
        <w:rPr>
          <w:rFonts w:ascii="Times New Roman" w:eastAsia="Times New Roman" w:hAnsi="Times New Roman" w:cs="Times New Roman"/>
          <w:i/>
          <w:iCs/>
          <w:lang w:eastAsia="en-US"/>
        </w:rPr>
        <w:t>The Architecture of Bias: Deep Structures in Tort Law</w:t>
      </w:r>
      <w:r w:rsidRPr="750671CE">
        <w:rPr>
          <w:rFonts w:ascii="Times New Roman" w:eastAsia="Times New Roman" w:hAnsi="Times New Roman" w:cs="Times New Roman"/>
          <w:lang w:eastAsia="en-US"/>
        </w:rPr>
        <w:t xml:space="preserve">, 146 </w:t>
      </w:r>
      <w:r w:rsidRPr="750671CE">
        <w:rPr>
          <w:rFonts w:ascii="Times New Roman" w:eastAsia="Times New Roman" w:hAnsi="Times New Roman" w:cs="Times New Roman"/>
          <w:smallCaps/>
          <w:lang w:eastAsia="en-US"/>
        </w:rPr>
        <w:t>U. Pa. L. Rev</w:t>
      </w:r>
      <w:r w:rsidRPr="750671CE">
        <w:rPr>
          <w:rFonts w:ascii="Times New Roman" w:eastAsia="Times New Roman" w:hAnsi="Times New Roman" w:cs="Times New Roman"/>
          <w:lang w:eastAsia="en-US"/>
        </w:rPr>
        <w:t>. 463 (1998). Chamallas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Pr="750671CE">
        <w:rPr>
          <w:rFonts w:ascii="Times New Roman,Cambria" w:eastAsia="Times New Roman,Cambria" w:hAnsi="Times New Roman,Cambria" w:cs="Times New Roman,Cambria"/>
          <w:lang w:eastAsia="en-US"/>
        </w:rPr>
        <w:t>calculations from a 1996 practitioners</w:t>
      </w:r>
      <w:r w:rsidR="00B05F31">
        <w:rPr>
          <w:rFonts w:ascii="Times New Roman,Cambria" w:eastAsia="Times New Roman,Cambria" w:hAnsi="Times New Roman,Cambria" w:cs="Times New Roman,Cambria"/>
          <w:lang w:eastAsia="en-US"/>
        </w:rPr>
        <w:t>’</w:t>
      </w:r>
      <w:r w:rsidRPr="750671CE">
        <w:rPr>
          <w:rFonts w:ascii="Times New Roman,Cambria" w:eastAsia="Times New Roman,Cambria" w:hAnsi="Times New Roman,Cambria" w:cs="Times New Roman,Cambria"/>
          <w:lang w:eastAsia="en-US"/>
        </w:rPr>
        <w:t xml:space="preserve"> guide to settlement and damages awards found that damages awards for </w:t>
      </w:r>
      <w:r w:rsidRPr="750671CE">
        <w:rPr>
          <w:rFonts w:ascii="Times New Roman" w:eastAsia="Times New Roman" w:hAnsi="Times New Roman" w:cs="Times New Roman"/>
          <w:lang w:eastAsia="en-US"/>
        </w:rPr>
        <w:t xml:space="preserve">male plaintiffs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were twenty-seven percent higher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than those for female plaintiffs. Similar studies in the 1980s by the Washington State Task Force on Gender and Justice in the Courts concluded that the average award in death cases involving a male decedent was $332,166, as compared to $214,923 in death cases with a female decedent.</w:t>
      </w:r>
      <w:r w:rsidR="00582514">
        <w:rPr>
          <w:rFonts w:ascii="Times New Roman" w:eastAsia="Times New Roman" w:hAnsi="Times New Roman" w:cs="Times New Roman"/>
          <w:lang w:eastAsia="en-US"/>
        </w:rPr>
        <w:t xml:space="preserve">  A </w:t>
      </w:r>
      <w:r w:rsidR="00582514" w:rsidRPr="00582514">
        <w:rPr>
          <w:rFonts w:ascii="Times New Roman" w:eastAsia="Times New Roman" w:hAnsi="Times New Roman" w:cs="Times New Roman"/>
          <w:i/>
          <w:lang w:eastAsia="en-US"/>
        </w:rPr>
        <w:t>Washington Post</w:t>
      </w:r>
      <w:r w:rsidR="00582514">
        <w:rPr>
          <w:rFonts w:ascii="Times New Roman" w:eastAsia="Times New Roman" w:hAnsi="Times New Roman" w:cs="Times New Roman"/>
          <w:lang w:eastAsia="en-US"/>
        </w:rPr>
        <w:t xml:space="preserve"> study estimated that damages for the future lost income of an average white male 25 year old would exceed those of the average 25 year old black woman by more than $1 million.  Kim Soffen, </w:t>
      </w:r>
      <w:r w:rsidR="00582514" w:rsidRPr="00582514">
        <w:rPr>
          <w:rFonts w:ascii="Times New Roman" w:eastAsia="Times New Roman" w:hAnsi="Times New Roman" w:cs="Times New Roman"/>
          <w:i/>
          <w:lang w:eastAsia="en-US"/>
        </w:rPr>
        <w:t>In One Corner of the Law, Minorities and Women Are Often Valued Less</w:t>
      </w:r>
      <w:r w:rsidR="00582514">
        <w:rPr>
          <w:rFonts w:ascii="Times New Roman" w:eastAsia="Times New Roman" w:hAnsi="Times New Roman" w:cs="Times New Roman"/>
          <w:lang w:eastAsia="en-US"/>
        </w:rPr>
        <w:t xml:space="preserve">, </w:t>
      </w:r>
      <w:r w:rsidR="00582514" w:rsidRPr="00582514">
        <w:rPr>
          <w:rFonts w:ascii="Times New Roman" w:eastAsia="Times New Roman" w:hAnsi="Times New Roman" w:cs="Times New Roman"/>
          <w:smallCaps/>
          <w:lang w:eastAsia="en-US"/>
        </w:rPr>
        <w:t>Washington Post</w:t>
      </w:r>
      <w:r w:rsidR="00582514">
        <w:rPr>
          <w:rFonts w:ascii="Times New Roman" w:eastAsia="Times New Roman" w:hAnsi="Times New Roman" w:cs="Times New Roman"/>
          <w:lang w:eastAsia="en-US"/>
        </w:rPr>
        <w:t>, Oct. 25, 2016.</w:t>
      </w:r>
    </w:p>
    <w:p w14:paraId="0905A84F" w14:textId="77777777" w:rsidR="00C85B70" w:rsidRPr="00C85B70" w:rsidRDefault="00C85B70" w:rsidP="00C85B70">
      <w:pPr>
        <w:widowControl w:val="0"/>
        <w:autoSpaceDE w:val="0"/>
        <w:autoSpaceDN w:val="0"/>
        <w:adjustRightInd w:val="0"/>
        <w:ind w:right="720"/>
        <w:rPr>
          <w:rFonts w:ascii="Times New Roman" w:eastAsia="Times New Roman" w:hAnsi="Times New Roman" w:cs="Times New Roman"/>
          <w:lang w:eastAsia="en-US"/>
        </w:rPr>
      </w:pPr>
    </w:p>
    <w:p w14:paraId="39168883" w14:textId="7759F0DB" w:rsidR="00C85B70" w:rsidRPr="00C85B70" w:rsidRDefault="750671CE" w:rsidP="0038332A">
      <w:pPr>
        <w:widowControl w:val="0"/>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Chamallas also found that courts regularly rely on life expectancy tables that calculate so-called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work-life expectancy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(i.e., expected work years remaining) on the basis of gender, and sometimes also race.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[L]oss of future earning capacity,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Chamallas writes,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is typically measured by estimating the number of years the plaintiff would have worked had she not been injured (work-life expectancy) and the amount the plaintiff would have earned each year, reduced to present value.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 xml:space="preserve"> White men typically have longer work-life expectancies than similarly aged men of color and also than similarly aged white women and women of color, in part because people in these latter categories are more likely to suffer from periods of unemployment. </w:t>
      </w:r>
    </w:p>
    <w:p w14:paraId="307FCAB4" w14:textId="77777777" w:rsidR="00C85B70" w:rsidRDefault="00C85B70" w:rsidP="00C85B70">
      <w:pPr>
        <w:autoSpaceDE w:val="0"/>
        <w:autoSpaceDN w:val="0"/>
        <w:adjustRightInd w:val="0"/>
        <w:contextualSpacing/>
        <w:rPr>
          <w:rFonts w:ascii="Times New Roman" w:eastAsia="Times New Roman" w:hAnsi="Times New Roman" w:cs="Times New Roman"/>
          <w:lang w:eastAsia="en-US"/>
        </w:rPr>
      </w:pPr>
    </w:p>
    <w:p w14:paraId="5E170A81" w14:textId="77777777" w:rsidR="00B53A9E" w:rsidRPr="00B53A9E" w:rsidRDefault="00E63DD9" w:rsidP="00B53A9E">
      <w:pPr>
        <w:pStyle w:val="ListParagraph"/>
        <w:numPr>
          <w:ilvl w:val="0"/>
          <w:numId w:val="59"/>
        </w:numPr>
        <w:spacing w:line="259" w:lineRule="auto"/>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Making Black Lives Matter in </w:t>
      </w:r>
      <w:r w:rsidR="000146D6">
        <w:rPr>
          <w:rFonts w:ascii="Times New Roman" w:eastAsia="Times New Roman" w:hAnsi="Times New Roman" w:cs="Times New Roman"/>
          <w:i/>
          <w:iCs/>
          <w:lang w:eastAsia="en-US"/>
        </w:rPr>
        <w:t>t</w:t>
      </w:r>
      <w:r w:rsidRPr="00F94B7E">
        <w:rPr>
          <w:rFonts w:ascii="Times New Roman" w:eastAsia="Times New Roman" w:hAnsi="Times New Roman" w:cs="Times New Roman"/>
          <w:i/>
          <w:iCs/>
          <w:lang w:eastAsia="en-US"/>
        </w:rPr>
        <w:t xml:space="preserve">ort </w:t>
      </w:r>
      <w:r w:rsidR="000146D6">
        <w:rPr>
          <w:rFonts w:ascii="Times New Roman" w:eastAsia="Times New Roman" w:hAnsi="Times New Roman" w:cs="Times New Roman"/>
          <w:i/>
          <w:iCs/>
          <w:lang w:eastAsia="en-US"/>
        </w:rPr>
        <w:t>l</w:t>
      </w:r>
      <w:r w:rsidRPr="00F94B7E">
        <w:rPr>
          <w:rFonts w:ascii="Times New Roman" w:eastAsia="Times New Roman" w:hAnsi="Times New Roman" w:cs="Times New Roman"/>
          <w:i/>
          <w:iCs/>
          <w:lang w:eastAsia="en-US"/>
        </w:rPr>
        <w:t>aw.</w:t>
      </w:r>
      <w:r w:rsidRPr="00F94B7E">
        <w:rPr>
          <w:rFonts w:ascii="Times New Roman" w:eastAsia="Times New Roman" w:hAnsi="Times New Roman" w:cs="Times New Roman"/>
          <w:lang w:eastAsia="en-US"/>
        </w:rPr>
        <w:t xml:space="preserve"> Despite the general rule of applying race- and gender-based actuarial tables, some judges have rejected their use as unconstitutional. In </w:t>
      </w:r>
      <w:r w:rsidRPr="00F94B7E">
        <w:rPr>
          <w:rFonts w:ascii="Times New Roman" w:eastAsia="Times New Roman" w:hAnsi="Times New Roman" w:cs="Times New Roman"/>
          <w:i/>
          <w:iCs/>
          <w:lang w:eastAsia="en-US"/>
        </w:rPr>
        <w:t>McMillan v. City of New York</w:t>
      </w:r>
      <w:r w:rsidRPr="00F94B7E">
        <w:rPr>
          <w:rFonts w:ascii="Times New Roman" w:eastAsia="Times New Roman" w:hAnsi="Times New Roman" w:cs="Times New Roman"/>
          <w:lang w:eastAsia="en-US"/>
        </w:rPr>
        <w:t xml:space="preserve">, 253 F.R.D. 247 (E.D.N.Y. 2008), Judge </w:t>
      </w:r>
      <w:r w:rsidR="0096602A">
        <w:rPr>
          <w:rFonts w:ascii="Times New Roman" w:eastAsia="Times New Roman" w:hAnsi="Times New Roman" w:cs="Times New Roman"/>
          <w:lang w:eastAsia="en-US"/>
        </w:rPr>
        <w:t xml:space="preserve">Jack </w:t>
      </w:r>
      <w:r w:rsidRPr="00F94B7E">
        <w:rPr>
          <w:rFonts w:ascii="Times New Roman" w:eastAsia="Times New Roman" w:hAnsi="Times New Roman" w:cs="Times New Roman"/>
          <w:lang w:eastAsia="en-US"/>
        </w:rPr>
        <w:t>Weinstein refused to admit evidence of sta</w:t>
      </w:r>
      <w:r w:rsidR="0096602A">
        <w:rPr>
          <w:rFonts w:ascii="Times New Roman" w:eastAsia="Times New Roman" w:hAnsi="Times New Roman" w:cs="Times New Roman"/>
          <w:lang w:eastAsia="en-US"/>
        </w:rPr>
        <w:t xml:space="preserve">tistical data suggesting that an </w:t>
      </w:r>
      <w:r w:rsidRPr="00F94B7E">
        <w:rPr>
          <w:rFonts w:ascii="Times New Roman" w:eastAsia="Times New Roman" w:hAnsi="Times New Roman" w:cs="Times New Roman"/>
          <w:lang w:eastAsia="en-US"/>
        </w:rPr>
        <w:t>African-American was likely t</w:t>
      </w:r>
      <w:r w:rsidR="0096602A">
        <w:rPr>
          <w:rFonts w:ascii="Times New Roman" w:eastAsia="Times New Roman" w:hAnsi="Times New Roman" w:cs="Times New Roman"/>
          <w:lang w:eastAsia="en-US"/>
        </w:rPr>
        <w:t>o have a shorter life expectancy</w:t>
      </w:r>
      <w:r w:rsidRPr="00F94B7E">
        <w:rPr>
          <w:rFonts w:ascii="Times New Roman" w:eastAsia="Times New Roman" w:hAnsi="Times New Roman" w:cs="Times New Roman"/>
          <w:lang w:eastAsia="en-US"/>
        </w:rPr>
        <w:t xml:space="preserve"> than </w:t>
      </w:r>
      <w:r w:rsidR="0096602A">
        <w:rPr>
          <w:rFonts w:ascii="Times New Roman" w:eastAsia="Times New Roman" w:hAnsi="Times New Roman" w:cs="Times New Roman"/>
          <w:lang w:eastAsia="en-US"/>
        </w:rPr>
        <w:t>a similarly situated person</w:t>
      </w:r>
      <w:r w:rsidRPr="00F94B7E">
        <w:rPr>
          <w:rFonts w:ascii="Times New Roman" w:eastAsia="Times New Roman" w:hAnsi="Times New Roman" w:cs="Times New Roman"/>
          <w:lang w:eastAsia="en-US"/>
        </w:rPr>
        <w:t xml:space="preserve"> of </w:t>
      </w:r>
      <w:r w:rsidR="0096602A">
        <w:rPr>
          <w:rFonts w:ascii="Times New Roman" w:eastAsia="Times New Roman" w:hAnsi="Times New Roman" w:cs="Times New Roman"/>
          <w:lang w:eastAsia="en-US"/>
        </w:rPr>
        <w:t>a different</w:t>
      </w:r>
      <w:r w:rsidRPr="00F94B7E">
        <w:rPr>
          <w:rFonts w:ascii="Times New Roman" w:eastAsia="Times New Roman" w:hAnsi="Times New Roman" w:cs="Times New Roman"/>
          <w:lang w:eastAsia="en-US"/>
        </w:rPr>
        <w:t xml:space="preserve"> race. </w:t>
      </w:r>
      <w:r w:rsidRPr="00F94B7E">
        <w:rPr>
          <w:rFonts w:ascii="Times New Roman" w:eastAsia="Times New Roman" w:hAnsi="Times New Roman" w:cs="Times New Roman"/>
          <w:i/>
          <w:iCs/>
          <w:lang w:eastAsia="en-US"/>
        </w:rPr>
        <w:t>See also</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G.M.M. ex rel Hernandez-Adams v. Kimpson</w:t>
      </w:r>
      <w:r w:rsidRPr="00F94B7E">
        <w:rPr>
          <w:rFonts w:ascii="Times New Roman" w:eastAsia="Times New Roman" w:hAnsi="Times New Roman" w:cs="Times New Roman"/>
          <w:lang w:eastAsia="en-US"/>
        </w:rPr>
        <w:t xml:space="preserve">, 116 F. Supp. 3d 126 (E.D.N.Y. 2015) </w:t>
      </w:r>
      <w:r w:rsidR="0096602A">
        <w:rPr>
          <w:rFonts w:ascii="Times New Roman" w:eastAsia="Times New Roman" w:hAnsi="Times New Roman" w:cs="Times New Roman"/>
          <w:lang w:eastAsia="en-US"/>
        </w:rPr>
        <w:t xml:space="preserve">(Weinstein, J.) </w:t>
      </w:r>
      <w:r w:rsidRPr="00F94B7E">
        <w:rPr>
          <w:rFonts w:ascii="Times New Roman" w:eastAsia="Times New Roman" w:hAnsi="Times New Roman" w:cs="Times New Roman"/>
          <w:lang w:eastAsia="en-US"/>
        </w:rPr>
        <w:t>(</w:t>
      </w:r>
      <w:r w:rsidR="0096602A">
        <w:rPr>
          <w:rFonts w:ascii="Times New Roman" w:eastAsia="Times New Roman" w:hAnsi="Times New Roman" w:cs="Times New Roman"/>
          <w:lang w:eastAsia="en-US"/>
        </w:rPr>
        <w:t xml:space="preserve">holding that reliance on a child’s Latino </w:t>
      </w:r>
      <w:r w:rsidRPr="00F94B7E">
        <w:rPr>
          <w:rFonts w:ascii="Times New Roman" w:eastAsia="Times New Roman" w:hAnsi="Times New Roman" w:cs="Times New Roman"/>
          <w:lang w:eastAsia="en-US"/>
        </w:rPr>
        <w:t xml:space="preserve">ethnicity </w:t>
      </w:r>
      <w:r w:rsidR="0096602A">
        <w:rPr>
          <w:rFonts w:ascii="Times New Roman" w:eastAsia="Times New Roman" w:hAnsi="Times New Roman" w:cs="Times New Roman"/>
          <w:lang w:eastAsia="en-US"/>
        </w:rPr>
        <w:t>in calculating</w:t>
      </w:r>
      <w:r w:rsidRPr="00F94B7E">
        <w:rPr>
          <w:rFonts w:ascii="Times New Roman" w:eastAsia="Times New Roman" w:hAnsi="Times New Roman" w:cs="Times New Roman"/>
          <w:lang w:eastAsia="en-US"/>
        </w:rPr>
        <w:t xml:space="preserve"> damages </w:t>
      </w:r>
      <w:r w:rsidR="00B53A9E">
        <w:rPr>
          <w:rFonts w:ascii="Times New Roman" w:eastAsia="Times New Roman" w:hAnsi="Times New Roman" w:cs="Times New Roman"/>
          <w:lang w:eastAsia="en-US"/>
        </w:rPr>
        <w:t xml:space="preserve">award </w:t>
      </w:r>
      <w:r w:rsidRPr="00F94B7E">
        <w:rPr>
          <w:rFonts w:ascii="Times New Roman" w:eastAsia="Times New Roman" w:hAnsi="Times New Roman" w:cs="Times New Roman"/>
          <w:lang w:eastAsia="en-US"/>
        </w:rPr>
        <w:t xml:space="preserve">violated </w:t>
      </w:r>
      <w:r w:rsidR="00B53A9E">
        <w:rPr>
          <w:rFonts w:ascii="Times New Roman" w:eastAsia="Times New Roman" w:hAnsi="Times New Roman" w:cs="Times New Roman"/>
          <w:lang w:eastAsia="en-US"/>
        </w:rPr>
        <w:t xml:space="preserve">the 14th Amendment’s </w:t>
      </w:r>
      <w:r w:rsidRPr="00F94B7E">
        <w:rPr>
          <w:rFonts w:ascii="Times New Roman" w:eastAsia="Times New Roman" w:hAnsi="Times New Roman" w:cs="Times New Roman"/>
          <w:lang w:eastAsia="en-US"/>
        </w:rPr>
        <w:t xml:space="preserve">due process </w:t>
      </w:r>
      <w:r w:rsidR="00B53A9E">
        <w:rPr>
          <w:rFonts w:ascii="Times New Roman" w:eastAsia="Times New Roman" w:hAnsi="Times New Roman" w:cs="Times New Roman"/>
          <w:lang w:eastAsia="en-US"/>
        </w:rPr>
        <w:t xml:space="preserve">clause </w:t>
      </w:r>
      <w:r w:rsidRPr="00F94B7E">
        <w:rPr>
          <w:rFonts w:ascii="Times New Roman" w:eastAsia="Times New Roman" w:hAnsi="Times New Roman" w:cs="Times New Roman"/>
          <w:lang w:eastAsia="en-US"/>
        </w:rPr>
        <w:t xml:space="preserve">and </w:t>
      </w:r>
      <w:r w:rsidR="00B53A9E">
        <w:rPr>
          <w:rFonts w:ascii="Times New Roman" w:eastAsia="Times New Roman" w:hAnsi="Times New Roman" w:cs="Times New Roman"/>
          <w:lang w:eastAsia="en-US"/>
        </w:rPr>
        <w:t xml:space="preserve">its guarantee of </w:t>
      </w:r>
      <w:r w:rsidRPr="00F94B7E">
        <w:rPr>
          <w:rFonts w:ascii="Times New Roman" w:eastAsia="Times New Roman" w:hAnsi="Times New Roman" w:cs="Times New Roman"/>
          <w:lang w:eastAsia="en-US"/>
        </w:rPr>
        <w:t>equal protection</w:t>
      </w:r>
      <w:r w:rsidR="00B53A9E">
        <w:rPr>
          <w:rFonts w:ascii="Times New Roman" w:eastAsia="Times New Roman" w:hAnsi="Times New Roman" w:cs="Times New Roman"/>
          <w:lang w:eastAsia="en-US"/>
        </w:rPr>
        <w:t xml:space="preserve"> of the laws</w:t>
      </w:r>
      <w:r w:rsidRPr="00F94B7E">
        <w:rPr>
          <w:rFonts w:ascii="Times New Roman" w:eastAsia="Times New Roman" w:hAnsi="Times New Roman" w:cs="Times New Roman"/>
          <w:lang w:eastAsia="en-US"/>
        </w:rPr>
        <w:t xml:space="preserve">). In </w:t>
      </w:r>
      <w:r w:rsidRPr="00F94B7E">
        <w:rPr>
          <w:rFonts w:ascii="Times New Roman" w:eastAsia="Times New Roman" w:hAnsi="Times New Roman" w:cs="Times New Roman"/>
          <w:i/>
          <w:iCs/>
          <w:lang w:eastAsia="en-US"/>
        </w:rPr>
        <w:t>McMillan</w:t>
      </w:r>
      <w:r w:rsidRPr="00F94B7E">
        <w:rPr>
          <w:rFonts w:ascii="Times New Roman" w:eastAsia="Times New Roman" w:hAnsi="Times New Roman" w:cs="Times New Roman"/>
          <w:lang w:eastAsia="en-US"/>
        </w:rPr>
        <w:t>, Judge Weinstein also cast doub</w:t>
      </w:r>
      <w:r w:rsidR="00B53A9E">
        <w:rPr>
          <w:rFonts w:ascii="Times New Roman" w:eastAsia="Times New Roman" w:hAnsi="Times New Roman" w:cs="Times New Roman"/>
          <w:lang w:eastAsia="en-US"/>
        </w:rPr>
        <w:t>t on the reliability of what he called “race</w:t>
      </w:r>
      <w:r w:rsidRPr="00F94B7E">
        <w:rPr>
          <w:rFonts w:ascii="Times New Roman" w:eastAsia="Times New Roman" w:hAnsi="Times New Roman" w:cs="Times New Roman"/>
          <w:lang w:eastAsia="en-US"/>
        </w:rPr>
        <w:t>-based statistics</w:t>
      </w:r>
      <w:r w:rsidR="00B53A9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arguing that race has little actuarial value. </w:t>
      </w:r>
      <w:r w:rsidRPr="00F94B7E">
        <w:rPr>
          <w:rFonts w:ascii="Times New Roman" w:eastAsia="Times New Roman" w:hAnsi="Times New Roman" w:cs="Times New Roman"/>
          <w:i/>
          <w:iCs/>
          <w:lang w:eastAsia="en-US"/>
        </w:rPr>
        <w:t>Id.</w:t>
      </w:r>
      <w:r w:rsidRPr="00F94B7E">
        <w:rPr>
          <w:rFonts w:ascii="Times New Roman" w:eastAsia="Times New Roman" w:hAnsi="Times New Roman" w:cs="Times New Roman"/>
          <w:lang w:eastAsia="en-US"/>
        </w:rPr>
        <w:t xml:space="preserve"> at 250.</w:t>
      </w:r>
      <w:r w:rsidRPr="00F94B7E">
        <w:rPr>
          <w:rFonts w:ascii="Times New Roman" w:eastAsia="Times New Roman" w:hAnsi="Times New Roman" w:cs="Times New Roman"/>
          <w:i/>
          <w:iCs/>
          <w:lang w:eastAsia="en-US"/>
        </w:rPr>
        <w:t xml:space="preserve"> </w:t>
      </w:r>
    </w:p>
    <w:p w14:paraId="17F3E6E0" w14:textId="77777777" w:rsidR="00B53A9E" w:rsidRDefault="00B53A9E" w:rsidP="00B53A9E">
      <w:pPr>
        <w:spacing w:line="259" w:lineRule="auto"/>
        <w:rPr>
          <w:rFonts w:ascii="Times New Roman" w:eastAsia="Times New Roman" w:hAnsi="Times New Roman" w:cs="Times New Roman"/>
          <w:lang w:eastAsia="en-US"/>
        </w:rPr>
      </w:pPr>
    </w:p>
    <w:p w14:paraId="638EF615" w14:textId="34FACD7B" w:rsidR="00E63DD9" w:rsidRPr="00B53A9E" w:rsidRDefault="00E63DD9" w:rsidP="00E87AC9">
      <w:pPr>
        <w:spacing w:line="259" w:lineRule="auto"/>
        <w:ind w:firstLine="720"/>
        <w:rPr>
          <w:rFonts w:ascii="Times New Roman" w:eastAsia="Times New Roman" w:hAnsi="Times New Roman" w:cs="Times New Roman"/>
          <w:lang w:eastAsia="en-US"/>
        </w:rPr>
      </w:pPr>
      <w:r w:rsidRPr="00B53A9E">
        <w:rPr>
          <w:rFonts w:ascii="Times New Roman" w:eastAsia="Times New Roman" w:hAnsi="Times New Roman" w:cs="Times New Roman"/>
          <w:lang w:eastAsia="en-US"/>
        </w:rPr>
        <w:t xml:space="preserve">Would a better view be that reproducing marketplace race discrimination in the courts through lower tort awards for lost income is wrong, even if it is predictive?  If reliability is the reason for rejecting the use of race, then why not simply leave the resolution of the statistical dispute to the adversary process?  </w:t>
      </w:r>
    </w:p>
    <w:p w14:paraId="7E837DD5" w14:textId="77777777" w:rsidR="00E63DD9" w:rsidRDefault="00E63DD9" w:rsidP="00E63DD9">
      <w:pPr>
        <w:spacing w:line="259" w:lineRule="auto"/>
        <w:rPr>
          <w:rFonts w:ascii="Times New Roman" w:eastAsia="Times New Roman" w:hAnsi="Times New Roman" w:cs="Times New Roman"/>
          <w:lang w:eastAsia="en-US"/>
        </w:rPr>
      </w:pPr>
    </w:p>
    <w:p w14:paraId="157F5E66" w14:textId="20E12A00" w:rsidR="00E63DD9" w:rsidRPr="00F40FAB" w:rsidRDefault="00E63DD9" w:rsidP="00E63DD9">
      <w:pPr>
        <w:spacing w:line="259" w:lineRule="auto"/>
        <w:ind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The topic raises innumerable questions.  </w:t>
      </w:r>
      <w:r w:rsidR="00B53A9E">
        <w:rPr>
          <w:rFonts w:ascii="Times New Roman" w:eastAsia="Times New Roman" w:hAnsi="Times New Roman" w:cs="Times New Roman"/>
          <w:lang w:eastAsia="en-US"/>
        </w:rPr>
        <w:t>Note that we could le</w:t>
      </w:r>
      <w:r w:rsidR="007D7312">
        <w:rPr>
          <w:rFonts w:ascii="Times New Roman" w:eastAsia="Times New Roman" w:hAnsi="Times New Roman" w:cs="Times New Roman"/>
          <w:lang w:eastAsia="en-US"/>
        </w:rPr>
        <w:t>vel up – or we could level down.</w:t>
      </w:r>
      <w:r w:rsidR="00B53A9E">
        <w:rPr>
          <w:rFonts w:ascii="Times New Roman" w:eastAsia="Times New Roman" w:hAnsi="Times New Roman" w:cs="Times New Roman"/>
          <w:lang w:eastAsia="en-US"/>
        </w:rPr>
        <w:t xml:space="preserve">  </w:t>
      </w:r>
      <w:r w:rsidRPr="785F5653">
        <w:rPr>
          <w:rFonts w:ascii="Times New Roman" w:eastAsia="Times New Roman" w:hAnsi="Times New Roman" w:cs="Times New Roman"/>
          <w:lang w:eastAsia="en-US"/>
        </w:rPr>
        <w:t>Should</w:t>
      </w:r>
      <w:r>
        <w:rPr>
          <w:rFonts w:ascii="Times New Roman" w:eastAsia="Times New Roman" w:hAnsi="Times New Roman" w:cs="Times New Roman"/>
          <w:lang w:eastAsia="en-US"/>
        </w:rPr>
        <w:t>, for example,</w:t>
      </w:r>
      <w:r w:rsidRPr="785F5653">
        <w:rPr>
          <w:rFonts w:ascii="Times New Roman" w:eastAsia="Times New Roman" w:hAnsi="Times New Roman" w:cs="Times New Roman"/>
          <w:lang w:eastAsia="en-US"/>
        </w:rPr>
        <w:t xml:space="preserve"> white or non-male injury victims have their damages reduced by the unjust increment over and above an average wage loss calculation that include</w:t>
      </w:r>
      <w:r>
        <w:rPr>
          <w:rFonts w:ascii="Times New Roman" w:eastAsia="Times New Roman" w:hAnsi="Times New Roman" w:cs="Times New Roman"/>
          <w:lang w:eastAsia="en-US"/>
        </w:rPr>
        <w:t xml:space="preserve">s nonwhite or nonmale workers? </w:t>
      </w:r>
      <w:r w:rsidRPr="785F5653">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And w</w:t>
      </w:r>
      <w:r w:rsidRPr="0191C9FF">
        <w:rPr>
          <w:rFonts w:ascii="Times New Roman" w:eastAsia="Times New Roman" w:hAnsi="Times New Roman" w:cs="Times New Roman"/>
          <w:lang w:eastAsia="en-US"/>
        </w:rPr>
        <w:t xml:space="preserve">hy is </w:t>
      </w:r>
      <w:r>
        <w:rPr>
          <w:rFonts w:ascii="Times New Roman" w:eastAsia="Times New Roman" w:hAnsi="Times New Roman" w:cs="Times New Roman"/>
          <w:lang w:eastAsia="en-US"/>
        </w:rPr>
        <w:t>the use of race-based and gender-based actuarial calculations</w:t>
      </w:r>
      <w:r w:rsidRPr="0191C9FF">
        <w:rPr>
          <w:rFonts w:ascii="Times New Roman" w:eastAsia="Times New Roman" w:hAnsi="Times New Roman" w:cs="Times New Roman"/>
          <w:lang w:eastAsia="en-US"/>
        </w:rPr>
        <w:t xml:space="preserve"> still </w:t>
      </w:r>
      <w:r>
        <w:rPr>
          <w:rFonts w:ascii="Times New Roman" w:eastAsia="Times New Roman" w:hAnsi="Times New Roman" w:cs="Times New Roman"/>
          <w:lang w:eastAsia="en-US"/>
        </w:rPr>
        <w:t>permitted anywhere</w:t>
      </w:r>
      <w:r w:rsidRPr="0191C9FF">
        <w:rPr>
          <w:rFonts w:ascii="Times New Roman" w:eastAsia="Times New Roman" w:hAnsi="Times New Roman" w:cs="Times New Roman"/>
          <w:lang w:eastAsia="en-US"/>
        </w:rPr>
        <w:t xml:space="preserve">, three quarters of a century after the civil rights </w:t>
      </w:r>
      <w:r w:rsidR="00B53A9E">
        <w:rPr>
          <w:rFonts w:ascii="Times New Roman" w:eastAsia="Times New Roman" w:hAnsi="Times New Roman" w:cs="Times New Roman"/>
          <w:lang w:eastAsia="en-US"/>
        </w:rPr>
        <w:t>era</w:t>
      </w:r>
      <w:r w:rsidRPr="0191C9FF">
        <w:rPr>
          <w:rFonts w:ascii="Times New Roman" w:eastAsia="Times New Roman" w:hAnsi="Times New Roman" w:cs="Times New Roman"/>
          <w:lang w:eastAsia="en-US"/>
        </w:rPr>
        <w:t xml:space="preserve">? In a Utah case striking down </w:t>
      </w:r>
      <w:r w:rsidR="00745545">
        <w:rPr>
          <w:rFonts w:ascii="Times New Roman" w:eastAsia="Times New Roman" w:hAnsi="Times New Roman" w:cs="Times New Roman"/>
          <w:lang w:eastAsia="en-US"/>
        </w:rPr>
        <w:t>the use of race-based damages, “</w:t>
      </w:r>
      <w:r w:rsidRPr="0191C9FF">
        <w:rPr>
          <w:rFonts w:ascii="Times New Roman" w:eastAsia="Times New Roman" w:hAnsi="Times New Roman" w:cs="Times New Roman"/>
          <w:lang w:eastAsia="en-US"/>
        </w:rPr>
        <w:t xml:space="preserve">[the plaintiff's expert witness], </w:t>
      </w:r>
      <w:r w:rsidRPr="0191C9FF">
        <w:rPr>
          <w:rFonts w:ascii="Times New Roman" w:eastAsia="Times New Roman" w:hAnsi="Times New Roman" w:cs="Times New Roman"/>
        </w:rPr>
        <w:t xml:space="preserve">who has performed thousands of lost income analyses, testified that no one had ever asked him to provide race- and sex-neutral calculations in wrongful death cases, although he has used sex-neutral calculations in pension cases.” </w:t>
      </w:r>
      <w:r w:rsidRPr="0191C9FF">
        <w:rPr>
          <w:rFonts w:ascii="Times New Roman" w:eastAsia="Times New Roman" w:hAnsi="Times New Roman" w:cs="Times New Roman"/>
          <w:i/>
          <w:iCs/>
        </w:rPr>
        <w:t>United States v. Bedonie</w:t>
      </w:r>
      <w:r w:rsidRPr="0191C9FF">
        <w:rPr>
          <w:rFonts w:ascii="Times New Roman" w:eastAsia="Times New Roman" w:hAnsi="Times New Roman" w:cs="Times New Roman"/>
        </w:rPr>
        <w:t xml:space="preserve">, 317 F. Supp. 2d 1285, 1314 (D. Utah 2004). Moreover, Professor Ronen Avraham noted that while most tort reform statutes, such as caps on non-economic damages, are challenged in state court for a variety of reasons, </w:t>
      </w:r>
      <w:r>
        <w:rPr>
          <w:rFonts w:ascii="Times New Roman" w:eastAsia="Times New Roman" w:hAnsi="Times New Roman" w:cs="Times New Roman"/>
        </w:rPr>
        <w:t>there appears not to be</w:t>
      </w:r>
      <w:r w:rsidRPr="0191C9FF">
        <w:rPr>
          <w:rFonts w:ascii="Times New Roman" w:eastAsia="Times New Roman" w:hAnsi="Times New Roman" w:cs="Times New Roman"/>
        </w:rPr>
        <w:t xml:space="preserve"> </w:t>
      </w:r>
      <w:r>
        <w:rPr>
          <w:rFonts w:ascii="Times New Roman" w:eastAsia="Times New Roman" w:hAnsi="Times New Roman" w:cs="Times New Roman"/>
        </w:rPr>
        <w:t xml:space="preserve">even </w:t>
      </w:r>
      <w:r w:rsidRPr="0191C9FF">
        <w:rPr>
          <w:rFonts w:ascii="Times New Roman" w:eastAsia="Times New Roman" w:hAnsi="Times New Roman" w:cs="Times New Roman"/>
        </w:rPr>
        <w:t>a single attempt t</w:t>
      </w:r>
      <w:r>
        <w:rPr>
          <w:rFonts w:ascii="Times New Roman" w:eastAsia="Times New Roman" w:hAnsi="Times New Roman" w:cs="Times New Roman"/>
        </w:rPr>
        <w:t xml:space="preserve">o strike down as unconstitutional state damages statutes or pattern jury instructions adopting statistical models that include </w:t>
      </w:r>
      <w:r w:rsidRPr="0191C9FF">
        <w:rPr>
          <w:rFonts w:ascii="Times New Roman" w:eastAsia="Times New Roman" w:hAnsi="Times New Roman" w:cs="Times New Roman"/>
        </w:rPr>
        <w:t>race- a</w:t>
      </w:r>
      <w:r>
        <w:rPr>
          <w:rFonts w:ascii="Times New Roman" w:eastAsia="Times New Roman" w:hAnsi="Times New Roman" w:cs="Times New Roman"/>
        </w:rPr>
        <w:t>nd gender-based variables</w:t>
      </w:r>
      <w:r w:rsidRPr="0191C9FF">
        <w:rPr>
          <w:rFonts w:ascii="Times New Roman" w:eastAsia="Times New Roman" w:hAnsi="Times New Roman" w:cs="Times New Roman"/>
        </w:rPr>
        <w:t xml:space="preserve">. </w:t>
      </w:r>
      <w:r>
        <w:rPr>
          <w:rFonts w:ascii="Times New Roman" w:eastAsia="Times New Roman" w:hAnsi="Times New Roman" w:cs="Times New Roman"/>
        </w:rPr>
        <w:t xml:space="preserve"> </w:t>
      </w:r>
      <w:r w:rsidR="0081550C">
        <w:rPr>
          <w:rFonts w:ascii="Times New Roman" w:eastAsia="Times New Roman" w:hAnsi="Times New Roman" w:cs="Times New Roman"/>
        </w:rPr>
        <w:t xml:space="preserve">Ronen </w:t>
      </w:r>
      <w:r w:rsidRPr="0191C9FF">
        <w:rPr>
          <w:rFonts w:ascii="Times New Roman" w:eastAsia="Times New Roman" w:hAnsi="Times New Roman" w:cs="Times New Roman"/>
        </w:rPr>
        <w:t xml:space="preserve">Avraham, </w:t>
      </w:r>
      <w:r w:rsidRPr="0191C9FF">
        <w:rPr>
          <w:rFonts w:ascii="Times New Roman" w:eastAsia="Times New Roman" w:hAnsi="Times New Roman" w:cs="Times New Roman"/>
          <w:i/>
          <w:iCs/>
        </w:rPr>
        <w:t>Torts and Discrimination</w:t>
      </w:r>
      <w:r w:rsidRPr="0191C9FF">
        <w:rPr>
          <w:rFonts w:ascii="Times New Roman" w:eastAsia="Times New Roman" w:hAnsi="Times New Roman" w:cs="Times New Roman"/>
        </w:rPr>
        <w:t xml:space="preserve"> 78 </w:t>
      </w:r>
      <w:r w:rsidRPr="00F94B7E">
        <w:rPr>
          <w:rFonts w:ascii="Times New Roman" w:eastAsia="Times New Roman" w:hAnsi="Times New Roman" w:cs="Times New Roman"/>
          <w:smallCaps/>
        </w:rPr>
        <w:t>Ohio L. Rev.</w:t>
      </w:r>
      <w:r>
        <w:rPr>
          <w:rFonts w:ascii="Times New Roman" w:eastAsia="Times New Roman" w:hAnsi="Times New Roman" w:cs="Times New Roman"/>
        </w:rPr>
        <w:t xml:space="preserve"> (forthcoming 2017), at 18. Note that o</w:t>
      </w:r>
      <w:r w:rsidRPr="0191C9FF">
        <w:rPr>
          <w:rFonts w:ascii="Times New Roman" w:eastAsia="Times New Roman" w:hAnsi="Times New Roman" w:cs="Times New Roman"/>
        </w:rPr>
        <w:t xml:space="preserve">ther </w:t>
      </w:r>
      <w:r>
        <w:rPr>
          <w:rFonts w:ascii="Times New Roman" w:eastAsia="Times New Roman" w:hAnsi="Times New Roman" w:cs="Times New Roman"/>
        </w:rPr>
        <w:t>compensation programs</w:t>
      </w:r>
      <w:r w:rsidRPr="0191C9FF">
        <w:rPr>
          <w:rFonts w:ascii="Times New Roman" w:eastAsia="Times New Roman" w:hAnsi="Times New Roman" w:cs="Times New Roman"/>
        </w:rPr>
        <w:t xml:space="preserve"> incorporating race- and gender-based </w:t>
      </w:r>
      <w:r>
        <w:rPr>
          <w:rFonts w:ascii="Times New Roman" w:eastAsia="Times New Roman" w:hAnsi="Times New Roman" w:cs="Times New Roman"/>
        </w:rPr>
        <w:t xml:space="preserve">variables </w:t>
      </w:r>
      <w:r w:rsidRPr="0191C9FF">
        <w:rPr>
          <w:rFonts w:ascii="Times New Roman" w:eastAsia="Times New Roman" w:hAnsi="Times New Roman" w:cs="Times New Roman"/>
        </w:rPr>
        <w:t xml:space="preserve">were struck down </w:t>
      </w:r>
      <w:r>
        <w:rPr>
          <w:rFonts w:ascii="Times New Roman" w:eastAsia="Times New Roman" w:hAnsi="Times New Roman" w:cs="Times New Roman"/>
        </w:rPr>
        <w:t>in</w:t>
      </w:r>
      <w:r w:rsidRPr="0191C9FF">
        <w:rPr>
          <w:rFonts w:ascii="Times New Roman" w:eastAsia="Times New Roman" w:hAnsi="Times New Roman" w:cs="Times New Roman"/>
        </w:rPr>
        <w:t xml:space="preserve"> the 1970s. </w:t>
      </w:r>
      <w:r w:rsidRPr="0191C9FF">
        <w:rPr>
          <w:rFonts w:ascii="Times New Roman" w:eastAsia="Times New Roman" w:hAnsi="Times New Roman" w:cs="Times New Roman"/>
          <w:i/>
          <w:iCs/>
        </w:rPr>
        <w:t>See, e.g.</w:t>
      </w:r>
      <w:r w:rsidRPr="0191C9FF">
        <w:rPr>
          <w:rFonts w:ascii="Times New Roman" w:eastAsia="Times New Roman" w:hAnsi="Times New Roman" w:cs="Times New Roman"/>
        </w:rPr>
        <w:t xml:space="preserve">, </w:t>
      </w:r>
      <w:r w:rsidRPr="0191C9FF">
        <w:rPr>
          <w:rFonts w:ascii="Times New Roman" w:eastAsia="Times New Roman" w:hAnsi="Times New Roman" w:cs="Times New Roman"/>
          <w:i/>
          <w:iCs/>
        </w:rPr>
        <w:t>City of Los Angeles v. Marnhart</w:t>
      </w:r>
      <w:r w:rsidRPr="0191C9FF">
        <w:rPr>
          <w:rFonts w:ascii="Times New Roman" w:eastAsia="Times New Roman" w:hAnsi="Times New Roman" w:cs="Times New Roman"/>
        </w:rPr>
        <w:t>, 435 U.S. 702 (1978)</w:t>
      </w:r>
      <w:r>
        <w:rPr>
          <w:rFonts w:ascii="Times New Roman" w:eastAsia="Times New Roman" w:hAnsi="Times New Roman" w:cs="Times New Roman"/>
        </w:rPr>
        <w:t xml:space="preserve"> (striking down employment policies requiring women to contribute more to pension plans because of their longer, average, life expectancy)</w:t>
      </w:r>
      <w:r w:rsidRPr="0191C9FF">
        <w:rPr>
          <w:rFonts w:ascii="Times New Roman" w:eastAsia="Times New Roman" w:hAnsi="Times New Roman" w:cs="Times New Roman"/>
        </w:rPr>
        <w:t xml:space="preserve">. </w:t>
      </w:r>
      <w:r>
        <w:rPr>
          <w:rFonts w:ascii="Times New Roman" w:eastAsia="Times New Roman" w:hAnsi="Times New Roman" w:cs="Times New Roman"/>
        </w:rPr>
        <w:t xml:space="preserve">Chamallas suggests that personal injury lawyers simply haven’t thought about the question because it is a civil rights issue rather than a personal injury issue.  </w:t>
      </w:r>
      <w:r w:rsidRPr="0191C9FF">
        <w:rPr>
          <w:rFonts w:ascii="Times New Roman" w:eastAsia="Times New Roman" w:hAnsi="Times New Roman" w:cs="Times New Roman"/>
        </w:rPr>
        <w:t xml:space="preserve">Is </w:t>
      </w:r>
      <w:r>
        <w:rPr>
          <w:rFonts w:ascii="Times New Roman" w:eastAsia="Times New Roman" w:hAnsi="Times New Roman" w:cs="Times New Roman"/>
        </w:rPr>
        <w:t>that</w:t>
      </w:r>
      <w:r w:rsidRPr="0191C9FF">
        <w:rPr>
          <w:rFonts w:ascii="Times New Roman" w:eastAsia="Times New Roman" w:hAnsi="Times New Roman" w:cs="Times New Roman"/>
        </w:rPr>
        <w:t xml:space="preserve"> </w:t>
      </w:r>
      <w:r w:rsidR="00B53A9E">
        <w:rPr>
          <w:rFonts w:ascii="Times New Roman" w:eastAsia="Times New Roman" w:hAnsi="Times New Roman" w:cs="Times New Roman"/>
        </w:rPr>
        <w:t>a plausible</w:t>
      </w:r>
      <w:r w:rsidRPr="0191C9FF">
        <w:rPr>
          <w:rFonts w:ascii="Times New Roman" w:eastAsia="Times New Roman" w:hAnsi="Times New Roman" w:cs="Times New Roman"/>
        </w:rPr>
        <w:t xml:space="preserve"> </w:t>
      </w:r>
      <w:r>
        <w:rPr>
          <w:rFonts w:ascii="Times New Roman" w:eastAsia="Times New Roman" w:hAnsi="Times New Roman" w:cs="Times New Roman"/>
        </w:rPr>
        <w:t>explanation?</w:t>
      </w:r>
    </w:p>
    <w:p w14:paraId="52553902" w14:textId="77777777" w:rsidR="00E63DD9" w:rsidRDefault="00E63DD9" w:rsidP="00E63DD9">
      <w:pPr>
        <w:spacing w:line="259" w:lineRule="auto"/>
        <w:rPr>
          <w:rFonts w:ascii="Times New Roman" w:eastAsia="Times New Roman" w:hAnsi="Times New Roman" w:cs="Times New Roman"/>
        </w:rPr>
      </w:pPr>
    </w:p>
    <w:p w14:paraId="5DB80766" w14:textId="77777777" w:rsidR="00945FB9" w:rsidRDefault="00945FB9" w:rsidP="00E63DD9">
      <w:pPr>
        <w:spacing w:line="259" w:lineRule="auto"/>
        <w:rPr>
          <w:rFonts w:ascii="Times New Roman" w:eastAsia="Times New Roman" w:hAnsi="Times New Roman" w:cs="Times New Roman"/>
        </w:rPr>
      </w:pPr>
    </w:p>
    <w:p w14:paraId="43412363" w14:textId="77777777" w:rsidR="00DD1A27" w:rsidRDefault="00E63DD9" w:rsidP="00F94B7E">
      <w:pPr>
        <w:pStyle w:val="ListParagraph"/>
        <w:numPr>
          <w:ilvl w:val="0"/>
          <w:numId w:val="59"/>
        </w:numPr>
        <w:spacing w:line="259" w:lineRule="auto"/>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A </w:t>
      </w:r>
      <w:r w:rsidR="000146D6">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 xml:space="preserve">lippery </w:t>
      </w:r>
      <w:r w:rsidR="000146D6">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 xml:space="preserve">lope to </w:t>
      </w:r>
      <w:r w:rsidR="000146D6">
        <w:rPr>
          <w:rFonts w:ascii="Times New Roman" w:eastAsia="Times New Roman" w:hAnsi="Times New Roman" w:cs="Times New Roman"/>
          <w:i/>
          <w:iCs/>
          <w:lang w:eastAsia="en-US"/>
        </w:rPr>
        <w:t>a</w:t>
      </w:r>
      <w:r w:rsidRPr="00F94B7E">
        <w:rPr>
          <w:rFonts w:ascii="Times New Roman" w:eastAsia="Times New Roman" w:hAnsi="Times New Roman" w:cs="Times New Roman"/>
          <w:i/>
          <w:iCs/>
          <w:lang w:eastAsia="en-US"/>
        </w:rPr>
        <w:t>verage?</w:t>
      </w:r>
      <w:r w:rsidRPr="00F94B7E">
        <w:rPr>
          <w:rFonts w:ascii="Times New Roman" w:eastAsia="Times New Roman" w:hAnsi="Times New Roman" w:cs="Times New Roman"/>
          <w:lang w:eastAsia="en-US"/>
        </w:rPr>
        <w:t xml:space="preserve">  Of course, the less tailored a statistical analysis is, the less damages determinations will be </w:t>
      </w:r>
      <w:r w:rsidR="00DD1A27" w:rsidRPr="00F94B7E">
        <w:rPr>
          <w:rFonts w:ascii="Times New Roman" w:eastAsia="Times New Roman" w:hAnsi="Times New Roman" w:cs="Times New Roman"/>
          <w:lang w:eastAsia="en-US"/>
        </w:rPr>
        <w:t>indiv</w:t>
      </w:r>
      <w:r w:rsidR="00DD1A27">
        <w:rPr>
          <w:rFonts w:ascii="Times New Roman" w:eastAsia="Times New Roman" w:hAnsi="Times New Roman" w:cs="Times New Roman"/>
          <w:lang w:eastAsia="en-US"/>
        </w:rPr>
        <w:t xml:space="preserve">idualized, </w:t>
      </w:r>
      <w:r w:rsidRPr="00F94B7E">
        <w:rPr>
          <w:rFonts w:ascii="Times New Roman" w:eastAsia="Times New Roman" w:hAnsi="Times New Roman" w:cs="Times New Roman"/>
          <w:lang w:eastAsia="en-US"/>
        </w:rPr>
        <w:t>and the more they begin to reflect the outcome of an injury to a hypothetical average person. Note, too, that the effects of race in a prediction of future income may be large</w:t>
      </w:r>
      <w:r w:rsidRPr="007C748D">
        <w:rPr>
          <w:rFonts w:ascii="Times New Roman" w:eastAsia="Times New Roman" w:hAnsi="Times New Roman" w:cs="Times New Roman"/>
          <w:lang w:eastAsia="en-US"/>
        </w:rPr>
        <w:t>ly reproduci</w:t>
      </w:r>
      <w:r w:rsidRPr="00F94B7E">
        <w:rPr>
          <w:rFonts w:ascii="Times New Roman" w:eastAsia="Times New Roman" w:hAnsi="Times New Roman" w:cs="Times New Roman"/>
          <w:lang w:eastAsia="en-US"/>
        </w:rPr>
        <w:t>ble by other predictive variabl</w:t>
      </w:r>
      <w:r w:rsidR="00DD1A27">
        <w:rPr>
          <w:rFonts w:ascii="Times New Roman" w:eastAsia="Times New Roman" w:hAnsi="Times New Roman" w:cs="Times New Roman"/>
          <w:lang w:eastAsia="en-US"/>
        </w:rPr>
        <w:t>es like residential zip codes. In 2004, t</w:t>
      </w:r>
      <w:r w:rsidRPr="00F94B7E">
        <w:rPr>
          <w:rFonts w:ascii="Times New Roman" w:eastAsia="Times New Roman" w:hAnsi="Times New Roman" w:cs="Times New Roman"/>
          <w:lang w:eastAsia="en-US"/>
        </w:rPr>
        <w:t xml:space="preserve">he court in </w:t>
      </w:r>
      <w:r w:rsidRPr="00F94B7E">
        <w:rPr>
          <w:rFonts w:ascii="Times New Roman" w:eastAsia="Times New Roman" w:hAnsi="Times New Roman" w:cs="Times New Roman"/>
          <w:i/>
          <w:iCs/>
          <w:lang w:eastAsia="en-US"/>
        </w:rPr>
        <w:t>Bedonie</w:t>
      </w:r>
      <w:r w:rsidR="00DD1A27">
        <w:rPr>
          <w:rFonts w:ascii="Times New Roman" w:eastAsia="Times New Roman" w:hAnsi="Times New Roman" w:cs="Times New Roman"/>
          <w:lang w:eastAsia="en-US"/>
        </w:rPr>
        <w:t xml:space="preserve">, </w:t>
      </w:r>
      <w:r w:rsidR="00DD1A27" w:rsidRPr="00DD1A27">
        <w:rPr>
          <w:rFonts w:ascii="Times New Roman" w:eastAsia="Times New Roman" w:hAnsi="Times New Roman" w:cs="Times New Roman"/>
          <w:i/>
          <w:lang w:eastAsia="en-US"/>
        </w:rPr>
        <w:t>supra</w:t>
      </w:r>
      <w:r w:rsidR="00DD1A27">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refused to use zip codes because of the strong correlation with race in that case</w:t>
      </w:r>
      <w:r w:rsidR="00DD1A27">
        <w:rPr>
          <w:rFonts w:ascii="Times New Roman" w:eastAsia="Times New Roman" w:hAnsi="Times New Roman" w:cs="Times New Roman"/>
          <w:lang w:eastAsia="en-US"/>
        </w:rPr>
        <w:t>.</w:t>
      </w:r>
    </w:p>
    <w:p w14:paraId="13FB24D0" w14:textId="7CD425DB" w:rsidR="00E63DD9" w:rsidRPr="00C85B70" w:rsidRDefault="00DD1A27" w:rsidP="00FF55AD">
      <w:pPr>
        <w:spacing w:line="259" w:lineRule="auto"/>
        <w:ind w:firstLine="720"/>
        <w:rPr>
          <w:rFonts w:ascii="Times New Roman" w:eastAsia="Times New Roman" w:hAnsi="Times New Roman" w:cs="Times New Roman"/>
          <w:lang w:eastAsia="en-US"/>
        </w:rPr>
      </w:pPr>
      <w:r>
        <w:rPr>
          <w:rFonts w:ascii="Times New Roman" w:eastAsia="Times New Roman" w:hAnsi="Times New Roman" w:cs="Times New Roman"/>
          <w:lang w:eastAsia="en-US"/>
        </w:rPr>
        <w:t xml:space="preserve">Note that the problem is not just one of race and gender.  Other factors completely outside the control of a plaintiff powerfully affect things such as life expectancy and therefore powerfully shape tort damages awards.  </w:t>
      </w:r>
      <w:r w:rsidR="00E63DD9" w:rsidRPr="00DD1A27">
        <w:rPr>
          <w:rFonts w:ascii="Times New Roman" w:eastAsia="Times New Roman" w:hAnsi="Times New Roman" w:cs="Times New Roman"/>
          <w:lang w:eastAsia="en-US"/>
        </w:rPr>
        <w:t>If one of the foundational ideals of tor</w:t>
      </w:r>
      <w:r w:rsidR="00745545">
        <w:rPr>
          <w:rFonts w:ascii="Times New Roman" w:eastAsia="Times New Roman" w:hAnsi="Times New Roman" w:cs="Times New Roman"/>
          <w:lang w:eastAsia="en-US"/>
        </w:rPr>
        <w:t>t law is to make the plaintiff “whole,”</w:t>
      </w:r>
      <w:r w:rsidR="00E63DD9" w:rsidRPr="00DD1A27">
        <w:rPr>
          <w:rFonts w:ascii="Times New Roman" w:eastAsia="Times New Roman" w:hAnsi="Times New Roman" w:cs="Times New Roman"/>
          <w:lang w:eastAsia="en-US"/>
        </w:rPr>
        <w:t xml:space="preserve"> the inquiry </w:t>
      </w:r>
      <w:r>
        <w:rPr>
          <w:rFonts w:ascii="Times New Roman" w:eastAsia="Times New Roman" w:hAnsi="Times New Roman" w:cs="Times New Roman"/>
          <w:lang w:eastAsia="en-US"/>
        </w:rPr>
        <w:t xml:space="preserve">should </w:t>
      </w:r>
      <w:r w:rsidR="00E63DD9" w:rsidRPr="00DD1A27">
        <w:rPr>
          <w:rFonts w:ascii="Times New Roman" w:eastAsia="Times New Roman" w:hAnsi="Times New Roman" w:cs="Times New Roman"/>
          <w:lang w:eastAsia="en-US"/>
        </w:rPr>
        <w:t xml:space="preserve">be specific to the plaintiff, including all </w:t>
      </w:r>
      <w:r>
        <w:rPr>
          <w:rFonts w:ascii="Times New Roman" w:eastAsia="Times New Roman" w:hAnsi="Times New Roman" w:cs="Times New Roman"/>
          <w:lang w:eastAsia="en-US"/>
        </w:rPr>
        <w:t xml:space="preserve">her </w:t>
      </w:r>
      <w:r w:rsidR="00E63DD9" w:rsidRPr="00DD1A27">
        <w:rPr>
          <w:rFonts w:ascii="Times New Roman" w:eastAsia="Times New Roman" w:hAnsi="Times New Roman" w:cs="Times New Roman"/>
          <w:lang w:eastAsia="en-US"/>
        </w:rPr>
        <w:t>statistically relevant characteristic</w:t>
      </w:r>
      <w:r>
        <w:rPr>
          <w:rFonts w:ascii="Times New Roman" w:eastAsia="Times New Roman" w:hAnsi="Times New Roman" w:cs="Times New Roman"/>
          <w:lang w:eastAsia="en-US"/>
        </w:rPr>
        <w:t>s.</w:t>
      </w:r>
      <w:r w:rsidR="00E63DD9" w:rsidRPr="00DD1A27">
        <w:rPr>
          <w:rFonts w:ascii="Times New Roman" w:eastAsia="Times New Roman" w:hAnsi="Times New Roman" w:cs="Times New Roman"/>
          <w:lang w:eastAsia="en-US"/>
        </w:rPr>
        <w:t xml:space="preserve"> </w:t>
      </w:r>
      <w:r>
        <w:rPr>
          <w:rFonts w:ascii="Times New Roman" w:eastAsia="Times New Roman" w:hAnsi="Times New Roman" w:cs="Times New Roman"/>
          <w:lang w:eastAsia="en-US"/>
        </w:rPr>
        <w:t xml:space="preserve">But that obviously means reproducing all sorts of unfairness. </w:t>
      </w:r>
    </w:p>
    <w:p w14:paraId="31902F5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373D454" w14:textId="0C3E9B26" w:rsidR="00C85B70" w:rsidRPr="00F94B7E" w:rsidRDefault="750671CE" w:rsidP="00F94B7E">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Market inequalities, tort inequalities.</w:t>
      </w:r>
      <w:r w:rsidRPr="00F94B7E">
        <w:rPr>
          <w:rFonts w:ascii="Times New Roman" w:eastAsia="Times New Roman" w:hAnsi="Times New Roman" w:cs="Times New Roman"/>
          <w:lang w:eastAsia="en-US"/>
        </w:rPr>
        <w:t xml:space="preserve"> Inequities in damages based on expected future earnings are not only gender- or race-based phenomena, of course. They are also a class phenomenon. This became painfully clear in the lawsuits following the terrorist attacks of September 11, 2001. One reporter recounted the claims that families contemplated: </w:t>
      </w:r>
    </w:p>
    <w:p w14:paraId="0DA539D7" w14:textId="77777777" w:rsidR="00C85B70" w:rsidRPr="00C85B70" w:rsidRDefault="00C85B70" w:rsidP="00F94B7E">
      <w:pPr>
        <w:pStyle w:val="blockquote"/>
        <w:rPr>
          <w:lang w:eastAsia="en-US"/>
        </w:rPr>
      </w:pPr>
    </w:p>
    <w:p w14:paraId="16A89DBD" w14:textId="63280C00" w:rsidR="00C85B70" w:rsidRPr="00C85B70" w:rsidRDefault="750671CE" w:rsidP="00F94B7E">
      <w:pPr>
        <w:pStyle w:val="blockquote"/>
        <w:rPr>
          <w:lang w:eastAsia="en-US"/>
        </w:rPr>
      </w:pPr>
      <w:r w:rsidRPr="750671CE">
        <w:rPr>
          <w:lang w:eastAsia="en-US"/>
        </w:rPr>
        <w:t xml:space="preserve"> [A] lawyer, Alan L. Fuchsberg, was estimating the value of a case involving another man who died on Sept. 11. He was 42 and earned $54,000 as a clerk in a financial firm in the World Trade Center. Mr. Fuchsberg said the clerk</w:t>
      </w:r>
      <w:r w:rsidR="00B05F31">
        <w:rPr>
          <w:lang w:eastAsia="en-US"/>
        </w:rPr>
        <w:t>’</w:t>
      </w:r>
      <w:r w:rsidRPr="750671CE">
        <w:rPr>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C85B70" w:rsidRDefault="00C85B70" w:rsidP="00F94B7E">
      <w:pPr>
        <w:pStyle w:val="blockquote"/>
        <w:rPr>
          <w:lang w:eastAsia="en-US"/>
        </w:rPr>
      </w:pPr>
    </w:p>
    <w:p w14:paraId="787FEB04" w14:textId="08565E7E" w:rsidR="00C85B70" w:rsidRPr="00C85B70" w:rsidRDefault="750671CE" w:rsidP="00F94B7E">
      <w:pPr>
        <w:pStyle w:val="blockquote"/>
        <w:rPr>
          <w:lang w:eastAsia="en-US"/>
        </w:rPr>
      </w:pPr>
      <w:r w:rsidRPr="750671CE">
        <w:rPr>
          <w:lang w:eastAsia="en-US"/>
        </w:rPr>
        <w:t xml:space="preserve">The clerk, Mr. Fuchsberg said, would have had plenty of time to understand his circumstances. </w:t>
      </w:r>
      <w:r w:rsidR="00B05F31">
        <w:rPr>
          <w:lang w:eastAsia="en-US"/>
        </w:rPr>
        <w:t>“</w:t>
      </w:r>
      <w:r w:rsidRPr="750671CE">
        <w:rPr>
          <w:lang w:eastAsia="en-US"/>
        </w:rPr>
        <w:t>Obviously,</w:t>
      </w:r>
      <w:r w:rsidR="00B05F31">
        <w:rPr>
          <w:lang w:eastAsia="en-US"/>
        </w:rPr>
        <w:t>”</w:t>
      </w:r>
      <w:r w:rsidRPr="750671CE">
        <w:rPr>
          <w:lang w:eastAsia="en-US"/>
        </w:rPr>
        <w:t xml:space="preserve"> the lawyer said, </w:t>
      </w:r>
      <w:r w:rsidR="00B05F31">
        <w:rPr>
          <w:lang w:eastAsia="en-US"/>
        </w:rPr>
        <w:t>“</w:t>
      </w:r>
      <w:r w:rsidRPr="750671CE">
        <w:rPr>
          <w:lang w:eastAsia="en-US"/>
        </w:rPr>
        <w:t>it got very smoky and hot and unbearable.</w:t>
      </w:r>
      <w:r w:rsidR="00B05F31">
        <w:rPr>
          <w:lang w:eastAsia="en-US"/>
        </w:rPr>
        <w:t>”</w:t>
      </w:r>
      <w:r w:rsidRPr="750671CE">
        <w:rPr>
          <w:lang w:eastAsia="en-US"/>
        </w:rPr>
        <w:t xml:space="preserve"> But Mr. Fuchsberg said he told the clerk</w:t>
      </w:r>
      <w:r w:rsidR="00B05F31">
        <w:rPr>
          <w:lang w:eastAsia="en-US"/>
        </w:rPr>
        <w:t>’</w:t>
      </w:r>
      <w:r w:rsidRPr="750671CE">
        <w:rPr>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C85B70" w:rsidRDefault="00C85B70" w:rsidP="00F94B7E">
      <w:pPr>
        <w:pStyle w:val="blockquote"/>
        <w:rPr>
          <w:lang w:eastAsia="en-US"/>
        </w:rPr>
      </w:pPr>
    </w:p>
    <w:p w14:paraId="51DB6378" w14:textId="3CE4433C" w:rsidR="00C85B70" w:rsidRPr="00C85B70" w:rsidRDefault="750671CE" w:rsidP="00F94B7E">
      <w:pPr>
        <w:pStyle w:val="blockquote"/>
        <w:rPr>
          <w:lang w:eastAsia="en-US"/>
        </w:rPr>
      </w:pPr>
      <w:r w:rsidRPr="750671CE">
        <w:rPr>
          <w:lang w:eastAsia="en-US"/>
        </w:rPr>
        <w:t>The clerk</w:t>
      </w:r>
      <w:r w:rsidR="00B05F31">
        <w:rPr>
          <w:lang w:eastAsia="en-US"/>
        </w:rPr>
        <w:t>’</w:t>
      </w:r>
      <w:r w:rsidRPr="750671CE">
        <w:rPr>
          <w:lang w:eastAsia="en-US"/>
        </w:rPr>
        <w:t>s father, who asked not to be named, said he was stunned to learn the role a person</w:t>
      </w:r>
      <w:r w:rsidR="00B05F31">
        <w:rPr>
          <w:lang w:eastAsia="en-US"/>
        </w:rPr>
        <w:t>’</w:t>
      </w:r>
      <w:r w:rsidRPr="750671CE">
        <w:rPr>
          <w:lang w:eastAsia="en-US"/>
        </w:rPr>
        <w:t>s income played in lawyers</w:t>
      </w:r>
      <w:r w:rsidR="00B05F31">
        <w:rPr>
          <w:lang w:eastAsia="en-US"/>
        </w:rPr>
        <w:t>’</w:t>
      </w:r>
      <w:r w:rsidRPr="750671CE">
        <w:rPr>
          <w:lang w:eastAsia="en-US"/>
        </w:rPr>
        <w:t xml:space="preserve"> math. </w:t>
      </w:r>
      <w:r w:rsidR="00B05F31">
        <w:rPr>
          <w:lang w:eastAsia="en-US"/>
        </w:rPr>
        <w:t>“</w:t>
      </w:r>
      <w:r w:rsidRPr="750671CE">
        <w:rPr>
          <w:lang w:eastAsia="en-US"/>
        </w:rPr>
        <w:t>The value of a life is certainly not determined based on earnings,</w:t>
      </w:r>
      <w:r w:rsidR="00B05F31">
        <w:rPr>
          <w:lang w:eastAsia="en-US"/>
        </w:rPr>
        <w:t>”</w:t>
      </w:r>
      <w:r w:rsidRPr="750671CE">
        <w:rPr>
          <w:lang w:eastAsia="en-US"/>
        </w:rPr>
        <w:t xml:space="preserve"> he said, his voice breaking. </w:t>
      </w:r>
      <w:r w:rsidR="00B05F31">
        <w:rPr>
          <w:lang w:eastAsia="en-US"/>
        </w:rPr>
        <w:t>“</w:t>
      </w:r>
      <w:r w:rsidRPr="750671CE">
        <w:rPr>
          <w:lang w:eastAsia="en-US"/>
        </w:rPr>
        <w:t>We</w:t>
      </w:r>
      <w:r w:rsidR="00B05F31">
        <w:rPr>
          <w:lang w:eastAsia="en-US"/>
        </w:rPr>
        <w:t>’</w:t>
      </w:r>
      <w:r w:rsidRPr="750671CE">
        <w:rPr>
          <w:lang w:eastAsia="en-US"/>
        </w:rPr>
        <w:t>re talking about my son.</w:t>
      </w:r>
      <w:r w:rsidR="00B05F31">
        <w:rPr>
          <w:lang w:eastAsia="en-US"/>
        </w:rPr>
        <w:t>”</w:t>
      </w:r>
    </w:p>
    <w:p w14:paraId="6883DC3E"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5A514B6" w14:textId="2718CE4A" w:rsidR="00C85B70" w:rsidRPr="00C85B70" w:rsidRDefault="750671CE" w:rsidP="750671CE">
      <w:pPr>
        <w:autoSpaceDE w:val="0"/>
        <w:autoSpaceDN w:val="0"/>
        <w:adjustRightInd w:val="0"/>
        <w:ind w:right="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William Glaberson, </w:t>
      </w:r>
      <w:r w:rsidRPr="750671CE">
        <w:rPr>
          <w:rFonts w:ascii="Times New Roman" w:eastAsia="Times New Roman" w:hAnsi="Times New Roman" w:cs="Times New Roman"/>
          <w:i/>
          <w:iCs/>
          <w:lang w:eastAsia="en-US"/>
        </w:rPr>
        <w:t>Lawyer Math in Sept. 11 Deaths Shows Varying Values for a Life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N.Y. Times</w:t>
      </w:r>
      <w:r w:rsidRPr="750671CE">
        <w:rPr>
          <w:rFonts w:ascii="Times New Roman" w:eastAsia="Times New Roman" w:hAnsi="Times New Roman" w:cs="Times New Roman"/>
          <w:lang w:eastAsia="en-US"/>
        </w:rPr>
        <w:t>, Nov. 11, 2001.</w:t>
      </w:r>
    </w:p>
    <w:p w14:paraId="491849F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3DA0C8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510B0A3" w14:textId="77777777" w:rsidR="007D7312" w:rsidRDefault="750671CE" w:rsidP="007D7312">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Wages versus wealth</w:t>
      </w:r>
      <w:r w:rsidRPr="00F94B7E">
        <w:rPr>
          <w:rFonts w:ascii="Times New Roman" w:eastAsia="Times New Roman" w:hAnsi="Times New Roman" w:cs="Times New Roman"/>
          <w:lang w:eastAsia="en-US"/>
        </w:rPr>
        <w:t xml:space="preserve">. Of course the income-tracking effect of tort damages does not perfectly reflect </w:t>
      </w:r>
      <w:r w:rsidRPr="00F94B7E">
        <w:rPr>
          <w:rFonts w:ascii="Times New Roman" w:eastAsia="Times New Roman" w:hAnsi="Times New Roman" w:cs="Times New Roman"/>
          <w:i/>
          <w:iCs/>
          <w:lang w:eastAsia="en-US"/>
        </w:rPr>
        <w:t>wealth</w:t>
      </w:r>
      <w:r w:rsidRPr="00F94B7E">
        <w:rPr>
          <w:rFonts w:ascii="Times New Roman" w:eastAsia="Times New Roman" w:hAnsi="Times New Roman" w:cs="Times New Roman"/>
          <w:lang w:eastAsia="en-US"/>
        </w:rPr>
        <w:t xml:space="preserve"> per se: it reflects </w:t>
      </w:r>
      <w:r w:rsidRPr="00F94B7E">
        <w:rPr>
          <w:rFonts w:ascii="Times New Roman" w:eastAsia="Times New Roman" w:hAnsi="Times New Roman" w:cs="Times New Roman"/>
          <w:i/>
          <w:iCs/>
          <w:lang w:eastAsia="en-US"/>
        </w:rPr>
        <w:t>income</w:t>
      </w:r>
      <w:r w:rsidRPr="00F94B7E">
        <w:rPr>
          <w:rFonts w:ascii="Times New Roman" w:eastAsia="Times New Roman" w:hAnsi="Times New Roman" w:cs="Times New Roman"/>
          <w:lang w:eastAsia="en-US"/>
        </w:rPr>
        <w:t>. Tort damages doctrine treats people with high income and low wealth, for example, very differently from people with low income and high wealth. A retired person with no wages but significant retirement savings will often receive little in pecuniary damages if she suffers no lost income. At the same time, a working person with high wages but no savings will receive a significantly higher award. The assets of the retiree would not be taken into account, because those assets would still be available to the plaintiff or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estate after the tort. In practice, wealth and income are extremely correlated. 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income households are unlikely to have significant net worth and most low</w:t>
      </w:r>
      <w:r w:rsidR="00E87CBB">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wealth households do not have high incomes. </w:t>
      </w:r>
      <w:r w:rsidRPr="00F94B7E">
        <w:rPr>
          <w:rFonts w:ascii="Times New Roman" w:eastAsia="Times New Roman" w:hAnsi="Times New Roman" w:cs="Times New Roman"/>
          <w:i/>
          <w:iCs/>
          <w:lang w:eastAsia="en-US"/>
        </w:rPr>
        <w:t>See</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Congressional Research Service, An Analysis of the Distribution of Wealth Across Households</w:t>
      </w:r>
      <w:r w:rsidRPr="00F94B7E">
        <w:rPr>
          <w:rFonts w:ascii="Times New Roman" w:eastAsia="Times New Roman" w:hAnsi="Times New Roman" w:cs="Times New Roman"/>
          <w:lang w:eastAsia="en-US"/>
        </w:rPr>
        <w:t>, 1989-2010 (2012).</w:t>
      </w:r>
    </w:p>
    <w:p w14:paraId="22B846CD" w14:textId="77777777" w:rsidR="007D7312" w:rsidRDefault="007D7312" w:rsidP="007D7312">
      <w:pPr>
        <w:pStyle w:val="ListParagraph"/>
        <w:autoSpaceDE w:val="0"/>
        <w:autoSpaceDN w:val="0"/>
        <w:adjustRightInd w:val="0"/>
        <w:ind w:left="360"/>
        <w:rPr>
          <w:rFonts w:ascii="Times New Roman" w:eastAsia="Times New Roman" w:hAnsi="Times New Roman" w:cs="Times New Roman"/>
          <w:lang w:eastAsia="en-US"/>
        </w:rPr>
      </w:pPr>
    </w:p>
    <w:p w14:paraId="7B9BDA25" w14:textId="44D48227" w:rsidR="007D7312" w:rsidRDefault="007D7312" w:rsidP="007D7312">
      <w:pPr>
        <w:pStyle w:val="ListParagraph"/>
        <w:numPr>
          <w:ilvl w:val="0"/>
          <w:numId w:val="59"/>
        </w:numPr>
        <w:autoSpaceDE w:val="0"/>
        <w:autoSpaceDN w:val="0"/>
        <w:adjustRightInd w:val="0"/>
        <w:ind w:left="0" w:firstLine="360"/>
        <w:rPr>
          <w:rFonts w:ascii="Times New Roman" w:eastAsia="Times New Roman" w:hAnsi="Times New Roman" w:cs="Times New Roman"/>
          <w:lang w:eastAsia="en-US"/>
        </w:rPr>
      </w:pPr>
      <w:r w:rsidRPr="00782285">
        <w:rPr>
          <w:rFonts w:ascii="Times New Roman" w:eastAsia="Times New Roman" w:hAnsi="Times New Roman" w:cs="Times New Roman"/>
          <w:i/>
          <w:lang w:eastAsia="en-US"/>
        </w:rPr>
        <w:t>Wage differentials</w:t>
      </w:r>
      <w:r w:rsidRPr="007D7312">
        <w:rPr>
          <w:rFonts w:ascii="Times New Roman" w:eastAsia="Times New Roman" w:hAnsi="Times New Roman" w:cs="Times New Roman"/>
          <w:lang w:eastAsia="en-US"/>
        </w:rPr>
        <w:t xml:space="preserve">.  The Pew Foundation has produced the following chart depicting </w:t>
      </w:r>
      <w:r>
        <w:rPr>
          <w:rFonts w:ascii="Times New Roman" w:eastAsia="Times New Roman" w:hAnsi="Times New Roman" w:cs="Times New Roman"/>
          <w:lang w:eastAsia="en-US"/>
        </w:rPr>
        <w:t>wage d</w:t>
      </w:r>
      <w:r w:rsidR="00782285">
        <w:rPr>
          <w:rFonts w:ascii="Times New Roman" w:eastAsia="Times New Roman" w:hAnsi="Times New Roman" w:cs="Times New Roman"/>
          <w:lang w:eastAsia="en-US"/>
        </w:rPr>
        <w:t>ifferentials by race and gender.  What does it mean for tort damages?</w:t>
      </w:r>
    </w:p>
    <w:p w14:paraId="3C3AFD60" w14:textId="77777777" w:rsidR="007D7312" w:rsidRDefault="007D7312" w:rsidP="007D7312">
      <w:pPr>
        <w:autoSpaceDE w:val="0"/>
        <w:autoSpaceDN w:val="0"/>
        <w:adjustRightInd w:val="0"/>
        <w:rPr>
          <w:rFonts w:ascii="Times New Roman" w:eastAsia="Times New Roman" w:hAnsi="Times New Roman" w:cs="Times New Roman"/>
          <w:lang w:eastAsia="en-US"/>
        </w:rPr>
      </w:pPr>
    </w:p>
    <w:p w14:paraId="3E172EC8" w14:textId="6C09ACED" w:rsidR="007D7312" w:rsidRDefault="007D7312" w:rsidP="007D7312">
      <w:pPr>
        <w:autoSpaceDE w:val="0"/>
        <w:autoSpaceDN w:val="0"/>
        <w:adjustRightInd w:val="0"/>
        <w:rPr>
          <w:rFonts w:ascii="Times New Roman" w:eastAsia="Times New Roman" w:hAnsi="Times New Roman" w:cs="Times New Roman"/>
          <w:lang w:eastAsia="en-US"/>
        </w:rPr>
      </w:pPr>
      <w:r>
        <w:rPr>
          <w:rFonts w:ascii="Times New Roman" w:eastAsia="Times New Roman" w:hAnsi="Times New Roman" w:cs="Times New Roman"/>
          <w:noProof/>
          <w:lang w:eastAsia="en-US"/>
        </w:rPr>
        <w:drawing>
          <wp:inline distT="0" distB="0" distL="0" distR="0" wp14:anchorId="4A3BF549" wp14:editId="203A5773">
            <wp:extent cx="3086100" cy="4635500"/>
            <wp:effectExtent l="0" t="0" r="1270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a:blip r:embed="rId83">
                      <a:extLst>
                        <a:ext uri="{28A0092B-C50C-407E-A947-70E740481C1C}">
                          <a14:useLocalDpi xmlns:a14="http://schemas.microsoft.com/office/drawing/2010/main" val="0"/>
                        </a:ext>
                      </a:extLst>
                    </a:blip>
                    <a:stretch>
                      <a:fillRect/>
                    </a:stretch>
                  </pic:blipFill>
                  <pic:spPr>
                    <a:xfrm>
                      <a:off x="0" y="0"/>
                      <a:ext cx="3086100" cy="4635500"/>
                    </a:xfrm>
                    <a:prstGeom prst="rect">
                      <a:avLst/>
                    </a:prstGeom>
                  </pic:spPr>
                </pic:pic>
              </a:graphicData>
            </a:graphic>
          </wp:inline>
        </w:drawing>
      </w:r>
    </w:p>
    <w:p w14:paraId="1F20612E" w14:textId="099CE98B" w:rsidR="00C85B70" w:rsidRPr="007D7312" w:rsidRDefault="007D7312" w:rsidP="007D7312">
      <w:pPr>
        <w:autoSpaceDE w:val="0"/>
        <w:autoSpaceDN w:val="0"/>
        <w:adjustRightInd w:val="0"/>
        <w:rPr>
          <w:rFonts w:ascii="Times New Roman" w:eastAsia="Times New Roman" w:hAnsi="Times New Roman" w:cs="Times New Roman"/>
          <w:sz w:val="20"/>
          <w:szCs w:val="20"/>
          <w:lang w:eastAsia="en-US"/>
        </w:rPr>
      </w:pPr>
      <w:r w:rsidRPr="007D7312">
        <w:rPr>
          <w:rFonts w:ascii="Times New Roman" w:eastAsia="Times New Roman" w:hAnsi="Times New Roman" w:cs="Times New Roman"/>
          <w:sz w:val="20"/>
          <w:szCs w:val="20"/>
          <w:lang w:eastAsia="en-US"/>
        </w:rPr>
        <w:t>Source: http://www.pewresearch.org/fact-tank/2016/07/01/racial-gender-wage-gaps-persist-in-u-s-despite-some-progress/</w:t>
      </w:r>
      <w:r w:rsidR="750671CE" w:rsidRPr="007D7312">
        <w:rPr>
          <w:rFonts w:ascii="Times New Roman" w:eastAsia="Times New Roman" w:hAnsi="Times New Roman" w:cs="Times New Roman"/>
          <w:sz w:val="20"/>
          <w:szCs w:val="20"/>
          <w:lang w:eastAsia="en-US"/>
        </w:rPr>
        <w:t xml:space="preserve"> </w:t>
      </w:r>
    </w:p>
    <w:p w14:paraId="383CE107" w14:textId="77777777" w:rsidR="00C85B70" w:rsidRPr="007D7312" w:rsidRDefault="00C85B70" w:rsidP="00C85B70">
      <w:pPr>
        <w:autoSpaceDE w:val="0"/>
        <w:autoSpaceDN w:val="0"/>
        <w:adjustRightInd w:val="0"/>
        <w:contextualSpacing/>
        <w:rPr>
          <w:rFonts w:ascii="Times New Roman" w:eastAsia="Times New Roman" w:hAnsi="Times New Roman" w:cs="Times New Roman"/>
          <w:sz w:val="20"/>
          <w:szCs w:val="20"/>
          <w:lang w:eastAsia="en-US"/>
        </w:rPr>
      </w:pPr>
    </w:p>
    <w:p w14:paraId="7541BA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946592" w14:textId="77777777" w:rsidR="00C85B70" w:rsidRPr="00C85B70" w:rsidRDefault="00C85B70" w:rsidP="00322687">
      <w:pPr>
        <w:pStyle w:val="Heading3"/>
      </w:pPr>
      <w:bookmarkStart w:id="1085" w:name="_Toc364636296"/>
      <w:bookmarkStart w:id="1086" w:name="_Toc518323581"/>
      <w:r w:rsidRPr="00C85B70">
        <w:t>2.  Nonpecuniary Damages</w:t>
      </w:r>
      <w:bookmarkEnd w:id="1085"/>
      <w:bookmarkEnd w:id="1086"/>
    </w:p>
    <w:p w14:paraId="5909975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FFF9D79" w14:textId="6C7DF464"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Nonpecuniary damages, or what trial lawyers call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general damages,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consist of those damages that have no specific economic measure.  The principal item of nonpecuniary damages consists of pain and suffering.  The principal theoretical problem is to translate pain and suffering into dollars.</w:t>
      </w:r>
    </w:p>
    <w:p w14:paraId="27C12AB0" w14:textId="77777777" w:rsidR="00C85B70" w:rsidRPr="00C85B70" w:rsidRDefault="00C85B70" w:rsidP="002502CC">
      <w:pPr>
        <w:pStyle w:val="Heading4"/>
      </w:pPr>
      <w:bookmarkStart w:id="1087" w:name="_Toc364636297"/>
      <w:bookmarkStart w:id="1088" w:name="_Toc518323582"/>
      <w:r w:rsidRPr="00C85B70">
        <w:t>The Rise of Pain and Suffering</w:t>
      </w:r>
      <w:bookmarkEnd w:id="1087"/>
      <w:bookmarkEnd w:id="1088"/>
    </w:p>
    <w:p w14:paraId="388F5D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EFA6799" w14:textId="53575BBB" w:rsidR="00C85B70" w:rsidRPr="00C85B70" w:rsidRDefault="00C85B70" w:rsidP="750671CE">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Nonpecuniary damages pose a great puz</w:t>
      </w:r>
      <w:r w:rsidR="002D79B4">
        <w:rPr>
          <w:rFonts w:ascii="Times New Roman" w:eastAsia="Times New Roman" w:hAnsi="Times New Roman" w:cs="Times New Roman"/>
          <w:lang w:eastAsia="en-US"/>
        </w:rPr>
        <w:t xml:space="preserve">zle in American tort practice. </w:t>
      </w:r>
      <w:r w:rsidRPr="750671CE">
        <w:rPr>
          <w:rFonts w:ascii="Times New Roman" w:eastAsia="Times New Roman" w:hAnsi="Times New Roman" w:cs="Times New Roman"/>
          <w:lang w:eastAsia="en-US"/>
        </w:rPr>
        <w:t>Pain and suffering damages have been awarded in tort cases since the dawn of the modern common law.  The doctri</w:t>
      </w:r>
      <w:r w:rsidR="002D79B4" w:rsidRPr="750671CE">
        <w:rPr>
          <w:rFonts w:ascii="Times New Roman" w:eastAsia="Times New Roman" w:hAnsi="Times New Roman" w:cs="Times New Roman"/>
          <w:lang w:eastAsia="en-US"/>
        </w:rPr>
        <w:t xml:space="preserve">ne has been remarkably stable. </w:t>
      </w:r>
      <w:r w:rsidRPr="750671CE">
        <w:rPr>
          <w:rFonts w:ascii="Times New Roman" w:eastAsia="Times New Roman" w:hAnsi="Times New Roman" w:cs="Times New Roman"/>
          <w:lang w:eastAsia="en-US"/>
        </w:rPr>
        <w:t>Yet the practice of nonpecuniary dama</w:t>
      </w:r>
      <w:r w:rsidR="002D79B4" w:rsidRPr="750671CE">
        <w:rPr>
          <w:rFonts w:ascii="Times New Roman" w:eastAsia="Times New Roman" w:hAnsi="Times New Roman" w:cs="Times New Roman"/>
          <w:lang w:eastAsia="en-US"/>
        </w:rPr>
        <w:t xml:space="preserve">ges has changed radically. </w:t>
      </w:r>
      <w:r w:rsidRPr="750671CE">
        <w:rPr>
          <w:rFonts w:ascii="Times New Roman" w:eastAsia="Times New Roman" w:hAnsi="Times New Roman" w:cs="Times New Roman"/>
          <w:lang w:eastAsia="en-US"/>
        </w:rPr>
        <w:t xml:space="preserve">Where once they played a modest role in personal injury litigation, now they loom large and the dollar figures </w:t>
      </w:r>
      <w:r w:rsidR="002D79B4" w:rsidRPr="750671CE">
        <w:rPr>
          <w:rFonts w:ascii="Times New Roman" w:eastAsia="Times New Roman" w:hAnsi="Times New Roman" w:cs="Times New Roman"/>
          <w:lang w:eastAsia="en-US"/>
        </w:rPr>
        <w:t xml:space="preserve">can be substantial. </w:t>
      </w:r>
      <w:r w:rsidR="001401D0" w:rsidRPr="750671CE">
        <w:rPr>
          <w:rFonts w:ascii="Times New Roman" w:eastAsia="Times New Roman" w:hAnsi="Times New Roman" w:cs="Times New Roman"/>
          <w:lang w:eastAsia="en-US"/>
        </w:rPr>
        <w:t>The result</w:t>
      </w:r>
      <w:r w:rsidRPr="750671CE">
        <w:rPr>
          <w:rFonts w:ascii="Times New Roman" w:eastAsia="Times New Roman" w:hAnsi="Times New Roman" w:cs="Times New Roman"/>
          <w:lang w:eastAsia="en-US"/>
        </w:rPr>
        <w:t xml:space="preserve"> has been increased caution from parts of the bar and bench about the advisability of unconstrain</w:t>
      </w:r>
      <w:r w:rsidR="002D79B4" w:rsidRPr="750671CE">
        <w:rPr>
          <w:rFonts w:ascii="Times New Roman" w:eastAsia="Times New Roman" w:hAnsi="Times New Roman" w:cs="Times New Roman"/>
          <w:lang w:eastAsia="en-US"/>
        </w:rPr>
        <w:t>ed nonpecuniary damage awards.</w:t>
      </w:r>
    </w:p>
    <w:p w14:paraId="17654D9F" w14:textId="77777777" w:rsidR="00C85B70" w:rsidRPr="00C85B70" w:rsidRDefault="00C85B70" w:rsidP="00C85B70">
      <w:pPr>
        <w:autoSpaceDE w:val="0"/>
        <w:autoSpaceDN w:val="0"/>
        <w:adjustRightInd w:val="0"/>
        <w:contextualSpacing/>
        <w:rPr>
          <w:rFonts w:ascii="Times New Roman" w:eastAsia="Times New Roman" w:hAnsi="Times New Roman" w:cs="Times New Roman"/>
          <w:iCs/>
          <w:lang w:eastAsia="en-US"/>
        </w:rPr>
      </w:pPr>
    </w:p>
    <w:p w14:paraId="245F9C1D" w14:textId="0B846E1A"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One question is how nonpecuniary damages became such an important part of tort practice if the doctrine changed virtually not at all? One account looks to the influence of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as a shaper of modern tort practice in the United States. As your author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C85B70" w:rsidRDefault="00C85B70" w:rsidP="00F94B7E">
      <w:pPr>
        <w:pStyle w:val="blockquote"/>
        <w:rPr>
          <w:lang w:eastAsia="en-US"/>
        </w:rPr>
      </w:pPr>
    </w:p>
    <w:p w14:paraId="0165F03A" w14:textId="70F368A3" w:rsidR="00C85B70" w:rsidRPr="00C85B70" w:rsidRDefault="750671CE" w:rsidP="00F94B7E">
      <w:pPr>
        <w:pStyle w:val="blockquote"/>
        <w:rPr>
          <w:lang w:eastAsia="en-US"/>
        </w:rPr>
      </w:pPr>
      <w:r w:rsidRPr="750671CE">
        <w:rPr>
          <w:lang w:eastAsia="en-US"/>
        </w:rPr>
        <w:t xml:space="preserve">The King of Torts, as </w:t>
      </w:r>
      <w:r w:rsidRPr="750671CE">
        <w:rPr>
          <w:i/>
          <w:lang w:eastAsia="en-US"/>
        </w:rPr>
        <w:t>Life Magazine</w:t>
      </w:r>
      <w:r w:rsidRPr="750671CE">
        <w:rPr>
          <w:lang w:eastAsia="en-US"/>
        </w:rPr>
        <w:t xml:space="preserve"> dubbed him in 1954, was a man of scarlet silk-lined suits, of multi-colored Rolls Royces, of courtroom theatrics and Hollywood hijinks. . . .  Belli</w:t>
      </w:r>
      <w:r w:rsidR="00B05F31">
        <w:rPr>
          <w:lang w:eastAsia="en-US"/>
        </w:rPr>
        <w:t>’</w:t>
      </w:r>
      <w:r w:rsidRPr="750671CE">
        <w:rPr>
          <w:lang w:eastAsia="en-US"/>
        </w:rPr>
        <w:t xml:space="preserve">s campaign began in 1951, when he published a long article in the law review of his alma mater, the law school at the University of California, Berkeley. The article, titled </w:t>
      </w:r>
      <w:r w:rsidR="00B05F31">
        <w:rPr>
          <w:lang w:eastAsia="en-US"/>
        </w:rPr>
        <w:t>“</w:t>
      </w:r>
      <w:r w:rsidRPr="750671CE">
        <w:rPr>
          <w:lang w:eastAsia="en-US"/>
        </w:rPr>
        <w:t>The Adequate Award,</w:t>
      </w:r>
      <w:r w:rsidR="00B05F31">
        <w:rPr>
          <w:lang w:eastAsia="en-US"/>
        </w:rPr>
        <w:t>”</w:t>
      </w:r>
      <w:r w:rsidRPr="750671CE">
        <w:rPr>
          <w:lang w:eastAsia="en-US"/>
        </w:rPr>
        <w:t xml:space="preserve"> aimed to raise the value of personal injury cases. Professional baseball players earned $100,000 for a season</w:t>
      </w:r>
      <w:r w:rsidR="00B05F31">
        <w:rPr>
          <w:lang w:eastAsia="en-US"/>
        </w:rPr>
        <w:t>’</w:t>
      </w:r>
      <w:r w:rsidRPr="750671CE">
        <w:rPr>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C85B70" w:rsidRDefault="00C85B70" w:rsidP="00F94B7E">
      <w:pPr>
        <w:pStyle w:val="blockquote"/>
        <w:rPr>
          <w:lang w:eastAsia="en-US"/>
        </w:rPr>
      </w:pPr>
    </w:p>
    <w:p w14:paraId="0A73FCFC" w14:textId="58AC2A68" w:rsidR="00C85B70" w:rsidRPr="00C85B70" w:rsidRDefault="750671CE" w:rsidP="00F94B7E">
      <w:pPr>
        <w:pStyle w:val="blockquote"/>
        <w:rPr>
          <w:lang w:eastAsia="en-US"/>
        </w:rPr>
      </w:pPr>
      <w:r w:rsidRPr="750671CE">
        <w:rPr>
          <w:lang w:eastAsia="en-US"/>
        </w:rPr>
        <w:t>Front and center in Belli</w:t>
      </w:r>
      <w:r w:rsidR="00B05F31">
        <w:rPr>
          <w:lang w:eastAsia="en-US"/>
        </w:rPr>
        <w:t>’</w:t>
      </w:r>
      <w:r w:rsidRPr="750671CE">
        <w:rPr>
          <w:lang w:eastAsia="en-US"/>
        </w:rPr>
        <w:t xml:space="preserve">s efforts were pain and suffering damages. . . .  Damages for intangible injuries such as pain and suffering, Belli observed, </w:t>
      </w:r>
      <w:r w:rsidR="00B05F31">
        <w:rPr>
          <w:lang w:eastAsia="en-US"/>
        </w:rPr>
        <w:t>“</w:t>
      </w:r>
      <w:r w:rsidRPr="750671CE">
        <w:rPr>
          <w:lang w:eastAsia="en-US"/>
        </w:rPr>
        <w:t>depend upon counsel</w:t>
      </w:r>
      <w:r w:rsidR="00B05F31">
        <w:rPr>
          <w:lang w:eastAsia="en-US"/>
        </w:rPr>
        <w:t>’</w:t>
      </w:r>
      <w:r w:rsidRPr="750671CE">
        <w:rPr>
          <w:lang w:eastAsia="en-US"/>
        </w:rPr>
        <w:t>s imagination.</w:t>
      </w:r>
      <w:r w:rsidR="00B05F31">
        <w:rPr>
          <w:lang w:eastAsia="en-US"/>
        </w:rPr>
        <w:t>”</w:t>
      </w:r>
      <w:r w:rsidRPr="750671CE">
        <w:rPr>
          <w:lang w:eastAsia="en-US"/>
        </w:rPr>
        <w:t xml:space="preserve"> Their value turned on the </w:t>
      </w:r>
      <w:r w:rsidR="00B05F31">
        <w:rPr>
          <w:lang w:eastAsia="en-US"/>
        </w:rPr>
        <w:t>“</w:t>
      </w:r>
      <w:r w:rsidRPr="750671CE">
        <w:rPr>
          <w:lang w:eastAsia="en-US"/>
        </w:rPr>
        <w:t>vividness</w:t>
      </w:r>
      <w:r w:rsidR="00B05F31">
        <w:rPr>
          <w:lang w:eastAsia="en-US"/>
        </w:rPr>
        <w:t>”</w:t>
      </w:r>
      <w:r w:rsidRPr="750671CE">
        <w:rPr>
          <w:lang w:eastAsia="en-US"/>
        </w:rPr>
        <w:t xml:space="preserve"> of the trial lawyer</w:t>
      </w:r>
      <w:r w:rsidR="00B05F31">
        <w:rPr>
          <w:lang w:eastAsia="en-US"/>
        </w:rPr>
        <w:t>’</w:t>
      </w:r>
      <w:r w:rsidRPr="750671CE">
        <w:rPr>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C85B70" w:rsidRDefault="00C85B70" w:rsidP="00F94B7E">
      <w:pPr>
        <w:pStyle w:val="blockquote"/>
        <w:rPr>
          <w:lang w:eastAsia="en-US"/>
        </w:rPr>
      </w:pPr>
    </w:p>
    <w:p w14:paraId="52A8A02E" w14:textId="58026663" w:rsidR="00C85B70" w:rsidRPr="00C85B70" w:rsidRDefault="750671CE" w:rsidP="00F94B7E">
      <w:pPr>
        <w:pStyle w:val="blockquote"/>
        <w:rPr>
          <w:lang w:eastAsia="en-US"/>
        </w:rPr>
      </w:pPr>
      <w:r w:rsidRPr="750671CE">
        <w:rPr>
          <w:lang w:eastAsia="en-US"/>
        </w:rPr>
        <w:t xml:space="preserve">Belli talked about pain like the apocryphal Eskimo talks about snow. There were at least forty different kinds of pain, he asserted, and he proceeded to instruct his audiences in an elaborate taxonomy of kinds and types of pain their clients might be suffering. He distinguished </w:t>
      </w:r>
      <w:r w:rsidR="00B05F31">
        <w:rPr>
          <w:lang w:eastAsia="en-US"/>
        </w:rPr>
        <w:t>“</w:t>
      </w:r>
      <w:r w:rsidRPr="750671CE">
        <w:rPr>
          <w:lang w:eastAsia="en-US"/>
        </w:rPr>
        <w:t>physical pain and suffering</w:t>
      </w:r>
      <w:r w:rsidR="00B05F31">
        <w:rPr>
          <w:lang w:eastAsia="en-US"/>
        </w:rPr>
        <w:t>”</w:t>
      </w:r>
      <w:r w:rsidRPr="750671CE">
        <w:rPr>
          <w:lang w:eastAsia="en-US"/>
        </w:rPr>
        <w:t xml:space="preserve"> from </w:t>
      </w:r>
      <w:r w:rsidR="00B05F31">
        <w:rPr>
          <w:lang w:eastAsia="en-US"/>
        </w:rPr>
        <w:t>“</w:t>
      </w:r>
      <w:r w:rsidRPr="750671CE">
        <w:rPr>
          <w:lang w:eastAsia="en-US"/>
        </w:rPr>
        <w:t>mental pain and suffering,</w:t>
      </w:r>
      <w:r w:rsidR="00B05F31">
        <w:rPr>
          <w:lang w:eastAsia="en-US"/>
        </w:rPr>
        <w:t>”</w:t>
      </w:r>
      <w:r w:rsidRPr="750671CE">
        <w:rPr>
          <w:lang w:eastAsia="en-US"/>
        </w:rPr>
        <w:t xml:space="preserve"> which in turn he distinguished from </w:t>
      </w:r>
      <w:r w:rsidR="00B05F31">
        <w:rPr>
          <w:lang w:eastAsia="en-US"/>
        </w:rPr>
        <w:t>“</w:t>
      </w:r>
      <w:r w:rsidRPr="750671CE">
        <w:rPr>
          <w:lang w:eastAsia="en-US"/>
        </w:rPr>
        <w:t>embarrassment, ridicule, and humiliation,</w:t>
      </w:r>
      <w:r w:rsidR="00B05F31">
        <w:rPr>
          <w:lang w:eastAsia="en-US"/>
        </w:rPr>
        <w:t>”</w:t>
      </w:r>
      <w:r w:rsidRPr="750671CE">
        <w:rPr>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Pr>
          <w:lang w:eastAsia="en-US"/>
        </w:rPr>
        <w:t>“</w:t>
      </w:r>
      <w:r w:rsidRPr="750671CE">
        <w:rPr>
          <w:lang w:eastAsia="en-US"/>
        </w:rPr>
        <w:t>the pathways of pain,</w:t>
      </w:r>
      <w:r w:rsidR="00B05F31">
        <w:rPr>
          <w:lang w:eastAsia="en-US"/>
        </w:rPr>
        <w:t>”</w:t>
      </w:r>
      <w:r w:rsidRPr="750671CE">
        <w:rPr>
          <w:lang w:eastAsia="en-US"/>
        </w:rPr>
        <w:t xml:space="preserve"> which he likened to an elaborate telephone system managed by a central operator</w:t>
      </w:r>
      <w:r w:rsidR="00B05F31">
        <w:rPr>
          <w:lang w:eastAsia="en-US"/>
        </w:rPr>
        <w:t>’</w:t>
      </w:r>
      <w:r w:rsidRPr="750671CE">
        <w:rPr>
          <w:lang w:eastAsia="en-US"/>
        </w:rPr>
        <w:t xml:space="preserve">s station in the thalamus.  </w:t>
      </w:r>
    </w:p>
    <w:p w14:paraId="2A15ED3D" w14:textId="77777777" w:rsidR="00C85B70" w:rsidRPr="00C85B70" w:rsidRDefault="00C85B70" w:rsidP="00F94B7E">
      <w:pPr>
        <w:pStyle w:val="blockquote"/>
        <w:rPr>
          <w:lang w:eastAsia="en-US"/>
        </w:rPr>
      </w:pPr>
    </w:p>
    <w:p w14:paraId="263AFF8C" w14:textId="018B92D4" w:rsidR="00C85B70" w:rsidRPr="00C85B70" w:rsidRDefault="00C85B70" w:rsidP="00F94B7E">
      <w:pPr>
        <w:pStyle w:val="blockquote"/>
        <w:rPr>
          <w:lang w:eastAsia="en-US"/>
        </w:rPr>
      </w:pPr>
      <w:r w:rsidRPr="00C85B70">
        <w:rPr>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750671CE">
        <w:rPr>
          <w:i/>
          <w:lang w:eastAsia="en-US"/>
        </w:rPr>
        <w:t>Modern Damages</w:t>
      </w:r>
      <w:r w:rsidRPr="00C85B70">
        <w:rPr>
          <w:lang w:eastAsia="en-US"/>
        </w:rPr>
        <w:t>, published with pocket part updates to keep plaintiffs</w:t>
      </w:r>
      <w:r w:rsidR="00B05F31">
        <w:rPr>
          <w:lang w:eastAsia="en-US"/>
        </w:rPr>
        <w:t>’</w:t>
      </w:r>
      <w:r w:rsidRPr="00C85B70">
        <w:rPr>
          <w:lang w:eastAsia="en-US"/>
        </w:rPr>
        <w:t xml:space="preserve"> lawyers around the country informed on the latest damage verdicts and settlements.  </w:t>
      </w:r>
    </w:p>
    <w:p w14:paraId="406A752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F1D2418" w14:textId="628C7D52" w:rsidR="00C85B70" w:rsidRPr="00C85B70" w:rsidRDefault="750671CE" w:rsidP="0038332A">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John Fabian Witt, </w:t>
      </w:r>
      <w:r w:rsidRPr="750671CE">
        <w:rPr>
          <w:rFonts w:ascii="Times New Roman" w:eastAsia="Times New Roman" w:hAnsi="Times New Roman" w:cs="Times New Roman"/>
          <w:i/>
          <w:iCs/>
          <w:lang w:eastAsia="en-US"/>
        </w:rPr>
        <w:t>The Political Economy of Pain</w:t>
      </w:r>
      <w:r w:rsidRPr="750671CE">
        <w:rPr>
          <w:rFonts w:ascii="Times New Roman" w:eastAsia="Times New Roman" w:hAnsi="Times New Roman" w:cs="Times New Roman"/>
          <w:lang w:eastAsia="en-US"/>
        </w:rPr>
        <w:t xml:space="preserve">, </w:t>
      </w:r>
      <w:r w:rsidR="00E87CBB">
        <w:rPr>
          <w:rFonts w:ascii="Times New Roman" w:eastAsia="Times New Roman" w:hAnsi="Times New Roman" w:cs="Times New Roman"/>
          <w:i/>
          <w:lang w:eastAsia="en-US"/>
        </w:rPr>
        <w:t xml:space="preserve">in </w:t>
      </w:r>
      <w:r w:rsidRPr="750671CE">
        <w:rPr>
          <w:rFonts w:ascii="Times New Roman" w:eastAsia="Times New Roman" w:hAnsi="Times New Roman" w:cs="Times New Roman"/>
          <w:smallCaps/>
          <w:lang w:eastAsia="en-US"/>
        </w:rPr>
        <w:t>Making Legal History: Essays in Honor of William E. Nelson</w:t>
      </w:r>
      <w:r w:rsidRPr="750671CE">
        <w:rPr>
          <w:rFonts w:ascii="Times New Roman" w:eastAsia="Times New Roman" w:hAnsi="Times New Roman" w:cs="Times New Roman"/>
          <w:lang w:eastAsia="en-US"/>
        </w:rPr>
        <w:t xml:space="preserve"> 235 (</w:t>
      </w:r>
      <w:r w:rsidR="009C5ADC">
        <w:rPr>
          <w:rFonts w:ascii="Times New Roman" w:eastAsia="Times New Roman" w:hAnsi="Times New Roman" w:cs="Times New Roman"/>
          <w:lang w:eastAsia="en-US"/>
        </w:rPr>
        <w:t xml:space="preserve">Daniel J. </w:t>
      </w:r>
      <w:r w:rsidRPr="750671CE">
        <w:rPr>
          <w:rFonts w:ascii="Times New Roman" w:eastAsia="Times New Roman" w:hAnsi="Times New Roman" w:cs="Times New Roman"/>
          <w:lang w:eastAsia="en-US"/>
        </w:rPr>
        <w:t xml:space="preserve">Hulsebosch </w:t>
      </w:r>
      <w:r w:rsidR="009C5ADC">
        <w:rPr>
          <w:rFonts w:ascii="Times New Roman" w:eastAsia="Times New Roman" w:hAnsi="Times New Roman" w:cs="Times New Roman"/>
          <w:lang w:eastAsia="en-US"/>
        </w:rPr>
        <w:t xml:space="preserve">&amp; R.B. Bernstein </w:t>
      </w:r>
      <w:r w:rsidRPr="750671CE">
        <w:rPr>
          <w:rFonts w:ascii="Times New Roman" w:eastAsia="Times New Roman" w:hAnsi="Times New Roman" w:cs="Times New Roman"/>
          <w:lang w:eastAsia="en-US"/>
        </w:rPr>
        <w:t>eds., 2013).</w:t>
      </w:r>
    </w:p>
    <w:p w14:paraId="2BFE9F23"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22BC333" w14:textId="6A2DC9E0"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side of the tort dispute process have access to the same kinds of economies of scale and information that the defense had been able to access:</w:t>
      </w:r>
    </w:p>
    <w:p w14:paraId="43EC724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0E956E6" w14:textId="1BDE8DCB" w:rsidR="00C85B70" w:rsidRPr="00C85B70" w:rsidRDefault="750671CE" w:rsidP="00F94B7E">
      <w:pPr>
        <w:pStyle w:val="blockquote"/>
        <w:rPr>
          <w:lang w:eastAsia="en-US"/>
        </w:rPr>
      </w:pPr>
      <w:r w:rsidRPr="750671CE">
        <w:rPr>
          <w:lang w:eastAsia="en-US"/>
        </w:rPr>
        <w:t>Belli and the fledgling ATLA worked to replicate on the plaintiffs</w:t>
      </w:r>
      <w:r w:rsidR="00B05F31">
        <w:rPr>
          <w:lang w:eastAsia="en-US"/>
        </w:rPr>
        <w:t>’</w:t>
      </w:r>
      <w:r w:rsidRPr="750671CE">
        <w:rPr>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Pr>
          <w:lang w:eastAsia="en-US"/>
        </w:rPr>
        <w:t>’</w:t>
      </w:r>
      <w:r w:rsidRPr="750671CE">
        <w:rPr>
          <w:lang w:eastAsia="en-US"/>
        </w:rPr>
        <w:t xml:space="preserve"> bar, for example, that allowed nonspecialists to send cases along to specialists while retaining a share of the fee. At the same time, plaintiffs</w:t>
      </w:r>
      <w:r w:rsidR="00B05F31">
        <w:rPr>
          <w:lang w:eastAsia="en-US"/>
        </w:rPr>
        <w:t>’</w:t>
      </w:r>
      <w:r w:rsidRPr="750671CE">
        <w:rPr>
          <w:lang w:eastAsia="en-US"/>
        </w:rPr>
        <w:t>-side law firms grew and chose to specialize rather than diversify their practices. The result was a sharply increased concentration of claims in the hands of a small number of specialist plaintiffs</w:t>
      </w:r>
      <w:r w:rsidR="00B05F31">
        <w:rPr>
          <w:lang w:eastAsia="en-US"/>
        </w:rPr>
        <w:t>’</w:t>
      </w:r>
      <w:r w:rsidRPr="750671CE">
        <w:rPr>
          <w:lang w:eastAsia="en-US"/>
        </w:rPr>
        <w:t xml:space="preserve"> firms. . . .</w:t>
      </w:r>
    </w:p>
    <w:p w14:paraId="72B7A379" w14:textId="77777777" w:rsidR="00C85B70" w:rsidRPr="00C85B70" w:rsidRDefault="00C85B70" w:rsidP="00F94B7E">
      <w:pPr>
        <w:pStyle w:val="blockquote"/>
        <w:rPr>
          <w:lang w:eastAsia="en-US"/>
        </w:rPr>
      </w:pPr>
    </w:p>
    <w:p w14:paraId="0A0744B5" w14:textId="0B8588D1" w:rsidR="00C85B70" w:rsidRPr="00C85B70" w:rsidRDefault="750671CE" w:rsidP="00F94B7E">
      <w:pPr>
        <w:pStyle w:val="blockquote"/>
        <w:rPr>
          <w:lang w:eastAsia="en-US"/>
        </w:rPr>
      </w:pPr>
      <w:r w:rsidRPr="750671CE">
        <w:rPr>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Pr>
          <w:lang w:eastAsia="en-US"/>
        </w:rPr>
        <w:t>’</w:t>
      </w:r>
      <w:r w:rsidRPr="750671CE">
        <w:rPr>
          <w:lang w:eastAsia="en-US"/>
        </w:rPr>
        <w:t xml:space="preserve"> lawyers and insurance company claims adjusters aimed to produce . . . </w:t>
      </w:r>
      <w:r w:rsidR="009C5ADC">
        <w:rPr>
          <w:lang w:eastAsia="en-US"/>
        </w:rPr>
        <w:t>“</w:t>
      </w:r>
      <w:r w:rsidRPr="750671CE">
        <w:rPr>
          <w:lang w:eastAsia="en-US"/>
        </w:rPr>
        <w:t>a collectively satisfactory return</w:t>
      </w:r>
      <w:r w:rsidR="009C5ADC">
        <w:rPr>
          <w:lang w:eastAsia="en-US"/>
        </w:rPr>
        <w:t>”</w:t>
      </w:r>
      <w:r w:rsidRPr="750671CE">
        <w:rPr>
          <w:lang w:eastAsia="en-US"/>
        </w:rPr>
        <w:t xml:space="preserve"> on the run of the claims they resolved. . . .</w:t>
      </w:r>
    </w:p>
    <w:p w14:paraId="53E38F05" w14:textId="77777777" w:rsidR="00C85B70" w:rsidRPr="00C85B70" w:rsidRDefault="00C85B70" w:rsidP="00F94B7E">
      <w:pPr>
        <w:pStyle w:val="blockquote"/>
        <w:rPr>
          <w:lang w:eastAsia="en-US"/>
        </w:rPr>
      </w:pPr>
    </w:p>
    <w:p w14:paraId="5BF2A6A7" w14:textId="77777777" w:rsidR="00C85B70" w:rsidRPr="00C85B70" w:rsidRDefault="750671CE" w:rsidP="00F94B7E">
      <w:pPr>
        <w:pStyle w:val="blockquote"/>
        <w:rPr>
          <w:lang w:eastAsia="en-US"/>
        </w:rPr>
      </w:pPr>
      <w:r w:rsidRPr="750671CE">
        <w:rPr>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(in practice, economic damages were often quite malleable).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C85B70" w:rsidRDefault="00C85B70" w:rsidP="00F94B7E">
      <w:pPr>
        <w:pStyle w:val="blockquote"/>
        <w:rPr>
          <w:lang w:eastAsia="en-US"/>
        </w:rPr>
      </w:pPr>
    </w:p>
    <w:p w14:paraId="4BE68CD7" w14:textId="7CF5688E" w:rsidR="00C85B70" w:rsidRPr="00C85B70" w:rsidRDefault="750671CE" w:rsidP="00F94B7E">
      <w:pPr>
        <w:pStyle w:val="blockquote"/>
        <w:rPr>
          <w:lang w:eastAsia="en-US"/>
        </w:rPr>
      </w:pPr>
      <w:r w:rsidRPr="750671CE">
        <w:rPr>
          <w:lang w:eastAsia="en-US"/>
        </w:rPr>
        <w:t>And so claims adjusters and plaintiffs</w:t>
      </w:r>
      <w:r w:rsidR="00B05F31">
        <w:rPr>
          <w:lang w:eastAsia="en-US"/>
        </w:rPr>
        <w:t>’</w:t>
      </w:r>
      <w:r w:rsidRPr="750671CE">
        <w:rPr>
          <w:lang w:eastAsia="en-US"/>
        </w:rPr>
        <w:t xml:space="preserve"> lawyers alike employed </w:t>
      </w:r>
      <w:r w:rsidR="00B05F31">
        <w:rPr>
          <w:lang w:eastAsia="en-US"/>
        </w:rPr>
        <w:t>“</w:t>
      </w:r>
      <w:r w:rsidRPr="750671CE">
        <w:rPr>
          <w:lang w:eastAsia="en-US"/>
        </w:rPr>
        <w:t>yardsticks</w:t>
      </w:r>
      <w:r w:rsidR="00B05F31">
        <w:rPr>
          <w:lang w:eastAsia="en-US"/>
        </w:rPr>
        <w:t>”</w:t>
      </w:r>
      <w:r w:rsidRPr="750671CE">
        <w:rPr>
          <w:lang w:eastAsia="en-US"/>
        </w:rPr>
        <w:t xml:space="preserve"> or bargaining conventions of one sort of another to arrive at damages determinations. The </w:t>
      </w:r>
      <w:r w:rsidR="00B05F31">
        <w:rPr>
          <w:lang w:eastAsia="en-US"/>
        </w:rPr>
        <w:t>“</w:t>
      </w:r>
      <w:r w:rsidRPr="750671CE">
        <w:rPr>
          <w:lang w:eastAsia="en-US"/>
        </w:rPr>
        <w:t>three times three</w:t>
      </w:r>
      <w:r w:rsidR="00B05F31">
        <w:rPr>
          <w:lang w:eastAsia="en-US"/>
        </w:rPr>
        <w:t>”</w:t>
      </w:r>
      <w:r w:rsidRPr="750671CE">
        <w:rPr>
          <w:lang w:eastAsia="en-US"/>
        </w:rPr>
        <w:t xml:space="preserve"> rule (in which pain and suffering damages equaled three times a plaintiff</w:t>
      </w:r>
      <w:r w:rsidR="00B05F31">
        <w:rPr>
          <w:lang w:eastAsia="en-US"/>
        </w:rPr>
        <w:t>’</w:t>
      </w:r>
      <w:r w:rsidRPr="750671CE">
        <w:rPr>
          <w:lang w:eastAsia="en-US"/>
        </w:rPr>
        <w:t>s economic damages) governed in some jurisdictions and among some adjusters and lawyers. Elsewhere, plaintiffs</w:t>
      </w:r>
      <w:r w:rsidR="00B05F31">
        <w:rPr>
          <w:lang w:eastAsia="en-US"/>
        </w:rPr>
        <w:t>’</w:t>
      </w:r>
      <w:r w:rsidRPr="750671CE">
        <w:rPr>
          <w:lang w:eastAsia="en-US"/>
        </w:rPr>
        <w:t xml:space="preserve"> lawyers followed the complex </w:t>
      </w:r>
      <w:r w:rsidR="00B05F31">
        <w:rPr>
          <w:lang w:eastAsia="en-US"/>
        </w:rPr>
        <w:t>“</w:t>
      </w:r>
      <w:r w:rsidRPr="750671CE">
        <w:rPr>
          <w:lang w:eastAsia="en-US"/>
        </w:rPr>
        <w:t>Sindell Formula,</w:t>
      </w:r>
      <w:r w:rsidR="00B05F31">
        <w:rPr>
          <w:lang w:eastAsia="en-US"/>
        </w:rPr>
        <w:t>”</w:t>
      </w:r>
      <w:r w:rsidRPr="750671CE">
        <w:rPr>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the relevant area. . . .</w:t>
      </w:r>
    </w:p>
    <w:p w14:paraId="66B5F13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CF4A8E5" w14:textId="29B69D1A"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John Fabian Witt, Patriots and Cosmopolitans: Hidden Histories of American Law</w:t>
      </w:r>
      <w:r w:rsidRPr="750671CE">
        <w:rPr>
          <w:rFonts w:ascii="Times New Roman" w:eastAsia="Times New Roman" w:hAnsi="Times New Roman" w:cs="Times New Roman"/>
          <w:lang w:eastAsia="en-US"/>
        </w:rPr>
        <w:t xml:space="preserve"> (2007).  Belli</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three-volume compilation, </w:t>
      </w:r>
      <w:r w:rsidRPr="750671CE">
        <w:rPr>
          <w:rFonts w:ascii="Times New Roman" w:eastAsia="Times New Roman" w:hAnsi="Times New Roman" w:cs="Times New Roman"/>
          <w:i/>
          <w:iCs/>
          <w:lang w:eastAsia="en-US"/>
        </w:rPr>
        <w:t>Modern Damages</w:t>
      </w:r>
      <w:r w:rsidRPr="750671CE">
        <w:rPr>
          <w:rFonts w:ascii="Times New Roman" w:eastAsia="Times New Roman" w:hAnsi="Times New Roman" w:cs="Times New Roman"/>
          <w:lang w:eastAsia="en-US"/>
        </w:rPr>
        <w:t>, collected damages awards and settlement values for every conceivable kind of injury.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called it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Golconda of information, comparable to Bowditch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Practical Navigator,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 veritable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vade mecum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Belli provided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with the same kinds of settlement value information that their insurance company counterparts had long enjoyed.  In the process,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grew to be able to compete with their defense counterparts like never before. </w:t>
      </w:r>
    </w:p>
    <w:p w14:paraId="01003D1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133BA54" w14:textId="46DBBDC0"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Of course, trial lawyers alone did not transform pain and suffering damages.  A long history of institutional transformations and changes in public attitudes lay the groundwork for the trial lawyers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successes:</w:t>
      </w:r>
    </w:p>
    <w:p w14:paraId="387FD36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ADCEB52" w14:textId="073D16E9" w:rsidR="00C85B70" w:rsidRPr="00C85B70" w:rsidRDefault="750671CE" w:rsidP="00F94B7E">
      <w:pPr>
        <w:pStyle w:val="blockquote"/>
        <w:rPr>
          <w:lang w:eastAsia="en-US"/>
        </w:rPr>
      </w:pPr>
      <w:r w:rsidRPr="750671CE">
        <w:rPr>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Pr>
          <w:lang w:eastAsia="en-US"/>
        </w:rPr>
        <w:t>’</w:t>
      </w:r>
      <w:r w:rsidRPr="750671CE">
        <w:rPr>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C85B70" w:rsidRDefault="00C85B70" w:rsidP="00F94B7E">
      <w:pPr>
        <w:pStyle w:val="blockquote"/>
        <w:rPr>
          <w:lang w:eastAsia="en-US"/>
        </w:rPr>
      </w:pPr>
    </w:p>
    <w:p w14:paraId="2F646619" w14:textId="1CDE6649" w:rsidR="00C85B70" w:rsidRPr="00C85B70" w:rsidRDefault="00C85B70" w:rsidP="00F94B7E">
      <w:pPr>
        <w:pStyle w:val="blockquote"/>
        <w:rPr>
          <w:lang w:eastAsia="en-US"/>
        </w:rPr>
      </w:pPr>
      <w:r w:rsidRPr="00C85B70">
        <w:rPr>
          <w:lang w:eastAsia="en-US"/>
        </w:rPr>
        <w:t>Across the middle two-thirds of the twentieth century, however, interest groups from at least two sides eroded the value of the rationalizing reforms. On one side, employers</w:t>
      </w:r>
      <w:r w:rsidR="00B05F31">
        <w:rPr>
          <w:lang w:eastAsia="en-US"/>
        </w:rPr>
        <w:t>’</w:t>
      </w:r>
      <w:r w:rsidRPr="00C85B70">
        <w:rPr>
          <w:lang w:eastAsia="en-US"/>
        </w:rPr>
        <w:t xml:space="preserve"> lobbies systematically destroyed the value of workmen</w:t>
      </w:r>
      <w:r w:rsidR="00B05F31">
        <w:rPr>
          <w:lang w:eastAsia="en-US"/>
        </w:rPr>
        <w:t>’</w:t>
      </w:r>
      <w:r w:rsidRPr="00C85B70">
        <w:rPr>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C85B70" w:rsidRDefault="00C85B70" w:rsidP="00F94B7E">
      <w:pPr>
        <w:pStyle w:val="blockquote"/>
        <w:rPr>
          <w:lang w:eastAsia="en-US"/>
        </w:rPr>
      </w:pPr>
    </w:p>
    <w:p w14:paraId="569035E7" w14:textId="72911359" w:rsidR="00C85B70" w:rsidRPr="00C85B70" w:rsidRDefault="00C85B70" w:rsidP="00F94B7E">
      <w:pPr>
        <w:pStyle w:val="blockquote"/>
        <w:rPr>
          <w:lang w:eastAsia="en-US"/>
        </w:rPr>
      </w:pPr>
      <w:r w:rsidRPr="00C85B70">
        <w:rPr>
          <w:lang w:eastAsia="en-US"/>
        </w:rPr>
        <w:t>From the other side</w:t>
      </w:r>
      <w:r w:rsidR="0025760C" w:rsidRPr="0025760C">
        <w:rPr>
          <w:lang w:eastAsia="en-US"/>
        </w:rPr>
        <w:t>—</w:t>
      </w:r>
      <w:r w:rsidRPr="00C85B70">
        <w:rPr>
          <w:lang w:eastAsia="en-US"/>
        </w:rPr>
        <w:t>and often at precisely the same time</w:t>
      </w:r>
      <w:r w:rsidR="0025760C" w:rsidRPr="0025760C">
        <w:rPr>
          <w:lang w:eastAsia="en-US"/>
        </w:rPr>
        <w:t>—</w:t>
      </w:r>
      <w:r w:rsidRPr="00C85B70">
        <w:rPr>
          <w:lang w:eastAsia="en-US"/>
        </w:rPr>
        <w:t>trial lawyers worked to rehabilitate the common law and the courts in the modern state and to increase tort liability by leaps and bounds.</w:t>
      </w:r>
    </w:p>
    <w:p w14:paraId="7570D5D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4C809F9" w14:textId="62886264" w:rsidR="00C85B70" w:rsidRPr="00C85B70" w:rsidRDefault="005F233A" w:rsidP="750671CE">
      <w:pPr>
        <w:autoSpaceDE w:val="0"/>
        <w:autoSpaceDN w:val="0"/>
        <w:adjustRightInd w:val="0"/>
        <w:contextualSpacing/>
        <w:rPr>
          <w:rFonts w:ascii="Times New Roman" w:eastAsia="Times New Roman" w:hAnsi="Times New Roman" w:cs="Times New Roman"/>
          <w:lang w:eastAsia="en-US"/>
        </w:rPr>
      </w:pPr>
      <w:r w:rsidRPr="005F233A">
        <w:rPr>
          <w:rFonts w:ascii="Times New Roman" w:eastAsia="Times New Roman" w:hAnsi="Times New Roman" w:cs="Times New Roman"/>
          <w:lang w:eastAsia="en-US"/>
        </w:rPr>
        <w:t>Witt</w:t>
      </w:r>
      <w:r w:rsidR="750671CE" w:rsidRPr="005F233A">
        <w:rPr>
          <w:rFonts w:ascii="Times New Roman" w:eastAsia="Times New Roman" w:hAnsi="Times New Roman" w:cs="Times New Roman"/>
          <w:lang w:eastAsia="en-US"/>
        </w:rPr>
        <w:t xml:space="preserve">, </w:t>
      </w:r>
      <w:r w:rsidR="750671CE" w:rsidRPr="005F233A">
        <w:rPr>
          <w:rFonts w:ascii="Times New Roman" w:eastAsia="Times New Roman" w:hAnsi="Times New Roman" w:cs="Times New Roman"/>
          <w:i/>
          <w:iCs/>
          <w:lang w:eastAsia="en-US"/>
        </w:rPr>
        <w:t>Political Economy of Pain</w:t>
      </w:r>
      <w:r w:rsidR="00121DBE">
        <w:rPr>
          <w:rFonts w:ascii="Times New Roman" w:eastAsia="Times New Roman" w:hAnsi="Times New Roman" w:cs="Times New Roman"/>
          <w:iCs/>
          <w:lang w:eastAsia="en-US"/>
        </w:rPr>
        <w:t xml:space="preserve">, </w:t>
      </w:r>
      <w:r w:rsidR="00121DBE">
        <w:rPr>
          <w:rFonts w:ascii="Times New Roman" w:eastAsia="Times New Roman" w:hAnsi="Times New Roman" w:cs="Times New Roman"/>
          <w:i/>
          <w:iCs/>
          <w:lang w:eastAsia="en-US"/>
        </w:rPr>
        <w:t>supra</w:t>
      </w:r>
      <w:r w:rsidR="750671CE" w:rsidRPr="750671CE">
        <w:rPr>
          <w:rFonts w:ascii="Times New Roman" w:eastAsia="Times New Roman" w:hAnsi="Times New Roman" w:cs="Times New Roman"/>
          <w:lang w:eastAsia="en-US"/>
        </w:rPr>
        <w:t>.  Reforms such as workers</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compensation statutes and social security seem to have fostered a new way of thinking about harms and injuries that legal scholar Lawrence Friedman has memorably called </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total justice</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a social sentiment that the legal system ought to annul injuries.  </w:t>
      </w:r>
      <w:r w:rsidR="750671CE" w:rsidRPr="750671CE">
        <w:rPr>
          <w:rFonts w:ascii="Times New Roman" w:eastAsia="Times New Roman" w:hAnsi="Times New Roman" w:cs="Times New Roman"/>
          <w:smallCaps/>
          <w:lang w:eastAsia="en-US"/>
        </w:rPr>
        <w:t>Lawrence M. Friedman, Total Justice</w:t>
      </w:r>
      <w:r w:rsidR="750671CE" w:rsidRPr="750671CE">
        <w:rPr>
          <w:rFonts w:ascii="Times New Roman" w:eastAsia="Times New Roman" w:hAnsi="Times New Roman" w:cs="Times New Roman"/>
          <w:lang w:eastAsia="en-US"/>
        </w:rPr>
        <w:t xml:space="preserve"> (1994).  These social sentiments, in turn, allowed plaintiffs</w:t>
      </w:r>
      <w:r w:rsidR="00B05F31">
        <w:rPr>
          <w:rFonts w:ascii="Times New Roman" w:eastAsia="Times New Roman" w:hAnsi="Times New Roman" w:cs="Times New Roman"/>
          <w:lang w:eastAsia="en-US"/>
        </w:rPr>
        <w:t>’</w:t>
      </w:r>
      <w:r w:rsidR="750671CE" w:rsidRPr="750671CE">
        <w:rPr>
          <w:rFonts w:ascii="Times New Roman" w:eastAsia="Times New Roman" w:hAnsi="Times New Roman" w:cs="Times New Roman"/>
          <w:lang w:eastAsia="en-US"/>
        </w:rPr>
        <w:t xml:space="preserve"> lawyers to transform pain and suffering from a sleepy corner of the law into one of the most hotly controversial areas of American legal practice.</w:t>
      </w:r>
    </w:p>
    <w:p w14:paraId="093354E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4D72A45" w14:textId="25337E41" w:rsidR="009C5ADC"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efforts of the tort reform movement later on in this section.  But for now, consider the following case, which came after the rise of modern pain and suffering damages was largely complete:</w:t>
      </w:r>
    </w:p>
    <w:p w14:paraId="67719DDB" w14:textId="77777777" w:rsidR="00C85B70" w:rsidRDefault="00C85B70" w:rsidP="00FB4315">
      <w:pPr>
        <w:autoSpaceDE w:val="0"/>
        <w:autoSpaceDN w:val="0"/>
        <w:adjustRightInd w:val="0"/>
        <w:contextualSpacing/>
        <w:rPr>
          <w:rFonts w:ascii="Times New Roman" w:eastAsia="Times New Roman" w:hAnsi="Times New Roman" w:cs="Times New Roman"/>
          <w:lang w:eastAsia="en-US"/>
        </w:rPr>
      </w:pPr>
    </w:p>
    <w:p w14:paraId="256F9A5D" w14:textId="77777777" w:rsidR="00FB4315" w:rsidRPr="00C85B70" w:rsidRDefault="00FB4315" w:rsidP="00FB4315">
      <w:pPr>
        <w:autoSpaceDE w:val="0"/>
        <w:autoSpaceDN w:val="0"/>
        <w:adjustRightInd w:val="0"/>
        <w:contextualSpacing/>
        <w:rPr>
          <w:rFonts w:ascii="Times New Roman" w:eastAsia="Times New Roman" w:hAnsi="Times New Roman" w:cs="Times New Roman"/>
          <w:lang w:eastAsia="en-US"/>
        </w:rPr>
      </w:pPr>
    </w:p>
    <w:p w14:paraId="023D502C" w14:textId="6569C320" w:rsidR="00C85B70" w:rsidRPr="00C85B70" w:rsidRDefault="00C85B70" w:rsidP="750671CE">
      <w:pPr>
        <w:autoSpaceDE w:val="0"/>
        <w:autoSpaceDN w:val="0"/>
        <w:adjustRightInd w:val="0"/>
        <w:contextualSpacing/>
        <w:rPr>
          <w:rFonts w:ascii="Times New Roman" w:eastAsia="Times New Roman" w:hAnsi="Times New Roman" w:cs="Times New Roman"/>
          <w:b/>
          <w:bCs/>
          <w:lang w:eastAsia="en-US"/>
        </w:rPr>
      </w:pPr>
      <w:bookmarkStart w:id="1089" w:name="_Toc518323583"/>
      <w:r w:rsidRPr="001B55CC">
        <w:rPr>
          <w:rStyle w:val="Heading4Char"/>
        </w:rPr>
        <w:t>McDougald v. Garber</w:t>
      </w:r>
      <w:bookmarkEnd w:id="1089"/>
      <w:r w:rsidR="001B55CC"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73 N.Y.2d 246 (1989)</w:t>
      </w:r>
    </w:p>
    <w:p w14:paraId="0539679A" w14:textId="77777777" w:rsidR="00C85B70" w:rsidRPr="00C85B70" w:rsidRDefault="00C85B70" w:rsidP="00C85B70">
      <w:pPr>
        <w:autoSpaceDE w:val="0"/>
        <w:autoSpaceDN w:val="0"/>
        <w:adjustRightInd w:val="0"/>
        <w:ind w:left="2160"/>
        <w:contextualSpacing/>
        <w:rPr>
          <w:rFonts w:ascii="Times New Roman" w:eastAsia="Times New Roman" w:hAnsi="Times New Roman" w:cs="Times New Roman"/>
          <w:lang w:eastAsia="en-US"/>
        </w:rPr>
      </w:pPr>
    </w:p>
    <w:p w14:paraId="06483A98" w14:textId="154B6C0A"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Wachtler</w:t>
      </w:r>
      <w:r w:rsidR="00051CC4">
        <w:rPr>
          <w:rFonts w:ascii="Times New Roman" w:eastAsia="Times New Roman" w:hAnsi="Times New Roman" w:cs="Times New Roman"/>
          <w:smallCaps/>
          <w:lang w:eastAsia="en-US"/>
        </w:rPr>
        <w:t>, C.J.</w:t>
      </w:r>
    </w:p>
    <w:p w14:paraId="1BFC93C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3BF1211"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7A5A04C"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5C88392" w14:textId="77777777"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w:t>
      </w:r>
    </w:p>
    <w:p w14:paraId="486C373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A8EA472" w14:textId="251C46BA"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acts of malpractice.</w:t>
      </w:r>
    </w:p>
    <w:p w14:paraId="76B6FB1D"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4D47B275" w14:textId="437F5AFB"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AB4ED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lost earnings and the cost of custodial and nursing care. . . .  [T]he Appellate Division affirmed and later granted defendants leave to appeal to this court.</w:t>
      </w:r>
    </w:p>
    <w:p w14:paraId="21DB8916" w14:textId="77777777" w:rsidR="00C85B70" w:rsidRPr="00C85B70" w:rsidRDefault="00C85B70" w:rsidP="00F94B7E">
      <w:pPr>
        <w:rPr>
          <w:rFonts w:ascii="Times New Roman" w:eastAsia="Times New Roman" w:hAnsi="Times New Roman" w:cs="Times New Roman"/>
          <w:lang w:eastAsia="en-US"/>
        </w:rPr>
      </w:pPr>
    </w:p>
    <w:p w14:paraId="7DC45D80" w14:textId="77777777"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w:t>
      </w:r>
    </w:p>
    <w:p w14:paraId="7143F06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66BB2C2" w14:textId="6615935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note at the outset that the defendants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liability for Emma McDougald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injuries is unchallenged here. . . .  What remains in dispute, primarily, is the award to Emma McDougald for nonpecuniary damages. At trial, defendants sought to show that Mrs. McDougald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cognitive abilities, if any, was sharply disputed.</w:t>
      </w:r>
    </w:p>
    <w:p w14:paraId="7CB58D9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070219" w14:textId="7CAFB909"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parties and the trial court agreed that Mrs. McDougald could not recover for pain and suffering unless she were conscious of the pain. Defendants maintained that such consciousness was also required to support an award for loss of enjoyment of life. The court, however, accepted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view that loss of enjoyment of life was compensable without regard to whether the plaintiff was aware of the loss. Accordingly, because the level of Mrs. McDougald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cognitive abilities was in dispute, the court instructed the jury to consider loss of enjoyment of life as an element of nonpecuniary damages separate from pain and suffering.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charge to the jury on these points was as follows:</w:t>
      </w:r>
    </w:p>
    <w:p w14:paraId="13E8644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55CDB67" w14:textId="77777777" w:rsidR="00C85B70" w:rsidRPr="00C85B70" w:rsidRDefault="750671CE" w:rsidP="00F94B7E">
      <w:pPr>
        <w:pStyle w:val="blockquote"/>
        <w:rPr>
          <w:lang w:eastAsia="en-US"/>
        </w:rPr>
      </w:pPr>
      <w:r w:rsidRPr="750671CE">
        <w:rPr>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C85B70" w:rsidRDefault="750671CE" w:rsidP="00F94B7E">
      <w:pPr>
        <w:pStyle w:val="blockquote"/>
        <w:rPr>
          <w:lang w:eastAsia="en-US"/>
        </w:rPr>
      </w:pPr>
      <w:r w:rsidRPr="750671CE">
        <w:rPr>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04D0521" w14:textId="234BEA90"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conclude that the court erred, both in instructing the jury that Mrs. McDougald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awareness was irrelevant to their consideration of damages for loss of enjoyment of life and in directing the jury to consider that aspect of damages separately from pain and suffering.</w:t>
      </w:r>
    </w:p>
    <w:p w14:paraId="75CA84E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5A4BF1" w14:textId="77777777"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III.</w:t>
      </w:r>
    </w:p>
    <w:p w14:paraId="2420404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44EDB02" w14:textId="67AD8339"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770667">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that is, those which have no compensatory purpose</w:t>
      </w:r>
      <w:r w:rsidR="00770667" w:rsidRPr="00770667">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are prohibited unless the harmful conduct is intentional, malicious, outrageous, or otherwise aggravated beyond mere negligence.</w:t>
      </w:r>
    </w:p>
    <w:p w14:paraId="60348ED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B583035" w14:textId="0690097D"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legal fiction that money damages can compensate for a victim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E8434E">
        <w:rPr>
          <w:rFonts w:ascii="Times New Roman" w:eastAsia="Times New Roman" w:hAnsi="Times New Roman" w:cs="Times New Roman"/>
          <w:lang w:eastAsia="en-US"/>
        </w:rPr>
        <w:t>. .</w:t>
      </w:r>
      <w:r w:rsidR="00770667">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We accept this fiction, knowing that although money will neither ease the pain nor restore the victim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613E4F3F"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036EF4F" w14:textId="52345975"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Simply put, an award of money damages in such circumstances has no meaning or utility to the injured person. An award for the loss of enjoyment of life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cannot provide [such a victim] with any consolation or ease any burden resting on him </w:t>
      </w:r>
      <w:r w:rsidR="00F545F7">
        <w:rPr>
          <w:rFonts w:ascii="Times New Roman" w:eastAsia="Times New Roman" w:hAnsi="Times New Roman" w:cs="Times New Roman"/>
          <w:lang w:eastAsia="en-US"/>
        </w:rPr>
        <w:t xml:space="preserve">. . . </w:t>
      </w:r>
      <w:r w:rsidR="00C5290C">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He cannot spend it upon necessities or pleasures. He cannot experience the pleasure of giving it away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Flannery v. United States</w:t>
      </w:r>
      <w:r w:rsidRPr="750671CE">
        <w:rPr>
          <w:rFonts w:ascii="Times New Roman" w:eastAsia="Times New Roman" w:hAnsi="Times New Roman" w:cs="Times New Roman"/>
          <w:lang w:eastAsia="en-US"/>
        </w:rPr>
        <w:t>, 4</w:t>
      </w:r>
      <w:r w:rsidR="00F545F7">
        <w:rPr>
          <w:rFonts w:ascii="Times New Roman" w:eastAsia="Times New Roman" w:hAnsi="Times New Roman" w:cs="Times New Roman"/>
          <w:lang w:eastAsia="en-US"/>
        </w:rPr>
        <w:t>th</w:t>
      </w:r>
      <w:r w:rsidRPr="750671CE">
        <w:rPr>
          <w:rFonts w:ascii="Times New Roman" w:eastAsia="Times New Roman" w:hAnsi="Times New Roman" w:cs="Times New Roman"/>
          <w:lang w:eastAsia="en-US"/>
        </w:rPr>
        <w:t xml:space="preserve"> Cir. 718 F.2d 108, 111).</w:t>
      </w:r>
    </w:p>
    <w:p w14:paraId="33EB838D" w14:textId="4CD7423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We recognize that, as the trial court noted, requiring some cognitive awareness as a prerequisite to recovery for loss of enjoyment of life will result in some cases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 the paradoxical situation that the greater the degree of brain injury inflicted by a negligent defendant, the smaller the award the plaintiff can recover in general damages</w:t>
      </w:r>
      <w:r w:rsidR="00F545F7">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force of this argument, however</w:t>
      </w:r>
      <w:r w:rsidR="00F545F7" w:rsidRPr="00F545F7">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temptation to achieve a balance between injury and damages</w:t>
      </w:r>
      <w:r w:rsidR="00F545F7" w:rsidRPr="00F545F7">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3303723" w14:textId="2122B3E3"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some level of awareness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order for plaintiff to recover. We think 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Default="001B55CC" w:rsidP="00C85B70">
      <w:pPr>
        <w:autoSpaceDE w:val="0"/>
        <w:autoSpaceDN w:val="0"/>
        <w:adjustRightInd w:val="0"/>
        <w:contextualSpacing/>
        <w:rPr>
          <w:rFonts w:ascii="Times New Roman" w:eastAsia="Times New Roman" w:hAnsi="Times New Roman" w:cs="Times New Roman"/>
          <w:lang w:eastAsia="en-US"/>
        </w:rPr>
      </w:pPr>
    </w:p>
    <w:p w14:paraId="250565E1" w14:textId="0DC3A797" w:rsidR="00C85B70" w:rsidRPr="00C85B70"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turn next to the question whether loss of enjoyment of life should be considered a category of damages separate from pain and suffering</w:t>
      </w:r>
      <w:r w:rsidR="00945FB9">
        <w:rPr>
          <w:rFonts w:ascii="Times New Roman" w:eastAsia="Times New Roman" w:hAnsi="Times New Roman" w:cs="Times New Roman"/>
          <w:lang w:eastAsia="en-US"/>
        </w:rPr>
        <w:t>.</w:t>
      </w:r>
    </w:p>
    <w:p w14:paraId="5B221F0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70E76BD" w14:textId="77777777"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IV.</w:t>
      </w:r>
    </w:p>
    <w:p w14:paraId="10EE06E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68BA862" w14:textId="68CA261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There is no dispute here that the fact finder may, in assessing nonpecuniary damages, consider the effect of the injuries on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capacity to lead a normal life.  Traditionally, in this State and elsewhere, this aspect of suffering has not been treated as a separate category of damages; instead,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inability to enjoy life to its fullest has been considered one type of suffering to be factored into a general award for nonpecuniary damages, commonly known as pain and suffering.</w:t>
      </w:r>
    </w:p>
    <w:p w14:paraId="06C770A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C38665E" w14:textId="11839835"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E8434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Loss of Enjoyment of Life, 34 ALR4th 293; Comment, Loss of Enjoyment of Life as a Separate Element of Damages, 12 Pac LJ 965 [1981]; Hermes, </w:t>
      </w:r>
      <w:r w:rsidRPr="00F94B7E">
        <w:rPr>
          <w:rFonts w:ascii="Times New Roman" w:eastAsia="Times New Roman" w:hAnsi="Times New Roman" w:cs="Times New Roman"/>
          <w:i/>
          <w:lang w:eastAsia="en-US"/>
        </w:rPr>
        <w:t>Loss of Enjoyment of Life</w:t>
      </w:r>
      <w:r w:rsidR="00E8434E" w:rsidRPr="00F94B7E">
        <w:rPr>
          <w:rFonts w:ascii="Times New Roman" w:eastAsia="Times New Roman" w:hAnsi="Times New Roman" w:cs="Times New Roman"/>
          <w:i/>
          <w:lang w:eastAsia="en-US"/>
        </w:rPr>
        <w:t>—</w:t>
      </w:r>
      <w:r w:rsidRPr="00F94B7E">
        <w:rPr>
          <w:rFonts w:ascii="Times New Roman" w:eastAsia="Times New Roman" w:hAnsi="Times New Roman" w:cs="Times New Roman"/>
          <w:i/>
          <w:lang w:eastAsia="en-US"/>
        </w:rPr>
        <w:t>Duplication of Damages Versus Full Compensation</w:t>
      </w:r>
      <w:r w:rsidRPr="750671CE">
        <w:rPr>
          <w:rFonts w:ascii="Times New Roman" w:eastAsia="Times New Roman" w:hAnsi="Times New Roman" w:cs="Times New Roman"/>
          <w:lang w:eastAsia="en-US"/>
        </w:rPr>
        <w:t>, 63 North Dakota L Rev 561 [1987]).</w:t>
      </w:r>
    </w:p>
    <w:p w14:paraId="0ABBFF7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94521FE"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Some courts have resisted the effort, primarily on the ground that duplicative and therefore excessive awards would result.  Other courts have allowed separate awards, noting 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FC41D98" w14:textId="51290800"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this State, the only appellate decisions to address the question are the decision of the Appellate Division, First Department, now under review (135 AD2d 80, </w:t>
      </w:r>
      <w:r w:rsidRPr="00F94B7E">
        <w:rPr>
          <w:rFonts w:ascii="Times New Roman" w:eastAsia="Times New Roman" w:hAnsi="Times New Roman" w:cs="Times New Roman"/>
          <w:i/>
          <w:lang w:eastAsia="en-US"/>
        </w:rPr>
        <w:t>supra</w:t>
      </w:r>
      <w:r w:rsidRPr="750671CE">
        <w:rPr>
          <w:rFonts w:ascii="Times New Roman" w:eastAsia="Times New Roman" w:hAnsi="Times New Roman" w:cs="Times New Roman"/>
          <w:lang w:eastAsia="en-US"/>
        </w:rPr>
        <w:t xml:space="preserve">), and the decision of the Second Department in </w:t>
      </w:r>
      <w:r w:rsidRPr="00F94B7E">
        <w:rPr>
          <w:rFonts w:ascii="Times New Roman" w:eastAsia="Times New Roman" w:hAnsi="Times New Roman" w:cs="Times New Roman"/>
          <w:i/>
          <w:lang w:eastAsia="en-US"/>
        </w:rPr>
        <w:t>Nussbaum v Gibstein</w:t>
      </w:r>
      <w:r w:rsidRPr="750671CE">
        <w:rPr>
          <w:rFonts w:ascii="Times New Roman" w:eastAsia="Times New Roman" w:hAnsi="Times New Roman" w:cs="Times New Roman"/>
          <w:lang w:eastAsia="en-US"/>
        </w:rPr>
        <w:t xml:space="preserve"> (138 AD2d 193, </w:t>
      </w:r>
      <w:r w:rsidRPr="00F94B7E">
        <w:rPr>
          <w:rFonts w:ascii="Times New Roman" w:eastAsia="Times New Roman" w:hAnsi="Times New Roman" w:cs="Times New Roman"/>
          <w:i/>
          <w:lang w:eastAsia="en-US"/>
        </w:rPr>
        <w:t>revd</w:t>
      </w:r>
      <w:r w:rsidRPr="750671CE">
        <w:rPr>
          <w:rFonts w:ascii="Times New Roman" w:eastAsia="Times New Roman" w:hAnsi="Times New Roman" w:cs="Times New Roman"/>
          <w:lang w:eastAsia="en-US"/>
        </w:rPr>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2DF1E5B" w14:textId="2E24DA6B"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We do not dispute that distinctions can be found or created between the concepts of pain and suffering and loss of enjoyment of life. If the term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suffering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is limited to the emotional response to the sensation of pain, then the emotional response caused by the limitation of life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activities may be considered qualitatively different (see, Comment, </w:t>
      </w:r>
      <w:r w:rsidRPr="00F94B7E">
        <w:rPr>
          <w:rFonts w:ascii="Times New Roman" w:eastAsia="Times New Roman" w:hAnsi="Times New Roman" w:cs="Times New Roman"/>
          <w:i/>
          <w:lang w:eastAsia="en-US"/>
        </w:rPr>
        <w:t>Loss of Enjoyment of Life as a Separate Element of Damages</w:t>
      </w:r>
      <w:r w:rsidRPr="750671CE">
        <w:rPr>
          <w:rFonts w:ascii="Times New Roman" w:eastAsia="Times New Roman" w:hAnsi="Times New Roman" w:cs="Times New Roman"/>
          <w:lang w:eastAsia="en-US"/>
        </w:rPr>
        <w:t>, 12 Pac LJ 965, 969-973). But suffering need not be so limited</w:t>
      </w:r>
      <w:r w:rsidR="00E8434E" w:rsidRPr="00E8434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F76AFA1"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2F38727" w14:textId="77777777"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BC208B" w14:textId="0630C2BA"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Thus, we are not persuaded that any salutary purpose would be served by having the jury make separate awards for pain and suffering and loss of enjoyment of life. We are confident, furthermore, that the trial advocate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art is a sufficient guarantee that none of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losses will be ignored by the jury.</w:t>
      </w:r>
    </w:p>
    <w:p w14:paraId="0B311764" w14:textId="166B6AB1" w:rsidR="00C85B70" w:rsidRPr="00C85B70" w:rsidRDefault="00C85B70" w:rsidP="750671CE">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The errors in the instructions given to the jury require a new trial on the issue of nonpecuniary damages to be awarded to plaintiff Emma McDougald. Defendants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remaining contentions are either without merit, beyond the scope of our review or are rendered academic by our disposition of the case.</w:t>
      </w:r>
      <w:r w:rsidRPr="00C85B70">
        <w:rPr>
          <w:rFonts w:ascii="Times New Roman" w:eastAsia="Times New Roman" w:hAnsi="Times New Roman" w:cs="Times New Roman"/>
          <w:vertAlign w:val="superscript"/>
          <w:lang w:eastAsia="en-US"/>
        </w:rPr>
        <w:footnoteReference w:customMarkFollows="1" w:id="40"/>
        <w:t>*</w:t>
      </w:r>
    </w:p>
    <w:p w14:paraId="755B01E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8B8F95D" w14:textId="6E660893" w:rsidR="005450F3" w:rsidRDefault="750671CE" w:rsidP="00F94B7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Accordingly, the order of the Appellate Division, insofar as appealed from, should be modified, with costs to defendants, by granting a new trial on the issue of nonpecuniary damages of plaintiff Emma McDougald, and as so modified, affirmed.</w:t>
      </w:r>
    </w:p>
    <w:p w14:paraId="3581641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B434FDB" w14:textId="2C586863"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Titone</w:t>
      </w:r>
      <w:r w:rsidRPr="750671CE">
        <w:rPr>
          <w:rFonts w:ascii="Times New Roman" w:eastAsia="Times New Roman" w:hAnsi="Times New Roman" w:cs="Times New Roman"/>
          <w:lang w:eastAsia="en-US"/>
        </w:rPr>
        <w:t>, J.</w:t>
      </w:r>
      <w:r w:rsidR="00FF55AD">
        <w:rPr>
          <w:rFonts w:ascii="Times New Roman" w:eastAsia="Times New Roman" w:hAnsi="Times New Roman" w:cs="Times New Roman"/>
          <w:lang w:eastAsia="en-US"/>
        </w:rPr>
        <w:t>,</w:t>
      </w:r>
      <w:r w:rsidR="009C5ADC">
        <w:rPr>
          <w:rFonts w:ascii="Times New Roman" w:eastAsia="Times New Roman" w:hAnsi="Times New Roman" w:cs="Times New Roman"/>
          <w:lang w:eastAsia="en-US"/>
        </w:rPr>
        <w:t xml:space="preserve"> d</w:t>
      </w:r>
      <w:r w:rsidR="00FF55AD">
        <w:rPr>
          <w:rFonts w:ascii="Times New Roman" w:eastAsia="Times New Roman" w:hAnsi="Times New Roman" w:cs="Times New Roman"/>
          <w:lang w:eastAsia="en-US"/>
        </w:rPr>
        <w:t>issenting</w:t>
      </w:r>
    </w:p>
    <w:p w14:paraId="605B740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F7FFB5A" w14:textId="10C1D375"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 I can find no fault with the trial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instruction authorizing separate awards and permitting an award for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loss of enjoyment of life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even in the absence of any awareness of that loss on the part of the injured plaintiff. Accordingly, I dissent.</w:t>
      </w:r>
    </w:p>
    <w:p w14:paraId="5BDA835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8EE4E31" w14:textId="1EC8F5A9"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It is elementary that the purpose of awarding tort damages is to compensate the wronged party for the actual loss he or she has sustained. Personal injury damages are awarded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restore the injured person to the state of health he had prior to his injuries because that is the only way the law knows how to recompense one for personal injuries suffered</w:t>
      </w:r>
      <w:r w:rsidR="009C5ADC">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Thus, this court has held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person responsible for the injury must respond for all damages resulting directly from and as a natural consequence of the wrongful act</w:t>
      </w:r>
      <w:r w:rsidR="009C5ADC">
        <w:rPr>
          <w:rFonts w:ascii="Times New Roman" w:eastAsia="Times New Roman" w:hAnsi="Times New Roman" w:cs="Times New Roman"/>
          <w:lang w:eastAsia="en-US"/>
        </w:rPr>
        <w:t>.</w:t>
      </w:r>
      <w:r w:rsidR="00B05F31">
        <w:rPr>
          <w:rFonts w:ascii="Times New Roman" w:eastAsia="Times New Roman" w:hAnsi="Times New Roman" w:cs="Times New Roman"/>
          <w:lang w:eastAsia="en-US"/>
        </w:rPr>
        <w:t>”</w:t>
      </w:r>
    </w:p>
    <w:p w14:paraId="193A8B9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60AC965" w14:textId="74239E4C"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capacity to enjoy life</w:t>
      </w:r>
      <w:r w:rsidR="00E8434E" w:rsidRPr="00E8434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by watching one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children grow, participating in recreational activities, and drinking in the many other pleasures that life has to offer</w:t>
      </w:r>
      <w:r w:rsidR="00E8434E" w:rsidRPr="00E8434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is unquestionably an attribute of an ordinary healthy individual. [T]he destruction of an individual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to restore the injured party, to the extent possible, to the position that would have been occupied had the wrong not occurred.</w:t>
      </w:r>
      <w:r w:rsidR="00B05F31">
        <w:rPr>
          <w:rFonts w:ascii="Times New Roman" w:eastAsia="Times New Roman" w:hAnsi="Times New Roman" w:cs="Times New Roman"/>
          <w:lang w:eastAsia="en-US"/>
        </w:rPr>
        <w:t>”</w:t>
      </w:r>
    </w:p>
    <w:p w14:paraId="16DD0CD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9429CB3" w14:textId="752AE50B" w:rsidR="00C85B70" w:rsidRPr="00C85B70" w:rsidRDefault="750671CE" w:rsidP="750671CE">
      <w:pPr>
        <w:autoSpaceDE w:val="0"/>
        <w:autoSpaceDN w:val="0"/>
        <w:adjustRightInd w:val="0"/>
        <w:ind w:firstLine="720"/>
        <w:contextualSpacing/>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Significantly, this equation does not suggest a need to establish the injured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awareness of the loss. The victim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ability to comprehend the degree to which his or her life has been impaired is irrelevant, since, unlike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conscious pain and suffering,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impairment exists independent of the victim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ability to apprehend it. </w:t>
      </w:r>
    </w:p>
    <w:p w14:paraId="4B825DE3" w14:textId="77777777" w:rsidR="00C85B70" w:rsidRPr="00C85B70" w:rsidRDefault="00C85B70" w:rsidP="00C85B70">
      <w:pPr>
        <w:autoSpaceDE w:val="0"/>
        <w:autoSpaceDN w:val="0"/>
        <w:adjustRightInd w:val="0"/>
        <w:ind w:left="2160"/>
        <w:contextualSpacing/>
        <w:rPr>
          <w:rFonts w:ascii="Times New Roman" w:eastAsia="Times New Roman" w:hAnsi="Times New Roman" w:cs="Times New Roman"/>
          <w:iCs/>
          <w:lang w:eastAsia="en-US"/>
        </w:rPr>
      </w:pPr>
    </w:p>
    <w:p w14:paraId="6358A5A7" w14:textId="097C8B36" w:rsidR="00051CC4" w:rsidRDefault="00051CC4">
      <w:pPr>
        <w:rPr>
          <w:rFonts w:ascii="Times New Roman" w:eastAsia="Times New Roman" w:hAnsi="Times New Roman" w:cs="Times New Roman"/>
          <w:iCs/>
          <w:lang w:eastAsia="en-US"/>
        </w:rPr>
      </w:pPr>
      <w:r>
        <w:rPr>
          <w:rFonts w:ascii="Times New Roman" w:eastAsia="Times New Roman" w:hAnsi="Times New Roman" w:cs="Times New Roman"/>
          <w:iCs/>
          <w:lang w:eastAsia="en-US"/>
        </w:rPr>
        <w:br w:type="page"/>
      </w:r>
    </w:p>
    <w:p w14:paraId="5AD7EFDA" w14:textId="77777777" w:rsidR="00C85B70" w:rsidRPr="00C85B70" w:rsidRDefault="00C85B70" w:rsidP="00910387">
      <w:pPr>
        <w:pStyle w:val="Heading5"/>
      </w:pPr>
      <w:bookmarkStart w:id="1090" w:name="_Toc364636298"/>
      <w:bookmarkStart w:id="1091" w:name="_Toc518323584"/>
      <w:r w:rsidRPr="00C85B70">
        <w:t>Notes</w:t>
      </w:r>
      <w:bookmarkEnd w:id="1090"/>
      <w:bookmarkEnd w:id="1091"/>
      <w:r w:rsidRPr="00C85B70">
        <w:t xml:space="preserve"> </w:t>
      </w:r>
    </w:p>
    <w:p w14:paraId="29196586" w14:textId="77777777" w:rsidR="00C85B70" w:rsidRDefault="00C85B70" w:rsidP="00C85B70">
      <w:pPr>
        <w:autoSpaceDE w:val="0"/>
        <w:autoSpaceDN w:val="0"/>
        <w:adjustRightInd w:val="0"/>
        <w:contextualSpacing/>
        <w:rPr>
          <w:rFonts w:ascii="Times New Roman" w:eastAsia="Times New Roman" w:hAnsi="Times New Roman" w:cs="Times New Roman"/>
          <w:lang w:eastAsia="en-US"/>
        </w:rPr>
      </w:pPr>
    </w:p>
    <w:p w14:paraId="5182C92B" w14:textId="77777777" w:rsidR="00945FB9" w:rsidRPr="00C85B70" w:rsidRDefault="00945FB9" w:rsidP="00C85B70">
      <w:pPr>
        <w:autoSpaceDE w:val="0"/>
        <w:autoSpaceDN w:val="0"/>
        <w:adjustRightInd w:val="0"/>
        <w:contextualSpacing/>
        <w:rPr>
          <w:rFonts w:ascii="Times New Roman" w:eastAsia="Times New Roman" w:hAnsi="Times New Roman" w:cs="Times New Roman"/>
          <w:lang w:eastAsia="en-US"/>
        </w:rPr>
      </w:pPr>
    </w:p>
    <w:p w14:paraId="4E588BAA" w14:textId="2D8A8AB5" w:rsidR="00C85B70" w:rsidRPr="00F94B7E" w:rsidRDefault="750671CE" w:rsidP="00F94B7E">
      <w:pPr>
        <w:pStyle w:val="ListParagraph"/>
        <w:numPr>
          <w:ilvl w:val="0"/>
          <w:numId w:val="127"/>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Damages reform legislation</w:t>
      </w:r>
      <w:r w:rsidRPr="00F94B7E">
        <w:rPr>
          <w:rFonts w:ascii="Times New Roman" w:eastAsia="Times New Roman" w:hAnsi="Times New Roman" w:cs="Times New Roman"/>
          <w:lang w:eastAsia="en-US"/>
        </w:rPr>
        <w:t>.  The same kind of skepticism of pain and suffering awards apparent in Judge Wachtler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F94B7E">
        <w:rPr>
          <w:rFonts w:ascii="Times New Roman" w:eastAsia="Times New Roman" w:hAnsi="Times New Roman" w:cs="Times New Roman"/>
          <w:lang w:eastAsia="en-US"/>
        </w:rPr>
        <w:t xml:space="preserve"> – </w:t>
      </w:r>
      <w:r w:rsidRPr="00F94B7E">
        <w:rPr>
          <w:rFonts w:ascii="Times New Roman" w:eastAsia="Times New Roman" w:hAnsi="Times New Roman" w:cs="Times New Roman"/>
          <w:lang w:eastAsia="en-US"/>
        </w:rPr>
        <w:t xml:space="preserve">$500,000, but occasionally running as high as $1 million. </w:t>
      </w:r>
    </w:p>
    <w:p w14:paraId="35F2C543"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3D866046" w14:textId="654D7EA6"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As hoped by their supporters, caps on non-economic damages seem to have reduced the number of lawsuits, the average size of awards in lawsuits, and insurance costs. </w:t>
      </w:r>
      <w:r w:rsidRPr="00F94B7E">
        <w:rPr>
          <w:rFonts w:ascii="Times New Roman" w:eastAsia="Times New Roman" w:hAnsi="Times New Roman" w:cs="Times New Roman"/>
          <w:smallCaps/>
          <w:lang w:eastAsia="en-US"/>
        </w:rPr>
        <w:t xml:space="preserve">Congressional Budget Office, The Effects of Tort Reform: Evidence from the States </w:t>
      </w:r>
      <w:r w:rsidRPr="750671CE">
        <w:rPr>
          <w:rFonts w:ascii="Times New Roman" w:eastAsia="Times New Roman" w:hAnsi="Times New Roman" w:cs="Times New Roman"/>
          <w:lang w:eastAsia="en-US"/>
        </w:rPr>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Catherine M. Sharkey, </w:t>
      </w:r>
      <w:r w:rsidRPr="750671CE">
        <w:rPr>
          <w:rFonts w:ascii="Times New Roman" w:eastAsia="Times New Roman" w:hAnsi="Times New Roman" w:cs="Times New Roman"/>
          <w:i/>
          <w:iCs/>
          <w:lang w:eastAsia="en-US"/>
        </w:rPr>
        <w:t>Unintended Consequences of Medical Malpractice Damages Caps</w:t>
      </w:r>
      <w:r w:rsidRPr="750671CE">
        <w:rPr>
          <w:rFonts w:ascii="Times New Roman" w:eastAsia="Times New Roman" w:hAnsi="Times New Roman" w:cs="Times New Roman"/>
          <w:lang w:eastAsia="en-US"/>
        </w:rPr>
        <w:t xml:space="preserve">, 80 </w:t>
      </w:r>
      <w:r w:rsidRPr="00F94B7E">
        <w:rPr>
          <w:rFonts w:ascii="Times New Roman" w:eastAsia="Times New Roman" w:hAnsi="Times New Roman" w:cs="Times New Roman"/>
          <w:smallCaps/>
          <w:lang w:eastAsia="en-US"/>
        </w:rPr>
        <w:t>N.Y.U. L. Rev</w:t>
      </w:r>
      <w:r w:rsidRPr="750671CE">
        <w:rPr>
          <w:rFonts w:ascii="Times New Roman" w:eastAsia="Times New Roman" w:hAnsi="Times New Roman" w:cs="Times New Roman"/>
          <w:lang w:eastAsia="en-US"/>
        </w:rPr>
        <w:t xml:space="preserve">. 391 (2005).  But studies that look beyond the courtroom find that the effect of damages caps legislation at the settlement stage is to decrease average settlement amounts. Ronen Avraham, </w:t>
      </w:r>
      <w:r w:rsidRPr="750671CE">
        <w:rPr>
          <w:rFonts w:ascii="Times New Roman" w:eastAsia="Times New Roman" w:hAnsi="Times New Roman" w:cs="Times New Roman"/>
          <w:i/>
          <w:iCs/>
          <w:lang w:eastAsia="en-US"/>
        </w:rPr>
        <w:t>An Empirical Study of the Impact of Tort Reforms on Medical Malpractice Settlement Payments</w:t>
      </w:r>
      <w:r w:rsidRPr="750671CE">
        <w:rPr>
          <w:rFonts w:ascii="Times New Roman" w:eastAsia="Times New Roman" w:hAnsi="Times New Roman" w:cs="Times New Roman"/>
          <w:lang w:eastAsia="en-US"/>
        </w:rPr>
        <w:t>, 36 J</w:t>
      </w:r>
      <w:r w:rsidRPr="00F94B7E">
        <w:rPr>
          <w:rFonts w:ascii="Times New Roman" w:eastAsia="Times New Roman" w:hAnsi="Times New Roman" w:cs="Times New Roman"/>
          <w:smallCaps/>
          <w:lang w:eastAsia="en-US"/>
        </w:rPr>
        <w:t>. Legal. Stud</w:t>
      </w:r>
      <w:r w:rsidRPr="750671CE">
        <w:rPr>
          <w:rFonts w:ascii="Times New Roman" w:eastAsia="Times New Roman" w:hAnsi="Times New Roman" w:cs="Times New Roman"/>
          <w:lang w:eastAsia="en-US"/>
        </w:rPr>
        <w:t>. 183 (2007). Such effects seem to be driven both by the reduced expectations of plaintiffs and by the decreased willingness of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to take on certain types of cases.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Stephen Daniels </w:t>
      </w:r>
      <w:r w:rsidR="0059238B">
        <w:rPr>
          <w:rFonts w:ascii="Times New Roman" w:eastAsia="Times New Roman" w:hAnsi="Times New Roman" w:cs="Times New Roman"/>
          <w:lang w:eastAsia="en-US"/>
        </w:rPr>
        <w:t>&amp;</w:t>
      </w:r>
      <w:r w:rsidR="0059238B"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Joanne Martin, </w:t>
      </w:r>
      <w:r w:rsidRPr="750671CE">
        <w:rPr>
          <w:rFonts w:ascii="Times New Roman" w:eastAsia="Times New Roman" w:hAnsi="Times New Roman" w:cs="Times New Roman"/>
          <w:i/>
          <w:iCs/>
          <w:lang w:eastAsia="en-US"/>
        </w:rPr>
        <w:t>The Texas Two-Step: Evidence on the Link Between Damages Caps and Access to the Civil Justice System</w:t>
      </w:r>
      <w:r w:rsidRPr="750671CE">
        <w:rPr>
          <w:rFonts w:ascii="Times New Roman" w:eastAsia="Times New Roman" w:hAnsi="Times New Roman" w:cs="Times New Roman"/>
          <w:lang w:eastAsia="en-US"/>
        </w:rPr>
        <w:t xml:space="preserve">, 55 </w:t>
      </w:r>
      <w:r w:rsidRPr="00F94B7E">
        <w:rPr>
          <w:rFonts w:ascii="Times New Roman" w:eastAsia="Times New Roman" w:hAnsi="Times New Roman" w:cs="Times New Roman"/>
          <w:smallCaps/>
          <w:lang w:eastAsia="en-US"/>
        </w:rPr>
        <w:t>DePaul L. Rev</w:t>
      </w:r>
      <w:r w:rsidRPr="750671CE">
        <w:rPr>
          <w:rFonts w:ascii="Times New Roman" w:eastAsia="Times New Roman" w:hAnsi="Times New Roman" w:cs="Times New Roman"/>
          <w:lang w:eastAsia="en-US"/>
        </w:rPr>
        <w:t xml:space="preserve">. 635 (2006). </w:t>
      </w:r>
    </w:p>
    <w:p w14:paraId="67283B76"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0D7E1C80" w14:textId="77777777" w:rsidR="00C85B70" w:rsidRPr="00C85B70" w:rsidRDefault="00C85B70"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w:t>
      </w:r>
      <w:r w:rsidRPr="00C85B70">
        <w:rPr>
          <w:rFonts w:ascii="Times New Roman" w:eastAsia="Times New Roman" w:hAnsi="Times New Roman" w:cs="Times New Roman"/>
          <w:bCs/>
          <w:lang w:eastAsia="en-US"/>
        </w:rPr>
        <w:tab/>
      </w:r>
      <w:r w:rsidRPr="750671CE">
        <w:rPr>
          <w:rFonts w:ascii="Times New Roman" w:eastAsia="Times New Roman" w:hAnsi="Times New Roman" w:cs="Times New Roman"/>
          <w:lang w:eastAsia="en-US"/>
        </w:rPr>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47B4C34D" w14:textId="77777777" w:rsidR="00C85B70" w:rsidRPr="00C85B70" w:rsidRDefault="00C85B70"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w:t>
      </w:r>
      <w:r w:rsidRPr="00C85B70">
        <w:rPr>
          <w:rFonts w:ascii="Times New Roman" w:eastAsia="Times New Roman" w:hAnsi="Times New Roman" w:cs="Times New Roman"/>
          <w:bCs/>
          <w:lang w:eastAsia="en-US"/>
        </w:rPr>
        <w:tab/>
      </w:r>
      <w:r w:rsidRPr="750671CE">
        <w:rPr>
          <w:rFonts w:ascii="Times New Roman" w:eastAsia="Times New Roman" w:hAnsi="Times New Roman" w:cs="Times New Roman"/>
          <w:lang w:eastAsia="en-US"/>
        </w:rPr>
        <w:t xml:space="preserve">And what kinds of injuries are most likely to be affected?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women, for example, or to people out of the workforce are especially likely to produce higher ratios of nonpecuniary to pecuniary losses.  Injuries to reproductive or sexual capacities, for example, may save their victims money in the long run.  But they may be devastating to the life plans of victims.  For an argument that nonpecuniary damages caps disproportionately affect women, children, and the elderly, because the types of harm these plaintiffs is suffer may be likely to be nonpecuniary and because the pecuniary damages they can get may be relatively lower, see Lucinda M. Finley, </w:t>
      </w:r>
      <w:r w:rsidRPr="750671CE">
        <w:rPr>
          <w:rFonts w:ascii="Times New Roman" w:eastAsia="Times New Roman" w:hAnsi="Times New Roman" w:cs="Times New Roman"/>
          <w:i/>
          <w:iCs/>
          <w:lang w:eastAsia="en-US"/>
        </w:rPr>
        <w:t>The Hidden Victims of Tort Reform: Women, Children, and the Elderly</w:t>
      </w:r>
      <w:r w:rsidRPr="750671CE">
        <w:rPr>
          <w:rFonts w:ascii="Times New Roman" w:eastAsia="Times New Roman" w:hAnsi="Times New Roman" w:cs="Times New Roman"/>
          <w:lang w:eastAsia="en-US"/>
        </w:rPr>
        <w:t xml:space="preserve">, 53 </w:t>
      </w:r>
      <w:r w:rsidRPr="00F94B7E">
        <w:rPr>
          <w:rFonts w:ascii="Times New Roman" w:eastAsia="Times New Roman" w:hAnsi="Times New Roman" w:cs="Times New Roman"/>
          <w:smallCaps/>
          <w:lang w:eastAsia="en-US"/>
        </w:rPr>
        <w:t>Emory L.J.</w:t>
      </w:r>
      <w:r w:rsidRPr="750671CE">
        <w:rPr>
          <w:rFonts w:ascii="Times New Roman" w:eastAsia="Times New Roman" w:hAnsi="Times New Roman" w:cs="Times New Roman"/>
          <w:lang w:eastAsia="en-US"/>
        </w:rPr>
        <w:t xml:space="preserve"> 1263 (2004).</w:t>
      </w:r>
    </w:p>
    <w:p w14:paraId="7CB54DB1"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52726EA5" w14:textId="586561E1" w:rsidR="00C85B70" w:rsidRPr="00C85B70" w:rsidRDefault="00C85B70"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w:t>
      </w:r>
      <w:r w:rsidRPr="00C85B70">
        <w:rPr>
          <w:rFonts w:ascii="Times New Roman" w:eastAsia="Times New Roman" w:hAnsi="Times New Roman" w:cs="Times New Roman"/>
          <w:bCs/>
          <w:lang w:eastAsia="en-US"/>
        </w:rPr>
        <w:tab/>
      </w:r>
      <w:r w:rsidRPr="750671CE">
        <w:rPr>
          <w:rFonts w:ascii="Times New Roman" w:eastAsia="Times New Roman" w:hAnsi="Times New Roman" w:cs="Times New Roman"/>
          <w:lang w:eastAsia="en-US"/>
        </w:rPr>
        <w:t>Is it sensible to think of pain and suffering damages as a way in which the inequities of the market</w:t>
      </w:r>
      <w:r w:rsidR="0059238B" w:rsidRPr="0059238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inequities that are reproduced by measures of pecuniary damages</w:t>
      </w:r>
      <w:r w:rsidR="0059238B" w:rsidRPr="0059238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may be rectified?  Note that one difficulty with this strategy is that it may reproduce its own kind of distributive injustice.  The kinds of charisma and attractiveness that may produce higher nonpecuniary awards are also not distributed fairly in society. </w:t>
      </w:r>
    </w:p>
    <w:p w14:paraId="0B0B86C9"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543E9480"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7FD3D746" w14:textId="4468ECD9" w:rsidR="00C85B70" w:rsidRPr="00F94B7E" w:rsidRDefault="750671CE" w:rsidP="00F94B7E">
      <w:pPr>
        <w:pStyle w:val="ListParagraph"/>
        <w:numPr>
          <w:ilvl w:val="0"/>
          <w:numId w:val="127"/>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Constitutionality of damages caps. </w:t>
      </w:r>
      <w:r w:rsidRPr="00F94B7E">
        <w:rPr>
          <w:rFonts w:ascii="Times New Roman" w:eastAsia="Times New Roman" w:hAnsi="Times New Roman" w:cs="Times New Roman"/>
          <w:lang w:eastAsia="en-US"/>
        </w:rPr>
        <w:t xml:space="preserve">In many states, plaintiffs have argued that damages caps violate provisions of the state constitutions. Challenges have attacked the damages caps on a kitchen sink of state constitutional grounds: state equal protection requirements, the right to a jury trial, separation of powers, bans on so-called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special legislation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1D0D9C39" w14:textId="42F3ADE9"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Courts have struck down damages caps in a number of cases.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Watts v. Lester E. Cox Medical Centers</w:t>
      </w:r>
      <w:r w:rsidRPr="750671CE">
        <w:rPr>
          <w:rFonts w:ascii="Times New Roman" w:eastAsia="Times New Roman" w:hAnsi="Times New Roman" w:cs="Times New Roman"/>
          <w:lang w:eastAsia="en-US"/>
        </w:rPr>
        <w:t xml:space="preserve">, 376 S.W.3d 633 (Mo. 2012) (holding that the statute capping noneconomic damages for medical negligence violates the right to a jury trial set forth in the Missouri Constitution); </w:t>
      </w:r>
      <w:r w:rsidRPr="750671CE">
        <w:rPr>
          <w:rFonts w:ascii="Times New Roman" w:eastAsia="Times New Roman" w:hAnsi="Times New Roman" w:cs="Times New Roman"/>
          <w:i/>
          <w:iCs/>
          <w:lang w:eastAsia="en-US"/>
        </w:rPr>
        <w:t>Estate of McCall v. U.S.</w:t>
      </w:r>
      <w:r w:rsidRPr="750671CE">
        <w:rPr>
          <w:rFonts w:ascii="Times New Roman" w:eastAsia="Times New Roman" w:hAnsi="Times New Roman" w:cs="Times New Roman"/>
          <w:lang w:eastAsia="en-US"/>
        </w:rPr>
        <w:t>, 134 So.3d 894 (Fla. 2014) (holding that Florida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statutory cap on wrongful death noneconomic damages violates the right to equal protection under State Constitution)</w:t>
      </w:r>
      <w:r w:rsidR="002C2F0D">
        <w:rPr>
          <w:rFonts w:ascii="Times New Roman" w:eastAsia="Times New Roman" w:hAnsi="Times New Roman" w:cs="Times New Roman"/>
          <w:lang w:eastAsia="en-US"/>
        </w:rPr>
        <w:t xml:space="preserve">; </w:t>
      </w:r>
      <w:r w:rsidR="002468B7">
        <w:rPr>
          <w:rFonts w:ascii="Times New Roman" w:eastAsia="Times New Roman" w:hAnsi="Times New Roman" w:cs="Times New Roman"/>
          <w:i/>
          <w:lang w:eastAsia="en-US"/>
        </w:rPr>
        <w:t>N. Broward Hospital District v. Kalitan</w:t>
      </w:r>
      <w:r w:rsidR="002468B7">
        <w:rPr>
          <w:rFonts w:ascii="Times New Roman" w:eastAsia="Times New Roman" w:hAnsi="Times New Roman" w:cs="Times New Roman"/>
          <w:lang w:eastAsia="en-US"/>
        </w:rPr>
        <w:t>, No. SC15-1858, 2017 WL 2481225 (Fla. June 8, 2017) (holding that Florida’s statutory cap on medical malpractice noneconomic damages violates the right to equal protection under State Constitution)</w:t>
      </w:r>
      <w:r w:rsidRPr="750671CE">
        <w:rPr>
          <w:rFonts w:ascii="Times New Roman" w:eastAsia="Times New Roman" w:hAnsi="Times New Roman" w:cs="Times New Roman"/>
          <w:lang w:eastAsia="en-US"/>
        </w:rPr>
        <w:t xml:space="preserve">. </w:t>
      </w:r>
    </w:p>
    <w:p w14:paraId="2E2EEEFB" w14:textId="77777777" w:rsidR="00C85B70" w:rsidRPr="00C85B70" w:rsidRDefault="00C85B70" w:rsidP="00C85B70">
      <w:pPr>
        <w:autoSpaceDE w:val="0"/>
        <w:autoSpaceDN w:val="0"/>
        <w:adjustRightInd w:val="0"/>
        <w:ind w:firstLine="720"/>
        <w:rPr>
          <w:rFonts w:ascii="Times New Roman" w:eastAsia="Times New Roman" w:hAnsi="Times New Roman" w:cs="Times New Roman"/>
          <w:bCs/>
          <w:lang w:eastAsia="en-US"/>
        </w:rPr>
      </w:pPr>
    </w:p>
    <w:p w14:paraId="5992D678" w14:textId="121A982C"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However, damages caps have been upheld (and the challenges rejected) more often than not.</w:t>
      </w:r>
      <w:r w:rsidRPr="750671CE">
        <w:rPr>
          <w:rFonts w:ascii="Times New Roman" w:eastAsia="Times New Roman" w:hAnsi="Times New Roman" w:cs="Times New Roman"/>
          <w:i/>
          <w:iCs/>
          <w:lang w:eastAsia="en-US"/>
        </w:rPr>
        <w:t xml:space="preserve"> See, e.g.</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Miller v. Johnson</w:t>
      </w:r>
      <w:r w:rsidRPr="750671CE">
        <w:rPr>
          <w:rFonts w:ascii="Times New Roman" w:eastAsia="Times New Roman" w:hAnsi="Times New Roman" w:cs="Times New Roman"/>
          <w:lang w:eastAsia="en-US"/>
        </w:rPr>
        <w:t>, 289 P.3d 1098 (Kan. 2012) (holding that the statutory cap of $250,000 on noneconomic damages in medical malpractice actions did not violate the right to a jury trial, the right to remedy, or the equal protection clause under State Constitution);</w:t>
      </w:r>
      <w:r w:rsidRPr="750671CE">
        <w:rPr>
          <w:rFonts w:ascii="Times New Roman" w:eastAsia="Times New Roman" w:hAnsi="Times New Roman" w:cs="Times New Roman"/>
          <w:i/>
          <w:iCs/>
          <w:lang w:eastAsia="en-US"/>
        </w:rPr>
        <w:t xml:space="preserve"> Robinson v. Charleston Area Med. Ctr., Inc.</w:t>
      </w:r>
      <w:r w:rsidRPr="750671CE">
        <w:rPr>
          <w:rFonts w:ascii="Times New Roman" w:eastAsia="Times New Roman" w:hAnsi="Times New Roman" w:cs="Times New Roman"/>
          <w:lang w:eastAsia="en-US"/>
        </w:rPr>
        <w:t>, 414 S.E.2d 877 (W. Va. 1991) (holding that the statutory cap on noneconomic damages in medical malpractice claims did not violate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equal protection or substantive due process rights or the right to remedy guaranteed by State Constitution). </w:t>
      </w:r>
    </w:p>
    <w:p w14:paraId="713A97C7"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6FDD937E" w14:textId="77777777" w:rsidR="00C85B70" w:rsidRPr="00C85B70" w:rsidRDefault="00C85B70" w:rsidP="00C85B70">
      <w:pPr>
        <w:autoSpaceDE w:val="0"/>
        <w:autoSpaceDN w:val="0"/>
        <w:adjustRightInd w:val="0"/>
        <w:rPr>
          <w:rFonts w:ascii="Times New Roman" w:eastAsia="Times New Roman" w:hAnsi="Times New Roman" w:cs="Times New Roman"/>
          <w:bCs/>
          <w:lang w:eastAsia="en-US"/>
        </w:rPr>
      </w:pPr>
    </w:p>
    <w:p w14:paraId="1D51E764" w14:textId="68117A4C" w:rsidR="00B6789E" w:rsidRPr="00C85B70" w:rsidRDefault="750671CE" w:rsidP="00F94B7E">
      <w:pPr>
        <w:pStyle w:val="ListParagraph"/>
        <w:numPr>
          <w:ilvl w:val="0"/>
          <w:numId w:val="127"/>
        </w:numPr>
        <w:ind w:left="0" w:firstLine="360"/>
        <w:rPr>
          <w:lang w:eastAsia="en-US"/>
        </w:rPr>
      </w:pPr>
      <w:r w:rsidRPr="00F94B7E">
        <w:rPr>
          <w:rFonts w:ascii="Times New Roman" w:eastAsia="Times New Roman" w:hAnsi="Times New Roman" w:cs="Times New Roman"/>
          <w:i/>
          <w:iCs/>
          <w:lang w:eastAsia="en-US"/>
        </w:rPr>
        <w:t xml:space="preserve">Schedules for </w:t>
      </w:r>
      <w:r w:rsidR="00BD43F6" w:rsidRPr="00F94B7E">
        <w:rPr>
          <w:rFonts w:ascii="Times New Roman" w:eastAsia="Times New Roman" w:hAnsi="Times New Roman" w:cs="Times New Roman"/>
          <w:i/>
          <w:iCs/>
          <w:lang w:eastAsia="en-US"/>
        </w:rPr>
        <w:t>p</w:t>
      </w:r>
      <w:r w:rsidRPr="00F94B7E">
        <w:rPr>
          <w:rFonts w:ascii="Times New Roman" w:eastAsia="Times New Roman" w:hAnsi="Times New Roman" w:cs="Times New Roman"/>
          <w:i/>
          <w:iCs/>
          <w:lang w:eastAsia="en-US"/>
        </w:rPr>
        <w:t xml:space="preserve">ain and </w:t>
      </w:r>
      <w:r w:rsidR="00BD43F6" w:rsidRPr="00F94B7E">
        <w:rPr>
          <w:rFonts w:ascii="Times New Roman" w:eastAsia="Times New Roman" w:hAnsi="Times New Roman" w:cs="Times New Roman"/>
          <w:i/>
          <w:iCs/>
          <w:lang w:eastAsia="en-US"/>
        </w:rPr>
        <w:t>s</w:t>
      </w:r>
      <w:r w:rsidRPr="00F94B7E">
        <w:rPr>
          <w:rFonts w:ascii="Times New Roman" w:eastAsia="Times New Roman" w:hAnsi="Times New Roman" w:cs="Times New Roman"/>
          <w:i/>
          <w:iCs/>
          <w:lang w:eastAsia="en-US"/>
        </w:rPr>
        <w:t>uffering</w:t>
      </w:r>
      <w:r w:rsidR="00BD43F6" w:rsidRPr="00F94B7E">
        <w:rPr>
          <w:rFonts w:ascii="Times New Roman" w:eastAsia="Times New Roman" w:hAnsi="Times New Roman" w:cs="Times New Roman"/>
          <w:i/>
          <w:iCs/>
          <w:lang w:eastAsia="en-US"/>
        </w:rPr>
        <w:t xml:space="preserve"> d</w:t>
      </w:r>
      <w:r w:rsidRPr="00F94B7E">
        <w:rPr>
          <w:rFonts w:ascii="Times New Roman" w:eastAsia="Times New Roman" w:hAnsi="Times New Roman" w:cs="Times New Roman"/>
          <w:i/>
          <w:iCs/>
          <w:lang w:eastAsia="en-US"/>
        </w:rPr>
        <w:t>amages</w:t>
      </w:r>
      <w:r w:rsidRPr="00F94B7E">
        <w:rPr>
          <w:rFonts w:ascii="Times New Roman" w:eastAsia="Times New Roman" w:hAnsi="Times New Roman" w:cs="Times New Roman"/>
          <w:lang w:eastAsia="en-US"/>
        </w:rPr>
        <w:t>? 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04C0098" w14:textId="2F4C1A5F" w:rsidR="00C85B70" w:rsidRDefault="750671CE" w:rsidP="00F94B7E">
      <w:pPr>
        <w:pStyle w:val="blockquote"/>
        <w:rPr>
          <w:lang w:eastAsia="en-US"/>
        </w:rPr>
      </w:pPr>
      <w:r w:rsidRPr="750671CE">
        <w:rPr>
          <w:lang w:eastAsia="en-US"/>
        </w:rPr>
        <w:t xml:space="preserve">[We propose] three alternative ways to </w:t>
      </w:r>
      <w:r w:rsidR="00B05F31">
        <w:rPr>
          <w:lang w:eastAsia="en-US"/>
        </w:rPr>
        <w:t>“</w:t>
      </w:r>
      <w:r w:rsidRPr="750671CE">
        <w:rPr>
          <w:lang w:eastAsia="en-US"/>
        </w:rPr>
        <w:t>schedule</w:t>
      </w:r>
      <w:r w:rsidR="00B05F31">
        <w:rPr>
          <w:lang w:eastAsia="en-US"/>
        </w:rPr>
        <w:t>”</w:t>
      </w:r>
      <w:r w:rsidRPr="750671CE">
        <w:rPr>
          <w:lang w:eastAsia="en-US"/>
        </w:rPr>
        <w:t xml:space="preserve"> amounts allowable for pain and suffering and other non-economic damages. Scheduling can provide rational standards</w:t>
      </w:r>
      <w:r w:rsidR="00FC5356" w:rsidRPr="00FC5356">
        <w:rPr>
          <w:lang w:eastAsia="en-US"/>
        </w:rPr>
        <w:t>—</w:t>
      </w:r>
      <w:r w:rsidRPr="750671CE">
        <w:rPr>
          <w:lang w:eastAsia="en-US"/>
        </w:rPr>
        <w:t>heretofore unavailable</w:t>
      </w:r>
      <w:r w:rsidR="00FC5356" w:rsidRPr="00FC5356">
        <w:rPr>
          <w:lang w:eastAsia="en-US"/>
        </w:rPr>
        <w:t>—</w:t>
      </w:r>
      <w:r w:rsidRPr="750671CE">
        <w:rPr>
          <w:lang w:eastAsia="en-US"/>
        </w:rPr>
        <w:t>for valuation, thus improving the tort system</w:t>
      </w:r>
      <w:r w:rsidR="00B05F31">
        <w:rPr>
          <w:lang w:eastAsia="en-US"/>
        </w:rPr>
        <w:t>’</w:t>
      </w:r>
      <w:r w:rsidRPr="750671CE">
        <w:rPr>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Pr>
          <w:lang w:eastAsia="en-US"/>
        </w:rPr>
        <w:t>’</w:t>
      </w:r>
      <w:r w:rsidRPr="750671CE">
        <w:rPr>
          <w:lang w:eastAsia="en-US"/>
        </w:rPr>
        <w:t xml:space="preserve">s judicial conference. Dollar values for the schedules could be based on past jury awards, or possibly on findings of the </w:t>
      </w:r>
      <w:r w:rsidR="00B05F31">
        <w:rPr>
          <w:lang w:eastAsia="en-US"/>
        </w:rPr>
        <w:t>“</w:t>
      </w:r>
      <w:r w:rsidRPr="750671CE">
        <w:rPr>
          <w:lang w:eastAsia="en-US"/>
        </w:rPr>
        <w:t>value of life</w:t>
      </w:r>
      <w:r w:rsidR="00B05F31">
        <w:rPr>
          <w:lang w:eastAsia="en-US"/>
        </w:rPr>
        <w:t>”</w:t>
      </w:r>
      <w:r w:rsidRPr="750671CE">
        <w:rPr>
          <w:lang w:eastAsia="en-US"/>
        </w:rPr>
        <w:t xml:space="preserve"> research, with legislative or judicial adjustments to either.</w:t>
      </w:r>
    </w:p>
    <w:p w14:paraId="59D0EE33" w14:textId="77777777" w:rsidR="00FC5356" w:rsidRPr="00C85B70" w:rsidRDefault="00FC5356" w:rsidP="00F94B7E">
      <w:pPr>
        <w:pStyle w:val="blockquote"/>
        <w:rPr>
          <w:lang w:eastAsia="en-US"/>
        </w:rPr>
      </w:pPr>
    </w:p>
    <w:p w14:paraId="6EBF893A" w14:textId="5151BC7B" w:rsidR="00C85B70" w:rsidRDefault="750671CE" w:rsidP="00F94B7E">
      <w:pPr>
        <w:pStyle w:val="blockquote"/>
        <w:rPr>
          <w:lang w:eastAsia="en-US"/>
        </w:rPr>
      </w:pPr>
      <w:r w:rsidRPr="750671CE">
        <w:rPr>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Pr>
          <w:lang w:eastAsia="en-US"/>
        </w:rPr>
        <w:t>’</w:t>
      </w:r>
      <w:r w:rsidRPr="750671CE">
        <w:rPr>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Pr>
          <w:lang w:eastAsia="en-US"/>
        </w:rPr>
        <w:t>“</w:t>
      </w:r>
      <w:r w:rsidRPr="750671CE">
        <w:rPr>
          <w:lang w:eastAsia="en-US"/>
        </w:rPr>
        <w:t>outliers.</w:t>
      </w:r>
      <w:r w:rsidR="00B05F31">
        <w:rPr>
          <w:lang w:eastAsia="en-US"/>
        </w:rPr>
        <w:t>”</w:t>
      </w:r>
      <w:r w:rsidRPr="750671CE">
        <w:rPr>
          <w:lang w:eastAsia="en-US"/>
        </w:rPr>
        <w:t xml:space="preserve"> The second proposal also gives juries systematic information on appropriate awards based on past experience. However, rather than a binding matrix of awards, it provides a small set of paradigmatic injury </w:t>
      </w:r>
      <w:r w:rsidR="00B05F31">
        <w:rPr>
          <w:lang w:eastAsia="en-US"/>
        </w:rPr>
        <w:t>“</w:t>
      </w:r>
      <w:r w:rsidRPr="750671CE">
        <w:rPr>
          <w:lang w:eastAsia="en-US"/>
        </w:rPr>
        <w:t>scenarios,</w:t>
      </w:r>
      <w:r w:rsidR="00B05F31">
        <w:rPr>
          <w:lang w:eastAsia="en-US"/>
        </w:rPr>
        <w:t>”</w:t>
      </w:r>
      <w:r w:rsidRPr="750671CE">
        <w:rPr>
          <w:lang w:eastAsia="en-US"/>
        </w:rPr>
        <w:t xml:space="preserve">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Pr>
          <w:lang w:eastAsia="en-US"/>
        </w:rPr>
        <w:t>’</w:t>
      </w:r>
      <w:r w:rsidRPr="750671CE">
        <w:rPr>
          <w:lang w:eastAsia="en-US"/>
        </w:rPr>
        <w:t>s dominant approach of placing a single arbitrary cap on all non-pecuniary awards with a system of flexible floors and ceilings that vary with injury severity and victim age. . . .</w:t>
      </w:r>
    </w:p>
    <w:p w14:paraId="73CEE634" w14:textId="77777777" w:rsidR="00FC5356" w:rsidRPr="00C85B70" w:rsidRDefault="00FC5356" w:rsidP="00F94B7E">
      <w:pPr>
        <w:pStyle w:val="blockquote"/>
        <w:rPr>
          <w:lang w:eastAsia="en-US"/>
        </w:rPr>
      </w:pPr>
    </w:p>
    <w:p w14:paraId="4500773F" w14:textId="77777777" w:rsidR="00C85B70" w:rsidRPr="00C85B70" w:rsidRDefault="750671CE" w:rsidP="00F94B7E">
      <w:pPr>
        <w:pStyle w:val="blockquote"/>
        <w:rPr>
          <w:lang w:eastAsia="en-US"/>
        </w:rPr>
      </w:pPr>
      <w:r w:rsidRPr="750671CE">
        <w:rPr>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C85B70" w:rsidRDefault="00C85B70" w:rsidP="00F94B7E">
      <w:pPr>
        <w:pStyle w:val="blockquote"/>
        <w:rPr>
          <w:lang w:eastAsia="en-US"/>
        </w:rPr>
      </w:pPr>
    </w:p>
    <w:p w14:paraId="1050786B" w14:textId="159C8608" w:rsidR="00C85B70" w:rsidRPr="00C85B70" w:rsidRDefault="750671CE" w:rsidP="00F94B7E">
      <w:pPr>
        <w:pStyle w:val="blockquote"/>
        <w:rPr>
          <w:lang w:eastAsia="en-US"/>
        </w:rPr>
      </w:pPr>
      <w:r w:rsidRPr="750671CE">
        <w:rPr>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FC5356">
        <w:rPr>
          <w:lang w:eastAsia="en-US"/>
        </w:rPr>
        <w:t>—</w:t>
      </w:r>
      <w:r w:rsidRPr="750671CE">
        <w:rPr>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02BE7714" w:rsidR="00C85B70" w:rsidRPr="00C85B70" w:rsidRDefault="00C85B70" w:rsidP="750671CE">
      <w:pPr>
        <w:rPr>
          <w:rFonts w:ascii="Times New Roman" w:eastAsia="Times New Roman" w:hAnsi="Times New Roman" w:cs="Times New Roman"/>
          <w:lang w:eastAsia="en-US"/>
        </w:rPr>
      </w:pPr>
      <w:r>
        <w:br/>
      </w:r>
      <w:r w:rsidR="750671CE" w:rsidRPr="750671CE">
        <w:rPr>
          <w:rFonts w:ascii="Times New Roman" w:eastAsia="Times New Roman" w:hAnsi="Times New Roman" w:cs="Times New Roman"/>
          <w:lang w:eastAsia="en-US"/>
        </w:rPr>
        <w:t xml:space="preserve">Randall R. Bovbjerg, Frank A. Sloan &amp; James F. Blumstein, </w:t>
      </w:r>
      <w:r w:rsidR="750671CE" w:rsidRPr="750671CE">
        <w:rPr>
          <w:rFonts w:ascii="Times New Roman" w:eastAsia="Times New Roman" w:hAnsi="Times New Roman" w:cs="Times New Roman"/>
          <w:i/>
          <w:iCs/>
          <w:lang w:eastAsia="en-US"/>
        </w:rPr>
        <w:t>Public Policy: Valuing Life and Limb in Tort: Scheduling</w:t>
      </w:r>
      <w:r w:rsidR="750671CE" w:rsidRPr="0061513F">
        <w:rPr>
          <w:rFonts w:ascii="Times New Roman" w:eastAsia="Times New Roman" w:hAnsi="Times New Roman" w:cs="Times New Roman"/>
          <w:i/>
          <w:iCs/>
          <w:lang w:eastAsia="en-US"/>
        </w:rPr>
        <w:t xml:space="preserve"> </w:t>
      </w:r>
      <w:r w:rsidR="00B05F31" w:rsidRPr="00F94B7E">
        <w:rPr>
          <w:rFonts w:ascii="Times New Roman" w:eastAsia="Times New Roman" w:hAnsi="Times New Roman" w:cs="Times New Roman"/>
          <w:i/>
          <w:lang w:eastAsia="en-US"/>
        </w:rPr>
        <w:t>“</w:t>
      </w:r>
      <w:r w:rsidR="750671CE" w:rsidRPr="0061513F">
        <w:rPr>
          <w:rFonts w:ascii="Times New Roman" w:eastAsia="Times New Roman" w:hAnsi="Times New Roman" w:cs="Times New Roman"/>
          <w:i/>
          <w:iCs/>
          <w:lang w:eastAsia="en-US"/>
        </w:rPr>
        <w:t>Pain and Suffering</w:t>
      </w:r>
      <w:r w:rsidR="00B05F31" w:rsidRPr="00F94B7E">
        <w:rPr>
          <w:rFonts w:ascii="Times New Roman" w:eastAsia="Times New Roman" w:hAnsi="Times New Roman" w:cs="Times New Roman"/>
          <w:i/>
          <w:lang w:eastAsia="en-US"/>
        </w:rPr>
        <w:t>”</w:t>
      </w:r>
      <w:r w:rsidR="750671CE" w:rsidRPr="750671CE">
        <w:rPr>
          <w:rFonts w:ascii="Times New Roman" w:eastAsia="Times New Roman" w:hAnsi="Times New Roman" w:cs="Times New Roman"/>
          <w:lang w:eastAsia="en-US"/>
        </w:rPr>
        <w:t xml:space="preserve">, 83 </w:t>
      </w:r>
      <w:r w:rsidR="750671CE" w:rsidRPr="750671CE">
        <w:rPr>
          <w:rFonts w:ascii="Times New Roman" w:eastAsia="Times New Roman" w:hAnsi="Times New Roman" w:cs="Times New Roman"/>
          <w:smallCaps/>
          <w:lang w:eastAsia="en-US"/>
        </w:rPr>
        <w:t>Nw. U.L. Rev</w:t>
      </w:r>
      <w:r w:rsidR="750671CE" w:rsidRPr="750671CE">
        <w:rPr>
          <w:rFonts w:ascii="Times New Roman" w:eastAsia="Times New Roman" w:hAnsi="Times New Roman" w:cs="Times New Roman"/>
          <w:lang w:eastAsia="en-US"/>
        </w:rPr>
        <w:t>. 908 (1989).</w:t>
      </w:r>
    </w:p>
    <w:p w14:paraId="7735F7A4" w14:textId="77777777" w:rsidR="00C85B70" w:rsidRPr="00C85B70" w:rsidRDefault="00C85B70" w:rsidP="00C85B70">
      <w:pPr>
        <w:rPr>
          <w:rFonts w:ascii="Times New Roman" w:eastAsia="Times New Roman" w:hAnsi="Times New Roman" w:cs="Times New Roman"/>
          <w:lang w:eastAsia="en-US"/>
        </w:rPr>
      </w:pPr>
    </w:p>
    <w:p w14:paraId="6C6A4197" w14:textId="0F8D41F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What are the relative merits of the caps and Bovbjerg et 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schedules?  Note that no state has enacted schedules for pain and suffering, though many have enacted caps. How do we explain the lack of interest in schedules at the legislative level?</w:t>
      </w:r>
    </w:p>
    <w:p w14:paraId="4363372A" w14:textId="77777777" w:rsidR="00C85B70" w:rsidRPr="00C85B70" w:rsidRDefault="00C85B70" w:rsidP="00C85B70">
      <w:pPr>
        <w:rPr>
          <w:rFonts w:ascii="Times New Roman" w:eastAsia="Times New Roman" w:hAnsi="Times New Roman" w:cs="Times New Roman"/>
          <w:lang w:eastAsia="en-US"/>
        </w:rPr>
      </w:pPr>
    </w:p>
    <w:p w14:paraId="50482318" w14:textId="77777777" w:rsidR="00C85B70" w:rsidRPr="00C85B70" w:rsidRDefault="00C85B70" w:rsidP="00C85B70">
      <w:pPr>
        <w:rPr>
          <w:rFonts w:ascii="Times New Roman" w:eastAsia="Times New Roman" w:hAnsi="Times New Roman" w:cs="Times New Roman"/>
          <w:lang w:eastAsia="en-US"/>
        </w:rPr>
      </w:pPr>
    </w:p>
    <w:p w14:paraId="7A772B94" w14:textId="1FD1ED94" w:rsidR="00C85B70" w:rsidRPr="00F94B7E" w:rsidRDefault="750671CE" w:rsidP="00F94B7E">
      <w:pPr>
        <w:pStyle w:val="ListParagraph"/>
        <w:numPr>
          <w:ilvl w:val="0"/>
          <w:numId w:val="127"/>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Taxation of pain and suffering damages.</w:t>
      </w:r>
      <w:r w:rsidRPr="00F94B7E">
        <w:rPr>
          <w:rFonts w:ascii="Times New Roman" w:eastAsia="Times New Roman" w:hAnsi="Times New Roman" w:cs="Times New Roman"/>
          <w:lang w:eastAsia="en-US"/>
        </w:rPr>
        <w:t xml:space="preserve">  As we saw in our consideration of pecuniary damages, compensatory damages received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on account of physical injuries or physical sickness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are not included in gross income and thus not subject to federal income taxes. 26 U.S.C. § 104(a)(2). However, emotional distress</w:t>
      </w:r>
      <w:r w:rsidR="006154D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even emotional distress that results in physical injury</w:t>
      </w:r>
      <w:r w:rsidR="006154D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is not considered </w:t>
      </w:r>
      <w:r w:rsidR="006154D1" w:rsidRPr="00F94B7E">
        <w:rPr>
          <w:rFonts w:ascii="Times New Roman" w:eastAsia="Times New Roman" w:hAnsi="Times New Roman" w:cs="Times New Roman"/>
          <w:lang w:eastAsia="en-US"/>
        </w:rPr>
        <w:t xml:space="preserve">“on account of” </w:t>
      </w:r>
      <w:r w:rsidRPr="00F94B7E">
        <w:rPr>
          <w:rFonts w:ascii="Times New Roman" w:eastAsia="Times New Roman" w:hAnsi="Times New Roman" w:cs="Times New Roman"/>
          <w:lang w:eastAsia="en-US"/>
        </w:rPr>
        <w:t xml:space="preserve">a physical injury and therefore still taxable income. In </w:t>
      </w:r>
      <w:r w:rsidRPr="00F94B7E">
        <w:rPr>
          <w:rFonts w:ascii="Times New Roman" w:eastAsia="Times New Roman" w:hAnsi="Times New Roman" w:cs="Times New Roman"/>
          <w:i/>
          <w:iCs/>
          <w:lang w:eastAsia="en-US"/>
        </w:rPr>
        <w:t>Murphy v. I.R.S.</w:t>
      </w:r>
      <w:r w:rsidRPr="00F94B7E">
        <w:rPr>
          <w:rFonts w:ascii="Times New Roman" w:eastAsia="Times New Roman" w:hAnsi="Times New Roman" w:cs="Times New Roman"/>
          <w:lang w:eastAsia="en-US"/>
        </w:rPr>
        <w:t xml:space="preserve">, 493 F.3d 170, 175 (D.C. Cir. 2007), the D.C. Circuit held that </w:t>
      </w:r>
      <w:r w:rsidR="006154D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on account </w:t>
      </w:r>
      <w:r w:rsidR="006154D1" w:rsidRPr="00F94B7E">
        <w:rPr>
          <w:rFonts w:ascii="Times New Roman" w:eastAsia="Times New Roman" w:hAnsi="Times New Roman" w:cs="Times New Roman"/>
          <w:lang w:eastAsia="en-US"/>
        </w:rPr>
        <w:t xml:space="preserve">of” </w:t>
      </w:r>
      <w:r w:rsidRPr="00F94B7E">
        <w:rPr>
          <w:rFonts w:ascii="Times New Roman" w:eastAsia="Times New Roman" w:hAnsi="Times New Roman" w:cs="Times New Roman"/>
          <w:lang w:eastAsia="en-US"/>
        </w:rPr>
        <w:t xml:space="preserve">is a phrase implying a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stronger causal connection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than but-for causation between the injury and physical damages; rather, the injury for which the plaintiff is being compensated must be primarily a physical injury in order to be excluded from gross income. What might be the public policy rationale for a difference in treatment between compensation for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physical injuries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other injuries?</w:t>
      </w:r>
    </w:p>
    <w:p w14:paraId="48CFC121" w14:textId="77777777" w:rsidR="00C85B70" w:rsidRPr="00C85B70" w:rsidRDefault="00C85B70" w:rsidP="00C85B70">
      <w:pPr>
        <w:rPr>
          <w:rFonts w:ascii="Times New Roman" w:eastAsia="Times New Roman" w:hAnsi="Times New Roman" w:cs="Times New Roman"/>
          <w:lang w:eastAsia="en-US"/>
        </w:rPr>
      </w:pPr>
    </w:p>
    <w:p w14:paraId="6530EC46" w14:textId="77777777" w:rsidR="00C85B70" w:rsidRPr="00C85B70" w:rsidRDefault="00C85B70" w:rsidP="00C85B70">
      <w:pPr>
        <w:rPr>
          <w:rFonts w:ascii="Times New Roman" w:eastAsia="Times New Roman" w:hAnsi="Times New Roman" w:cs="Times New Roman"/>
          <w:lang w:eastAsia="en-US"/>
        </w:rPr>
      </w:pPr>
    </w:p>
    <w:p w14:paraId="20E518BE" w14:textId="539402DB" w:rsidR="00C85B70" w:rsidRPr="00F94B7E" w:rsidRDefault="750671CE" w:rsidP="00F94B7E">
      <w:pPr>
        <w:pStyle w:val="ListParagraph"/>
        <w:numPr>
          <w:ilvl w:val="0"/>
          <w:numId w:val="127"/>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tragedy of Sol Wachtler.</w:t>
      </w:r>
      <w:r w:rsidRPr="00F94B7E">
        <w:rPr>
          <w:rFonts w:ascii="Times New Roman" w:eastAsia="Times New Roman" w:hAnsi="Times New Roman" w:cs="Times New Roman"/>
          <w:lang w:eastAsia="en-US"/>
        </w:rPr>
        <w:t xml:space="preserve">  Judge Sol Wachtler was one of New York</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most distinguished jurists in the years in which he wrote the </w:t>
      </w:r>
      <w:r w:rsidRPr="00F94B7E">
        <w:rPr>
          <w:rFonts w:ascii="Times New Roman" w:eastAsia="Times New Roman" w:hAnsi="Times New Roman" w:cs="Times New Roman"/>
          <w:i/>
          <w:iCs/>
          <w:lang w:eastAsia="en-US"/>
        </w:rPr>
        <w:t>McDougald</w:t>
      </w:r>
      <w:r w:rsidRPr="00F94B7E">
        <w:rPr>
          <w:rFonts w:ascii="Times New Roman" w:eastAsia="Times New Roman" w:hAnsi="Times New Roman" w:cs="Times New Roman"/>
          <w:lang w:eastAsia="en-US"/>
        </w:rPr>
        <w:t xml:space="preserve"> opinion. He served as chief judge of the state from 1985 to 1993. Among other things, he became prominent for the statement that a grand jury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would indict a ham sandwich</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if the prosecutor asked it to. He also wrote the New York Court of Appeals decision abolishing the marital rape exception. </w:t>
      </w:r>
    </w:p>
    <w:p w14:paraId="0FF2E64D" w14:textId="77777777" w:rsidR="00C85B70" w:rsidRPr="00C85B70" w:rsidRDefault="00C85B70" w:rsidP="00C85B70">
      <w:pPr>
        <w:rPr>
          <w:rFonts w:ascii="Times New Roman" w:eastAsia="Times New Roman" w:hAnsi="Times New Roman" w:cs="Times New Roman"/>
          <w:lang w:eastAsia="en-US"/>
        </w:rPr>
      </w:pPr>
    </w:p>
    <w:p w14:paraId="0D17370B" w14:textId="32F016A4"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But in 1993</w:t>
      </w:r>
      <w:r w:rsidR="009C5ADC">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Wachtler pleaded guilty to charges arising</w:t>
      </w:r>
      <w:r w:rsidR="001401D0">
        <w:rPr>
          <w:rFonts w:ascii="Times New Roman" w:eastAsia="Times New Roman" w:hAnsi="Times New Roman" w:cs="Times New Roman"/>
          <w:lang w:eastAsia="en-US"/>
        </w:rPr>
        <w:t xml:space="preserve"> out of his harassment of a woma</w:t>
      </w:r>
      <w:r w:rsidRPr="00C85B70">
        <w:rPr>
          <w:rFonts w:ascii="Times New Roman" w:eastAsia="Times New Roman" w:hAnsi="Times New Roman" w:cs="Times New Roman"/>
          <w:lang w:eastAsia="en-US"/>
        </w:rPr>
        <w:t>n w</w:t>
      </w:r>
      <w:r w:rsidR="00C572C0">
        <w:rPr>
          <w:rFonts w:ascii="Times New Roman" w:eastAsia="Times New Roman" w:hAnsi="Times New Roman" w:cs="Times New Roman"/>
          <w:lang w:eastAsia="en-US"/>
        </w:rPr>
        <w:t>ith whom he was having an extra-</w:t>
      </w:r>
      <w:r w:rsidRPr="00C85B70">
        <w:rPr>
          <w:rFonts w:ascii="Times New Roman" w:eastAsia="Times New Roman" w:hAnsi="Times New Roman" w:cs="Times New Roman"/>
          <w:lang w:eastAsia="en-US"/>
        </w:rPr>
        <w:t>marital affair, including threa</w:t>
      </w:r>
      <w:r w:rsidR="005450F3">
        <w:rPr>
          <w:rFonts w:ascii="Times New Roman" w:eastAsia="Times New Roman" w:hAnsi="Times New Roman" w:cs="Times New Roman"/>
          <w:lang w:eastAsia="en-US"/>
        </w:rPr>
        <w:t xml:space="preserve">tening to kidnap her daughter. </w:t>
      </w:r>
      <w:r w:rsidRPr="00C85B70">
        <w:rPr>
          <w:rFonts w:ascii="Times New Roman" w:eastAsia="Times New Roman" w:hAnsi="Times New Roman" w:cs="Times New Roman"/>
          <w:lang w:eastAsia="en-US"/>
        </w:rPr>
        <w:t>Wachtler served thir</w:t>
      </w:r>
      <w:r w:rsidR="005450F3">
        <w:rPr>
          <w:rFonts w:ascii="Times New Roman" w:eastAsia="Times New Roman" w:hAnsi="Times New Roman" w:cs="Times New Roman"/>
          <w:lang w:eastAsia="en-US"/>
        </w:rPr>
        <w:t xml:space="preserve">teen months in federal prison. </w:t>
      </w:r>
      <w:r w:rsidRPr="00C85B70">
        <w:rPr>
          <w:rFonts w:ascii="Times New Roman" w:eastAsia="Times New Roman" w:hAnsi="Times New Roman" w:cs="Times New Roman"/>
          <w:lang w:eastAsia="en-US"/>
        </w:rPr>
        <w:t>After his arrest, he was di</w:t>
      </w:r>
      <w:r w:rsidR="005450F3">
        <w:rPr>
          <w:rFonts w:ascii="Times New Roman" w:eastAsia="Times New Roman" w:hAnsi="Times New Roman" w:cs="Times New Roman"/>
          <w:lang w:eastAsia="en-US"/>
        </w:rPr>
        <w:t xml:space="preserve">agnosed with bipolar disorder. </w:t>
      </w:r>
      <w:r w:rsidRPr="00C85B70">
        <w:rPr>
          <w:rFonts w:ascii="Times New Roman" w:eastAsia="Times New Roman" w:hAnsi="Times New Roman" w:cs="Times New Roman"/>
          <w:lang w:eastAsia="en-US"/>
        </w:rPr>
        <w:t>Since his release</w:t>
      </w:r>
      <w:r w:rsidR="009C5ADC">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he has advocated </w:t>
      </w:r>
      <w:r w:rsidR="005450F3">
        <w:rPr>
          <w:rFonts w:ascii="Times New Roman" w:eastAsia="Times New Roman" w:hAnsi="Times New Roman" w:cs="Times New Roman"/>
          <w:lang w:eastAsia="en-US"/>
        </w:rPr>
        <w:t xml:space="preserve">on behalf of the mentally ill. </w:t>
      </w:r>
      <w:r w:rsidRPr="00F94B7E">
        <w:rPr>
          <w:rFonts w:ascii="Times New Roman" w:eastAsia="Times New Roman" w:hAnsi="Times New Roman" w:cs="Times New Roman"/>
          <w:i/>
          <w:lang w:eastAsia="en-US"/>
        </w:rPr>
        <w:t>See</w:t>
      </w:r>
      <w:r w:rsidRPr="00C85B70">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 xml:space="preserve">Sol Wachtler, </w:t>
      </w:r>
      <w:r w:rsidRPr="00F94B7E">
        <w:rPr>
          <w:rFonts w:ascii="Times New Roman" w:eastAsia="Times New Roman" w:hAnsi="Times New Roman" w:cs="Times New Roman"/>
          <w:iCs/>
          <w:smallCaps/>
          <w:lang w:eastAsia="en-US"/>
        </w:rPr>
        <w:t>After the Madness: A Judge</w:t>
      </w:r>
      <w:r w:rsidR="00B05F31" w:rsidRPr="00F94B7E">
        <w:rPr>
          <w:rFonts w:ascii="Times New Roman" w:eastAsia="Times New Roman" w:hAnsi="Times New Roman" w:cs="Times New Roman"/>
          <w:iCs/>
          <w:smallCaps/>
          <w:lang w:eastAsia="en-US"/>
        </w:rPr>
        <w:t>’</w:t>
      </w:r>
      <w:r w:rsidRPr="00F94B7E">
        <w:rPr>
          <w:rFonts w:ascii="Times New Roman" w:eastAsia="Times New Roman" w:hAnsi="Times New Roman" w:cs="Times New Roman"/>
          <w:iCs/>
          <w:smallCaps/>
          <w:lang w:eastAsia="en-US"/>
        </w:rPr>
        <w:t>s Own Prison Memoir</w:t>
      </w:r>
      <w:r w:rsidRPr="00C85B70">
        <w:rPr>
          <w:rFonts w:ascii="Times New Roman" w:eastAsia="Times New Roman" w:hAnsi="Times New Roman" w:cs="Times New Roman"/>
          <w:lang w:eastAsia="en-US"/>
        </w:rPr>
        <w:t xml:space="preserve"> (1997).</w:t>
      </w:r>
    </w:p>
    <w:p w14:paraId="4EA76BED" w14:textId="77777777" w:rsidR="00C85B70" w:rsidRPr="00C85B70" w:rsidRDefault="00C85B70" w:rsidP="00C85B70">
      <w:pPr>
        <w:rPr>
          <w:rFonts w:ascii="Times New Roman" w:eastAsia="Times New Roman" w:hAnsi="Times New Roman" w:cs="Times New Roman"/>
          <w:lang w:eastAsia="en-US"/>
        </w:rPr>
      </w:pPr>
    </w:p>
    <w:p w14:paraId="07E43D88" w14:textId="77777777" w:rsidR="00C85B70" w:rsidRPr="00C85B70" w:rsidRDefault="00C85B70" w:rsidP="00C85B70">
      <w:pPr>
        <w:rPr>
          <w:rFonts w:ascii="Times New Roman" w:eastAsia="Times New Roman" w:hAnsi="Times New Roman" w:cs="Times New Roman"/>
          <w:lang w:eastAsia="en-US"/>
        </w:rPr>
      </w:pPr>
    </w:p>
    <w:p w14:paraId="5A1937D0" w14:textId="77777777" w:rsidR="00C85B70" w:rsidRPr="00C85B70" w:rsidRDefault="00C85B70" w:rsidP="00322687">
      <w:pPr>
        <w:pStyle w:val="Heading3"/>
      </w:pPr>
      <w:bookmarkStart w:id="1092" w:name="_Toc364636299"/>
      <w:bookmarkStart w:id="1093" w:name="_Toc518323585"/>
      <w:r w:rsidRPr="00C85B70">
        <w:t>3.  Environmental Damages</w:t>
      </w:r>
      <w:bookmarkEnd w:id="1092"/>
      <w:bookmarkEnd w:id="1093"/>
    </w:p>
    <w:p w14:paraId="147F0340" w14:textId="77777777" w:rsidR="00C85B70" w:rsidRPr="00C85B70" w:rsidRDefault="00C85B70" w:rsidP="00C85B70">
      <w:pPr>
        <w:rPr>
          <w:rFonts w:ascii="Times New Roman" w:eastAsia="Times New Roman" w:hAnsi="Times New Roman" w:cs="Times New Roman"/>
          <w:lang w:eastAsia="en-US"/>
        </w:rPr>
      </w:pPr>
    </w:p>
    <w:p w14:paraId="67AC7C2C"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B319D5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76AE6CE" w14:textId="52DA1C2F" w:rsidR="00C85B70" w:rsidRPr="00C85B70" w:rsidRDefault="00C85B70" w:rsidP="750671CE">
      <w:pPr>
        <w:autoSpaceDE w:val="0"/>
        <w:autoSpaceDN w:val="0"/>
        <w:adjustRightInd w:val="0"/>
        <w:rPr>
          <w:rFonts w:ascii="Times New Roman" w:eastAsia="Times New Roman" w:hAnsi="Times New Roman" w:cs="Times New Roman"/>
          <w:b/>
          <w:bCs/>
          <w:lang w:eastAsia="en-US"/>
        </w:rPr>
      </w:pPr>
      <w:bookmarkStart w:id="1094" w:name="_Toc518323586"/>
      <w:r w:rsidRPr="001B55CC">
        <w:rPr>
          <w:rStyle w:val="Heading4Char"/>
        </w:rPr>
        <w:t>United States v. CB &amp; I Constructors, Inc</w:t>
      </w:r>
      <w:bookmarkEnd w:id="1094"/>
      <w:r w:rsidRPr="750671CE">
        <w:rPr>
          <w:rFonts w:ascii="Times New Roman" w:eastAsia="Times New Roman" w:hAnsi="Times New Roman" w:cs="Times New Roman"/>
          <w:b/>
          <w:bCs/>
          <w:lang w:eastAsia="en-US"/>
        </w:rPr>
        <w:t>.</w:t>
      </w:r>
      <w:r w:rsidR="001B55CC"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 xml:space="preserve">685 F.3d 827 (9th Cir. 2012) </w:t>
      </w:r>
    </w:p>
    <w:p w14:paraId="6B25482C"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104EA9F0" w14:textId="77777777" w:rsidR="00C85B70" w:rsidRPr="00C85B70" w:rsidRDefault="750671CE" w:rsidP="750671CE">
      <w:pPr>
        <w:autoSpaceDE w:val="0"/>
        <w:autoSpaceDN w:val="0"/>
        <w:adjustRightInd w:val="0"/>
        <w:rPr>
          <w:rFonts w:ascii="Times New Roman" w:eastAsia="Times New Roman" w:hAnsi="Times New Roman" w:cs="Times New Roman"/>
          <w:b/>
          <w:bCs/>
          <w:lang w:eastAsia="en-US"/>
        </w:rPr>
      </w:pPr>
      <w:r w:rsidRPr="750671CE">
        <w:rPr>
          <w:rFonts w:ascii="Times New Roman" w:eastAsia="Times New Roman" w:hAnsi="Times New Roman" w:cs="Times New Roman"/>
          <w:smallCaps/>
          <w:lang w:eastAsia="en-US"/>
        </w:rPr>
        <w:t>Fletcher</w:t>
      </w:r>
      <w:r w:rsidRPr="750671CE">
        <w:rPr>
          <w:rFonts w:ascii="Times New Roman" w:eastAsia="Times New Roman" w:hAnsi="Times New Roman" w:cs="Times New Roman"/>
          <w:lang w:eastAsia="en-US"/>
        </w:rPr>
        <w:t>, J</w:t>
      </w:r>
      <w:r w:rsidRPr="750671CE">
        <w:rPr>
          <w:rFonts w:ascii="Times New Roman" w:eastAsia="Times New Roman" w:hAnsi="Times New Roman" w:cs="Times New Roman"/>
          <w:b/>
          <w:bCs/>
          <w:lang w:eastAsia="en-US"/>
        </w:rPr>
        <w:t>.</w:t>
      </w:r>
    </w:p>
    <w:p w14:paraId="34DA09A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BB1C8C7" w14:textId="74FF931C"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Defendant CB&amp;I Constructors, Inc.,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CB&amp;I</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award of roughly $7.6 million in fire suppression, emergency mitigation, and resource protection costs. It challenges only the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additional award of $28.8 million in intangible environmental damages.</w:t>
      </w:r>
    </w:p>
    <w:p w14:paraId="5E70441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3F149B4" w14:textId="00A294E5"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 outdoor recreation, range, timber, watershed, and wildlife and fish purposes.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It is part of a National Forest System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dedicated to the long-term benefit for present and future generations.</w:t>
      </w:r>
      <w:r w:rsidR="00B05F31">
        <w:rPr>
          <w:rFonts w:ascii="Times New Roman" w:eastAsia="Times New Roman" w:hAnsi="Times New Roman" w:cs="Times New Roman"/>
          <w:lang w:eastAsia="en-US"/>
        </w:rPr>
        <w:t>”</w:t>
      </w:r>
    </w:p>
    <w:p w14:paraId="2AA530F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E5464E0" w14:textId="50DD894A"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extremely vulnerable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local extinction. . . . </w:t>
      </w:r>
    </w:p>
    <w:p w14:paraId="26AEA37E"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4C2E281" w14:textId="7E1EE078"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[Due to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damage occurred in San Francisquito Canyon. The fire burned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pretty much all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of the native chaparral and sage scrub vegetation in the Canyon, opening the door to invasive, nonnative plants that increase the risk of future fires. . . . </w:t>
      </w:r>
    </w:p>
    <w:p w14:paraId="13783E8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70304A8" w14:textId="2BB8C657"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C24AB8A" w14:textId="0102A0D0" w:rsidR="00C85B70" w:rsidRPr="00C85B70" w:rsidRDefault="750671CE" w:rsidP="750671CE">
      <w:pPr>
        <w:autoSpaceDE w:val="0"/>
        <w:autoSpaceDN w:val="0"/>
        <w:adjustRightInd w:val="0"/>
        <w:ind w:firstLine="720"/>
        <w:rPr>
          <w:rFonts w:ascii="Times New Roman" w:eastAsia="Times New Roman" w:hAnsi="Times New Roman" w:cs="Times New Roman"/>
          <w:b/>
          <w:bCs/>
          <w:lang w:eastAsia="en-US"/>
        </w:rPr>
      </w:pPr>
      <w:r w:rsidRPr="750671CE">
        <w:rPr>
          <w:rFonts w:ascii="Times New Roman" w:eastAsia="Times New Roman" w:hAnsi="Times New Roman" w:cs="Times New Roman"/>
          <w:lang w:eastAsia="en-US"/>
        </w:rPr>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750671CE">
        <w:rPr>
          <w:rFonts w:ascii="Times New Roman" w:eastAsia="Times New Roman" w:hAnsi="Times New Roman" w:cs="Times New Roman"/>
          <w:i/>
          <w:iCs/>
          <w:lang w:eastAsia="en-US"/>
        </w:rPr>
        <w:t>Feather River Lumber Co. v. United States</w:t>
      </w:r>
      <w:r w:rsidRPr="750671CE">
        <w:rPr>
          <w:rFonts w:ascii="Times New Roman" w:eastAsia="Times New Roman" w:hAnsi="Times New Roman" w:cs="Times New Roman"/>
          <w:lang w:eastAsia="en-US"/>
        </w:rPr>
        <w:t xml:space="preserve">, we affirmed a damages award against a negligent lumber company for harm caused to merchantable timber in the National Forest as well as to young growth, which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while it had no market value, had a value to its owner.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We explained that the measure of damages for the merchantable timber was the market value of the trees, but that the measure of damages for young growth in the National Forest, which could not be sold, was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damage actually sustained, that is to say, what was required to make the government whole.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We held that this amount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might properly include the cost of restoring the land to the condition in which it was before the fire.</w:t>
      </w:r>
      <w:r w:rsidR="00B05F31">
        <w:rPr>
          <w:rFonts w:ascii="Times New Roman" w:eastAsia="Times New Roman" w:hAnsi="Times New Roman" w:cs="Times New Roman"/>
          <w:lang w:eastAsia="en-US"/>
        </w:rPr>
        <w:t>”</w:t>
      </w:r>
    </w:p>
    <w:p w14:paraId="35D5AB7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11FE85E" w14:textId="20C94056"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should be able to recover damages for all of the damages caused by the fire, including the intangible environmental damages.</w:t>
      </w:r>
      <w:r w:rsidR="00B05F31">
        <w:rPr>
          <w:rFonts w:ascii="Times New Roman" w:eastAsia="Times New Roman" w:hAnsi="Times New Roman" w:cs="Times New Roman"/>
          <w:lang w:eastAsia="en-US"/>
        </w:rPr>
        <w:t>”</w:t>
      </w:r>
    </w:p>
    <w:p w14:paraId="20224CD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EE9D2A1" w14:textId="59484B33"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CB&amp;I next argues that the government did not produce sufficient evidence for the jury to determine the amount of environmental damages. . . . The district court acknowledged that the government in this case did not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elicit any testimony that put a dollar amount on the intangible environmental damages.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However, the court noted that the government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rPr>
          <w:rFonts w:ascii="Times New Roman" w:eastAsia="Times New Roman" w:hAnsi="Times New Roman" w:cs="Times New Roman"/>
          <w:lang w:eastAsia="en-US"/>
        </w:rPr>
        <w:t>”</w:t>
      </w:r>
    </w:p>
    <w:p w14:paraId="4B42491F"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994AFD5" w14:textId="415996AC"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We agree with the district court that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trial provided sufficient evidence for the jurors to quantify the [intangible environmental] harm.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Evidence about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nature and character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environmental damages are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largely intangible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readily subject to precise calculation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does not make them any less real. . . . </w:t>
      </w:r>
    </w:p>
    <w:p w14:paraId="282A3E3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7A1BAE3" w14:textId="77777777"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1A3FE7D" w14:textId="37F39621" w:rsidR="00C85B70" w:rsidRPr="00C85B70" w:rsidRDefault="002F6F39" w:rsidP="750671CE">
      <w:pPr>
        <w:autoSpaceDE w:val="0"/>
        <w:autoSpaceDN w:val="0"/>
        <w:adjustRightInd w:val="0"/>
        <w:rPr>
          <w:rFonts w:ascii="Times New Roman" w:eastAsia="Times New Roman" w:hAnsi="Times New Roman" w:cs="Times New Roman"/>
          <w:lang w:eastAsia="en-US"/>
        </w:rPr>
      </w:pPr>
      <w:r>
        <w:rPr>
          <w:rFonts w:ascii="Times New Roman" w:eastAsia="Times New Roman" w:hAnsi="Times New Roman" w:cs="Times New Roman"/>
          <w:lang w:eastAsia="en-US"/>
        </w:rPr>
        <w:t>Affirmed</w:t>
      </w:r>
      <w:r w:rsidR="750671CE" w:rsidRPr="750671CE">
        <w:rPr>
          <w:rFonts w:ascii="Times New Roman" w:eastAsia="Times New Roman" w:hAnsi="Times New Roman" w:cs="Times New Roman"/>
          <w:lang w:eastAsia="en-US"/>
        </w:rPr>
        <w:t>.</w:t>
      </w:r>
    </w:p>
    <w:p w14:paraId="5B66AF1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343179A" w14:textId="16D34CC1" w:rsidR="005450F3" w:rsidRDefault="005450F3">
      <w:pPr>
        <w:rPr>
          <w:rFonts w:ascii="Times New Roman" w:hAnsi="Times New Roman"/>
          <w:b/>
          <w:bCs/>
          <w:iCs/>
          <w:szCs w:val="26"/>
          <w:lang w:eastAsia="en-US"/>
        </w:rPr>
      </w:pPr>
    </w:p>
    <w:p w14:paraId="26335086" w14:textId="6EB6BB7A" w:rsidR="00C85B70" w:rsidRPr="00C85B70" w:rsidRDefault="750671CE" w:rsidP="00910387">
      <w:pPr>
        <w:pStyle w:val="Heading5"/>
      </w:pPr>
      <w:bookmarkStart w:id="1095" w:name="_Toc364636300"/>
      <w:bookmarkStart w:id="1096" w:name="_Toc518323587"/>
      <w:r>
        <w:t>Note</w:t>
      </w:r>
      <w:bookmarkEnd w:id="1095"/>
      <w:bookmarkEnd w:id="1096"/>
    </w:p>
    <w:p w14:paraId="19A4FC6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974899B" w14:textId="433436A5" w:rsidR="00C85B70" w:rsidRPr="00F94B7E" w:rsidRDefault="750671CE" w:rsidP="00F94B7E">
      <w:pPr>
        <w:pStyle w:val="ListParagraph"/>
        <w:numPr>
          <w:ilvl w:val="0"/>
          <w:numId w:val="128"/>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Environmental damages legislation</w:t>
      </w:r>
      <w:r w:rsidRPr="00F94B7E">
        <w:rPr>
          <w:rFonts w:ascii="Times New Roman" w:eastAsia="Times New Roman" w:hAnsi="Times New Roman" w:cs="Times New Roman"/>
          <w:lang w:eastAsia="en-US"/>
        </w:rPr>
        <w:t xml:space="preserve">. The </w:t>
      </w:r>
      <w:r w:rsidRPr="00F94B7E">
        <w:rPr>
          <w:rFonts w:ascii="Times New Roman" w:eastAsia="Times New Roman" w:hAnsi="Times New Roman" w:cs="Times New Roman"/>
          <w:i/>
          <w:iCs/>
          <w:lang w:eastAsia="en-US"/>
        </w:rPr>
        <w:t>C.B. &amp; I. Instructors</w:t>
      </w:r>
      <w:r w:rsidRPr="00F94B7E">
        <w:rPr>
          <w:rFonts w:ascii="Times New Roman" w:eastAsia="Times New Roman" w:hAnsi="Times New Roman" w:cs="Times New Roman"/>
          <w:lang w:eastAsia="en-US"/>
        </w:rPr>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 Chris Megerian </w:t>
      </w:r>
      <w:r w:rsidR="008A6B99">
        <w:rPr>
          <w:rFonts w:ascii="Times New Roman" w:eastAsia="Times New Roman" w:hAnsi="Times New Roman" w:cs="Times New Roman"/>
          <w:lang w:eastAsia="en-US"/>
        </w:rPr>
        <w:t>&amp;</w:t>
      </w:r>
      <w:r w:rsidR="008A6B99"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lang w:eastAsia="en-US"/>
        </w:rPr>
        <w:t xml:space="preserve">Anthony York, </w:t>
      </w:r>
      <w:r w:rsidRPr="00F94B7E">
        <w:rPr>
          <w:rFonts w:ascii="Times New Roman" w:eastAsia="Times New Roman" w:hAnsi="Times New Roman" w:cs="Times New Roman"/>
          <w:i/>
          <w:iCs/>
          <w:lang w:eastAsia="en-US"/>
        </w:rPr>
        <w:t>Gov. Jerry Brown Seeks to Cap Wildfire Liability in California</w:t>
      </w:r>
      <w:r w:rsidRPr="00F94B7E">
        <w:rPr>
          <w:rFonts w:ascii="Times New Roman" w:eastAsia="Times New Roman" w:hAnsi="Times New Roman" w:cs="Times New Roman"/>
          <w:smallCaps/>
          <w:lang w:eastAsia="en-US"/>
        </w:rPr>
        <w:t>, L.A. Times</w:t>
      </w:r>
      <w:r w:rsidRPr="00F94B7E">
        <w:rPr>
          <w:rFonts w:ascii="Times New Roman" w:eastAsia="Times New Roman" w:hAnsi="Times New Roman" w:cs="Times New Roman"/>
          <w:lang w:eastAsia="en-US"/>
        </w:rPr>
        <w:t xml:space="preserve"> (May 25, 2012). As passed, the bill included a tax on lumber products and an additional $30 million for regulation of the timber industry, presumably as a compromise with environmentalists. Kevin Yamamura, </w:t>
      </w:r>
      <w:r w:rsidRPr="00F94B7E">
        <w:rPr>
          <w:rFonts w:ascii="Times New Roman" w:eastAsia="Times New Roman" w:hAnsi="Times New Roman" w:cs="Times New Roman"/>
          <w:i/>
          <w:iCs/>
          <w:lang w:eastAsia="en-US"/>
        </w:rPr>
        <w:t>Gov. Jerry Brown Signs Lumber Tax, Wildfire Liability Limits</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Sacramento Bee</w:t>
      </w:r>
      <w:r w:rsidRPr="00F94B7E">
        <w:rPr>
          <w:rFonts w:ascii="Times New Roman" w:eastAsia="Times New Roman" w:hAnsi="Times New Roman" w:cs="Times New Roman"/>
          <w:lang w:eastAsia="en-US"/>
        </w:rPr>
        <w:t xml:space="preserve"> (Sept. 11, 2012). The bill was heavily opposed by the federal government, both in the Department of Justice and the Secretary of the Interior. Bob Egelko, </w:t>
      </w:r>
      <w:r w:rsidRPr="00F94B7E">
        <w:rPr>
          <w:rFonts w:ascii="Times New Roman" w:eastAsia="Times New Roman" w:hAnsi="Times New Roman" w:cs="Times New Roman"/>
          <w:i/>
          <w:iCs/>
          <w:lang w:eastAsia="en-US"/>
        </w:rPr>
        <w:t>Brown Moves to Limit Timber Firms</w:t>
      </w:r>
      <w:r w:rsidR="00B05F31" w:rsidRPr="00F94B7E">
        <w:rPr>
          <w:rFonts w:ascii="Times New Roman" w:eastAsia="Times New Roman" w:hAnsi="Times New Roman" w:cs="Times New Roman"/>
          <w:i/>
          <w:iCs/>
          <w:lang w:eastAsia="en-US"/>
        </w:rPr>
        <w:t>’</w:t>
      </w:r>
      <w:r w:rsidRPr="00F94B7E">
        <w:rPr>
          <w:rFonts w:ascii="Times New Roman" w:eastAsia="Times New Roman" w:hAnsi="Times New Roman" w:cs="Times New Roman"/>
          <w:i/>
          <w:iCs/>
          <w:lang w:eastAsia="en-US"/>
        </w:rPr>
        <w:t xml:space="preserve"> Fire Liability</w:t>
      </w:r>
      <w:r w:rsidRPr="00F94B7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S</w:t>
      </w:r>
      <w:r w:rsidR="00861352"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F</w:t>
      </w:r>
      <w:r w:rsidR="00861352" w:rsidRPr="00F94B7E">
        <w:rPr>
          <w:rFonts w:ascii="Times New Roman" w:eastAsia="Times New Roman" w:hAnsi="Times New Roman" w:cs="Times New Roman"/>
          <w:smallCaps/>
          <w:lang w:eastAsia="en-US"/>
        </w:rPr>
        <w:t xml:space="preserve">. </w:t>
      </w:r>
      <w:r w:rsidRPr="00F94B7E">
        <w:rPr>
          <w:rFonts w:ascii="Times New Roman" w:eastAsia="Times New Roman" w:hAnsi="Times New Roman" w:cs="Times New Roman"/>
          <w:smallCaps/>
          <w:lang w:eastAsia="en-US"/>
        </w:rPr>
        <w:t>Gate</w:t>
      </w:r>
      <w:r w:rsidRPr="00F94B7E">
        <w:rPr>
          <w:rFonts w:ascii="Times New Roman" w:eastAsia="Times New Roman" w:hAnsi="Times New Roman" w:cs="Times New Roman"/>
          <w:lang w:eastAsia="en-US"/>
        </w:rPr>
        <w:t xml:space="preserve"> (July 5, 2012). The legislation essentially shifted that stream of resources to the state by exchanging tort liability for a tax on lumber products. </w:t>
      </w:r>
    </w:p>
    <w:p w14:paraId="36CFFF5D" w14:textId="77777777" w:rsidR="00C85B70" w:rsidRPr="00C85B70" w:rsidRDefault="00C85B70" w:rsidP="00C85B70">
      <w:pPr>
        <w:rPr>
          <w:rFonts w:ascii="Times New Roman" w:eastAsia="Times New Roman" w:hAnsi="Times New Roman" w:cs="Times New Roman"/>
          <w:lang w:eastAsia="en-US"/>
        </w:rPr>
      </w:pPr>
    </w:p>
    <w:p w14:paraId="64845685" w14:textId="45212A1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Other states appear to be following California</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lead (though not with the lumber tax provision). See, for example, Washington State, RCWA 76.04.760 (Wash. 2014), and Idaho (H.B. 132, 62</w:t>
      </w:r>
      <w:r w:rsidR="00861352">
        <w:rPr>
          <w:rFonts w:ascii="Times New Roman" w:eastAsia="Times New Roman" w:hAnsi="Times New Roman" w:cs="Times New Roman"/>
          <w:lang w:eastAsia="en-US"/>
        </w:rPr>
        <w:t>nd</w:t>
      </w:r>
      <w:r w:rsidRPr="750671CE">
        <w:rPr>
          <w:rFonts w:ascii="Times New Roman" w:eastAsia="Times New Roman" w:hAnsi="Times New Roman" w:cs="Times New Roman"/>
          <w:lang w:eastAsia="en-US"/>
        </w:rPr>
        <w:t xml:space="preserve"> Legislature, 2013 Regular Session (Idaho)). Note that after an amendment proposed by Representative Drew Hansen, a class of 2000 graduate of Yale Law School and a partner at the trial lawyer firm Susman Godfrey, the Washington legislation expressly authorizes damages for the full cost of forest restoration.  Do restoration damages make up for the lost intangibles?</w:t>
      </w:r>
    </w:p>
    <w:p w14:paraId="43F80DF3" w14:textId="77777777" w:rsidR="00C85B70" w:rsidRPr="00C85B70" w:rsidRDefault="00C85B70" w:rsidP="00C85B70">
      <w:pPr>
        <w:rPr>
          <w:rFonts w:ascii="Times New Roman" w:eastAsia="Times New Roman" w:hAnsi="Times New Roman" w:cs="Times New Roman"/>
          <w:lang w:eastAsia="en-US"/>
        </w:rPr>
      </w:pPr>
    </w:p>
    <w:p w14:paraId="7C8FEEE8" w14:textId="12B7486D" w:rsidR="00FF55AD" w:rsidRDefault="00FF55AD">
      <w:pPr>
        <w:rPr>
          <w:rFonts w:ascii="Times New Roman" w:eastAsia="Times New Roman" w:hAnsi="Times New Roman" w:cs="Times New Roman"/>
          <w:lang w:eastAsia="en-US"/>
        </w:rPr>
      </w:pPr>
    </w:p>
    <w:p w14:paraId="38CD2F78" w14:textId="77777777" w:rsidR="00C85B70" w:rsidRPr="00C85B70" w:rsidRDefault="00C85B70" w:rsidP="00322687">
      <w:pPr>
        <w:pStyle w:val="Heading3"/>
      </w:pPr>
      <w:bookmarkStart w:id="1097" w:name="_Toc364636301"/>
      <w:bookmarkStart w:id="1098" w:name="_Toc518323588"/>
      <w:r w:rsidRPr="00C85B70">
        <w:t>4.  Death Cases</w:t>
      </w:r>
      <w:bookmarkEnd w:id="1097"/>
      <w:bookmarkEnd w:id="1098"/>
    </w:p>
    <w:p w14:paraId="32A2EBBB" w14:textId="77777777" w:rsidR="00C85B70" w:rsidRDefault="00C85B70" w:rsidP="00C85B70">
      <w:pPr>
        <w:rPr>
          <w:rFonts w:ascii="Times New Roman" w:eastAsia="Times New Roman" w:hAnsi="Times New Roman" w:cs="Times New Roman"/>
          <w:lang w:eastAsia="en-US"/>
        </w:rPr>
      </w:pPr>
    </w:p>
    <w:p w14:paraId="07F56BDD" w14:textId="77777777" w:rsidR="00945FB9" w:rsidRPr="00C85B70" w:rsidRDefault="00945FB9" w:rsidP="00C85B70">
      <w:pPr>
        <w:rPr>
          <w:rFonts w:ascii="Times New Roman" w:eastAsia="Times New Roman" w:hAnsi="Times New Roman" w:cs="Times New Roman"/>
          <w:lang w:eastAsia="en-US"/>
        </w:rPr>
      </w:pPr>
    </w:p>
    <w:p w14:paraId="2F3A364F" w14:textId="77777777" w:rsidR="00C85B70" w:rsidRPr="00C85B70" w:rsidRDefault="00C85B70" w:rsidP="002502CC">
      <w:pPr>
        <w:pStyle w:val="Heading4"/>
      </w:pPr>
      <w:bookmarkStart w:id="1099" w:name="_Toc364636302"/>
      <w:bookmarkStart w:id="1100" w:name="_Toc518323589"/>
      <w:r w:rsidRPr="00C85B70">
        <w:t>Wrongful Death Actions</w:t>
      </w:r>
      <w:bookmarkEnd w:id="1099"/>
      <w:bookmarkEnd w:id="1100"/>
    </w:p>
    <w:p w14:paraId="67423237" w14:textId="77777777" w:rsidR="00C85B70" w:rsidRPr="00C85B70" w:rsidRDefault="00C85B70" w:rsidP="00C85B70">
      <w:pPr>
        <w:rPr>
          <w:rFonts w:ascii="Times New Roman" w:eastAsia="Times New Roman" w:hAnsi="Times New Roman" w:cs="Times New Roman"/>
          <w:lang w:eastAsia="en-US"/>
        </w:rPr>
      </w:pPr>
    </w:p>
    <w:p w14:paraId="718D46B0" w14:textId="43303C6E"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Tort actions arising out of a person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C85B70" w:rsidRDefault="00C85B70" w:rsidP="00C85B70">
      <w:pPr>
        <w:rPr>
          <w:rFonts w:ascii="Times New Roman" w:eastAsia="Times New Roman" w:hAnsi="Times New Roman" w:cs="Times New Roman"/>
          <w:lang w:eastAsia="en-US"/>
        </w:rPr>
      </w:pPr>
    </w:p>
    <w:p w14:paraId="7CE427B9"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C85B70" w:rsidRDefault="00C85B70" w:rsidP="00C85B70">
      <w:pPr>
        <w:rPr>
          <w:rFonts w:ascii="Times New Roman" w:eastAsia="Times New Roman" w:hAnsi="Times New Roman" w:cs="Times New Roman"/>
          <w:lang w:eastAsia="en-US"/>
        </w:rPr>
      </w:pPr>
    </w:p>
    <w:p w14:paraId="1A7FA22C" w14:textId="4BEF2AA2"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One reason for this was that the medieval and early modern law of homicide typically entailed the forfeiture of the perpetrator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estate; there were thus no assets a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family might hope to claim, since they had all been forfeit to the sovereign.  Still, the rule seemed anomalous at best. </w:t>
      </w:r>
    </w:p>
    <w:p w14:paraId="2D7D2948" w14:textId="77777777" w:rsidR="00C85B70" w:rsidRPr="00C85B70" w:rsidRDefault="00C85B70" w:rsidP="00C85B70">
      <w:pPr>
        <w:rPr>
          <w:rFonts w:ascii="Times New Roman" w:eastAsia="Times New Roman" w:hAnsi="Times New Roman" w:cs="Times New Roman"/>
          <w:lang w:eastAsia="en-US"/>
        </w:rPr>
      </w:pPr>
    </w:p>
    <w:p w14:paraId="35A58AF2" w14:textId="245784A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 number of American jurisdictions abandoned the English rule barring death actions in the early years of the nineteenth century.  And in the middle of the nineteenth century, legislation specifically authorized so-called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wrongful death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actions, first in England and then in states across the U</w:t>
      </w:r>
      <w:r w:rsidR="008A6B99">
        <w:rPr>
          <w:rFonts w:ascii="Times New Roman" w:eastAsia="Times New Roman" w:hAnsi="Times New Roman" w:cs="Times New Roman"/>
          <w:lang w:eastAsia="en-US"/>
        </w:rPr>
        <w:t>.S</w:t>
      </w:r>
      <w:r w:rsidRPr="750671CE">
        <w:rPr>
          <w:rFonts w:ascii="Times New Roman" w:eastAsia="Times New Roman" w:hAnsi="Times New Roman" w:cs="Times New Roman"/>
          <w:lang w:eastAsia="en-US"/>
        </w:rPr>
        <w:t xml:space="preserve">. John Fabian Witt, </w:t>
      </w:r>
      <w:r w:rsidRPr="750671CE">
        <w:rPr>
          <w:rFonts w:ascii="Times New Roman" w:eastAsia="Times New Roman" w:hAnsi="Times New Roman" w:cs="Times New Roman"/>
          <w:i/>
          <w:iCs/>
          <w:lang w:eastAsia="en-US"/>
        </w:rPr>
        <w:t>From Loss of Services to Loss of Support: The Wrongful Death Statutes, the Origins of Modern Tort Law, and the Making of the Nineteenth-Century Family</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25 L. &amp; Soc</w:t>
      </w:r>
      <w:r w:rsidR="00B05F31">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l Inq.</w:t>
      </w:r>
      <w:r w:rsidRPr="750671CE">
        <w:rPr>
          <w:rFonts w:ascii="Times New Roman" w:eastAsia="Times New Roman" w:hAnsi="Times New Roman" w:cs="Times New Roman"/>
          <w:lang w:eastAsia="en-US"/>
        </w:rPr>
        <w:t xml:space="preserve"> 717 (2000).</w:t>
      </w:r>
    </w:p>
    <w:p w14:paraId="2AD02CF3" w14:textId="77777777" w:rsidR="00C85B70" w:rsidRPr="00C85B70" w:rsidRDefault="00C85B70" w:rsidP="00C85B70">
      <w:pPr>
        <w:rPr>
          <w:rFonts w:ascii="Times New Roman" w:eastAsia="Times New Roman" w:hAnsi="Times New Roman" w:cs="Times New Roman"/>
          <w:lang w:eastAsia="en-US"/>
        </w:rPr>
      </w:pPr>
    </w:p>
    <w:p w14:paraId="0F592140" w14:textId="3A70FFCC"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Wrongful death actions under the statutes are typically brought by the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F94B7E">
        <w:rPr>
          <w:rFonts w:ascii="Times New Roman" w:eastAsia="Times New Roman" w:hAnsi="Times New Roman" w:cs="Times New Roman"/>
          <w:smallCaps/>
          <w:lang w:eastAsia="en-US"/>
        </w:rPr>
        <w:t>Cal</w:t>
      </w:r>
      <w:r w:rsidR="006A6BA0"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Code Civ</w:t>
      </w:r>
      <w:r w:rsidR="006A6BA0" w:rsidRPr="00F94B7E">
        <w:rPr>
          <w:rFonts w:ascii="Times New Roman" w:eastAsia="Times New Roman" w:hAnsi="Times New Roman" w:cs="Times New Roman"/>
          <w:smallCaps/>
          <w:lang w:eastAsia="en-US"/>
        </w:rPr>
        <w:t>.</w:t>
      </w:r>
      <w:r w:rsidRPr="00F94B7E">
        <w:rPr>
          <w:rFonts w:ascii="Times New Roman" w:eastAsia="Times New Roman" w:hAnsi="Times New Roman" w:cs="Times New Roman"/>
          <w:smallCaps/>
          <w:lang w:eastAsia="en-US"/>
        </w:rPr>
        <w:t xml:space="preserve"> Pro</w:t>
      </w:r>
      <w:r w:rsidR="006A6BA0" w:rsidRPr="00F94B7E">
        <w:rPr>
          <w:rFonts w:ascii="Times New Roman" w:eastAsia="Times New Roman" w:hAnsi="Times New Roman" w:cs="Times New Roman"/>
          <w:smallCaps/>
          <w:lang w:eastAsia="en-US"/>
        </w:rPr>
        <w:t>.</w:t>
      </w:r>
      <w:r w:rsidRPr="750671CE">
        <w:rPr>
          <w:rFonts w:ascii="Times New Roman" w:eastAsia="Times New Roman" w:hAnsi="Times New Roman" w:cs="Times New Roman"/>
          <w:lang w:eastAsia="en-US"/>
        </w:rPr>
        <w:t xml:space="preserve"> 377.60.</w:t>
      </w:r>
    </w:p>
    <w:p w14:paraId="695D45DA" w14:textId="77777777" w:rsidR="00C85B70" w:rsidRPr="00C85B70" w:rsidRDefault="00C85B70" w:rsidP="00C85B70">
      <w:pPr>
        <w:rPr>
          <w:rFonts w:ascii="Times New Roman" w:eastAsia="Times New Roman" w:hAnsi="Times New Roman" w:cs="Times New Roman"/>
          <w:lang w:eastAsia="en-US"/>
        </w:rPr>
      </w:pPr>
    </w:p>
    <w:p w14:paraId="3A4D9F7A"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Their damages in wrongful death actions are typically pecuniary damages for the loss of support.  In California, for example, </w:t>
      </w:r>
    </w:p>
    <w:p w14:paraId="4EEBD8A5" w14:textId="77777777" w:rsidR="00C85B70" w:rsidRPr="00C85B70" w:rsidRDefault="00C85B70" w:rsidP="00C85B70">
      <w:pPr>
        <w:rPr>
          <w:rFonts w:ascii="Times New Roman" w:eastAsia="Times New Roman" w:hAnsi="Times New Roman" w:cs="Times New Roman"/>
          <w:lang w:eastAsia="en-US"/>
        </w:rPr>
      </w:pPr>
    </w:p>
    <w:p w14:paraId="48E31D2A" w14:textId="76D79D4E" w:rsidR="00C85B70" w:rsidRPr="00C85B70" w:rsidRDefault="750671CE" w:rsidP="00F94B7E">
      <w:pPr>
        <w:pStyle w:val="blockquote"/>
        <w:rPr>
          <w:lang w:eastAsia="en-US"/>
        </w:rPr>
      </w:pPr>
      <w:r w:rsidRPr="750671CE">
        <w:rPr>
          <w:lang w:eastAsia="en-US"/>
        </w:rPr>
        <w:t>A plaintiff in a wrongful death action is entitled to recover damages for his own pecuniary loss, which may include (1) the loss of the decedent</w:t>
      </w:r>
      <w:r w:rsidR="00B05F31">
        <w:rPr>
          <w:lang w:eastAsia="en-US"/>
        </w:rPr>
        <w:t>’</w:t>
      </w:r>
      <w:r w:rsidRPr="750671CE">
        <w:rPr>
          <w:lang w:eastAsia="en-US"/>
        </w:rPr>
        <w:t>s financial support, services, training and advice, and (2) the pecuniary value of the decedent</w:t>
      </w:r>
      <w:r w:rsidR="00B05F31">
        <w:rPr>
          <w:lang w:eastAsia="en-US"/>
        </w:rPr>
        <w:t>’</w:t>
      </w:r>
      <w:r w:rsidRPr="750671CE">
        <w:rPr>
          <w:lang w:eastAsia="en-US"/>
        </w:rPr>
        <w:t xml:space="preserve">s society and companionship—but he may </w:t>
      </w:r>
      <w:r w:rsidRPr="750671CE">
        <w:rPr>
          <w:i/>
          <w:iCs/>
          <w:lang w:eastAsia="en-US"/>
        </w:rPr>
        <w:t>not</w:t>
      </w:r>
      <w:r w:rsidRPr="750671CE">
        <w:rPr>
          <w:lang w:eastAsia="en-US"/>
        </w:rPr>
        <w:t xml:space="preserve"> recover for such things as the grief or sorrow attendant upon the death of a loved one, or for his sad emotions, or for the sentimental value of the loss.</w:t>
      </w:r>
    </w:p>
    <w:p w14:paraId="4BE2AB53" w14:textId="77777777" w:rsidR="00C85B70" w:rsidRPr="00C85B70" w:rsidRDefault="00C85B70" w:rsidP="00C85B70">
      <w:pPr>
        <w:rPr>
          <w:rFonts w:ascii="Times New Roman" w:eastAsia="Times New Roman" w:hAnsi="Times New Roman" w:cs="Times New Roman"/>
          <w:lang w:eastAsia="en-US"/>
        </w:rPr>
      </w:pPr>
    </w:p>
    <w:p w14:paraId="51D36B8A" w14:textId="77777777" w:rsidR="00C85B70" w:rsidRPr="00C85B70" w:rsidRDefault="750671CE" w:rsidP="750671CE">
      <w:pPr>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Quiroz v. Seventh Ave. Center</w:t>
      </w:r>
      <w:r w:rsidRPr="750671CE">
        <w:rPr>
          <w:rFonts w:ascii="Times New Roman" w:eastAsia="Times New Roman" w:hAnsi="Times New Roman" w:cs="Times New Roman"/>
          <w:lang w:eastAsia="en-US"/>
        </w:rPr>
        <w:t xml:space="preserve">, 45 Cal. Rptr. 3d 222, 226-27 (Cal. App. 2006).  </w:t>
      </w:r>
    </w:p>
    <w:p w14:paraId="36D1658D" w14:textId="77777777" w:rsidR="00C85B70" w:rsidRPr="00C85B70" w:rsidRDefault="00C85B70" w:rsidP="00C85B70">
      <w:pPr>
        <w:rPr>
          <w:rFonts w:ascii="Times New Roman" w:eastAsia="Times New Roman" w:hAnsi="Times New Roman" w:cs="Times New Roman"/>
          <w:lang w:eastAsia="en-US"/>
        </w:rPr>
      </w:pPr>
    </w:p>
    <w:p w14:paraId="1A319297"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C85B70" w:rsidRDefault="00C85B70" w:rsidP="00C85B70">
      <w:pPr>
        <w:rPr>
          <w:rFonts w:ascii="Times New Roman" w:eastAsia="Times New Roman" w:hAnsi="Times New Roman" w:cs="Times New Roman"/>
          <w:lang w:eastAsia="en-US"/>
        </w:rPr>
      </w:pPr>
    </w:p>
    <w:p w14:paraId="5767930C" w14:textId="1C1214DF" w:rsidR="00C85B70" w:rsidRPr="00C85B70" w:rsidRDefault="750671CE" w:rsidP="00F94B7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Consider also injuries causing death to children.  If children do not have dependents, will there be any wrongful death action at all?  This problem, among others, led to a wave of twentieth-century statutes authorizing so-called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survival actions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death cases:</w:t>
      </w:r>
    </w:p>
    <w:p w14:paraId="3B810E2C" w14:textId="77777777" w:rsidR="00C85B70" w:rsidRPr="00C85B70" w:rsidRDefault="00C85B70" w:rsidP="00C85B70">
      <w:pPr>
        <w:rPr>
          <w:rFonts w:ascii="Times New Roman" w:eastAsia="Times New Roman" w:hAnsi="Times New Roman" w:cs="Times New Roman"/>
          <w:lang w:eastAsia="en-US"/>
        </w:rPr>
      </w:pPr>
    </w:p>
    <w:p w14:paraId="61098D84" w14:textId="77777777" w:rsidR="00C85B70" w:rsidRPr="00C85B70" w:rsidRDefault="00C85B70" w:rsidP="00C85B70">
      <w:pPr>
        <w:rPr>
          <w:rFonts w:ascii="Times New Roman" w:eastAsia="Times New Roman" w:hAnsi="Times New Roman" w:cs="Times New Roman"/>
          <w:lang w:eastAsia="en-US"/>
        </w:rPr>
      </w:pPr>
    </w:p>
    <w:p w14:paraId="4686F17F" w14:textId="77777777" w:rsidR="00C85B70" w:rsidRPr="00C85B70" w:rsidRDefault="00C85B70" w:rsidP="002502CC">
      <w:pPr>
        <w:pStyle w:val="Heading4"/>
      </w:pPr>
      <w:bookmarkStart w:id="1101" w:name="_Toc364636303"/>
      <w:bookmarkStart w:id="1102" w:name="_Toc518323590"/>
      <w:r w:rsidRPr="00C85B70">
        <w:t>Survival Actions</w:t>
      </w:r>
      <w:bookmarkEnd w:id="1101"/>
      <w:bookmarkEnd w:id="1102"/>
    </w:p>
    <w:p w14:paraId="41EB683B" w14:textId="77777777" w:rsidR="00C85B70" w:rsidRPr="00C85B70" w:rsidRDefault="00C85B70" w:rsidP="00C85B70">
      <w:pPr>
        <w:rPr>
          <w:rFonts w:ascii="Times New Roman" w:eastAsia="Times New Roman" w:hAnsi="Times New Roman" w:cs="Times New Roman"/>
          <w:lang w:eastAsia="en-US"/>
        </w:rPr>
      </w:pPr>
    </w:p>
    <w:p w14:paraId="7F0A8A21" w14:textId="4662AD40"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Unlike wrongful death actions, which are brought by the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relatives in their own capacity, survival actions are brought on behalf of the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estate. </w:t>
      </w:r>
    </w:p>
    <w:p w14:paraId="52620701" w14:textId="77777777" w:rsidR="00C85B70" w:rsidRPr="00C85B70" w:rsidRDefault="00C85B70" w:rsidP="00C85B70">
      <w:pPr>
        <w:rPr>
          <w:rFonts w:ascii="Times New Roman" w:eastAsia="Times New Roman" w:hAnsi="Times New Roman" w:cs="Times New Roman"/>
          <w:lang w:eastAsia="en-US"/>
        </w:rPr>
      </w:pPr>
    </w:p>
    <w:p w14:paraId="15B38450" w14:textId="7CB767BB"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Survival actions allow the recovery of the lost income of the </w:t>
      </w:r>
      <w:r w:rsidR="008A6B99">
        <w:rPr>
          <w:rFonts w:ascii="Times New Roman" w:eastAsia="Times New Roman" w:hAnsi="Times New Roman" w:cs="Times New Roman"/>
          <w:lang w:eastAsia="en-US"/>
        </w:rPr>
        <w:t>decedent</w:t>
      </w:r>
      <w:r w:rsidR="008A6B99"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even if there were no people dependent on the decedent for support. They also allow pain and suffering damages for any pain the decedent may have experienced prior to death.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David W. Leebron, </w:t>
      </w:r>
      <w:r w:rsidRPr="750671CE">
        <w:rPr>
          <w:rFonts w:ascii="Times New Roman" w:eastAsia="Times New Roman" w:hAnsi="Times New Roman" w:cs="Times New Roman"/>
          <w:i/>
          <w:iCs/>
          <w:lang w:eastAsia="en-US"/>
        </w:rPr>
        <w:t>Final Moments: Damages for Pain and Suffering Prior to Death</w:t>
      </w:r>
      <w:r w:rsidRPr="750671CE">
        <w:rPr>
          <w:rFonts w:ascii="Times New Roman" w:eastAsia="Times New Roman" w:hAnsi="Times New Roman" w:cs="Times New Roman"/>
          <w:lang w:eastAsia="en-US"/>
        </w:rPr>
        <w:t>, 64 N</w:t>
      </w:r>
      <w:r w:rsidR="00B1238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Y</w:t>
      </w:r>
      <w:r w:rsidR="00B1238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U</w:t>
      </w:r>
      <w:r w:rsidR="00B1238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smallCaps/>
          <w:lang w:eastAsia="en-US"/>
        </w:rPr>
        <w:t>L. Rev</w:t>
      </w:r>
      <w:r w:rsidRPr="750671CE">
        <w:rPr>
          <w:rFonts w:ascii="Times New Roman" w:eastAsia="Times New Roman" w:hAnsi="Times New Roman" w:cs="Times New Roman"/>
          <w:lang w:eastAsia="en-US"/>
        </w:rPr>
        <w:t xml:space="preserve">. 256 (1989). </w:t>
      </w:r>
    </w:p>
    <w:p w14:paraId="22E7A776" w14:textId="77777777" w:rsidR="00C85B70" w:rsidRPr="00C85B70" w:rsidRDefault="00C85B70" w:rsidP="00C85B70">
      <w:pPr>
        <w:rPr>
          <w:rFonts w:ascii="Times New Roman" w:eastAsia="Times New Roman" w:hAnsi="Times New Roman" w:cs="Times New Roman"/>
          <w:lang w:eastAsia="en-US"/>
        </w:rPr>
      </w:pPr>
    </w:p>
    <w:p w14:paraId="2C102EC3" w14:textId="77777777" w:rsidR="00C85B70" w:rsidRPr="00C85B70" w:rsidRDefault="750671CE" w:rsidP="750671C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C85B70" w:rsidRDefault="00C85B70" w:rsidP="00C85B70">
      <w:pPr>
        <w:rPr>
          <w:rFonts w:ascii="Times New Roman" w:eastAsia="Times New Roman" w:hAnsi="Times New Roman" w:cs="Times New Roman"/>
          <w:lang w:eastAsia="en-US"/>
        </w:rPr>
      </w:pPr>
    </w:p>
    <w:p w14:paraId="139D7A35" w14:textId="77777777" w:rsidR="00C85B70" w:rsidRPr="00C85B70" w:rsidRDefault="00C85B70" w:rsidP="00C85B70">
      <w:pPr>
        <w:rPr>
          <w:rFonts w:ascii="Times New Roman" w:eastAsia="Times New Roman" w:hAnsi="Times New Roman" w:cs="Times New Roman"/>
          <w:lang w:eastAsia="en-US"/>
        </w:rPr>
      </w:pPr>
    </w:p>
    <w:p w14:paraId="1B65F8C1" w14:textId="77777777" w:rsidR="00C85B70" w:rsidRPr="00C85B70" w:rsidRDefault="00C85B70" w:rsidP="002502CC">
      <w:pPr>
        <w:pStyle w:val="Heading4"/>
      </w:pPr>
      <w:bookmarkStart w:id="1103" w:name="_Toc364636304"/>
      <w:bookmarkStart w:id="1104" w:name="_Toc518323591"/>
      <w:r w:rsidRPr="00C85B70">
        <w:t>Death Cases and Family Structure</w:t>
      </w:r>
      <w:bookmarkEnd w:id="1103"/>
      <w:bookmarkEnd w:id="1104"/>
    </w:p>
    <w:p w14:paraId="3204D21D" w14:textId="77777777" w:rsidR="00C85B70" w:rsidRPr="00C85B70" w:rsidRDefault="00C85B70" w:rsidP="00C85B70">
      <w:pPr>
        <w:ind w:right="720"/>
        <w:rPr>
          <w:rFonts w:ascii="Times New Roman" w:eastAsia="Times New Roman" w:hAnsi="Times New Roman" w:cs="Times New Roman"/>
          <w:lang w:eastAsia="en-US"/>
        </w:rPr>
      </w:pPr>
    </w:p>
    <w:p w14:paraId="7DFD7FBE" w14:textId="676FE165" w:rsidR="00C85B70" w:rsidRPr="00C85B70" w:rsidRDefault="750671CE" w:rsidP="00F94B7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widows and next of kin.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One effect was to exclude individuals who lay outside the usual family structure.  Another effect was to exclude a </w:t>
      </w:r>
      <w:r w:rsidRPr="750671CE">
        <w:rPr>
          <w:rFonts w:ascii="Times New Roman" w:eastAsia="Times New Roman" w:hAnsi="Times New Roman" w:cs="Times New Roman"/>
          <w:i/>
          <w:iCs/>
          <w:lang w:eastAsia="en-US"/>
        </w:rPr>
        <w:t>widower</w:t>
      </w:r>
      <w:r w:rsidRPr="750671CE">
        <w:rPr>
          <w:rFonts w:ascii="Times New Roman" w:eastAsia="Times New Roman" w:hAnsi="Times New Roman" w:cs="Times New Roman"/>
          <w:lang w:eastAsia="en-US"/>
        </w:rPr>
        <w:t>: the male surviving spouse.  For more than one hundred years, many states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wrongful death law denied recovery to dependent widowers seeking lost support in the wake of a wife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F94B7E">
        <w:rPr>
          <w:rFonts w:ascii="Times New Roman" w:eastAsia="Times New Roman" w:hAnsi="Times New Roman" w:cs="Times New Roman"/>
          <w:i/>
          <w:lang w:eastAsia="en-US"/>
        </w:rPr>
        <w:t>See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Viviana Zelizer,</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Pricing the Priceless Child: The Changing Social Value of Children</w:t>
      </w:r>
      <w:r w:rsidRPr="750671CE">
        <w:rPr>
          <w:rFonts w:ascii="Times New Roman" w:eastAsia="Times New Roman" w:hAnsi="Times New Roman" w:cs="Times New Roman"/>
          <w:lang w:eastAsia="en-US"/>
        </w:rPr>
        <w:t xml:space="preserve"> (1985)</w:t>
      </w:r>
    </w:p>
    <w:p w14:paraId="011A9ABB" w14:textId="77777777" w:rsidR="00C85B70" w:rsidRPr="00C85B70" w:rsidRDefault="00C85B70" w:rsidP="00F94B7E">
      <w:pPr>
        <w:rPr>
          <w:rFonts w:ascii="Times New Roman" w:eastAsia="Times New Roman" w:hAnsi="Times New Roman" w:cs="Times New Roman"/>
          <w:lang w:eastAsia="en-US"/>
        </w:rPr>
      </w:pPr>
    </w:p>
    <w:p w14:paraId="74AEB167" w14:textId="77777777" w:rsidR="00C85B70" w:rsidRPr="00C85B70" w:rsidRDefault="750671CE" w:rsidP="00F94B7E">
      <w:pPr>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750671CE">
        <w:rPr>
          <w:rFonts w:ascii="Times New Roman" w:eastAsia="Times New Roman" w:hAnsi="Times New Roman" w:cs="Times New Roman"/>
          <w:i/>
          <w:iCs/>
          <w:lang w:eastAsia="en-US"/>
        </w:rPr>
        <w:t>Weinberger v. Weisenfeld</w:t>
      </w:r>
      <w:r w:rsidRPr="750671CE">
        <w:rPr>
          <w:rFonts w:ascii="Times New Roman" w:eastAsia="Times New Roman" w:hAnsi="Times New Roman" w:cs="Times New Roman"/>
          <w:lang w:eastAsia="en-US"/>
        </w:rPr>
        <w:t xml:space="preserve">, 420 U.S. 636 (1975) (striking down the different treatment of widows and widowers under the Social Security Act as a violation of the Equal Protection Clause of the Fourteenth Amendment). For more on this theme, see Witt, </w:t>
      </w:r>
      <w:r w:rsidRPr="750671CE">
        <w:rPr>
          <w:rFonts w:ascii="Times New Roman" w:eastAsia="Times New Roman" w:hAnsi="Times New Roman" w:cs="Times New Roman"/>
          <w:i/>
          <w:iCs/>
          <w:lang w:eastAsia="en-US"/>
        </w:rPr>
        <w:t>From Loss of Services to Loss of Support</w:t>
      </w:r>
      <w:r w:rsidRPr="750671CE">
        <w:rPr>
          <w:rFonts w:ascii="Times New Roman" w:eastAsia="Times New Roman" w:hAnsi="Times New Roman" w:cs="Times New Roman"/>
          <w:lang w:eastAsia="en-US"/>
        </w:rPr>
        <w:t>,</w:t>
      </w:r>
      <w:r w:rsidRPr="750671CE">
        <w:rPr>
          <w:rFonts w:ascii="Times New Roman" w:eastAsia="Times New Roman" w:hAnsi="Times New Roman" w:cs="Times New Roman"/>
          <w:i/>
          <w:iCs/>
          <w:lang w:eastAsia="en-US"/>
        </w:rPr>
        <w:t xml:space="preserve"> supra.</w:t>
      </w:r>
      <w:r w:rsidRPr="750671CE">
        <w:rPr>
          <w:rFonts w:ascii="Times New Roman" w:eastAsia="Times New Roman" w:hAnsi="Times New Roman" w:cs="Times New Roman"/>
          <w:lang w:eastAsia="en-US"/>
        </w:rPr>
        <w:t xml:space="preserve">   </w:t>
      </w:r>
    </w:p>
    <w:p w14:paraId="6CD8A278" w14:textId="77777777" w:rsidR="00C85B70" w:rsidRPr="00C85B70" w:rsidRDefault="00C85B70" w:rsidP="00F94B7E">
      <w:pPr>
        <w:autoSpaceDE w:val="0"/>
        <w:autoSpaceDN w:val="0"/>
        <w:adjustRightInd w:val="0"/>
        <w:ind w:left="720"/>
        <w:rPr>
          <w:rFonts w:ascii="Times New Roman" w:eastAsia="Times New Roman" w:hAnsi="Times New Roman" w:cs="Times New Roman"/>
          <w:lang w:eastAsia="en-US"/>
        </w:rPr>
      </w:pPr>
    </w:p>
    <w:p w14:paraId="509F590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C275EFA" w14:textId="77777777" w:rsidR="00C85B70" w:rsidRPr="00C85B70" w:rsidRDefault="00C85B70" w:rsidP="002502CC">
      <w:pPr>
        <w:pStyle w:val="Heading4"/>
      </w:pPr>
      <w:bookmarkStart w:id="1105" w:name="_Toc364636305"/>
      <w:bookmarkStart w:id="1106" w:name="_Toc518323592"/>
      <w:r w:rsidRPr="00C85B70">
        <w:t>The Death Case Paradox</w:t>
      </w:r>
      <w:bookmarkEnd w:id="1105"/>
      <w:bookmarkEnd w:id="1106"/>
    </w:p>
    <w:p w14:paraId="5D7352D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C3E00E3" w14:textId="390B1E5E" w:rsidR="00C85B70" w:rsidRPr="00C85B70" w:rsidRDefault="750671CE" w:rsidP="00F94B7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Bizarrely, in tort cases, killing a plaintiff can be far cheaper for the defendant than injuring the plaintiff severely. In </w:t>
      </w:r>
      <w:r w:rsidRPr="750671CE">
        <w:rPr>
          <w:rFonts w:ascii="Times New Roman" w:eastAsia="Times New Roman" w:hAnsi="Times New Roman" w:cs="Times New Roman"/>
          <w:i/>
          <w:iCs/>
          <w:lang w:eastAsia="en-US"/>
        </w:rPr>
        <w:t>McDougald v. Garber</w:t>
      </w:r>
      <w:r w:rsidRPr="750671CE">
        <w:rPr>
          <w:rFonts w:ascii="Times New Roman" w:eastAsia="Times New Roman" w:hAnsi="Times New Roman" w:cs="Times New Roman"/>
          <w:lang w:eastAsia="en-US"/>
        </w:rPr>
        <w:t xml:space="preserve">, 73 N.Y.2d 246 (1989) above, the initial damages awarded by the jury were $9.7 million, of which $1 million was for conscious pain and suffering and over $2 million </w:t>
      </w:r>
      <w:r w:rsidR="00A765F9">
        <w:rPr>
          <w:rFonts w:ascii="Times New Roman" w:eastAsia="Times New Roman" w:hAnsi="Times New Roman" w:cs="Times New Roman"/>
          <w:lang w:eastAsia="en-US"/>
        </w:rPr>
        <w:t>was</w:t>
      </w:r>
      <w:r w:rsidR="00A765F9"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for ongoing custodial and nursing care. If Mrs. McDouglad had died during the operation, neither of those elements of the damages would have been awarded</w:t>
      </w:r>
      <w:r w:rsidR="00554EDE" w:rsidRPr="00554ED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and there are no additional categories of damages that would have been added instead. </w:t>
      </w:r>
    </w:p>
    <w:p w14:paraId="61B4C4D4" w14:textId="77777777" w:rsidR="00C85B70" w:rsidRPr="00C85B70" w:rsidRDefault="00C85B70" w:rsidP="00F94B7E">
      <w:pPr>
        <w:autoSpaceDE w:val="0"/>
        <w:autoSpaceDN w:val="0"/>
        <w:adjustRightInd w:val="0"/>
        <w:rPr>
          <w:rFonts w:ascii="Times New Roman" w:eastAsia="Times New Roman" w:hAnsi="Times New Roman" w:cs="Times New Roman"/>
          <w:lang w:eastAsia="en-US"/>
        </w:rPr>
      </w:pPr>
    </w:p>
    <w:p w14:paraId="6EEFD3FA" w14:textId="03B2EA73" w:rsidR="00C85B70" w:rsidRPr="00C85B70" w:rsidRDefault="750671CE" w:rsidP="00F94B7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Given the incredibly high cost of a lifetime of intensive medical care and nursing services, the pecuniary damages associated with severe injury can dwarf the wrongful death claims. Is this structure justified because it takes into account the societal costs of caring for disabled victims, or absurd because it creates perverse incentives for tortfeasors? If you wanted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solve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death case paradox, how would you fix it?</w:t>
      </w:r>
    </w:p>
    <w:p w14:paraId="0D51FE43" w14:textId="77777777" w:rsidR="00C85B70" w:rsidRPr="00C85B70" w:rsidRDefault="00C85B70" w:rsidP="00F94B7E">
      <w:pPr>
        <w:autoSpaceDE w:val="0"/>
        <w:autoSpaceDN w:val="0"/>
        <w:adjustRightInd w:val="0"/>
        <w:ind w:right="720"/>
        <w:rPr>
          <w:rFonts w:ascii="Times New Roman" w:eastAsia="Times New Roman" w:hAnsi="Times New Roman" w:cs="Times New Roman"/>
          <w:lang w:eastAsia="en-US"/>
        </w:rPr>
      </w:pPr>
    </w:p>
    <w:p w14:paraId="1D9404CB"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5288A46B" w14:textId="32E84AD9" w:rsidR="00C85B70" w:rsidRPr="00C85B70" w:rsidRDefault="00C85B70" w:rsidP="750671CE">
      <w:pPr>
        <w:pStyle w:val="Heading2"/>
        <w:rPr>
          <w:lang w:eastAsia="en-US"/>
        </w:rPr>
      </w:pPr>
      <w:bookmarkStart w:id="1107" w:name="_Toc364636306"/>
      <w:bookmarkStart w:id="1108" w:name="_Toc518323593"/>
      <w:r w:rsidRPr="00C85B70">
        <w:rPr>
          <w:lang w:eastAsia="en-US"/>
        </w:rPr>
        <w:t>B.  Damages in Practice</w:t>
      </w:r>
      <w:bookmarkEnd w:id="1107"/>
      <w:bookmarkEnd w:id="1108"/>
    </w:p>
    <w:p w14:paraId="5F1875B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868277F" w14:textId="346F4C28" w:rsidR="00C85B70" w:rsidRPr="00C85B70" w:rsidRDefault="750671CE" w:rsidP="750671CE">
      <w:pPr>
        <w:autoSpaceDE w:val="0"/>
        <w:autoSpaceDN w:val="0"/>
        <w:adjustRightInd w:val="0"/>
        <w:ind w:right="-720"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So far, our discussion of torts has largely focused on only a few actors: a plaintiff, a defendant, a judge. In practice, actually hammering out a settlement of damages involves many more players with unique interests and perspectives: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lawyer, the insurance carriers for the defendant and the plaintiff, the jury, and others. The dynamics among this larger cast of characters shape the reality of the torts system in interesting and surprising ways.</w:t>
      </w:r>
    </w:p>
    <w:p w14:paraId="5EC01A50"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ABE4D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41AEEFB3" w14:textId="48768731" w:rsidR="00C85B70" w:rsidRPr="00C85B70" w:rsidRDefault="00C85B70" w:rsidP="00322687">
      <w:pPr>
        <w:pStyle w:val="Heading3"/>
      </w:pPr>
      <w:bookmarkStart w:id="1109" w:name="_Toc364636307"/>
      <w:bookmarkStart w:id="1110" w:name="_Toc518323594"/>
      <w:r w:rsidRPr="00C85B70">
        <w:t xml:space="preserve">1. </w:t>
      </w:r>
      <w:r w:rsidR="005450F3">
        <w:t xml:space="preserve"> </w:t>
      </w:r>
      <w:r w:rsidRPr="00C85B70">
        <w:t>Plaintiffs</w:t>
      </w:r>
      <w:r w:rsidR="00B05F31">
        <w:t>’</w:t>
      </w:r>
      <w:r w:rsidRPr="00C85B70">
        <w:t xml:space="preserve"> Lawyers and the Contingency Fee</w:t>
      </w:r>
      <w:bookmarkEnd w:id="1109"/>
      <w:bookmarkEnd w:id="1110"/>
    </w:p>
    <w:p w14:paraId="6F2E909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86D3C7A" w14:textId="7A98BE3B"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w:t>
      </w:r>
      <w:r w:rsidR="00F43BAA" w:rsidRPr="00F43BAA">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especially after suffering an injury that may have caused high medical expenses and unemployment. On the other hand, the contingency fee has been blamed for spiraling tort costs and concentrating excessive power in the hands of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w:t>
      </w:r>
    </w:p>
    <w:p w14:paraId="41B615D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171E807" w14:textId="77777777"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Richard Posner lays out the argument for contingency fee as follows: </w:t>
      </w:r>
    </w:p>
    <w:p w14:paraId="09DF0A1F"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C93F5DE" w14:textId="79623A40" w:rsidR="00C85B70" w:rsidRPr="00C85B70" w:rsidRDefault="750671CE" w:rsidP="00F94B7E">
      <w:pPr>
        <w:pStyle w:val="blockquote"/>
        <w:rPr>
          <w:lang w:eastAsia="en-US"/>
        </w:rPr>
      </w:pPr>
      <w:r w:rsidRPr="750671CE">
        <w:rPr>
          <w:lang w:eastAsia="en-US"/>
        </w:rPr>
        <w:t>Suppose a person has a claim of $100,000 and a 50 percent probability of vindicating it if he has a good lawyer. The expected value of the claim is $50,000 and would justify him expending up to that amount in lawyer</w:t>
      </w:r>
      <w:r w:rsidR="00B05F31">
        <w:rPr>
          <w:lang w:eastAsia="en-US"/>
        </w:rPr>
        <w:t>’</w:t>
      </w:r>
      <w:r w:rsidRPr="750671CE">
        <w:rPr>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F43BAA">
        <w:rPr>
          <w:lang w:eastAsia="en-US"/>
        </w:rPr>
        <w:t>—</w:t>
      </w:r>
      <w:r w:rsidRPr="750671CE">
        <w:rPr>
          <w:lang w:eastAsia="en-US"/>
        </w:rPr>
        <w:t>in order, it is said, to prevent the fomenting of litigation</w:t>
      </w:r>
      <w:r w:rsidR="00F43BAA" w:rsidRPr="00F43BAA">
        <w:rPr>
          <w:lang w:eastAsia="en-US"/>
        </w:rPr>
        <w:t>—</w:t>
      </w:r>
      <w:r w:rsidRPr="750671CE">
        <w:rPr>
          <w:lang w:eastAsia="en-US"/>
        </w:rPr>
        <w:t>and so are worthless as collateral.</w:t>
      </w:r>
    </w:p>
    <w:p w14:paraId="634C2A3D"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7BFD4D8F" w14:textId="76575235"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 xml:space="preserve">Richard Posner, Economic Analysis of Law </w:t>
      </w:r>
      <w:r w:rsidRPr="750671CE">
        <w:rPr>
          <w:rFonts w:ascii="Times New Roman" w:eastAsia="Times New Roman" w:hAnsi="Times New Roman" w:cs="Times New Roman"/>
          <w:lang w:eastAsia="en-US"/>
        </w:rPr>
        <w:t>782-84 (2011).  The contingency fee contract is a solution to the problem of otherwise unmarketable claims.  The contingent fee allows lawyers effectively to lend legal services in return for a stake in the otherwise unmarketable claim.  By pooling many claims, the lawyer is able to achieve a diversification of her investment that no one plaintiff is able to achieve.  Moreover,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 is a specialist, which gives her the capacity to make better judgments about the value of particular claims than a traditional lender would be able to make.</w:t>
      </w:r>
    </w:p>
    <w:p w14:paraId="3F955A44"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FB4AB28" w14:textId="2E199823" w:rsidR="00C85B70" w:rsidRPr="00C85B70" w:rsidRDefault="00C85B70" w:rsidP="750671CE">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Posner observes that contingent fees of a third or more of the claim often seem exorbitant.  Sometimes they are.  But Posner observes that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 contingent fee compensates the lawyers not only for the legal services he renders but for the loan of those services.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lawyers are effectively extending their clients.  </w:t>
      </w:r>
      <w:r w:rsidRPr="750671CE">
        <w:rPr>
          <w:rFonts w:ascii="Times New Roman" w:eastAsia="Times New Roman" w:hAnsi="Times New Roman" w:cs="Times New Roman"/>
          <w:i/>
          <w:iCs/>
          <w:lang w:eastAsia="en-US"/>
        </w:rPr>
        <w:t>See id</w:t>
      </w:r>
      <w:r w:rsidRPr="00C85B70">
        <w:rPr>
          <w:rFonts w:ascii="Times New Roman" w:eastAsia="Times New Roman" w:hAnsi="Times New Roman" w:cs="Times New Roman"/>
          <w:lang w:eastAsia="en-US"/>
        </w:rPr>
        <w:t xml:space="preserve">. at 283. </w:t>
      </w:r>
    </w:p>
    <w:p w14:paraId="3117102C"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CD43E60" w14:textId="43094B99"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If the problem is unmarketable claims, and if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former lawyers with expertise in litigation.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Jonathan T. Molot, </w:t>
      </w:r>
      <w:r w:rsidRPr="750671CE">
        <w:rPr>
          <w:rFonts w:ascii="Times New Roman" w:eastAsia="Times New Roman" w:hAnsi="Times New Roman" w:cs="Times New Roman"/>
          <w:i/>
          <w:iCs/>
          <w:lang w:eastAsia="en-US"/>
        </w:rPr>
        <w:t>Litigation Finance: A Market Solution to a Procedural Problem</w:t>
      </w:r>
      <w:r w:rsidRPr="750671CE">
        <w:rPr>
          <w:rFonts w:ascii="Times New Roman" w:eastAsia="Times New Roman" w:hAnsi="Times New Roman" w:cs="Times New Roman"/>
          <w:lang w:eastAsia="en-US"/>
        </w:rPr>
        <w:t xml:space="preserve">, 99 </w:t>
      </w:r>
      <w:r w:rsidRPr="750671CE">
        <w:rPr>
          <w:rFonts w:ascii="Times New Roman" w:eastAsia="Times New Roman" w:hAnsi="Times New Roman" w:cs="Times New Roman"/>
          <w:smallCaps/>
          <w:lang w:eastAsia="en-US"/>
        </w:rPr>
        <w:t>Geo. L.J.</w:t>
      </w:r>
      <w:r w:rsidRPr="750671CE">
        <w:rPr>
          <w:rFonts w:ascii="Times New Roman" w:eastAsia="Times New Roman" w:hAnsi="Times New Roman" w:cs="Times New Roman"/>
          <w:lang w:eastAsia="en-US"/>
        </w:rPr>
        <w:t xml:space="preserve"> 65 (2010). Critics object that such finance arrangements might produce too much litigation. Posner is not certain:</w:t>
      </w:r>
    </w:p>
    <w:p w14:paraId="5569D346"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7DAFB92" w14:textId="77777777" w:rsidR="00C85B70" w:rsidRPr="00C85B70" w:rsidRDefault="750671CE" w:rsidP="00F94B7E">
      <w:pPr>
        <w:pStyle w:val="blockquote"/>
        <w:rPr>
          <w:lang w:eastAsia="en-US"/>
        </w:rPr>
      </w:pPr>
      <w:r w:rsidRPr="750671CE">
        <w:rPr>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B133DFD" w14:textId="77777777" w:rsidR="00C85B70" w:rsidRPr="00C85B70" w:rsidRDefault="750671CE" w:rsidP="750671CE">
      <w:pPr>
        <w:autoSpaceDE w:val="0"/>
        <w:autoSpaceDN w:val="0"/>
        <w:adjustRightInd w:val="0"/>
        <w:ind w:right="-720"/>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Posner, Economic Analysis</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supra</w:t>
      </w:r>
      <w:r w:rsidRPr="750671CE">
        <w:rPr>
          <w:rFonts w:ascii="Times New Roman" w:eastAsia="Times New Roman" w:hAnsi="Times New Roman" w:cs="Times New Roman"/>
          <w:lang w:eastAsia="en-US"/>
        </w:rPr>
        <w:t xml:space="preserve">, at 284; </w:t>
      </w:r>
      <w:r w:rsidRPr="750671CE">
        <w:rPr>
          <w:rFonts w:ascii="Times New Roman" w:eastAsia="Times New Roman" w:hAnsi="Times New Roman" w:cs="Times New Roman"/>
          <w:i/>
          <w:iCs/>
          <w:lang w:eastAsia="en-US"/>
        </w:rPr>
        <w:t>see also</w:t>
      </w:r>
      <w:r w:rsidRPr="750671CE">
        <w:rPr>
          <w:rFonts w:ascii="Times New Roman" w:eastAsia="Times New Roman" w:hAnsi="Times New Roman" w:cs="Times New Roman"/>
          <w:lang w:eastAsia="en-US"/>
        </w:rPr>
        <w:t xml:space="preserve"> Michael Abramowicz, </w:t>
      </w:r>
      <w:r w:rsidRPr="750671CE">
        <w:rPr>
          <w:rFonts w:ascii="Times New Roman" w:eastAsia="Times New Roman" w:hAnsi="Times New Roman" w:cs="Times New Roman"/>
          <w:i/>
          <w:iCs/>
          <w:lang w:eastAsia="en-US"/>
        </w:rPr>
        <w:t>Litigation Finance and the Problem of Frivolous Litigation</w:t>
      </w:r>
      <w:r w:rsidRPr="750671CE">
        <w:rPr>
          <w:rFonts w:ascii="Times New Roman" w:eastAsia="Times New Roman" w:hAnsi="Times New Roman" w:cs="Times New Roman"/>
          <w:lang w:eastAsia="en-US"/>
        </w:rPr>
        <w:t xml:space="preserve">, 63 </w:t>
      </w:r>
      <w:r w:rsidRPr="750671CE">
        <w:rPr>
          <w:rFonts w:ascii="Times New Roman" w:eastAsia="Times New Roman" w:hAnsi="Times New Roman" w:cs="Times New Roman"/>
          <w:smallCaps/>
          <w:lang w:eastAsia="en-US"/>
        </w:rPr>
        <w:t>DePaul L. Rev.</w:t>
      </w:r>
      <w:r w:rsidRPr="750671CE">
        <w:rPr>
          <w:rFonts w:ascii="Times New Roman" w:eastAsia="Times New Roman" w:hAnsi="Times New Roman" w:cs="Times New Roman"/>
          <w:lang w:eastAsia="en-US"/>
        </w:rPr>
        <w:t xml:space="preserve"> 195 (2014). </w:t>
      </w:r>
    </w:p>
    <w:p w14:paraId="7C3DD3A5"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F589E54" w14:textId="4861A123" w:rsidR="00C85B70" w:rsidRPr="00C85B70" w:rsidRDefault="750671CE" w:rsidP="00F94B7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Critics of the contingent fee see the matter very differently. Many object to the use of litigation finance strategies.  But many still object even to the investments that the contingency fee allows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while impoverishing virtually everyone else.  </w:t>
      </w:r>
    </w:p>
    <w:p w14:paraId="75BEC75E" w14:textId="77777777" w:rsidR="00C85B70" w:rsidRPr="00C85B70" w:rsidRDefault="00C85B70" w:rsidP="00F94B7E">
      <w:pPr>
        <w:pStyle w:val="blockquote"/>
        <w:rPr>
          <w:lang w:eastAsia="en-US"/>
        </w:rPr>
      </w:pPr>
    </w:p>
    <w:p w14:paraId="32F34C99" w14:textId="48E2CB57" w:rsidR="00C85B70" w:rsidRPr="00C85B70" w:rsidRDefault="750671CE" w:rsidP="00F94B7E">
      <w:pPr>
        <w:pStyle w:val="blockquote"/>
        <w:rPr>
          <w:lang w:eastAsia="en-US"/>
        </w:rPr>
      </w:pPr>
      <w:r w:rsidRPr="750671CE">
        <w:rPr>
          <w:lang w:eastAsia="en-US"/>
        </w:rPr>
        <w:t>American tort lawyers</w:t>
      </w:r>
      <w:r w:rsidR="00B05F31">
        <w:rPr>
          <w:lang w:eastAsia="en-US"/>
        </w:rPr>
        <w:t>’</w:t>
      </w:r>
      <w:r w:rsidRPr="750671CE">
        <w:rPr>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Pr>
          <w:lang w:eastAsia="en-US"/>
        </w:rPr>
        <w:t>’</w:t>
      </w:r>
      <w:r w:rsidRPr="750671CE">
        <w:rPr>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C85B70" w:rsidRDefault="00C85B70" w:rsidP="00F94B7E">
      <w:pPr>
        <w:pStyle w:val="blockquote"/>
        <w:rPr>
          <w:lang w:eastAsia="en-US"/>
        </w:rPr>
      </w:pPr>
    </w:p>
    <w:p w14:paraId="17C69A91" w14:textId="6C77E671" w:rsidR="00C85B70" w:rsidRPr="00C85B70" w:rsidRDefault="750671CE" w:rsidP="00F94B7E">
      <w:pPr>
        <w:pStyle w:val="blockquote"/>
        <w:rPr>
          <w:lang w:eastAsia="en-US"/>
        </w:rPr>
      </w:pPr>
      <w:r w:rsidRPr="750671CE">
        <w:rPr>
          <w:lang w:eastAsia="en-US"/>
        </w:rPr>
        <w:t>In actual fact, the field of play is tilted, the deck is stacked, the game is fixed. Many lawyers charge for entrepreneurial risks they don</w:t>
      </w:r>
      <w:r w:rsidR="00B05F31">
        <w:rPr>
          <w:lang w:eastAsia="en-US"/>
        </w:rPr>
        <w:t>’</w:t>
      </w:r>
      <w:r w:rsidRPr="750671CE">
        <w:rPr>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C85B70" w:rsidRDefault="00C85B70" w:rsidP="00F94B7E">
      <w:pPr>
        <w:pStyle w:val="blockquote"/>
        <w:rPr>
          <w:lang w:eastAsia="en-US"/>
        </w:rPr>
      </w:pPr>
    </w:p>
    <w:p w14:paraId="4801965E" w14:textId="2A18E467" w:rsidR="00C85B70" w:rsidRPr="00C85B70" w:rsidRDefault="750671CE" w:rsidP="00F94B7E">
      <w:pPr>
        <w:pStyle w:val="blockquote"/>
        <w:rPr>
          <w:lang w:eastAsia="en-US"/>
        </w:rPr>
      </w:pPr>
      <w:r w:rsidRPr="750671CE">
        <w:rPr>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Pr>
          <w:lang w:eastAsia="en-US"/>
        </w:rPr>
        <w:t>“</w:t>
      </w:r>
      <w:r w:rsidRPr="750671CE">
        <w:rPr>
          <w:lang w:eastAsia="en-US"/>
        </w:rPr>
        <w:t>regulation through litigation</w:t>
      </w:r>
      <w:r w:rsidR="00B05F31">
        <w:rPr>
          <w:lang w:eastAsia="en-US"/>
        </w:rPr>
        <w:t>”</w:t>
      </w:r>
      <w:r w:rsidRPr="750671CE">
        <w:rPr>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13CB4511" w14:textId="7A513AED"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Lester Brickman, </w:t>
      </w:r>
      <w:r w:rsidRPr="750671CE">
        <w:rPr>
          <w:rFonts w:ascii="Times New Roman" w:eastAsia="Times New Roman" w:hAnsi="Times New Roman" w:cs="Times New Roman"/>
          <w:i/>
          <w:iCs/>
          <w:lang w:eastAsia="en-US"/>
        </w:rPr>
        <w:t>Unmasking the Powerful Force that has Mis-Shaped the American Civil Justice System</w:t>
      </w:r>
      <w:r w:rsidRPr="750671CE">
        <w:rPr>
          <w:rFonts w:ascii="Times New Roman" w:eastAsia="Times New Roman" w:hAnsi="Times New Roman" w:cs="Times New Roman"/>
          <w:lang w:eastAsia="en-US"/>
        </w:rPr>
        <w:t xml:space="preserve">, 4 </w:t>
      </w:r>
      <w:r w:rsidRPr="750671CE">
        <w:rPr>
          <w:rFonts w:ascii="Times New Roman" w:eastAsia="Times New Roman" w:hAnsi="Times New Roman" w:cs="Times New Roman"/>
          <w:smallCaps/>
          <w:lang w:eastAsia="en-US"/>
        </w:rPr>
        <w:t>Global Competition Litigation Rev.</w:t>
      </w:r>
      <w:r w:rsidRPr="750671CE">
        <w:rPr>
          <w:rFonts w:ascii="Times New Roman" w:eastAsia="Times New Roman" w:hAnsi="Times New Roman" w:cs="Times New Roman"/>
          <w:lang w:eastAsia="en-US"/>
        </w:rPr>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B29619D" w14:textId="646F872A" w:rsidR="00C85B70" w:rsidRPr="00C85B70" w:rsidRDefault="00C85B70" w:rsidP="750671CE">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Brickman</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proposed solution is what he calls the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early offer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proposal</w:t>
      </w:r>
      <w:r w:rsidR="00152D1C">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w:t>
      </w:r>
    </w:p>
    <w:p w14:paraId="0D92AD7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F155125" w14:textId="25A15317" w:rsidR="00C85B70" w:rsidRPr="00C85B70" w:rsidRDefault="008A6B99" w:rsidP="00F94B7E">
      <w:pPr>
        <w:pStyle w:val="blockquote"/>
        <w:rPr>
          <w:lang w:eastAsia="en-US"/>
        </w:rPr>
      </w:pPr>
      <w:r>
        <w:rPr>
          <w:lang w:eastAsia="en-US"/>
        </w:rPr>
        <w:t>[T]</w:t>
      </w:r>
      <w:r w:rsidR="750671CE" w:rsidRPr="750671CE">
        <w:rPr>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1401D0" w:rsidRDefault="00C85B70" w:rsidP="00C85B70">
      <w:pPr>
        <w:autoSpaceDE w:val="0"/>
        <w:autoSpaceDN w:val="0"/>
        <w:adjustRightInd w:val="0"/>
        <w:ind w:left="720"/>
        <w:rPr>
          <w:rFonts w:ascii="Times New Roman" w:eastAsia="Times New Roman" w:hAnsi="Times New Roman" w:cs="Times New Roman"/>
          <w:lang w:eastAsia="en-US"/>
        </w:rPr>
      </w:pPr>
    </w:p>
    <w:p w14:paraId="73027B26" w14:textId="747BBF2D" w:rsidR="00C85B70" w:rsidRPr="00C85B70" w:rsidRDefault="750671CE" w:rsidP="750671CE">
      <w:pPr>
        <w:autoSpaceDE w:val="0"/>
        <w:autoSpaceDN w:val="0"/>
        <w:adjustRightInd w:val="0"/>
        <w:rPr>
          <w:rFonts w:ascii="Times New Roman" w:eastAsia="Times New Roman" w:hAnsi="Times New Roman" w:cs="Times New Roman"/>
          <w:lang w:eastAsia="en-US"/>
        </w:rPr>
      </w:pPr>
      <w:r w:rsidRPr="00F94B7E">
        <w:rPr>
          <w:rFonts w:ascii="Times New Roman" w:eastAsia="Times New Roman" w:hAnsi="Times New Roman" w:cs="Times New Roman"/>
          <w:smallCaps/>
        </w:rPr>
        <w:t xml:space="preserve">Lester Brickman, </w:t>
      </w:r>
      <w:r w:rsidRPr="00F94B7E">
        <w:rPr>
          <w:rFonts w:ascii="Times New Roman" w:eastAsia="Times New Roman" w:hAnsi="Times New Roman" w:cs="Times New Roman"/>
          <w:iCs/>
          <w:smallCaps/>
        </w:rPr>
        <w:t>Lawyer Barons: What Their Contingency Fees Really Cost America</w:t>
      </w:r>
      <w:r w:rsidRPr="00F94B7E">
        <w:rPr>
          <w:rFonts w:ascii="Times New Roman" w:eastAsia="Times New Roman" w:hAnsi="Times New Roman" w:cs="Times New Roman"/>
          <w:smallCaps/>
        </w:rPr>
        <w:t xml:space="preserve"> </w:t>
      </w:r>
      <w:r w:rsidRPr="750671CE">
        <w:rPr>
          <w:rFonts w:ascii="Times New Roman" w:eastAsia="Times New Roman" w:hAnsi="Times New Roman" w:cs="Times New Roman"/>
        </w:rPr>
        <w:t xml:space="preserve">451 (2011).  </w:t>
      </w:r>
      <w:r w:rsidRPr="750671CE">
        <w:rPr>
          <w:rFonts w:ascii="Times New Roman" w:eastAsia="Times New Roman" w:hAnsi="Times New Roman" w:cs="Times New Roman"/>
          <w:lang w:eastAsia="en-US"/>
        </w:rPr>
        <w:t xml:space="preserve">Does this proposal make sense?  Note that some lawyers add vast value to a case simply by being appointed as counsel.  The threat of having a David Boies in the courtroom is often considerable enough to change the value of a case.  Should such super lawyers not be compensated for their reputations?  </w:t>
      </w:r>
    </w:p>
    <w:p w14:paraId="413B4F5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B5EF9FF" w14:textId="38FD645C"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some ways, critics of the contingent fee like Brickman and defenders like Posner are talking past each other</w:t>
      </w:r>
      <w:r w:rsidR="005D17F9" w:rsidRPr="005D17F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Brickman does not contest Posner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point that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have a strong incentive to maximize the settlement value of the cases they take on, and Posner does not contest Brickman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point that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may extract a higher than optimal cut of the total claim. </w:t>
      </w:r>
    </w:p>
    <w:p w14:paraId="25A9731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0B22AAD" w14:textId="77777777"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Is there a way we might reform the current contingency fee system to retain its advantages but mitigate the high costs of the system? </w:t>
      </w:r>
    </w:p>
    <w:p w14:paraId="1649654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8C03FF9" w14:textId="1626D374" w:rsidR="00C85B70" w:rsidRPr="00C85B70" w:rsidRDefault="750671CE" w:rsidP="00945FB9">
      <w:pPr>
        <w:autoSpaceDE w:val="0"/>
        <w:autoSpaceDN w:val="0"/>
        <w:adjustRightInd w:val="0"/>
        <w:ind w:left="720" w:right="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interests are in maximizing the total value of the claim. The lawyer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interests are in maximizing the implicit hourly wage. It follows that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representatives have powerful incentives to settle cases early in the process, before they have invested many hours in the claim, even if this means settling at a lower claim value.</w:t>
      </w:r>
    </w:p>
    <w:p w14:paraId="2262F6BF"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49A0B535" w14:textId="2B2DD7C2"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John Fabian Witt, </w:t>
      </w:r>
      <w:r w:rsidRPr="750671CE">
        <w:rPr>
          <w:rFonts w:ascii="Times New Roman" w:eastAsia="Times New Roman" w:hAnsi="Times New Roman" w:cs="Times New Roman"/>
          <w:i/>
          <w:iCs/>
          <w:lang w:eastAsia="en-US"/>
        </w:rPr>
        <w:t>Bureaucratic Legalism, American Style: Private Bureaucratic Legalism and the Governance of the Torts System</w:t>
      </w:r>
      <w:r w:rsidRPr="750671CE">
        <w:rPr>
          <w:rFonts w:ascii="Times New Roman" w:eastAsia="Times New Roman" w:hAnsi="Times New Roman" w:cs="Times New Roman"/>
          <w:lang w:eastAsia="en-US"/>
        </w:rPr>
        <w:t xml:space="preserve">, 56 </w:t>
      </w:r>
      <w:r w:rsidRPr="750671CE">
        <w:rPr>
          <w:rFonts w:ascii="Times New Roman" w:eastAsia="Times New Roman" w:hAnsi="Times New Roman" w:cs="Times New Roman"/>
          <w:smallCaps/>
          <w:lang w:eastAsia="en-US"/>
        </w:rPr>
        <w:t>DePaul L. Rev. 261</w:t>
      </w:r>
      <w:r w:rsidRPr="750671CE">
        <w:rPr>
          <w:rFonts w:ascii="Times New Roman" w:eastAsia="Times New Roman" w:hAnsi="Times New Roman" w:cs="Times New Roman"/>
          <w:lang w:eastAsia="en-US"/>
        </w:rPr>
        <w:t xml:space="preserve"> (2007). Your author identifies two developments in the market for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legal services that have mitigated this difficulty. The first is the use of escalating sliding scale fees, in which the lawyer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share of the damages increases at each successive stage of the case (summary judgment, trial, post-trial, appeal). An upwardly sliding fee scale helps (albeit only roughly) to align the client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and the lawyer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interests with respect to the duration of litigation.</w:t>
      </w:r>
    </w:p>
    <w:p w14:paraId="3554987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0969910E" w14:textId="55771540" w:rsidR="00C85B70" w:rsidRPr="00C85B70" w:rsidRDefault="00C85B70" w:rsidP="750671CE">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The second development is the rise of referral markets among lawyers in the market for personal injury legal services, and in particular the role of reput</w:t>
      </w:r>
      <w:r w:rsidR="005450F3">
        <w:rPr>
          <w:rFonts w:ascii="Times New Roman" w:eastAsia="Times New Roman" w:hAnsi="Times New Roman" w:cs="Times New Roman"/>
          <w:lang w:eastAsia="en-US"/>
        </w:rPr>
        <w:t xml:space="preserve">ation in that referral market. </w:t>
      </w:r>
      <w:r w:rsidRPr="00C85B70">
        <w:rPr>
          <w:rFonts w:ascii="Times New Roman" w:eastAsia="Times New Roman" w:hAnsi="Times New Roman" w:cs="Times New Roman"/>
          <w:lang w:eastAsia="en-US"/>
        </w:rPr>
        <w:t>In high-stakes personal injury cases, a robust lawyer-to-lawyer referral market has arisen, such that lawyers who initially get high-value cases tend more and more to refer them to specialists in return fo</w:t>
      </w:r>
      <w:r w:rsidR="005450F3">
        <w:rPr>
          <w:rFonts w:ascii="Times New Roman" w:eastAsia="Times New Roman" w:hAnsi="Times New Roman" w:cs="Times New Roman"/>
          <w:lang w:eastAsia="en-US"/>
        </w:rPr>
        <w:t xml:space="preserve">r a cut of the contingent fee. </w:t>
      </w:r>
      <w:r w:rsidRPr="00C85B70">
        <w:rPr>
          <w:rFonts w:ascii="Times New Roman" w:eastAsia="Times New Roman" w:hAnsi="Times New Roman" w:cs="Times New Roman"/>
          <w:lang w:eastAsia="en-US"/>
        </w:rPr>
        <w:t>The lawyer-to-lawyer referral networks offer a market solution to the lawyer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skewed incentive to settle low rather than go to trial because any lawyer who hopes for future referrals has a reputational interest in max</w:t>
      </w:r>
      <w:r w:rsidR="005450F3">
        <w:rPr>
          <w:rFonts w:ascii="Times New Roman" w:eastAsia="Times New Roman" w:hAnsi="Times New Roman" w:cs="Times New Roman"/>
          <w:lang w:eastAsia="en-US"/>
        </w:rPr>
        <w:t>imizing the value of the claim.</w:t>
      </w:r>
      <w:r w:rsidRPr="00C85B70">
        <w:rPr>
          <w:rFonts w:ascii="Times New Roman" w:eastAsia="Times New Roman" w:hAnsi="Times New Roman" w:cs="Times New Roman"/>
          <w:lang w:eastAsia="en-US"/>
        </w:rPr>
        <w:t xml:space="preserve"> (Note, too, that the referring lawyer typically has no implicit hourly wage calculation because the work is typically finished after the referral itself.)</w:t>
      </w:r>
    </w:p>
    <w:p w14:paraId="31EE83AE"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263E6987" w14:textId="0720CC8D"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A century ago, some labor unions (especially in dangerous railroad work) aimed to create referral systems. They provided their members with expertise in selecting a lawyer in return for a small cut of any winnings, which in turn allowed the unions to monitor lawyer performance. In 1964, however, the U.S. Supreme Court ruled that while such organizations could offer referrals for free, and that such offers were protected speech under the First Amendment of the Constitution, there was no right to engage in referrals for a fee.  </w:t>
      </w:r>
      <w:r w:rsidRPr="750671CE">
        <w:rPr>
          <w:rFonts w:ascii="Times New Roman" w:eastAsia="Times New Roman" w:hAnsi="Times New Roman" w:cs="Times New Roman"/>
          <w:i/>
          <w:iCs/>
          <w:lang w:eastAsia="en-US"/>
        </w:rPr>
        <w:t>See Brotherhood of Railway Trainmen v. Virginia</w:t>
      </w:r>
      <w:r w:rsidRPr="750671CE">
        <w:rPr>
          <w:rFonts w:ascii="Times New Roman" w:eastAsia="Times New Roman" w:hAnsi="Times New Roman" w:cs="Times New Roman"/>
          <w:lang w:eastAsia="en-US"/>
        </w:rPr>
        <w:t>, 377 U.S. 1 (1964). State bar associations have effectively prohibited such referral systems ever since.</w:t>
      </w:r>
    </w:p>
    <w:p w14:paraId="4DBC66C9" w14:textId="1C622922" w:rsidR="00051CC4" w:rsidRDefault="00051CC4">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163587B1" w14:textId="77C9E4D8" w:rsidR="00C85B70" w:rsidRPr="00C85B70" w:rsidRDefault="00C85B70" w:rsidP="00322687">
      <w:pPr>
        <w:pStyle w:val="Heading3"/>
      </w:pPr>
      <w:bookmarkStart w:id="1111" w:name="_Toc364636308"/>
      <w:bookmarkStart w:id="1112" w:name="_Toc518323595"/>
      <w:r w:rsidRPr="00C85B70">
        <w:t xml:space="preserve">2.  The </w:t>
      </w:r>
      <w:r w:rsidR="00783850">
        <w:t>R</w:t>
      </w:r>
      <w:r w:rsidRPr="00C85B70">
        <w:t xml:space="preserve">ole of </w:t>
      </w:r>
      <w:r w:rsidR="00783850">
        <w:t>D</w:t>
      </w:r>
      <w:r w:rsidRPr="00C85B70">
        <w:t>efendants</w:t>
      </w:r>
      <w:r w:rsidR="00B05F31">
        <w:t>’</w:t>
      </w:r>
      <w:r w:rsidRPr="00C85B70">
        <w:t xml:space="preserve"> </w:t>
      </w:r>
      <w:r w:rsidR="00783850">
        <w:t>I</w:t>
      </w:r>
      <w:r w:rsidRPr="00C85B70">
        <w:t>nsurance</w:t>
      </w:r>
      <w:bookmarkEnd w:id="1111"/>
      <w:bookmarkEnd w:id="1112"/>
    </w:p>
    <w:p w14:paraId="1EA33C2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7747C6D6" w14:textId="6BFFF071" w:rsidR="00C85B70" w:rsidRPr="00C85B70" w:rsidRDefault="750671CE" w:rsidP="750671CE">
      <w:pPr>
        <w:autoSpaceDE w:val="0"/>
        <w:autoSpaceDN w:val="0"/>
        <w:adjustRightInd w:val="0"/>
        <w:ind w:right="-720"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plaintiff,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lawyer, and the defendant are not the only three parties involved in the actual practice of settling and paying damages.  Insurance companies also play critical roles in this process. As we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ve discussed since the outset of this book, defendants typically have insurance, for the simple reason that defendants without insurance are often judgment-proof and not worth suing. But if insurance is often a prerequisite for litigation, the policy limits set in the insurance contract often seem to set the outer limits of damages because plaintiffs don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typically push beyond the upper limit of the liability insurance policy. Torts and insurance scholar Tom Baker has observed that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have a special term for damages above the policy limit, which would have to be paid by the defendant herself or himself: they call such damages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blood money.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Baker interviewed one defense lawyer, who explained the problem this way: </w:t>
      </w:r>
    </w:p>
    <w:p w14:paraId="17A3E6B2"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05D60453" w14:textId="0B22F078" w:rsidR="00C85B70" w:rsidRPr="00C85B70" w:rsidRDefault="750671CE" w:rsidP="00F94B7E">
      <w:pPr>
        <w:pStyle w:val="blockquote"/>
        <w:rPr>
          <w:lang w:eastAsia="en-US"/>
        </w:rPr>
      </w:pPr>
      <w:r w:rsidRPr="750671CE">
        <w:rPr>
          <w:lang w:eastAsia="en-US"/>
        </w:rPr>
        <w:t xml:space="preserve">Q: </w:t>
      </w:r>
      <w:r w:rsidR="00B05F31">
        <w:rPr>
          <w:lang w:eastAsia="en-US"/>
        </w:rPr>
        <w:t>“</w:t>
      </w:r>
      <w:r w:rsidRPr="750671CE">
        <w:rPr>
          <w:lang w:eastAsia="en-US"/>
        </w:rPr>
        <w:t>Do you ever have cases where your defendants are not insured?</w:t>
      </w:r>
      <w:r w:rsidR="00B05F31">
        <w:rPr>
          <w:lang w:eastAsia="en-US"/>
        </w:rPr>
        <w:t>”</w:t>
      </w:r>
    </w:p>
    <w:p w14:paraId="7E708677" w14:textId="77777777" w:rsidR="00C85B70" w:rsidRPr="00C85B70" w:rsidRDefault="00C85B70" w:rsidP="00F94B7E">
      <w:pPr>
        <w:pStyle w:val="blockquote"/>
        <w:rPr>
          <w:lang w:eastAsia="en-US"/>
        </w:rPr>
      </w:pPr>
    </w:p>
    <w:p w14:paraId="3DE38AC7" w14:textId="42890022" w:rsidR="00C85B70" w:rsidRPr="00C85B70" w:rsidRDefault="750671CE" w:rsidP="00F94B7E">
      <w:pPr>
        <w:pStyle w:val="blockquote"/>
        <w:rPr>
          <w:lang w:eastAsia="en-US"/>
        </w:rPr>
      </w:pPr>
      <w:r w:rsidRPr="750671CE">
        <w:rPr>
          <w:lang w:eastAsia="en-US"/>
        </w:rPr>
        <w:t xml:space="preserve">A: </w:t>
      </w:r>
      <w:r w:rsidR="00B05F31">
        <w:rPr>
          <w:lang w:eastAsia="en-US"/>
        </w:rPr>
        <w:t>“</w:t>
      </w:r>
      <w:r w:rsidRPr="750671CE">
        <w:rPr>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Pr>
          <w:lang w:eastAsia="en-US"/>
        </w:rPr>
        <w:t>’</w:t>
      </w:r>
      <w:r w:rsidRPr="750671CE">
        <w:rPr>
          <w:lang w:eastAsia="en-US"/>
        </w:rPr>
        <w:t>t even want to try. You</w:t>
      </w:r>
      <w:r w:rsidR="00B05F31">
        <w:rPr>
          <w:lang w:eastAsia="en-US"/>
        </w:rPr>
        <w:t>’</w:t>
      </w:r>
      <w:r w:rsidRPr="750671CE">
        <w:rPr>
          <w:lang w:eastAsia="en-US"/>
        </w:rPr>
        <w:t>re petrified. Normally, when you try these cases, even if somebody</w:t>
      </w:r>
      <w:r w:rsidR="00B05F31">
        <w:rPr>
          <w:lang w:eastAsia="en-US"/>
        </w:rPr>
        <w:t>’</w:t>
      </w:r>
      <w:r w:rsidRPr="750671CE">
        <w:rPr>
          <w:lang w:eastAsia="en-US"/>
        </w:rPr>
        <w:t>s only got a twenty policy or fifty policy, if it goes over, the insurance company just pays. But, when there is nothing there, you walk in and they [the plaintiff</w:t>
      </w:r>
      <w:r w:rsidR="00B05F31">
        <w:rPr>
          <w:lang w:eastAsia="en-US"/>
        </w:rPr>
        <w:t>’</w:t>
      </w:r>
      <w:r w:rsidRPr="750671CE">
        <w:rPr>
          <w:lang w:eastAsia="en-US"/>
        </w:rPr>
        <w:t>s lawyers on the other side] just automatically assume because you</w:t>
      </w:r>
      <w:r w:rsidR="00B05F31">
        <w:rPr>
          <w:lang w:eastAsia="en-US"/>
        </w:rPr>
        <w:t>’</w:t>
      </w:r>
      <w:r w:rsidRPr="750671CE">
        <w:rPr>
          <w:lang w:eastAsia="en-US"/>
        </w:rPr>
        <w:t xml:space="preserve">re there that there is insurance. I almost want to wear a badge saying </w:t>
      </w:r>
      <w:r w:rsidR="00B05F31">
        <w:rPr>
          <w:lang w:eastAsia="en-US"/>
        </w:rPr>
        <w:t>‘</w:t>
      </w:r>
      <w:r w:rsidRPr="750671CE">
        <w:rPr>
          <w:lang w:eastAsia="en-US"/>
        </w:rPr>
        <w:t>There is no insurance here.</w:t>
      </w:r>
      <w:r w:rsidR="00B05F31">
        <w:rPr>
          <w:lang w:eastAsia="en-US"/>
        </w:rPr>
        <w:t>’</w:t>
      </w:r>
      <w:r w:rsidRPr="750671CE">
        <w:rPr>
          <w:lang w:eastAsia="en-US"/>
        </w:rPr>
        <w:t xml:space="preserve"> This is what we call blood money, instead of insurance company money. We call it blood money because it is coming out of their pockets.</w:t>
      </w:r>
      <w:r w:rsidR="00B05F31">
        <w:rPr>
          <w:lang w:eastAsia="en-US"/>
        </w:rPr>
        <w:t>”</w:t>
      </w:r>
    </w:p>
    <w:p w14:paraId="5D4FBE65"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57481B2E" w14:textId="54B802C8"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Tom Baker, </w:t>
      </w:r>
      <w:r w:rsidRPr="750671CE">
        <w:rPr>
          <w:rFonts w:ascii="Times New Roman" w:eastAsia="Times New Roman" w:hAnsi="Times New Roman" w:cs="Times New Roman"/>
          <w:i/>
          <w:iCs/>
          <w:lang w:eastAsia="en-US"/>
        </w:rPr>
        <w:t>Blood Money, New Money, and the Moral Economy of Tort Law in Action</w:t>
      </w:r>
      <w:r w:rsidRPr="750671CE">
        <w:rPr>
          <w:rFonts w:ascii="Times New Roman" w:eastAsia="Times New Roman" w:hAnsi="Times New Roman" w:cs="Times New Roman"/>
          <w:lang w:eastAsia="en-US"/>
        </w:rPr>
        <w:t xml:space="preserve">, 35 </w:t>
      </w:r>
      <w:r w:rsidRPr="750671CE">
        <w:rPr>
          <w:rFonts w:ascii="Times New Roman" w:eastAsia="Times New Roman" w:hAnsi="Times New Roman" w:cs="Times New Roman"/>
          <w:smallCaps/>
          <w:lang w:eastAsia="en-US"/>
        </w:rPr>
        <w:t>Law &amp; Soc</w:t>
      </w:r>
      <w:r w:rsidR="00D56554">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y Rev.</w:t>
      </w:r>
      <w:r w:rsidRPr="750671CE">
        <w:rPr>
          <w:rFonts w:ascii="Times New Roman" w:eastAsia="Times New Roman" w:hAnsi="Times New Roman" w:cs="Times New Roman"/>
          <w:lang w:eastAsia="en-US"/>
        </w:rPr>
        <w:t xml:space="preserve"> 275 (2001).</w:t>
      </w:r>
    </w:p>
    <w:p w14:paraId="0447A289"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B3307AF" w14:textId="324F8381"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Baker found in his interviews that most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denied being willing to pursue blood money, except in exceptional cases.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We don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do it often,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 told him.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And if you talk to every responsible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 in the state, I</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ll bet 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rare.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Baker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interlocutors described their reasons as ethical: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hard to take somebody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house away. I mean, you know, people with kids and mothers and fathers, and they worked their whole lives, probably, to acquire that home. I mean, 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not easy.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so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asserted that they followed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unwritten union rule that you take the coverage and you go home.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What about the lawyer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obligation to pursue his client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interests?  Baker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interview subjects insisted that they would not represent clients who demanded damages over the policy limits. </w:t>
      </w:r>
    </w:p>
    <w:p w14:paraId="7FBA9AF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34D7E021" w14:textId="34D45F3D"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An exception to the rule arose when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defendant failed to purchase adequate insurance.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 such instances,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cited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wrongful failure to insure adequately as grounds for the collection of blood money.  In addition, certain intentional torts, including rape and drunk driving, warranted the collection of blood money as well. </w:t>
      </w:r>
    </w:p>
    <w:p w14:paraId="58BE2921"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23CBA59" w14:textId="2F74C554"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Empirical studies have confirmed Baker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qualitative analysis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blood money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This was more common with cases involving infants, which tend to have even higher damages awards. Less than 2% of cases involved payments above the upper limit of the insurance policy</w:t>
      </w:r>
      <w:r w:rsidR="008A6B9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and even in many of those cases, insurance companies paid the difference (presumably to avoid failure to settle claims). However, the rate of cases that involved payments beyond the insurance policy were several times higher for defendants that had purchased insurance policies with relatively low (under $250,000) limits. </w:t>
      </w:r>
      <w:r w:rsidRPr="00F94B7E">
        <w:rPr>
          <w:rFonts w:ascii="Times New Roman" w:eastAsia="Times New Roman" w:hAnsi="Times New Roman" w:cs="Times New Roman"/>
          <w:i/>
          <w:lang w:eastAsia="en-US"/>
        </w:rPr>
        <w:t>See</w:t>
      </w:r>
      <w:r w:rsidRPr="750671CE">
        <w:rPr>
          <w:rFonts w:ascii="Times New Roman" w:eastAsia="Times New Roman" w:hAnsi="Times New Roman" w:cs="Times New Roman"/>
          <w:lang w:eastAsia="en-US"/>
        </w:rPr>
        <w:t xml:space="preserve"> Charles Silver, Kathryn Zeiler, Bernard S. Black, David A. Hyman &amp; William M. Sage, </w:t>
      </w:r>
      <w:r w:rsidRPr="00F94B7E">
        <w:rPr>
          <w:rFonts w:ascii="Times New Roman" w:eastAsia="Times New Roman" w:hAnsi="Times New Roman" w:cs="Times New Roman"/>
          <w:i/>
          <w:lang w:eastAsia="en-US"/>
        </w:rPr>
        <w:t>Malpractice Payouts and Malpractice Insurance: Evidence from Texas Closed Claims</w:t>
      </w:r>
      <w:r w:rsidRPr="750671CE">
        <w:rPr>
          <w:rFonts w:ascii="Times New Roman" w:eastAsia="Times New Roman" w:hAnsi="Times New Roman" w:cs="Times New Roman"/>
          <w:lang w:eastAsia="en-US"/>
        </w:rPr>
        <w:t xml:space="preserve">, 1990-2003, 33 </w:t>
      </w:r>
      <w:r w:rsidRPr="750671CE">
        <w:rPr>
          <w:rFonts w:ascii="Times New Roman" w:eastAsia="Times New Roman" w:hAnsi="Times New Roman" w:cs="Times New Roman"/>
          <w:i/>
          <w:iCs/>
          <w:lang w:eastAsia="en-US"/>
        </w:rPr>
        <w:t>The Geneva Papers on Risk and Insurance: Issues and Practice</w:t>
      </w:r>
      <w:r w:rsidRPr="750671CE">
        <w:rPr>
          <w:rFonts w:ascii="Times New Roman" w:eastAsia="Times New Roman" w:hAnsi="Times New Roman" w:cs="Times New Roman"/>
          <w:lang w:eastAsia="en-US"/>
        </w:rPr>
        <w:t xml:space="preserve"> 177 (2008).</w:t>
      </w:r>
    </w:p>
    <w:p w14:paraId="3EC59643"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lang w:eastAsia="en-US"/>
        </w:rPr>
      </w:pPr>
    </w:p>
    <w:p w14:paraId="3D226F71" w14:textId="21D18396"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What best explains the reluctance to seek blood money?  Is it a moral economy of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bar?  Or is it the acute difficulty and great expense of seizing personal assets?  Note that one possibility is that seeking blood money is a specialist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game, and that while most cases do not require the pursuit of blood money, those that do go to the specialists.  </w:t>
      </w:r>
    </w:p>
    <w:p w14:paraId="6D1A197D"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1D50CFA4"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403A8A8A" w14:textId="2C5EDBE8" w:rsidR="00C85B70" w:rsidRPr="00C85B70" w:rsidRDefault="00C85B70" w:rsidP="00322687">
      <w:pPr>
        <w:pStyle w:val="Heading3"/>
      </w:pPr>
      <w:bookmarkStart w:id="1113" w:name="_Toc364636309"/>
      <w:bookmarkStart w:id="1114" w:name="_Toc518323596"/>
      <w:r w:rsidRPr="00C85B70">
        <w:t xml:space="preserve">3.  Subrogation; or, </w:t>
      </w:r>
      <w:r w:rsidR="003C5566">
        <w:t>T</w:t>
      </w:r>
      <w:r w:rsidRPr="00C85B70">
        <w:t xml:space="preserve">he </w:t>
      </w:r>
      <w:r w:rsidR="003C5566">
        <w:t>R</w:t>
      </w:r>
      <w:r w:rsidRPr="00C85B70">
        <w:t xml:space="preserve">ole of </w:t>
      </w:r>
      <w:r w:rsidR="003C5566">
        <w:t>P</w:t>
      </w:r>
      <w:r w:rsidRPr="00C85B70">
        <w:t>laintiffs</w:t>
      </w:r>
      <w:r w:rsidR="00B05F31">
        <w:t>’</w:t>
      </w:r>
      <w:r w:rsidRPr="00C85B70">
        <w:t xml:space="preserve"> </w:t>
      </w:r>
      <w:r w:rsidR="003C5566">
        <w:t>I</w:t>
      </w:r>
      <w:r w:rsidRPr="00C85B70">
        <w:t>nsurance</w:t>
      </w:r>
      <w:bookmarkEnd w:id="1113"/>
      <w:bookmarkEnd w:id="1114"/>
    </w:p>
    <w:p w14:paraId="0ACFB7D1" w14:textId="77777777" w:rsidR="00C85B70" w:rsidRPr="00C85B70" w:rsidRDefault="00C85B70" w:rsidP="00C85B70">
      <w:pPr>
        <w:autoSpaceDE w:val="0"/>
        <w:autoSpaceDN w:val="0"/>
        <w:adjustRightInd w:val="0"/>
        <w:rPr>
          <w:rFonts w:ascii="Times New Roman" w:eastAsia="Times New Roman" w:hAnsi="Times New Roman" w:cs="Times New Roman"/>
          <w:highlight w:val="green"/>
          <w:lang w:eastAsia="en-US"/>
        </w:rPr>
      </w:pPr>
    </w:p>
    <w:p w14:paraId="5DCB7A7B" w14:textId="2EA661A8"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How does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insurer (for example, a health insurer or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provider) enter into the picture? Many insurance companies include subrogation clauses in their insurance contracts. A subrogation clause allows the insurer to pursue claims against a tortfeasor on the policyholder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behalf and entitles the insurer to recover any damages paid that were covered by the insurer. </w:t>
      </w:r>
    </w:p>
    <w:p w14:paraId="6226AB4E" w14:textId="77777777" w:rsidR="00C85B70" w:rsidRPr="00C85B70" w:rsidRDefault="00C85B70" w:rsidP="00C85B70">
      <w:pPr>
        <w:autoSpaceDE w:val="0"/>
        <w:autoSpaceDN w:val="0"/>
        <w:adjustRightInd w:val="0"/>
        <w:ind w:right="-720" w:firstLine="720"/>
        <w:rPr>
          <w:rFonts w:ascii="Times New Roman" w:eastAsia="Times New Roman" w:hAnsi="Times New Roman" w:cs="Times New Roman"/>
          <w:highlight w:val="green"/>
          <w:lang w:eastAsia="en-US"/>
        </w:rPr>
      </w:pPr>
    </w:p>
    <w:p w14:paraId="0086BB63" w14:textId="5D9D8F51" w:rsidR="00C85B70" w:rsidRPr="00C85B70" w:rsidRDefault="00C85B70" w:rsidP="750671CE">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Some states, by statute or common law, have limited the reach of subrogation clauses. Arizona has held that subrogation of personal injury claims amounts to an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assignment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of personal injury claims, which cannot be assigned. </w:t>
      </w:r>
      <w:r w:rsidRPr="750671CE">
        <w:rPr>
          <w:rFonts w:ascii="Times New Roman" w:eastAsia="Times New Roman" w:hAnsi="Times New Roman" w:cs="Times New Roman"/>
          <w:i/>
          <w:iCs/>
          <w:lang w:eastAsia="en-US"/>
        </w:rPr>
        <w:t>State Farm Fire &amp; Casualty Co. v. Knapp</w:t>
      </w:r>
      <w:r w:rsidRPr="00C85B70">
        <w:rPr>
          <w:rFonts w:ascii="Times New Roman" w:eastAsia="Times New Roman" w:hAnsi="Times New Roman" w:cs="Times New Roman"/>
          <w:lang w:eastAsia="en-US"/>
        </w:rPr>
        <w:t>, 484 P.2d 180, 180 (Ariz. 1971). Virginia</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legislature prohibiting contracts subrogating personal injury claims. </w:t>
      </w:r>
      <w:r w:rsidRPr="00F94B7E">
        <w:rPr>
          <w:rFonts w:ascii="Times New Roman" w:eastAsia="Times New Roman" w:hAnsi="Times New Roman" w:cs="Times New Roman"/>
          <w:smallCaps/>
          <w:lang w:eastAsia="en-US"/>
        </w:rPr>
        <w:t>Va. Code</w:t>
      </w:r>
      <w:r w:rsidRPr="00C85B70">
        <w:rPr>
          <w:rFonts w:ascii="Times New Roman" w:eastAsia="Times New Roman" w:hAnsi="Times New Roman" w:cs="Times New Roman"/>
          <w:lang w:eastAsia="en-US"/>
        </w:rPr>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70DF1DA3" w14:textId="709DC5E2" w:rsidR="00C85B70" w:rsidRPr="00C85B70" w:rsidRDefault="00C85B70" w:rsidP="750671CE">
      <w:pPr>
        <w:autoSpaceDE w:val="0"/>
        <w:autoSpaceDN w:val="0"/>
        <w:adjustRightInd w:val="0"/>
        <w:ind w:right="-72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In any event, subrogation claims are often quite difficult to win.  Tom Baker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qualitative study of plaintiffs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lawyers revealed some surprising results about the actual role of parties insuring the plaintiff who have subrogated claims of some kind.  In Connecticut, where Baker did his study, state law provides that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insurers have a lien on all tort damages recovered by a plaintiff who has also received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benefits for the injury in question.  Such a plaintiff, by the terms of the Connecticut statute, will only be able to capture tort damages over and above whatever amount the compensation insurer</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 claim.  Nonetheless, in practice, workers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compensation insurers share the damages with plaintiffs according to what lawyers in the field call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 rule of thirds.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Baker explains through the voice of one of his interview subjects:</w:t>
      </w:r>
    </w:p>
    <w:p w14:paraId="3A80DE37"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7CD9C250" w14:textId="7650B017" w:rsidR="00C85B70" w:rsidRPr="00C85B70" w:rsidRDefault="750671CE" w:rsidP="00F94B7E">
      <w:pPr>
        <w:pStyle w:val="blockquote"/>
        <w:rPr>
          <w:lang w:eastAsia="en-US"/>
        </w:rPr>
      </w:pPr>
      <w:r w:rsidRPr="750671CE">
        <w:rPr>
          <w:lang w:eastAsia="en-US"/>
        </w:rPr>
        <w:t>That means that whatever money that the defendant was going to put up is split three ways. The plaintiff</w:t>
      </w:r>
      <w:r w:rsidR="00B05F31">
        <w:rPr>
          <w:lang w:eastAsia="en-US"/>
        </w:rPr>
        <w:t>’</w:t>
      </w:r>
      <w:r w:rsidRPr="750671CE">
        <w:rPr>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01D7259" w14:textId="2242EFBD"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Baker, </w:t>
      </w:r>
      <w:r w:rsidRPr="750671CE">
        <w:rPr>
          <w:rFonts w:ascii="Times New Roman" w:eastAsia="Times New Roman" w:hAnsi="Times New Roman" w:cs="Times New Roman"/>
          <w:i/>
          <w:iCs/>
          <w:lang w:eastAsia="en-US"/>
        </w:rPr>
        <w:t>Blood Money, New Money</w:t>
      </w:r>
      <w:r w:rsidRPr="750671CE">
        <w:rPr>
          <w:rFonts w:ascii="Times New Roman" w:eastAsia="Times New Roman" w:hAnsi="Times New Roman" w:cs="Times New Roman"/>
          <w:lang w:eastAsia="en-US"/>
        </w:rPr>
        <w:t>,</w:t>
      </w:r>
      <w:r w:rsidRPr="750671CE">
        <w:rPr>
          <w:rFonts w:ascii="Times New Roman" w:eastAsia="Times New Roman" w:hAnsi="Times New Roman" w:cs="Times New Roman"/>
          <w:i/>
          <w:iCs/>
          <w:lang w:eastAsia="en-US"/>
        </w:rPr>
        <w:t xml:space="preserve"> supra.</w:t>
      </w:r>
      <w:r w:rsidRPr="750671CE">
        <w:rPr>
          <w:rFonts w:ascii="Times New Roman" w:eastAsia="Times New Roman" w:hAnsi="Times New Roman" w:cs="Times New Roman"/>
          <w:lang w:eastAsia="en-US"/>
        </w:rPr>
        <w:t xml:space="preserve">  But if the compensation insurers could by law take a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compensation setting or in any other subrogation setting, the insurer usually needs the plaintiff for the claim to be successful.  The insurer needs the plaintiff to attend depositions and to </w:t>
      </w:r>
      <w:r w:rsidR="008A6B99">
        <w:rPr>
          <w:rFonts w:ascii="Times New Roman" w:eastAsia="Times New Roman" w:hAnsi="Times New Roman" w:cs="Times New Roman"/>
          <w:lang w:eastAsia="en-US"/>
        </w:rPr>
        <w:t xml:space="preserve">go </w:t>
      </w:r>
      <w:r w:rsidRPr="750671CE">
        <w:rPr>
          <w:rFonts w:ascii="Times New Roman" w:eastAsia="Times New Roman" w:hAnsi="Times New Roman" w:cs="Times New Roman"/>
          <w:lang w:eastAsia="en-US"/>
        </w:rPr>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recovery.  </w:t>
      </w:r>
    </w:p>
    <w:p w14:paraId="74B88C9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FA33749" w14:textId="2DC2FCB6" w:rsidR="00C85B70" w:rsidRPr="00C85B70" w:rsidRDefault="00C85B70" w:rsidP="00C85B70">
      <w:pPr>
        <w:autoSpaceDE w:val="0"/>
        <w:autoSpaceDN w:val="0"/>
        <w:adjustRightInd w:val="0"/>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the dynamics of the tort settlement process.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The term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new money</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in the following passage refers to settlement amounts or damages awards allocated to the plaintiff over and above any collateral benefits he or she has already received, as opposed to settlement amounts or damages allocated as reimbursement to the insurer or other provider of the collateral benefits in question:</w:t>
      </w:r>
    </w:p>
    <w:p w14:paraId="238CC9A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B2004B8" w14:textId="72BBBAD6" w:rsidR="00C85B70" w:rsidRPr="00C85B70" w:rsidRDefault="750671CE" w:rsidP="00F94B7E">
      <w:pPr>
        <w:pStyle w:val="blockquote"/>
        <w:rPr>
          <w:lang w:eastAsia="en-US"/>
        </w:rPr>
      </w:pPr>
      <w:r w:rsidRPr="750671CE">
        <w:rPr>
          <w:lang w:eastAsia="en-US"/>
        </w:rPr>
        <w:t>[I]f the plaintiff has little or nothing to lose by going to trial, the plaintiff will go to trial; and trial poses substantial risks for the defendant, the defendant</w:t>
      </w:r>
      <w:r w:rsidR="00B05F31">
        <w:rPr>
          <w:lang w:eastAsia="en-US"/>
        </w:rPr>
        <w:t>’</w:t>
      </w:r>
      <w:r w:rsidRPr="750671CE">
        <w:rPr>
          <w:lang w:eastAsia="en-US"/>
        </w:rPr>
        <w:t>s liability insurance carrier, and the [workers</w:t>
      </w:r>
      <w:r w:rsidR="00B05F31">
        <w:rPr>
          <w:lang w:eastAsia="en-US"/>
        </w:rPr>
        <w:t>’</w:t>
      </w:r>
      <w:r w:rsidRPr="750671CE">
        <w:rPr>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38EED21B" w14:textId="10C7A3E9"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Baker, </w:t>
      </w:r>
      <w:r w:rsidRPr="750671CE">
        <w:rPr>
          <w:rFonts w:ascii="Times New Roman" w:eastAsia="Times New Roman" w:hAnsi="Times New Roman" w:cs="Times New Roman"/>
          <w:i/>
          <w:iCs/>
          <w:lang w:eastAsia="en-US"/>
        </w:rPr>
        <w:t>Blood Money, New Money</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supra</w:t>
      </w:r>
      <w:r w:rsidRPr="750671CE">
        <w:rPr>
          <w:rFonts w:ascii="Times New Roman" w:eastAsia="Times New Roman" w:hAnsi="Times New Roman" w:cs="Times New Roman"/>
          <w:lang w:eastAsia="en-US"/>
        </w:rPr>
        <w:t xml:space="preserve">.  Note that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blood money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norm seems to hold even in this more complex subrogation litigation. Baker finds that most subrogation claims holders also typically avoid seeking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blood money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settle for insurance policy caps.  </w:t>
      </w:r>
    </w:p>
    <w:p w14:paraId="3CFF269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377F4A1" w14:textId="671E60BE"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worth noting that traditionally, many insurers simply abandoned their subrogation claims. Subrogation litigation was expensive and rarely seemed to be worth the expense.  But beginning in the 1970s, a lawyer in Philadelphia named Steve Cozen began approaching insurers and offering to handle their portfolio of subrogation claims on a contingency fee basis. Cozen won his first subrogation case in the 1970s.  Since then, the practice has developed into a large one, employing many lawyers and forming the core of the increasingly large law firm, Cozen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Connor.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Jason Fagone, </w:t>
      </w:r>
      <w:r w:rsidRPr="00F94B7E">
        <w:rPr>
          <w:rFonts w:ascii="Times New Roman" w:eastAsia="Times New Roman" w:hAnsi="Times New Roman" w:cs="Times New Roman"/>
          <w:i/>
          <w:iCs/>
          <w:lang w:eastAsia="en-US"/>
        </w:rPr>
        <w:t>Steve Cozen Profile: The Inside Man</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Phila. Mag</w:t>
      </w:r>
      <w:r w:rsidRPr="750671CE">
        <w:rPr>
          <w:rFonts w:ascii="Times New Roman" w:eastAsia="Times New Roman" w:hAnsi="Times New Roman" w:cs="Times New Roman"/>
          <w:lang w:eastAsia="en-US"/>
        </w:rPr>
        <w:t xml:space="preserve">. (Feb. 26, 2010). Chris Mondics, </w:t>
      </w:r>
      <w:r w:rsidRPr="00F94B7E">
        <w:rPr>
          <w:rFonts w:ascii="Times New Roman" w:eastAsia="Times New Roman" w:hAnsi="Times New Roman" w:cs="Times New Roman"/>
          <w:i/>
          <w:iCs/>
          <w:lang w:eastAsia="en-US"/>
        </w:rPr>
        <w:t>How Cozen Took on a Kingdom for 9/11 Liability</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Phila. Inquirer</w:t>
      </w:r>
      <w:r w:rsidRPr="750671CE">
        <w:rPr>
          <w:rFonts w:ascii="Times New Roman" w:eastAsia="Times New Roman" w:hAnsi="Times New Roman" w:cs="Times New Roman"/>
          <w:lang w:eastAsia="en-US"/>
        </w:rPr>
        <w:t xml:space="preserve"> (June 2, 2008).</w:t>
      </w:r>
    </w:p>
    <w:p w14:paraId="4BF07770"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322F14E" w14:textId="246E5C66"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Today, Cozen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Connor claims to handle more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first-party subrogation claims than any other law firm in the United States.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i/>
          <w:iCs/>
          <w:lang w:eastAsia="en-US"/>
        </w:rPr>
        <w:t>Subrogation &amp; Recovery</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Cozen O</w:t>
      </w:r>
      <w:r w:rsidR="00B05F31">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Connor</w:t>
      </w:r>
      <w:r w:rsidRPr="750671CE">
        <w:rPr>
          <w:rFonts w:ascii="Times New Roman" w:eastAsia="Times New Roman" w:hAnsi="Times New Roman" w:cs="Times New Roman"/>
          <w:lang w:eastAsia="en-US"/>
        </w:rPr>
        <w:t xml:space="preserve"> (2012). On a yearly basis, Cozen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Connor receives seven thousand subrogation claims of at least $100,000 in value each.  What explains the success of Cozen in making the sleepy domain of subrogation into such a success story?  The scope of Cozen O</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Connor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subrogation practice has allowed the firm to achieve economies of scale available to no one insurer.  Through examining various losses, Cozen attorneys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identify repetitive failure scenarios, product liability design flaws, and other important subrogation opportunities.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Scale allows Cozen to amortize the costs of learning across multiple cases. </w:t>
      </w:r>
    </w:p>
    <w:p w14:paraId="4E903392"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3E4BCC4" w14:textId="77777777" w:rsidR="00C85B70" w:rsidRPr="00C85B70" w:rsidRDefault="00C85B70" w:rsidP="00C85B70">
      <w:pPr>
        <w:autoSpaceDE w:val="0"/>
        <w:autoSpaceDN w:val="0"/>
        <w:adjustRightInd w:val="0"/>
        <w:ind w:right="-720"/>
        <w:rPr>
          <w:rFonts w:ascii="Times New Roman" w:eastAsia="Times New Roman" w:hAnsi="Times New Roman" w:cs="Times New Roman"/>
          <w:highlight w:val="green"/>
          <w:lang w:eastAsia="en-US"/>
        </w:rPr>
      </w:pPr>
    </w:p>
    <w:p w14:paraId="092A9455" w14:textId="1EC82977" w:rsidR="00C85B70" w:rsidRPr="00C85B70" w:rsidRDefault="00C85B70" w:rsidP="00322687">
      <w:pPr>
        <w:pStyle w:val="Heading3"/>
      </w:pPr>
      <w:bookmarkStart w:id="1115" w:name="_Toc364636310"/>
      <w:bookmarkStart w:id="1116" w:name="_Toc518323597"/>
      <w:r w:rsidRPr="00C85B70">
        <w:t xml:space="preserve">4.  The </w:t>
      </w:r>
      <w:r w:rsidR="00B05F31">
        <w:t>“</w:t>
      </w:r>
      <w:r w:rsidRPr="00C85B70">
        <w:t>Bronx Jury</w:t>
      </w:r>
      <w:r w:rsidR="00B05F31">
        <w:t>”</w:t>
      </w:r>
      <w:r w:rsidRPr="00C85B70">
        <w:t xml:space="preserve"> Effect</w:t>
      </w:r>
      <w:bookmarkEnd w:id="1115"/>
      <w:bookmarkEnd w:id="1116"/>
    </w:p>
    <w:p w14:paraId="41892E4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6C18335" w14:textId="77777777" w:rsidR="00C85B70" w:rsidRPr="00C85B70" w:rsidRDefault="750671CE" w:rsidP="0038332A">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Do the demographic characteristics of the jury pool affect the likely outcome of the case? This has been a subject of ongoing debate in the legal academy. A conventional view is that poor juries, and in particular juries made of people of color, are more likely to be friendly to plaintiffs than middle-class and white juries.  </w:t>
      </w:r>
    </w:p>
    <w:p w14:paraId="08D3562F"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E9DF8F4" w14:textId="77777777" w:rsidR="00C85B70" w:rsidRPr="00C85B70" w:rsidRDefault="750671CE" w:rsidP="750671CE">
      <w:pPr>
        <w:autoSpaceDE w:val="0"/>
        <w:autoSpaceDN w:val="0"/>
        <w:adjustRightInd w:val="0"/>
        <w:ind w:right="-720"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One of the earliest empirical studies countered the conventional wisdom:</w:t>
      </w:r>
    </w:p>
    <w:p w14:paraId="7D648519" w14:textId="77777777" w:rsidR="00C85B70" w:rsidRPr="00C85B70" w:rsidRDefault="00C85B70" w:rsidP="00F94B7E">
      <w:pPr>
        <w:pStyle w:val="blockquote"/>
        <w:rPr>
          <w:lang w:eastAsia="en-US"/>
        </w:rPr>
      </w:pPr>
    </w:p>
    <w:p w14:paraId="145315D5" w14:textId="50C8271A" w:rsidR="00C85B70" w:rsidRPr="00C85B70" w:rsidRDefault="750671CE" w:rsidP="00F94B7E">
      <w:pPr>
        <w:pStyle w:val="blockquote"/>
        <w:rPr>
          <w:lang w:eastAsia="en-US"/>
        </w:rPr>
      </w:pPr>
      <w:r w:rsidRPr="750671CE">
        <w:rPr>
          <w:lang w:eastAsia="en-US"/>
        </w:rPr>
        <w:t>We find little robust evidence that a trial locale</w:t>
      </w:r>
      <w:r w:rsidR="00B05F31">
        <w:rPr>
          <w:lang w:eastAsia="en-US"/>
        </w:rPr>
        <w:t>’</w:t>
      </w:r>
      <w:r w:rsidRPr="750671CE">
        <w:rPr>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3A1725">
        <w:rPr>
          <w:lang w:eastAsia="en-US"/>
        </w:rPr>
        <w:t>—</w:t>
      </w:r>
      <w:r w:rsidRPr="750671CE">
        <w:rPr>
          <w:lang w:eastAsia="en-US"/>
        </w:rPr>
        <w:t>over 30,000 federal and state tort trials</w:t>
      </w:r>
      <w:r w:rsidR="003A1725" w:rsidRPr="003A1725">
        <w:rPr>
          <w:lang w:eastAsia="en-US"/>
        </w:rPr>
        <w:t>—</w:t>
      </w:r>
      <w:r w:rsidRPr="750671CE">
        <w:rPr>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1E6B6F9" w14:textId="676A9462" w:rsidR="00C85B70" w:rsidRPr="00C85B70" w:rsidRDefault="750671CE" w:rsidP="0038332A">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Theodore Eisenberg &amp; Martin T. Wells, </w:t>
      </w:r>
      <w:r w:rsidRPr="750671CE">
        <w:rPr>
          <w:rFonts w:ascii="Times New Roman" w:eastAsia="Times New Roman" w:hAnsi="Times New Roman" w:cs="Times New Roman"/>
          <w:i/>
          <w:iCs/>
          <w:lang w:eastAsia="en-US"/>
        </w:rPr>
        <w:t>Trial Outcomes and Demographics: Is There a Bronx Jury Effect?</w:t>
      </w:r>
      <w:r w:rsidRPr="750671CE">
        <w:rPr>
          <w:rFonts w:ascii="Times New Roman" w:eastAsia="Times New Roman" w:hAnsi="Times New Roman" w:cs="Times New Roman"/>
          <w:lang w:eastAsia="en-US"/>
        </w:rPr>
        <w:t xml:space="preserve">, 80 </w:t>
      </w:r>
      <w:r w:rsidRPr="750671CE">
        <w:rPr>
          <w:rFonts w:ascii="Times New Roman" w:eastAsia="Times New Roman" w:hAnsi="Times New Roman" w:cs="Times New Roman"/>
          <w:smallCaps/>
          <w:lang w:eastAsia="en-US"/>
        </w:rPr>
        <w:t>Tex. L. Rev</w:t>
      </w:r>
      <w:r w:rsidRPr="750671CE">
        <w:rPr>
          <w:rFonts w:ascii="Times New Roman" w:eastAsia="Times New Roman" w:hAnsi="Times New Roman" w:cs="Times New Roman"/>
          <w:lang w:eastAsia="en-US"/>
        </w:rPr>
        <w:t xml:space="preserve">. 1839 (2002).  Eisenberg and Wells conclude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evidence in a case is by far the most powerful influence on its outcome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juror characteristics are most often of minor, secondary importance.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p>
    <w:p w14:paraId="5B062DEC"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171C8ACF" w14:textId="77777777" w:rsidR="00C85B70" w:rsidRPr="00C85B70" w:rsidRDefault="750671CE" w:rsidP="0038332A">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Another study that examined the effect of the poverty rate of the African-American or Hispanic communities in a county found some significant results:</w:t>
      </w:r>
    </w:p>
    <w:p w14:paraId="3D05D308"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237DBDB6" w14:textId="77777777" w:rsidR="00C85B70" w:rsidRPr="00C85B70" w:rsidRDefault="750671CE" w:rsidP="00F94B7E">
      <w:pPr>
        <w:pStyle w:val="blockquote"/>
        <w:rPr>
          <w:lang w:eastAsia="en-US"/>
        </w:rPr>
      </w:pPr>
      <w:r w:rsidRPr="750671CE">
        <w:rPr>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C85B70" w:rsidRDefault="00C85B70" w:rsidP="00C85B70">
      <w:pPr>
        <w:autoSpaceDE w:val="0"/>
        <w:autoSpaceDN w:val="0"/>
        <w:adjustRightInd w:val="0"/>
        <w:ind w:left="720"/>
        <w:rPr>
          <w:rFonts w:ascii="Times New Roman" w:eastAsia="Times New Roman" w:hAnsi="Times New Roman" w:cs="Times New Roman"/>
          <w:lang w:eastAsia="en-US"/>
        </w:rPr>
      </w:pPr>
    </w:p>
    <w:p w14:paraId="2250B44D" w14:textId="0374EF23" w:rsidR="00C85B70" w:rsidRPr="00C85B70" w:rsidRDefault="750671CE" w:rsidP="0038332A">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Eric Helland &amp; Alexander Tabarrok, </w:t>
      </w:r>
      <w:r w:rsidRPr="750671CE">
        <w:rPr>
          <w:rFonts w:ascii="Times New Roman" w:eastAsia="Times New Roman" w:hAnsi="Times New Roman" w:cs="Times New Roman"/>
          <w:i/>
          <w:iCs/>
          <w:lang w:eastAsia="en-US"/>
        </w:rPr>
        <w:t>Race, Poverty, and American Tort Awards: Evidence from Three Data Sets</w:t>
      </w:r>
      <w:r w:rsidRPr="750671CE">
        <w:rPr>
          <w:rFonts w:ascii="Times New Roman" w:eastAsia="Times New Roman" w:hAnsi="Times New Roman" w:cs="Times New Roman"/>
          <w:lang w:eastAsia="en-US"/>
        </w:rPr>
        <w:t xml:space="preserve">, 32 </w:t>
      </w:r>
      <w:r w:rsidRPr="00F94B7E">
        <w:rPr>
          <w:rFonts w:ascii="Times New Roman" w:eastAsia="Times New Roman" w:hAnsi="Times New Roman" w:cs="Times New Roman"/>
          <w:smallCaps/>
          <w:lang w:eastAsia="en-US"/>
        </w:rPr>
        <w:t>J. Legal Stud</w:t>
      </w:r>
      <w:r w:rsidRPr="750671CE">
        <w:rPr>
          <w:rFonts w:ascii="Times New Roman" w:eastAsia="Times New Roman" w:hAnsi="Times New Roman" w:cs="Times New Roman"/>
          <w:lang w:eastAsia="en-US"/>
        </w:rPr>
        <w:t xml:space="preserve">. 27, 51-53 (2003).  Helland and Tabarrok found that awards increased with black and Hispanic county poverty rates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even after controlling for a wide variety of other potential causes including injuries, population densities, case types, any factors associated with states (such as legal differences), and any factor correlated with white poverty rates.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Id.</w:t>
      </w:r>
      <w:r w:rsidRPr="750671CE">
        <w:rPr>
          <w:rFonts w:ascii="Times New Roman" w:eastAsia="Times New Roman" w:hAnsi="Times New Roman" w:cs="Times New Roman"/>
          <w:lang w:eastAsia="en-US"/>
        </w:rPr>
        <w:t xml:space="preserve">  They also found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settlement amounts also increase with increases in black and Hispanic county poverty rates.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 xml:space="preserve">Id. </w:t>
      </w:r>
    </w:p>
    <w:p w14:paraId="0D21A14D"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5E35CAB5" w14:textId="77777777" w:rsidR="00C85B70" w:rsidRPr="00C85B70" w:rsidRDefault="750671CE" w:rsidP="0038332A">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D279A71" w14:textId="77777777" w:rsidR="00C85B70" w:rsidRPr="00C85B70" w:rsidRDefault="750671CE" w:rsidP="00F94B7E">
      <w:pPr>
        <w:pStyle w:val="blockquote"/>
        <w:rPr>
          <w:lang w:eastAsia="en-US"/>
        </w:rPr>
      </w:pPr>
      <w:r w:rsidRPr="750671CE">
        <w:rPr>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C85B70" w:rsidRDefault="00C85B70" w:rsidP="00F94B7E">
      <w:pPr>
        <w:pStyle w:val="blockquote"/>
        <w:rPr>
          <w:lang w:eastAsia="en-US"/>
        </w:rPr>
      </w:pPr>
    </w:p>
    <w:p w14:paraId="166C5AA9" w14:textId="195265BC" w:rsidR="00C85B70" w:rsidRPr="00C85B70" w:rsidRDefault="750671CE" w:rsidP="00F94B7E">
      <w:pPr>
        <w:pStyle w:val="blockquote"/>
        <w:rPr>
          <w:lang w:eastAsia="en-US"/>
        </w:rPr>
      </w:pPr>
      <w:r w:rsidRPr="750671CE">
        <w:rPr>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Pr>
          <w:lang w:eastAsia="en-US"/>
        </w:rPr>
        <w:t>’</w:t>
      </w:r>
      <w:r w:rsidRPr="750671CE">
        <w:rPr>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5CE58EFE" w14:textId="2990EDCF" w:rsidR="00C85B70" w:rsidRPr="00C85B70" w:rsidRDefault="750671CE" w:rsidP="0038332A">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Issa Kohler-Hausmann, </w:t>
      </w:r>
      <w:r w:rsidRPr="750671CE">
        <w:rPr>
          <w:rFonts w:ascii="Times New Roman" w:eastAsia="Times New Roman" w:hAnsi="Times New Roman" w:cs="Times New Roman"/>
          <w:i/>
          <w:iCs/>
          <w:lang w:eastAsia="en-US"/>
        </w:rPr>
        <w:t>Community Characteristics and Tort Law: The Importance of County Demographic Composition and Inequality to Tort Trial Outcomes</w:t>
      </w:r>
      <w:r w:rsidRPr="750671CE">
        <w:rPr>
          <w:rFonts w:ascii="Times New Roman" w:eastAsia="Times New Roman" w:hAnsi="Times New Roman" w:cs="Times New Roman"/>
          <w:lang w:eastAsia="en-US"/>
        </w:rPr>
        <w:t xml:space="preserve">, 8 </w:t>
      </w:r>
      <w:r w:rsidRPr="750671CE">
        <w:rPr>
          <w:rFonts w:ascii="Times New Roman" w:eastAsia="Times New Roman" w:hAnsi="Times New Roman" w:cs="Times New Roman"/>
          <w:smallCaps/>
          <w:lang w:eastAsia="en-US"/>
        </w:rPr>
        <w:t>J. Empirical Legal Stud.</w:t>
      </w:r>
      <w:r w:rsidRPr="750671CE">
        <w:rPr>
          <w:rFonts w:ascii="Times New Roman" w:eastAsia="Times New Roman" w:hAnsi="Times New Roman" w:cs="Times New Roman"/>
          <w:lang w:eastAsia="en-US"/>
        </w:rPr>
        <w:t xml:space="preserve"> 413 (2011).  Kohler-Hausma</w:t>
      </w:r>
      <w:r w:rsidR="008A6B99">
        <w:rPr>
          <w:rFonts w:ascii="Times New Roman" w:eastAsia="Times New Roman" w:hAnsi="Times New Roman" w:cs="Times New Roman"/>
          <w:lang w:eastAsia="en-US"/>
        </w:rPr>
        <w:t>n</w:t>
      </w:r>
      <w:r w:rsidRPr="750671CE">
        <w:rPr>
          <w:rFonts w:ascii="Times New Roman" w:eastAsia="Times New Roman" w:hAnsi="Times New Roman" w:cs="Times New Roman"/>
          <w:lang w:eastAsia="en-US"/>
        </w:rPr>
        <w:t>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finding is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social environment of highly unequal counties may alter overall attitudes and standards related to the questions adjudicated in tort disputes.</w:t>
      </w:r>
      <w:r w:rsidR="00B05F31">
        <w:rPr>
          <w:rFonts w:ascii="Times New Roman" w:eastAsia="Times New Roman" w:hAnsi="Times New Roman" w:cs="Times New Roman"/>
          <w:lang w:eastAsia="en-US"/>
        </w:rPr>
        <w:t>”</w:t>
      </w:r>
    </w:p>
    <w:p w14:paraId="6DAB8A26" w14:textId="77777777" w:rsid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D37BA80" w14:textId="77777777" w:rsidR="00945FB9" w:rsidRPr="00C85B70" w:rsidRDefault="00945FB9" w:rsidP="00C85B70">
      <w:pPr>
        <w:autoSpaceDE w:val="0"/>
        <w:autoSpaceDN w:val="0"/>
        <w:adjustRightInd w:val="0"/>
        <w:ind w:right="-720"/>
        <w:contextualSpacing/>
        <w:rPr>
          <w:rFonts w:ascii="Times New Roman" w:eastAsia="Times New Roman" w:hAnsi="Times New Roman" w:cs="Times New Roman"/>
          <w:lang w:eastAsia="en-US"/>
        </w:rPr>
      </w:pPr>
    </w:p>
    <w:p w14:paraId="24765F57" w14:textId="6DE1D801" w:rsidR="00C85B70" w:rsidRPr="00C85B70" w:rsidRDefault="00C85B70" w:rsidP="00322687">
      <w:pPr>
        <w:pStyle w:val="Heading3"/>
      </w:pPr>
      <w:bookmarkStart w:id="1117" w:name="_Toc364636311"/>
      <w:bookmarkStart w:id="1118" w:name="_Toc518323598"/>
      <w:r w:rsidRPr="00C85B70">
        <w:t xml:space="preserve">5.  Beyond </w:t>
      </w:r>
      <w:r w:rsidR="002B3D44">
        <w:t>D</w:t>
      </w:r>
      <w:r w:rsidRPr="00C85B70">
        <w:t>ollars</w:t>
      </w:r>
      <w:bookmarkEnd w:id="1117"/>
      <w:bookmarkEnd w:id="1118"/>
    </w:p>
    <w:p w14:paraId="6C344CF7"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E2483B5" w14:textId="77777777" w:rsidR="00C85B70" w:rsidRPr="00C85B70" w:rsidRDefault="750671CE" w:rsidP="0038332A">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What beyond dollars might we seek to get from the resolution of a tort suit? Linda Radzik suggests that the goal of torts might be conceived of as repairing the relationships damaged by the wrong. </w:t>
      </w:r>
    </w:p>
    <w:p w14:paraId="49DD86A1"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52829A17"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75E48C2" w14:textId="6D0A259F" w:rsidR="00C85B70" w:rsidRPr="00C85B70" w:rsidRDefault="750671CE" w:rsidP="00F94B7E">
      <w:pPr>
        <w:pStyle w:val="blockquote"/>
        <w:rPr>
          <w:lang w:eastAsia="en-US"/>
        </w:rPr>
      </w:pPr>
      <w:r w:rsidRPr="750671CE">
        <w:rPr>
          <w:lang w:eastAsia="en-US"/>
        </w:rPr>
        <w:t>A reconciliation theory of corrective justice insists a proper response to wrongdoing or harming requires the correction of the damage that the wrong 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Pr>
          <w:lang w:eastAsia="en-US"/>
        </w:rPr>
        <w:t>’</w:t>
      </w:r>
      <w:r w:rsidRPr="750671CE">
        <w:rPr>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C85B70" w:rsidRDefault="00C85B70" w:rsidP="00F94B7E">
      <w:pPr>
        <w:pStyle w:val="blockquote"/>
        <w:rPr>
          <w:lang w:eastAsia="en-US"/>
        </w:rPr>
      </w:pPr>
    </w:p>
    <w:p w14:paraId="40D49ECA" w14:textId="77777777" w:rsidR="00C85B70" w:rsidRPr="00C85B70" w:rsidRDefault="750671CE" w:rsidP="00F94B7E">
      <w:pPr>
        <w:pStyle w:val="blockquote"/>
        <w:rPr>
          <w:lang w:eastAsia="en-US"/>
        </w:rPr>
      </w:pPr>
      <w:r w:rsidRPr="750671CE">
        <w:rPr>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C85B70" w:rsidRDefault="00C85B70" w:rsidP="00F94B7E">
      <w:pPr>
        <w:pStyle w:val="blockquote"/>
        <w:rPr>
          <w:lang w:eastAsia="en-US"/>
        </w:rPr>
      </w:pPr>
    </w:p>
    <w:p w14:paraId="236B1C4F" w14:textId="7E38908D" w:rsidR="00C85B70" w:rsidRPr="00C85B70" w:rsidRDefault="750671CE" w:rsidP="00F94B7E">
      <w:pPr>
        <w:pStyle w:val="blockquote"/>
        <w:rPr>
          <w:lang w:eastAsia="en-US"/>
        </w:rPr>
      </w:pPr>
      <w:r w:rsidRPr="750671CE">
        <w:rPr>
          <w:lang w:eastAsia="en-US"/>
        </w:rPr>
        <w:t>[I]f we look at the tort process as a whole and not just tort judgments, we see that they provide victims with less tangible forms of corrective remedies as well. Through the proceedings, Janie [a hypothetical tort plaintiff bit</w:t>
      </w:r>
      <w:r w:rsidR="00970C68">
        <w:rPr>
          <w:lang w:eastAsia="en-US"/>
        </w:rPr>
        <w:t>ten</w:t>
      </w:r>
      <w:r w:rsidRPr="750671CE">
        <w:rPr>
          <w:lang w:eastAsia="en-US"/>
        </w:rPr>
        <w:t xml:space="preserve"> by a vicious dog] and her family may finally receive an explanation of how this wrong came about</w:t>
      </w:r>
      <w:r w:rsidR="00970C68" w:rsidRPr="00970C68">
        <w:rPr>
          <w:lang w:eastAsia="en-US"/>
        </w:rPr>
        <w:t>—</w:t>
      </w:r>
      <w:r w:rsidRPr="750671CE">
        <w:rPr>
          <w:lang w:eastAsia="en-US"/>
        </w:rPr>
        <w:t>what the dog</w:t>
      </w:r>
      <w:r w:rsidR="00B05F31">
        <w:rPr>
          <w:lang w:eastAsia="en-US"/>
        </w:rPr>
        <w:t>’</w:t>
      </w:r>
      <w:r w:rsidRPr="750671CE">
        <w:rPr>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2E4B87A" w14:textId="645ACA65" w:rsidR="00C85B70" w:rsidRPr="00C85B70" w:rsidRDefault="750671CE" w:rsidP="0038332A">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Linda Radzik, </w:t>
      </w:r>
      <w:r w:rsidRPr="750671CE">
        <w:rPr>
          <w:rFonts w:ascii="Times New Roman" w:eastAsia="Times New Roman" w:hAnsi="Times New Roman" w:cs="Times New Roman"/>
          <w:i/>
          <w:iCs/>
          <w:lang w:eastAsia="en-US"/>
        </w:rPr>
        <w:t>Tort Processes and Relational Repair</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i/>
          <w:lang w:eastAsia="en-US"/>
        </w:rPr>
        <w:t>in</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Philosophical Foundations of the Law of Torts</w:t>
      </w:r>
      <w:r w:rsidRPr="750671CE">
        <w:rPr>
          <w:rFonts w:ascii="Times New Roman" w:eastAsia="Times New Roman" w:hAnsi="Times New Roman" w:cs="Times New Roman"/>
          <w:lang w:eastAsia="en-US"/>
        </w:rPr>
        <w:t xml:space="preserve"> 231 (John Oberdiek</w:t>
      </w:r>
      <w:r w:rsidR="00D311AE">
        <w:rPr>
          <w:rFonts w:ascii="Times New Roman" w:eastAsia="Times New Roman" w:hAnsi="Times New Roman" w:cs="Times New Roman"/>
          <w:lang w:eastAsia="en-US"/>
        </w:rPr>
        <w:t xml:space="preserve"> ed</w:t>
      </w:r>
      <w:r w:rsidR="00513748">
        <w:rPr>
          <w:rFonts w:ascii="Times New Roman" w:eastAsia="Times New Roman" w:hAnsi="Times New Roman" w:cs="Times New Roman"/>
          <w:lang w:eastAsia="en-US"/>
        </w:rPr>
        <w:t>.,</w:t>
      </w:r>
      <w:r w:rsidR="00C55B81">
        <w:rPr>
          <w:rFonts w:ascii="Times New Roman" w:eastAsia="Times New Roman" w:hAnsi="Times New Roman" w:cs="Times New Roman"/>
          <w:lang w:eastAsia="en-US"/>
        </w:rPr>
        <w:t xml:space="preserve"> 2014</w:t>
      </w:r>
      <w:r w:rsidRPr="750671CE">
        <w:rPr>
          <w:rFonts w:ascii="Times New Roman" w:eastAsia="Times New Roman" w:hAnsi="Times New Roman" w:cs="Times New Roman"/>
          <w:lang w:eastAsia="en-US"/>
        </w:rPr>
        <w:t xml:space="preserve">).  Are the goals Radzik identifies compatible with a system of adversarial litigation that delegates </w:t>
      </w:r>
      <w:r w:rsidR="008A6B99">
        <w:rPr>
          <w:rFonts w:ascii="Times New Roman" w:eastAsia="Times New Roman" w:hAnsi="Times New Roman" w:cs="Times New Roman"/>
          <w:lang w:eastAsia="en-US"/>
        </w:rPr>
        <w:t>decision-</w:t>
      </w:r>
      <w:r w:rsidRPr="750671CE">
        <w:rPr>
          <w:rFonts w:ascii="Times New Roman" w:eastAsia="Times New Roman" w:hAnsi="Times New Roman" w:cs="Times New Roman"/>
          <w:lang w:eastAsia="en-US"/>
        </w:rPr>
        <w:t xml:space="preserve">making authority over the litigation to private parties?  If relational repair is important, can it be achieved where the parties settle in more than nine out of ten cases? </w:t>
      </w:r>
    </w:p>
    <w:p w14:paraId="7B860DF0"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0D1A66C" w14:textId="03BFA60B" w:rsidR="00C85B70" w:rsidRPr="00C85B70" w:rsidRDefault="750671CE" w:rsidP="0038332A">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Settlement raises questions about another goal of torts as well: holding defendants publicly accountable. In 2014, for example, General Motors came under harsh criticism for failing to recall cars that had faulty ignition switches</w:t>
      </w:r>
      <w:r w:rsidR="00375834" w:rsidRPr="0037583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safety defect associated with several deaths. Investigations revealed that General Motors was well aware of the defect. It had settled several tort lawsuits arising out of the defect, but had included confidentiality provisions in each settlement agreement that prevented the government or other users of the car from learning of the defect. The confidentiality provisions allowed General Motors to avoid recalling cars for over a year</w:t>
      </w:r>
      <w:r w:rsidR="00375834" w:rsidRPr="00375834">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although it ultimately did once the defect became public. Bill Vlasic, </w:t>
      </w:r>
      <w:r w:rsidRPr="00F94B7E">
        <w:rPr>
          <w:rFonts w:ascii="Times New Roman" w:eastAsia="Times New Roman" w:hAnsi="Times New Roman" w:cs="Times New Roman"/>
          <w:i/>
          <w:lang w:eastAsia="en-US"/>
        </w:rPr>
        <w:t>Inquiry by General Motors Said to Focus on Its Lawyers</w:t>
      </w:r>
      <w:r w:rsidRPr="750671CE">
        <w:rPr>
          <w:rFonts w:ascii="Times New Roman" w:eastAsia="Times New Roman" w:hAnsi="Times New Roman" w:cs="Times New Roman"/>
          <w:lang w:eastAsia="en-US"/>
        </w:rPr>
        <w:t>, N.Y</w:t>
      </w:r>
      <w:r w:rsidRPr="00F94B7E">
        <w:rPr>
          <w:rFonts w:ascii="Times New Roman" w:eastAsia="Times New Roman" w:hAnsi="Times New Roman" w:cs="Times New Roman"/>
          <w:smallCaps/>
          <w:lang w:eastAsia="en-US"/>
        </w:rPr>
        <w:t>. Times</w:t>
      </w:r>
      <w:r w:rsidR="00EF2CDF">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May 17, 2014.</w:t>
      </w:r>
    </w:p>
    <w:p w14:paraId="65EA6F59"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6DBE9BAC" w14:textId="4C53A916" w:rsidR="00C85B70" w:rsidRDefault="750671CE" w:rsidP="0038332A">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Should settlement agreements that include confidentiality provisions be enforceable? On the one hand, they inflict external costs on potential subsequent plaintiffs that may be unaware that they have a claim. On the other hand, not enforcing those provisions would likely decrease the settlement award for the first plaintiffs in the case.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 may be put in challenging ethical situations when a confidentiality provision might benefit the immediate client, but might damage the attorney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ability to bring subsequent cases.</w:t>
      </w:r>
    </w:p>
    <w:p w14:paraId="2977A9DC" w14:textId="77777777" w:rsidR="00603CFE" w:rsidRDefault="00603CFE" w:rsidP="750671CE">
      <w:pPr>
        <w:autoSpaceDE w:val="0"/>
        <w:autoSpaceDN w:val="0"/>
        <w:adjustRightInd w:val="0"/>
        <w:ind w:right="-720" w:firstLine="720"/>
        <w:rPr>
          <w:rFonts w:ascii="Times New Roman" w:eastAsia="Times New Roman" w:hAnsi="Times New Roman" w:cs="Times New Roman"/>
          <w:lang w:eastAsia="en-US"/>
        </w:rPr>
      </w:pPr>
    </w:p>
    <w:p w14:paraId="6EBC32B7" w14:textId="173FB523" w:rsidR="00603CFE" w:rsidRPr="00F94B7E" w:rsidRDefault="00603CFE" w:rsidP="00F94B7E">
      <w:pPr>
        <w:ind w:firstLine="720"/>
        <w:rPr>
          <w:rFonts w:ascii="Times New Roman" w:hAnsi="Times New Roman" w:cs="Times New Roman"/>
        </w:rPr>
      </w:pPr>
      <w:r w:rsidRPr="002F6607">
        <w:rPr>
          <w:rFonts w:ascii="Times New Roman" w:hAnsi="Times New Roman" w:cs="Times New Roman"/>
        </w:rPr>
        <w:t xml:space="preserve">One new article argues for </w:t>
      </w:r>
      <w:r w:rsidR="00B05F31">
        <w:rPr>
          <w:rFonts w:ascii="Times New Roman" w:hAnsi="Times New Roman" w:cs="Times New Roman"/>
        </w:rPr>
        <w:t>“</w:t>
      </w:r>
      <w:r w:rsidRPr="002F6607">
        <w:rPr>
          <w:rFonts w:ascii="Times New Roman" w:hAnsi="Times New Roman" w:cs="Times New Roman"/>
        </w:rPr>
        <w:t>semi-confidential</w:t>
      </w:r>
      <w:r w:rsidR="00B05F31">
        <w:rPr>
          <w:rFonts w:ascii="Times New Roman" w:hAnsi="Times New Roman" w:cs="Times New Roman"/>
        </w:rPr>
        <w:t>”</w:t>
      </w:r>
      <w:r w:rsidRPr="002F6607">
        <w:rPr>
          <w:rFonts w:ascii="Times New Roman" w:hAnsi="Times New Roman" w:cs="Times New Roman"/>
        </w:rPr>
        <w:t xml:space="preserve"> settlements that disclose the subject matter</w:t>
      </w:r>
      <w:r w:rsidR="008A6B99">
        <w:rPr>
          <w:rFonts w:ascii="Times New Roman" w:hAnsi="Times New Roman" w:cs="Times New Roman"/>
        </w:rPr>
        <w:t>,</w:t>
      </w:r>
      <w:r w:rsidRPr="002F6607">
        <w:rPr>
          <w:rFonts w:ascii="Times New Roman" w:hAnsi="Times New Roman" w:cs="Times New Roman"/>
        </w:rPr>
        <w:t xml:space="preserve"> but not the magnitude of settlements, as a way to </w:t>
      </w:r>
      <w:r w:rsidR="00B05F31">
        <w:rPr>
          <w:rFonts w:ascii="Times New Roman" w:hAnsi="Times New Roman" w:cs="Times New Roman"/>
        </w:rPr>
        <w:t>“</w:t>
      </w:r>
      <w:r w:rsidRPr="002F6607">
        <w:rPr>
          <w:rFonts w:ascii="Times New Roman" w:hAnsi="Times New Roman" w:cs="Times New Roman"/>
        </w:rPr>
        <w:t>liberate some information that is useful to third parties or the state, while still encouraging the defendant to settle—at a price that packs some deterrence punch.</w:t>
      </w:r>
      <w:r w:rsidR="00B05F31">
        <w:rPr>
          <w:rFonts w:ascii="Times New Roman" w:hAnsi="Times New Roman" w:cs="Times New Roman"/>
        </w:rPr>
        <w:t>”</w:t>
      </w:r>
      <w:r w:rsidRPr="002F6607">
        <w:rPr>
          <w:rFonts w:ascii="Times New Roman" w:hAnsi="Times New Roman" w:cs="Times New Roman"/>
        </w:rPr>
        <w:t xml:space="preserve"> Saul Levmore &amp; Frank Fagan,</w:t>
      </w:r>
      <w:r w:rsidRPr="002F6607">
        <w:rPr>
          <w:rFonts w:ascii="Times New Roman" w:hAnsi="Times New Roman" w:cs="Times New Roman"/>
          <w:i/>
        </w:rPr>
        <w:t xml:space="preserve"> Semi-Confidential Settlements in Civil, Criminal, and Sexual Assault Cases</w:t>
      </w:r>
      <w:r w:rsidRPr="002F6607">
        <w:rPr>
          <w:rFonts w:ascii="Times New Roman" w:hAnsi="Times New Roman" w:cs="Times New Roman"/>
        </w:rPr>
        <w:t xml:space="preserve">, 103 </w:t>
      </w:r>
      <w:r w:rsidRPr="002F6607">
        <w:rPr>
          <w:rFonts w:ascii="Times New Roman" w:hAnsi="Times New Roman" w:cs="Times New Roman"/>
          <w:smallCaps/>
        </w:rPr>
        <w:t>Cornell L. Rev</w:t>
      </w:r>
      <w:r w:rsidRPr="002F6607">
        <w:rPr>
          <w:rFonts w:ascii="Times New Roman" w:hAnsi="Times New Roman" w:cs="Times New Roman"/>
        </w:rPr>
        <w:t>. (forthcoming 2017).</w:t>
      </w:r>
    </w:p>
    <w:p w14:paraId="3D0648BE" w14:textId="702D4361" w:rsidR="00D971FF" w:rsidRDefault="00D971FF">
      <w:pPr>
        <w:rPr>
          <w:rFonts w:ascii="Times New Roman" w:eastAsia="Times New Roman" w:hAnsi="Times New Roman" w:cs="Times New Roman"/>
          <w:lang w:eastAsia="en-US"/>
        </w:rPr>
      </w:pPr>
    </w:p>
    <w:p w14:paraId="137ED38E" w14:textId="77777777" w:rsidR="00051CC4" w:rsidRDefault="00051CC4">
      <w:pPr>
        <w:rPr>
          <w:rFonts w:ascii="Times New Roman" w:eastAsia="Times New Roman" w:hAnsi="Times New Roman" w:cs="Times New Roman"/>
          <w:lang w:eastAsia="en-US"/>
        </w:rPr>
      </w:pPr>
    </w:p>
    <w:p w14:paraId="60DD9D2C" w14:textId="0C289C52" w:rsidR="00C85B70" w:rsidRPr="00C85B70" w:rsidRDefault="00C85B70" w:rsidP="00322687">
      <w:pPr>
        <w:pStyle w:val="Heading3"/>
      </w:pPr>
      <w:bookmarkStart w:id="1119" w:name="_Toc364636312"/>
      <w:bookmarkStart w:id="1120" w:name="_Toc518323599"/>
      <w:r w:rsidRPr="00C85B70">
        <w:t>6.  The Death of Liability?</w:t>
      </w:r>
      <w:bookmarkEnd w:id="1119"/>
      <w:bookmarkEnd w:id="1120"/>
    </w:p>
    <w:p w14:paraId="30E37B59"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21FFE16C" w14:textId="6A51B57B" w:rsidR="00C85B70" w:rsidRPr="00C85B70" w:rsidRDefault="750671CE" w:rsidP="0038332A">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As you will likely learn when you take business organizations, a standard feature of corporations is that their shareholders are generally not personally liable for the liabilities of the corporation.  In other words, corporations typically have </w:t>
      </w:r>
      <w:r w:rsidRPr="750671CE">
        <w:rPr>
          <w:rFonts w:ascii="Times New Roman" w:eastAsia="Times New Roman" w:hAnsi="Times New Roman" w:cs="Times New Roman"/>
          <w:i/>
          <w:iCs/>
          <w:lang w:eastAsia="en-US"/>
        </w:rPr>
        <w:t>limited liability</w:t>
      </w:r>
      <w:r w:rsidRPr="750671CE">
        <w:rPr>
          <w:rFonts w:ascii="Times New Roman" w:eastAsia="Times New Roman" w:hAnsi="Times New Roman" w:cs="Times New Roman"/>
          <w:lang w:eastAsia="en-US"/>
        </w:rPr>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F0289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their personal assets cannot be seized by plaintiffs injured by the corporation. </w:t>
      </w:r>
    </w:p>
    <w:p w14:paraId="7077A8C6" w14:textId="77777777" w:rsidR="00C85B70" w:rsidRPr="00C85B70" w:rsidRDefault="00C85B70" w:rsidP="0038332A">
      <w:pPr>
        <w:autoSpaceDE w:val="0"/>
        <w:autoSpaceDN w:val="0"/>
        <w:adjustRightInd w:val="0"/>
        <w:contextualSpacing/>
        <w:rPr>
          <w:rFonts w:ascii="Times New Roman" w:eastAsia="Times New Roman" w:hAnsi="Times New Roman" w:cs="Times New Roman"/>
          <w:lang w:eastAsia="en-US"/>
        </w:rPr>
      </w:pPr>
    </w:p>
    <w:p w14:paraId="3992AB24" w14:textId="28480485" w:rsidR="00C85B70" w:rsidRPr="00C85B70" w:rsidRDefault="00C85B70" w:rsidP="0038332A">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There are some good reasons for this rule of limited liability.  If shareholders were personally liable for the liabilities of the firms they owned, then the value of each share would depend on the personal wealth of the share</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Moreover, they argue that </w:t>
      </w:r>
      <w:r w:rsidR="00A242A0">
        <w:rPr>
          <w:rFonts w:ascii="Times New Roman" w:eastAsia="Times New Roman" w:hAnsi="Times New Roman" w:cs="Times New Roman"/>
          <w:lang w:eastAsia="en-US"/>
        </w:rPr>
        <w:t xml:space="preserve">by </w:t>
      </w:r>
      <w:r w:rsidRPr="00C85B70">
        <w:rPr>
          <w:rFonts w:ascii="Times New Roman" w:eastAsia="Times New Roman" w:hAnsi="Times New Roman" w:cs="Times New Roman"/>
          <w:lang w:eastAsia="en-US"/>
        </w:rPr>
        <w:t xml:space="preserve">adopting pro rata personal liability for shareholders, the perverse effects of shareholder wealth on share price could be avoided.  </w:t>
      </w:r>
      <w:r w:rsidRPr="750671CE">
        <w:rPr>
          <w:rFonts w:ascii="Times New Roman" w:eastAsia="Times New Roman" w:hAnsi="Times New Roman" w:cs="Times New Roman"/>
          <w:i/>
          <w:iCs/>
          <w:lang w:eastAsia="en-US"/>
        </w:rPr>
        <w:t>See</w:t>
      </w:r>
      <w:r w:rsidRPr="00C85B70">
        <w:rPr>
          <w:rFonts w:ascii="Times New Roman" w:eastAsia="Times New Roman" w:hAnsi="Times New Roman" w:cs="Times New Roman"/>
          <w:lang w:eastAsia="en-US"/>
        </w:rPr>
        <w:t xml:space="preserve"> Henry Hansmann &amp; Reinier Kraakman, </w:t>
      </w:r>
      <w:r w:rsidRPr="750671CE">
        <w:rPr>
          <w:rFonts w:ascii="Times New Roman" w:eastAsia="Times New Roman" w:hAnsi="Times New Roman" w:cs="Times New Roman"/>
          <w:i/>
          <w:iCs/>
          <w:lang w:eastAsia="en-US"/>
        </w:rPr>
        <w:t>Toward Unlimited Shareholder Liability for Corporate Torts</w:t>
      </w:r>
      <w:r w:rsidRPr="00C85B70">
        <w:rPr>
          <w:rFonts w:ascii="Times New Roman" w:eastAsia="Times New Roman" w:hAnsi="Times New Roman" w:cs="Times New Roman"/>
          <w:lang w:eastAsia="en-US"/>
        </w:rPr>
        <w:t xml:space="preserve">, 100 </w:t>
      </w:r>
      <w:r w:rsidRPr="00C85B70">
        <w:rPr>
          <w:rFonts w:ascii="Times New Roman" w:eastAsia="Times New Roman" w:hAnsi="Times New Roman" w:cs="Times New Roman"/>
          <w:smallCaps/>
          <w:lang w:eastAsia="en-US"/>
        </w:rPr>
        <w:t>Yale L.J.</w:t>
      </w:r>
      <w:r w:rsidRPr="00C85B70">
        <w:rPr>
          <w:rFonts w:ascii="Times New Roman" w:eastAsia="Times New Roman" w:hAnsi="Times New Roman" w:cs="Times New Roman"/>
          <w:lang w:eastAsia="en-US"/>
        </w:rPr>
        <w:t xml:space="preserve"> 1879 (1991).</w:t>
      </w:r>
    </w:p>
    <w:p w14:paraId="4ABC5D9E" w14:textId="77777777" w:rsidR="00C85B70" w:rsidRPr="00C85B70" w:rsidRDefault="00C85B70" w:rsidP="0038332A">
      <w:pPr>
        <w:autoSpaceDE w:val="0"/>
        <w:autoSpaceDN w:val="0"/>
        <w:adjustRightInd w:val="0"/>
        <w:contextualSpacing/>
        <w:rPr>
          <w:rFonts w:ascii="Times New Roman" w:eastAsia="Times New Roman" w:hAnsi="Times New Roman" w:cs="Times New Roman"/>
          <w:lang w:eastAsia="en-US"/>
        </w:rPr>
      </w:pPr>
    </w:p>
    <w:p w14:paraId="37605290" w14:textId="77777777" w:rsidR="00C85B70" w:rsidRPr="00C85B70" w:rsidRDefault="750671CE" w:rsidP="0038332A">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One new difficulty is that firms may be able to manage their own assets as to minimize their exposure to tort liability.  While we might intuitively think of corporations as entities with deep pockets that would never be judgment proof, corporations sometimes may be able to structure themselves to become judgment proof, at least in certain situations. A classic example is the case </w:t>
      </w:r>
      <w:r w:rsidRPr="750671CE">
        <w:rPr>
          <w:rFonts w:ascii="Times New Roman" w:eastAsia="Times New Roman" w:hAnsi="Times New Roman" w:cs="Times New Roman"/>
          <w:i/>
          <w:iCs/>
          <w:lang w:eastAsia="en-US"/>
        </w:rPr>
        <w:t>Walkovszky v. Carlton</w:t>
      </w:r>
      <w:r w:rsidRPr="750671CE">
        <w:rPr>
          <w:rFonts w:ascii="Times New Roman" w:eastAsia="Times New Roman" w:hAnsi="Times New Roman" w:cs="Times New Roman"/>
          <w:lang w:eastAsia="en-US"/>
        </w:rPr>
        <w:t xml:space="preserve">, 223 N.E.2d 6 (N.Y. 1966): </w:t>
      </w:r>
    </w:p>
    <w:p w14:paraId="054C21D4" w14:textId="77777777" w:rsidR="00C85B70" w:rsidRPr="00C85B70" w:rsidRDefault="00C85B70" w:rsidP="00F94B7E">
      <w:pPr>
        <w:pStyle w:val="blockquote"/>
        <w:rPr>
          <w:lang w:eastAsia="en-US"/>
        </w:rPr>
      </w:pPr>
    </w:p>
    <w:p w14:paraId="54BA6861" w14:textId="5BAC2672" w:rsidR="00C85B70" w:rsidRPr="00C85B70" w:rsidRDefault="750671CE" w:rsidP="00F94B7E">
      <w:pPr>
        <w:pStyle w:val="blockquote"/>
        <w:rPr>
          <w:lang w:eastAsia="en-US"/>
        </w:rPr>
      </w:pPr>
      <w:r w:rsidRPr="750671CE">
        <w:rPr>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Pr>
          <w:lang w:eastAsia="en-US"/>
        </w:rPr>
        <w:t>‘</w:t>
      </w:r>
      <w:r w:rsidRPr="750671CE">
        <w:rPr>
          <w:lang w:eastAsia="en-US"/>
        </w:rPr>
        <w:t xml:space="preserve">operated </w:t>
      </w:r>
      <w:r w:rsidR="008A6B99">
        <w:rPr>
          <w:lang w:eastAsia="en-US"/>
        </w:rPr>
        <w:t xml:space="preserve">* * * </w:t>
      </w:r>
      <w:r w:rsidRPr="750671CE">
        <w:rPr>
          <w:lang w:eastAsia="en-US"/>
        </w:rPr>
        <w:t>as a single entity, unit and enterprise</w:t>
      </w:r>
      <w:r w:rsidR="00B05F31">
        <w:rPr>
          <w:lang w:eastAsia="en-US"/>
        </w:rPr>
        <w:t>’</w:t>
      </w:r>
      <w:r w:rsidRPr="750671CE">
        <w:rPr>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Pr>
          <w:lang w:eastAsia="en-US"/>
        </w:rPr>
        <w:t>‘</w:t>
      </w:r>
      <w:r w:rsidRPr="750671CE">
        <w:rPr>
          <w:lang w:eastAsia="en-US"/>
        </w:rPr>
        <w:t>to defraud members of the general public</w:t>
      </w:r>
      <w:r w:rsidR="00B05F31">
        <w:rPr>
          <w:lang w:eastAsia="en-US"/>
        </w:rPr>
        <w:t>’</w:t>
      </w:r>
      <w:r w:rsidRPr="750671CE">
        <w:rPr>
          <w:lang w:eastAsia="en-US"/>
        </w:rPr>
        <w:t xml:space="preserve"> who might be injured by the cabs. . . . </w:t>
      </w:r>
    </w:p>
    <w:p w14:paraId="41D86FF0" w14:textId="52159EE1" w:rsidR="00C85B70" w:rsidRPr="00C85B70" w:rsidRDefault="750671CE" w:rsidP="00F94B7E">
      <w:pPr>
        <w:pStyle w:val="blockquote"/>
        <w:rPr>
          <w:lang w:eastAsia="en-US"/>
        </w:rPr>
      </w:pPr>
      <w:r w:rsidRPr="750671CE">
        <w:rPr>
          <w:lang w:eastAsia="en-US"/>
        </w:rPr>
        <w:t xml:space="preserve">The individual defendant is charged with having </w:t>
      </w:r>
      <w:r w:rsidR="00B05F31">
        <w:rPr>
          <w:lang w:eastAsia="en-US"/>
        </w:rPr>
        <w:t>‘</w:t>
      </w:r>
      <w:r w:rsidRPr="750671CE">
        <w:rPr>
          <w:lang w:eastAsia="en-US"/>
        </w:rPr>
        <w:t>organized, managed, dominated and controlled</w:t>
      </w:r>
      <w:r w:rsidR="00B05F31">
        <w:rPr>
          <w:lang w:eastAsia="en-US"/>
        </w:rPr>
        <w:t>’</w:t>
      </w:r>
      <w:r w:rsidRPr="750671CE">
        <w:rPr>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Pr>
          <w:lang w:eastAsia="en-US"/>
        </w:rPr>
        <w:t>’</w:t>
      </w:r>
      <w:r w:rsidRPr="750671CE">
        <w:rPr>
          <w:lang w:eastAsia="en-US"/>
        </w:rPr>
        <w:t>s stockholders. The fact that the fleet ownership has been deliberately split up among many corporations does not ease the plaintiff</w:t>
      </w:r>
      <w:r w:rsidR="00B05F31">
        <w:rPr>
          <w:lang w:eastAsia="en-US"/>
        </w:rPr>
        <w:t>’</w:t>
      </w:r>
      <w:r w:rsidRPr="750671CE">
        <w:rPr>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such corporations, and we agree with the court at Special Term that, if the insurance coverage required by statute </w:t>
      </w:r>
      <w:r w:rsidR="00B05F31">
        <w:rPr>
          <w:lang w:eastAsia="en-US"/>
        </w:rPr>
        <w:t>‘</w:t>
      </w:r>
      <w:r w:rsidRPr="750671CE">
        <w:rPr>
          <w:lang w:eastAsia="en-US"/>
        </w:rPr>
        <w:t>is inadequate for the protection of the public, the remedy lies not with the courts but with the Legislature.</w:t>
      </w:r>
      <w:r w:rsidR="00B05F31">
        <w:rPr>
          <w:lang w:eastAsia="en-US"/>
        </w:rPr>
        <w:t>’</w:t>
      </w:r>
      <w:r w:rsidRPr="750671CE">
        <w:rPr>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Pr>
          <w:lang w:eastAsia="en-US"/>
        </w:rPr>
        <w:t> </w:t>
      </w:r>
      <w:r w:rsidRPr="750671CE">
        <w:rPr>
          <w:lang w:eastAsia="en-US"/>
        </w:rPr>
        <w:t>.</w:t>
      </w:r>
      <w:r w:rsidR="008A6B99">
        <w:rPr>
          <w:lang w:eastAsia="en-US"/>
        </w:rPr>
        <w:t> </w:t>
      </w:r>
      <w:r w:rsidRPr="750671CE">
        <w:rPr>
          <w:lang w:eastAsia="en-US"/>
        </w:rPr>
        <w:t>. In sum, then, the complaint falls short of adequately stating a cause of action against the defendant Carlton in his individual capacity.</w:t>
      </w:r>
    </w:p>
    <w:p w14:paraId="274B2394"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08A0B2FF" w14:textId="176B9C8A" w:rsidR="00C85B70" w:rsidRPr="00C85B70" w:rsidRDefault="750671CE" w:rsidP="0038332A">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Why don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 all corporations follow defendant Carlton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deck chairs on the Titanic</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t>
      </w:r>
    </w:p>
    <w:p w14:paraId="17FF8607" w14:textId="77777777" w:rsidR="00C85B70" w:rsidRPr="00C85B70" w:rsidRDefault="00C85B70" w:rsidP="00C85B70">
      <w:pPr>
        <w:autoSpaceDE w:val="0"/>
        <w:autoSpaceDN w:val="0"/>
        <w:adjustRightInd w:val="0"/>
        <w:ind w:right="-720"/>
        <w:rPr>
          <w:rFonts w:ascii="Times New Roman" w:eastAsia="Times New Roman" w:hAnsi="Times New Roman" w:cs="Times New Roman"/>
          <w:lang w:eastAsia="en-US"/>
        </w:rPr>
      </w:pPr>
    </w:p>
    <w:p w14:paraId="40C58685" w14:textId="77777777" w:rsidR="00C85B70" w:rsidRPr="00C85B70" w:rsidRDefault="750671CE" w:rsidP="00F94B7E">
      <w:pPr>
        <w:pStyle w:val="blockquote"/>
        <w:rPr>
          <w:lang w:eastAsia="en-US"/>
        </w:rPr>
      </w:pPr>
      <w:r w:rsidRPr="750671CE">
        <w:rPr>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C85B70" w:rsidRDefault="00C85B70" w:rsidP="00F94B7E">
      <w:pPr>
        <w:pStyle w:val="blockquote"/>
        <w:rPr>
          <w:lang w:eastAsia="en-US"/>
        </w:rPr>
      </w:pPr>
    </w:p>
    <w:p w14:paraId="7DBDE20B" w14:textId="77777777" w:rsidR="00C85B70" w:rsidRPr="00C85B70" w:rsidRDefault="750671CE" w:rsidP="00F94B7E">
      <w:pPr>
        <w:pStyle w:val="blockquote"/>
        <w:rPr>
          <w:highlight w:val="yellow"/>
          <w:lang w:eastAsia="en-US"/>
        </w:rPr>
      </w:pPr>
      <w:r w:rsidRPr="750671CE">
        <w:rPr>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C85B70" w:rsidRDefault="00C85B70" w:rsidP="00C85B70">
      <w:pPr>
        <w:autoSpaceDE w:val="0"/>
        <w:autoSpaceDN w:val="0"/>
        <w:adjustRightInd w:val="0"/>
        <w:ind w:left="720"/>
        <w:contextualSpacing/>
        <w:rPr>
          <w:rFonts w:ascii="Times New Roman" w:eastAsia="Times New Roman" w:hAnsi="Times New Roman" w:cs="Times New Roman"/>
          <w:lang w:eastAsia="en-US"/>
        </w:rPr>
      </w:pPr>
    </w:p>
    <w:p w14:paraId="235A3D85" w14:textId="630ADD20"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Lynn M. Lopucki, </w:t>
      </w:r>
      <w:r w:rsidRPr="750671CE">
        <w:rPr>
          <w:rFonts w:ascii="Times New Roman" w:eastAsia="Times New Roman" w:hAnsi="Times New Roman" w:cs="Times New Roman"/>
          <w:i/>
          <w:iCs/>
          <w:lang w:eastAsia="en-US"/>
        </w:rPr>
        <w:t>The Death of Liability</w:t>
      </w:r>
      <w:r w:rsidRPr="750671CE">
        <w:rPr>
          <w:rFonts w:ascii="Times New Roman" w:eastAsia="Times New Roman" w:hAnsi="Times New Roman" w:cs="Times New Roman"/>
          <w:lang w:eastAsia="en-US"/>
        </w:rPr>
        <w:t xml:space="preserve">, 106 </w:t>
      </w:r>
      <w:r w:rsidRPr="750671CE">
        <w:rPr>
          <w:rFonts w:ascii="Times New Roman" w:eastAsia="Times New Roman" w:hAnsi="Times New Roman" w:cs="Times New Roman"/>
          <w:smallCaps/>
          <w:lang w:eastAsia="en-US"/>
        </w:rPr>
        <w:t>Yale L.J</w:t>
      </w:r>
      <w:r w:rsidRPr="750671CE">
        <w:rPr>
          <w:rFonts w:ascii="Times New Roman" w:eastAsia="Times New Roman" w:hAnsi="Times New Roman" w:cs="Times New Roman"/>
          <w:lang w:eastAsia="en-US"/>
        </w:rPr>
        <w:t>. 1, 4-5 (1996).</w:t>
      </w:r>
    </w:p>
    <w:p w14:paraId="57F6D1F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2E29301" w14:textId="1B494618"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Of course, it is not free to reorganize one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firm to avoid liability.  It can be expensive indeed.  And while we see firms doing huge amounts of creative lawyering</w:t>
      </w:r>
      <w:r w:rsidR="004B58A1" w:rsidRPr="004B58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sometimes even selling themselves to smaller, offshore firms</w:t>
      </w:r>
      <w:r w:rsidR="004B58A1" w:rsidRPr="004B58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in order to avoid tax liability, there is very little evidence of anything comparable in the domain of tort liability.  And yet that is not at all to say that firms do not take advantage of opportunities to shelter themselves against tort liability. On the contrary, Ringleb and Wiggins claim to have found evidence of large corporations outsourcing their risky activities into separate units with limited financial assets in order to shield themselves from tort liability. Al H. Ringleb &amp; Steven N. Wiggins, </w:t>
      </w:r>
      <w:r w:rsidRPr="750671CE">
        <w:rPr>
          <w:rFonts w:ascii="Times New Roman" w:eastAsia="Times New Roman" w:hAnsi="Times New Roman" w:cs="Times New Roman"/>
          <w:i/>
          <w:iCs/>
          <w:lang w:eastAsia="en-US"/>
        </w:rPr>
        <w:t>Liability and Large-Scale, Long-Term Hazard</w:t>
      </w:r>
      <w:r w:rsidRPr="750671CE">
        <w:rPr>
          <w:rFonts w:ascii="Times New Roman" w:eastAsia="Times New Roman" w:hAnsi="Times New Roman" w:cs="Times New Roman"/>
          <w:lang w:eastAsia="en-US"/>
        </w:rPr>
        <w:t xml:space="preserve">, 98 </w:t>
      </w:r>
      <w:r w:rsidRPr="750671CE">
        <w:rPr>
          <w:rFonts w:ascii="Times New Roman" w:eastAsia="Times New Roman" w:hAnsi="Times New Roman" w:cs="Times New Roman"/>
          <w:smallCaps/>
          <w:lang w:eastAsia="en-US"/>
        </w:rPr>
        <w:t>J. Pol. Econ.</w:t>
      </w:r>
      <w:r w:rsidRPr="750671CE">
        <w:rPr>
          <w:rFonts w:ascii="Times New Roman" w:eastAsia="Times New Roman" w:hAnsi="Times New Roman" w:cs="Times New Roman"/>
          <w:lang w:eastAsia="en-US"/>
        </w:rPr>
        <w:t xml:space="preserve"> 574 (1990). They attributed a 20% increase in the number of small firms between 1967 and 1980 to the spinning off of hazardous activities by large corporations to small firms. </w:t>
      </w:r>
      <w:r w:rsidRPr="750671CE">
        <w:rPr>
          <w:rFonts w:ascii="Times New Roman" w:eastAsia="Times New Roman" w:hAnsi="Times New Roman" w:cs="Times New Roman"/>
          <w:i/>
          <w:iCs/>
          <w:lang w:eastAsia="en-US"/>
        </w:rPr>
        <w:t xml:space="preserve">Id. </w:t>
      </w:r>
      <w:r w:rsidRPr="750671CE">
        <w:rPr>
          <w:rFonts w:ascii="Times New Roman" w:eastAsia="Times New Roman" w:hAnsi="Times New Roman" w:cs="Times New Roman"/>
          <w:lang w:eastAsia="en-US"/>
        </w:rPr>
        <w:t xml:space="preserve">Large companies may also protect themselves from tort liability by issuing secured debt based on physical assets and then using the earned cash to buy back equity or to pay dividends to shareholders. Indeed, Warren and Westbrook found in their sample of business bankruptcies that 61.2% of the debt was secured. Elizabeth Warren &amp; Jay Lawrence Westbrook, </w:t>
      </w:r>
      <w:r w:rsidRPr="750671CE">
        <w:rPr>
          <w:rFonts w:ascii="Times New Roman" w:eastAsia="Times New Roman" w:hAnsi="Times New Roman" w:cs="Times New Roman"/>
          <w:i/>
          <w:iCs/>
          <w:lang w:eastAsia="en-US"/>
        </w:rPr>
        <w:t xml:space="preserve">Contracting </w:t>
      </w:r>
      <w:r w:rsidR="008A6B99">
        <w:rPr>
          <w:rFonts w:ascii="Times New Roman" w:eastAsia="Times New Roman" w:hAnsi="Times New Roman" w:cs="Times New Roman"/>
          <w:i/>
          <w:iCs/>
          <w:lang w:eastAsia="en-US"/>
        </w:rPr>
        <w:t>O</w:t>
      </w:r>
      <w:r w:rsidRPr="750671CE">
        <w:rPr>
          <w:rFonts w:ascii="Times New Roman" w:eastAsia="Times New Roman" w:hAnsi="Times New Roman" w:cs="Times New Roman"/>
          <w:i/>
          <w:iCs/>
          <w:lang w:eastAsia="en-US"/>
        </w:rPr>
        <w:t>ut of Bankruptcy: An Empirical Intervention</w:t>
      </w:r>
      <w:r w:rsidRPr="750671CE">
        <w:rPr>
          <w:rFonts w:ascii="Times New Roman" w:eastAsia="Times New Roman" w:hAnsi="Times New Roman" w:cs="Times New Roman"/>
          <w:lang w:eastAsia="en-US"/>
        </w:rPr>
        <w:t xml:space="preserve">, 118 </w:t>
      </w:r>
      <w:r w:rsidRPr="750671CE">
        <w:rPr>
          <w:rFonts w:ascii="Times New Roman" w:eastAsia="Times New Roman" w:hAnsi="Times New Roman" w:cs="Times New Roman"/>
          <w:smallCaps/>
          <w:lang w:eastAsia="en-US"/>
        </w:rPr>
        <w:t xml:space="preserve">Harv. L. Rev. </w:t>
      </w:r>
      <w:r w:rsidRPr="750671CE">
        <w:rPr>
          <w:rFonts w:ascii="Times New Roman" w:eastAsia="Times New Roman" w:hAnsi="Times New Roman" w:cs="Times New Roman"/>
          <w:lang w:eastAsia="en-US"/>
        </w:rPr>
        <w:t xml:space="preserve">1197, 1222 (2005). Some even think that the General Motors bankruptcy and reorganization of 2009 may have sheltered the firm from liability for the now-infamous ignition switch failures that killed at least thirteen people in the early 2000s.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Stephen J. Lubben, </w:t>
      </w:r>
      <w:r w:rsidRPr="00F94B7E">
        <w:rPr>
          <w:rFonts w:ascii="Times New Roman" w:eastAsia="Times New Roman" w:hAnsi="Times New Roman" w:cs="Times New Roman"/>
          <w:i/>
          <w:lang w:eastAsia="en-US"/>
        </w:rPr>
        <w:t>G.M.</w:t>
      </w:r>
      <w:r w:rsidR="00B05F31" w:rsidRPr="00F94B7E">
        <w:rPr>
          <w:rFonts w:ascii="Times New Roman" w:eastAsia="Times New Roman" w:hAnsi="Times New Roman" w:cs="Times New Roman"/>
          <w:i/>
          <w:lang w:eastAsia="en-US"/>
        </w:rPr>
        <w:t>’</w:t>
      </w:r>
      <w:r w:rsidRPr="00F94B7E">
        <w:rPr>
          <w:rFonts w:ascii="Times New Roman" w:eastAsia="Times New Roman" w:hAnsi="Times New Roman" w:cs="Times New Roman"/>
          <w:i/>
          <w:lang w:eastAsia="en-US"/>
        </w:rPr>
        <w:t xml:space="preserve">s Bankruptcy </w:t>
      </w:r>
      <w:r w:rsidR="004B58A1" w:rsidRPr="00F94B7E">
        <w:rPr>
          <w:rFonts w:ascii="Times New Roman" w:eastAsia="Times New Roman" w:hAnsi="Times New Roman" w:cs="Times New Roman"/>
          <w:i/>
          <w:lang w:eastAsia="en-US"/>
        </w:rPr>
        <w:t>Will</w:t>
      </w:r>
      <w:r w:rsidRPr="00F94B7E">
        <w:rPr>
          <w:rFonts w:ascii="Times New Roman" w:eastAsia="Times New Roman" w:hAnsi="Times New Roman" w:cs="Times New Roman"/>
          <w:i/>
          <w:lang w:eastAsia="en-US"/>
        </w:rPr>
        <w:t xml:space="preserve"> Probably Shield it from Most New Claims</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iCs/>
          <w:smallCaps/>
          <w:lang w:eastAsia="en-US"/>
        </w:rPr>
        <w:t>N</w:t>
      </w:r>
      <w:r w:rsidR="004B58A1">
        <w:rPr>
          <w:rFonts w:ascii="Times New Roman" w:eastAsia="Times New Roman" w:hAnsi="Times New Roman" w:cs="Times New Roman"/>
          <w:iCs/>
          <w:smallCaps/>
          <w:lang w:eastAsia="en-US"/>
        </w:rPr>
        <w:t>.</w:t>
      </w:r>
      <w:r w:rsidRPr="00F94B7E">
        <w:rPr>
          <w:rFonts w:ascii="Times New Roman" w:eastAsia="Times New Roman" w:hAnsi="Times New Roman" w:cs="Times New Roman"/>
          <w:iCs/>
          <w:smallCaps/>
          <w:lang w:eastAsia="en-US"/>
        </w:rPr>
        <w:t>Y</w:t>
      </w:r>
      <w:r w:rsidR="004B58A1">
        <w:rPr>
          <w:rFonts w:ascii="Times New Roman" w:eastAsia="Times New Roman" w:hAnsi="Times New Roman" w:cs="Times New Roman"/>
          <w:iCs/>
          <w:smallCaps/>
          <w:lang w:eastAsia="en-US"/>
        </w:rPr>
        <w:t>.</w:t>
      </w:r>
      <w:r w:rsidRPr="00F94B7E">
        <w:rPr>
          <w:rFonts w:ascii="Times New Roman" w:eastAsia="Times New Roman" w:hAnsi="Times New Roman" w:cs="Times New Roman"/>
          <w:iCs/>
          <w:smallCaps/>
          <w:lang w:eastAsia="en-US"/>
        </w:rPr>
        <w:t xml:space="preserve"> Times</w:t>
      </w:r>
      <w:r w:rsidRPr="004B58A1">
        <w:rPr>
          <w:rFonts w:ascii="Times New Roman" w:eastAsia="Times New Roman" w:hAnsi="Times New Roman" w:cs="Times New Roman"/>
          <w:lang w:eastAsia="en-US"/>
        </w:rPr>
        <w:t>, April</w:t>
      </w:r>
      <w:r w:rsidRPr="750671CE">
        <w:rPr>
          <w:rFonts w:ascii="Times New Roman" w:eastAsia="Times New Roman" w:hAnsi="Times New Roman" w:cs="Times New Roman"/>
          <w:lang w:eastAsia="en-US"/>
        </w:rPr>
        <w:t xml:space="preserve"> 23, 2014.  For a general overview of judgment proofing strategies, see</w:t>
      </w:r>
      <w:r w:rsidRPr="750671CE">
        <w:rPr>
          <w:rFonts w:ascii="Times New Roman" w:eastAsia="Times New Roman" w:hAnsi="Times New Roman" w:cs="Times New Roman"/>
          <w:i/>
          <w:iCs/>
          <w:lang w:eastAsia="en-US"/>
        </w:rPr>
        <w:t xml:space="preserve"> </w:t>
      </w:r>
      <w:r w:rsidRPr="750671CE">
        <w:rPr>
          <w:rFonts w:ascii="Times New Roman" w:eastAsia="Times New Roman" w:hAnsi="Times New Roman" w:cs="Times New Roman"/>
          <w:lang w:eastAsia="en-US"/>
        </w:rPr>
        <w:t xml:space="preserve">Yeon-Koo Che &amp; Kathryn E. Spier, </w:t>
      </w:r>
      <w:r w:rsidRPr="750671CE">
        <w:rPr>
          <w:rFonts w:ascii="Times New Roman" w:eastAsia="Times New Roman" w:hAnsi="Times New Roman" w:cs="Times New Roman"/>
          <w:i/>
          <w:iCs/>
          <w:lang w:eastAsia="en-US"/>
        </w:rPr>
        <w:t>Strategic Judgment Proofing</w:t>
      </w:r>
      <w:r w:rsidRPr="750671CE">
        <w:rPr>
          <w:rFonts w:ascii="Times New Roman" w:eastAsia="Times New Roman" w:hAnsi="Times New Roman" w:cs="Times New Roman"/>
          <w:lang w:eastAsia="en-US"/>
        </w:rPr>
        <w:t xml:space="preserve">, 39 </w:t>
      </w:r>
      <w:r w:rsidRPr="750671CE">
        <w:rPr>
          <w:rFonts w:ascii="Times New Roman" w:eastAsia="Times New Roman" w:hAnsi="Times New Roman" w:cs="Times New Roman"/>
          <w:smallCaps/>
          <w:lang w:eastAsia="en-US"/>
        </w:rPr>
        <w:t xml:space="preserve">RAND J. Econ. </w:t>
      </w:r>
      <w:r w:rsidRPr="750671CE">
        <w:rPr>
          <w:rFonts w:ascii="Times New Roman" w:eastAsia="Times New Roman" w:hAnsi="Times New Roman" w:cs="Times New Roman"/>
          <w:lang w:eastAsia="en-US"/>
        </w:rPr>
        <w:t>926, 927 (2008).</w:t>
      </w:r>
    </w:p>
    <w:p w14:paraId="4C942A78" w14:textId="0386B70C" w:rsidR="00D971FF" w:rsidRDefault="00D971FF">
      <w:pPr>
        <w:rPr>
          <w:rFonts w:ascii="Times New Roman" w:eastAsia="Times New Roman" w:hAnsi="Times New Roman" w:cs="Times New Roman"/>
          <w:lang w:eastAsia="en-US"/>
        </w:rPr>
      </w:pPr>
    </w:p>
    <w:p w14:paraId="6228ED45" w14:textId="77777777" w:rsidR="00051CC4" w:rsidRDefault="00051CC4">
      <w:pPr>
        <w:rPr>
          <w:rFonts w:ascii="Times New Roman" w:eastAsia="Times New Roman" w:hAnsi="Times New Roman" w:cs="Times New Roman"/>
          <w:lang w:eastAsia="en-US"/>
        </w:rPr>
      </w:pPr>
    </w:p>
    <w:p w14:paraId="0EF0D50D" w14:textId="32D1FB47" w:rsidR="00C85B70" w:rsidRPr="00C85B70" w:rsidRDefault="00C85B70" w:rsidP="750671CE">
      <w:pPr>
        <w:pStyle w:val="Heading2"/>
        <w:rPr>
          <w:lang w:eastAsia="en-US"/>
        </w:rPr>
      </w:pPr>
      <w:bookmarkStart w:id="1121" w:name="_Toc364636313"/>
      <w:bookmarkStart w:id="1122" w:name="_Toc518323600"/>
      <w:r w:rsidRPr="00C85B70">
        <w:rPr>
          <w:lang w:eastAsia="en-US"/>
        </w:rPr>
        <w:t xml:space="preserve">C. </w:t>
      </w:r>
      <w:r w:rsidR="005450F3">
        <w:rPr>
          <w:lang w:eastAsia="en-US"/>
        </w:rPr>
        <w:t xml:space="preserve"> </w:t>
      </w:r>
      <w:r w:rsidRPr="00C85B70">
        <w:rPr>
          <w:lang w:eastAsia="en-US"/>
        </w:rPr>
        <w:t>Mass Settlements</w:t>
      </w:r>
      <w:bookmarkEnd w:id="1121"/>
      <w:bookmarkEnd w:id="1122"/>
    </w:p>
    <w:p w14:paraId="482A0D6B"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10519678" w14:textId="77777777" w:rsidR="00C85B70" w:rsidRPr="00C85B70" w:rsidRDefault="00C85B70" w:rsidP="00C85B70">
      <w:pPr>
        <w:autoSpaceDE w:val="0"/>
        <w:autoSpaceDN w:val="0"/>
        <w:adjustRightInd w:val="0"/>
        <w:rPr>
          <w:rFonts w:ascii="Times New Roman" w:eastAsia="Times New Roman" w:hAnsi="Times New Roman" w:cs="Times New Roman"/>
          <w:b/>
          <w:lang w:eastAsia="en-US"/>
        </w:rPr>
      </w:pPr>
    </w:p>
    <w:p w14:paraId="25062FD8" w14:textId="2CE9C404" w:rsidR="00C85B70" w:rsidRPr="00C85B70" w:rsidRDefault="00C85B70" w:rsidP="00322687">
      <w:pPr>
        <w:pStyle w:val="Heading3"/>
      </w:pPr>
      <w:bookmarkStart w:id="1123" w:name="_Toc518323601"/>
      <w:bookmarkStart w:id="1124" w:name="_Toc364636314"/>
      <w:r w:rsidRPr="00C85B70">
        <w:t xml:space="preserve">1. </w:t>
      </w:r>
      <w:r w:rsidR="005450F3">
        <w:t xml:space="preserve"> </w:t>
      </w:r>
      <w:r w:rsidRPr="00C85B70">
        <w:t>The September 11</w:t>
      </w:r>
      <w:r w:rsidR="00C55B81">
        <w:t>th</w:t>
      </w:r>
      <w:r w:rsidRPr="00C85B70">
        <w:t xml:space="preserve"> Victim Compensation Fund</w:t>
      </w:r>
      <w:bookmarkEnd w:id="1123"/>
      <w:r w:rsidRPr="00C85B70">
        <w:t xml:space="preserve"> </w:t>
      </w:r>
      <w:bookmarkEnd w:id="1124"/>
    </w:p>
    <w:p w14:paraId="7966386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18F87F6" w14:textId="77777777"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Background</w:t>
      </w:r>
    </w:p>
    <w:p w14:paraId="5A5FC49A"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70638CA" w14:textId="77777777"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the wake of the September 11, 2001 attacks, Congress moved quickly to create a fund to compensate the families of those killed in the attacks. </w:t>
      </w:r>
    </w:p>
    <w:p w14:paraId="34BD65F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0FE751F" w14:textId="08C2AE1F"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00F70D9D">
        <w:rPr>
          <w:rFonts w:ascii="Times New Roman" w:eastAsia="Times New Roman" w:hAnsi="Times New Roman" w:cs="Times New Roman"/>
          <w:lang w:eastAsia="en-US"/>
        </w:rPr>
        <w:t xml:space="preserve">the </w:t>
      </w:r>
      <w:r w:rsidRPr="750671CE">
        <w:rPr>
          <w:rFonts w:ascii="Times New Roman" w:eastAsia="Times New Roman" w:hAnsi="Times New Roman" w:cs="Times New Roman"/>
          <w:lang w:eastAsia="en-US"/>
        </w:rPr>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C700913" w14:textId="7F9E179E"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Feinberg set up a detailed methodology for calculating awards to families. Pecuniary damages were based on the victim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historical earnings projected forward</w:t>
      </w:r>
      <w:r w:rsidR="0080178C" w:rsidRPr="0080178C">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except for those individuals making more than the 98</w:t>
      </w:r>
      <w:r w:rsidR="0080178C">
        <w:rPr>
          <w:rFonts w:ascii="Times New Roman" w:eastAsia="Times New Roman" w:hAnsi="Times New Roman" w:cs="Times New Roman"/>
          <w:lang w:eastAsia="en-US"/>
        </w:rPr>
        <w:t>th</w:t>
      </w:r>
      <w:r w:rsidRPr="750671CE">
        <w:rPr>
          <w:rFonts w:ascii="Times New Roman" w:eastAsia="Times New Roman" w:hAnsi="Times New Roman" w:cs="Times New Roman"/>
          <w:lang w:eastAsia="en-US"/>
        </w:rPr>
        <w:t xml:space="preserve"> percentile of national income, or $231,000. For those individuals, the methodology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presumed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rPr>
          <w:rFonts w:ascii="Times New Roman" w:eastAsia="Times New Roman" w:hAnsi="Times New Roman" w:cs="Times New Roman"/>
          <w:lang w:eastAsia="en-US"/>
        </w:rPr>
        <w:t>sing away.  Under the Act, the f</w:t>
      </w:r>
      <w:r w:rsidRPr="750671CE">
        <w:rPr>
          <w:rFonts w:ascii="Times New Roman" w:eastAsia="Times New Roman" w:hAnsi="Times New Roman" w:cs="Times New Roman"/>
          <w:lang w:eastAsia="en-US"/>
        </w:rPr>
        <w:t>und set off collateral source benefits such as life insurance proceeds received by a decedent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family against the damages awarded.  While there was still significant variation between the payouts given to higher and lower earning victims, the capped income figure and the life insurance set off meant that</w:t>
      </w:r>
      <w:r w:rsidR="00FA5988">
        <w:rPr>
          <w:rFonts w:ascii="Times New Roman" w:eastAsia="Times New Roman" w:hAnsi="Times New Roman" w:cs="Times New Roman"/>
          <w:lang w:eastAsia="en-US"/>
        </w:rPr>
        <w:t xml:space="preserve"> variation within the class of f</w:t>
      </w:r>
      <w:r w:rsidRPr="750671CE">
        <w:rPr>
          <w:rFonts w:ascii="Times New Roman" w:eastAsia="Times New Roman" w:hAnsi="Times New Roman" w:cs="Times New Roman"/>
          <w:lang w:eastAsia="en-US"/>
        </w:rPr>
        <w:t>und beneficiaries was significantly smaller than it would have been if these cases had gone through a tort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traditional methodology of calculating damages.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Kenneth Feinberg, </w:t>
      </w:r>
      <w:r w:rsidRPr="750671CE">
        <w:rPr>
          <w:rFonts w:ascii="Times New Roman" w:eastAsia="Times New Roman" w:hAnsi="Times New Roman" w:cs="Times New Roman"/>
          <w:i/>
          <w:iCs/>
          <w:lang w:eastAsia="en-US"/>
        </w:rPr>
        <w:t xml:space="preserve">Final Report of the Special Master of the September </w:t>
      </w:r>
      <w:r w:rsidRPr="00F70D9D">
        <w:rPr>
          <w:rFonts w:ascii="Times New Roman" w:eastAsia="Times New Roman" w:hAnsi="Times New Roman" w:cs="Times New Roman"/>
          <w:i/>
          <w:iCs/>
          <w:lang w:eastAsia="en-US"/>
        </w:rPr>
        <w:t>1</w:t>
      </w:r>
      <w:r w:rsidR="00F70D9D">
        <w:rPr>
          <w:rFonts w:ascii="Times New Roman" w:eastAsia="Times New Roman" w:hAnsi="Times New Roman" w:cs="Times New Roman"/>
          <w:i/>
          <w:iCs/>
          <w:lang w:eastAsia="en-US"/>
        </w:rPr>
        <w:t>1th</w:t>
      </w:r>
      <w:r w:rsidRPr="750671CE">
        <w:rPr>
          <w:rFonts w:ascii="Times New Roman" w:eastAsia="Times New Roman" w:hAnsi="Times New Roman" w:cs="Times New Roman"/>
          <w:i/>
          <w:iCs/>
          <w:lang w:eastAsia="en-US"/>
        </w:rPr>
        <w:t xml:space="preserve"> Victim Compensation Fund</w:t>
      </w:r>
      <w:r w:rsidRPr="750671CE">
        <w:rPr>
          <w:rFonts w:ascii="Times New Roman" w:eastAsia="Times New Roman" w:hAnsi="Times New Roman" w:cs="Times New Roman"/>
          <w:lang w:eastAsia="en-US"/>
        </w:rPr>
        <w:t xml:space="preserve">, U.S. Dept. of Justice. http://www.justice.gov/final_report.pdf. </w:t>
      </w:r>
    </w:p>
    <w:p w14:paraId="5119145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A2F144B" w14:textId="0DFA6C18"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the end, the fund distributed over $7 billion to over 5,000 individuals within three years. 97% of the decedents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families participated in the settlement. The median award was slightly over $1.5 million; the highest award in a death case was $7 million and the lowest was $250,000.  </w:t>
      </w:r>
    </w:p>
    <w:p w14:paraId="0B2A594A"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2B02FC4" w14:textId="4AFFEB61" w:rsidR="00C85B70" w:rsidRPr="00F70D9D" w:rsidRDefault="750671CE" w:rsidP="750671CE">
      <w:pPr>
        <w:autoSpaceDE w:val="0"/>
        <w:autoSpaceDN w:val="0"/>
        <w:adjustRightInd w:val="0"/>
        <w:ind w:firstLine="720"/>
        <w:rPr>
          <w:rFonts w:ascii="Times New Roman" w:eastAsia="Times New Roman" w:hAnsi="Times New Roman" w:cs="Times New Roman"/>
          <w:lang w:eastAsia="en-US"/>
        </w:rPr>
      </w:pPr>
      <w:r w:rsidRPr="00F70D9D">
        <w:rPr>
          <w:rFonts w:ascii="Times New Roman" w:eastAsia="Times New Roman" w:hAnsi="Times New Roman" w:cs="Times New Roman"/>
          <w:lang w:eastAsia="en-US"/>
        </w:rPr>
        <w:t>94 families of those who died on</w:t>
      </w:r>
      <w:r w:rsidR="00FA5988">
        <w:rPr>
          <w:rFonts w:ascii="Times New Roman" w:eastAsia="Times New Roman" w:hAnsi="Times New Roman" w:cs="Times New Roman"/>
          <w:lang w:eastAsia="en-US"/>
        </w:rPr>
        <w:t xml:space="preserve"> 9/11 declined to opt into the f</w:t>
      </w:r>
      <w:r w:rsidRPr="00F70D9D">
        <w:rPr>
          <w:rFonts w:ascii="Times New Roman" w:eastAsia="Times New Roman" w:hAnsi="Times New Roman" w:cs="Times New Roman"/>
          <w:lang w:eastAsia="en-US"/>
        </w:rPr>
        <w:t>und and sued the airlines.  Litigation stretched out over the subsequent years.  By 2011, ten years after the events of 9/11, all but one of the 94 families had settled their claims.  Susanna Kim</w:t>
      </w:r>
      <w:r w:rsidRPr="00F70D9D">
        <w:rPr>
          <w:rFonts w:ascii="Times New Roman" w:eastAsia="Times New Roman" w:hAnsi="Times New Roman" w:cs="Times New Roman"/>
          <w:i/>
          <w:iCs/>
          <w:lang w:eastAsia="en-US"/>
        </w:rPr>
        <w:t>, 9/11 Families, Except One, Receive $7 Billion</w:t>
      </w:r>
      <w:r w:rsidRPr="00F70D9D">
        <w:rPr>
          <w:rFonts w:ascii="Times New Roman" w:eastAsia="Times New Roman" w:hAnsi="Times New Roman" w:cs="Times New Roman"/>
          <w:lang w:eastAsia="en-US"/>
        </w:rPr>
        <w:t xml:space="preserve">, </w:t>
      </w:r>
      <w:r w:rsidRPr="00F70D9D">
        <w:rPr>
          <w:rFonts w:ascii="Times New Roman" w:eastAsia="Times New Roman" w:hAnsi="Times New Roman" w:cs="Times New Roman"/>
          <w:smallCaps/>
          <w:lang w:eastAsia="en-US"/>
        </w:rPr>
        <w:t>ABC News</w:t>
      </w:r>
      <w:r w:rsidRPr="00F70D9D">
        <w:rPr>
          <w:rFonts w:ascii="Times New Roman" w:eastAsia="Times New Roman" w:hAnsi="Times New Roman" w:cs="Times New Roman"/>
          <w:lang w:eastAsia="en-US"/>
        </w:rPr>
        <w:t xml:space="preserve">, Sept. 12, 2011 </w:t>
      </w:r>
      <w:r w:rsidRPr="00F94B7E">
        <w:rPr>
          <w:rFonts w:ascii="Times New Roman" w:eastAsia="Times New Roman,ＭＳ ゴシック" w:hAnsi="Times New Roman" w:cs="Times New Roman"/>
          <w:lang w:eastAsia="en-US"/>
        </w:rPr>
        <w:t>http://abcnews.go.com/Business/september-11-victims-family-seeks-justice/story?id=14364251</w:t>
      </w:r>
      <w:r w:rsidRPr="00F70D9D">
        <w:rPr>
          <w:rFonts w:ascii="Times New Roman" w:eastAsia="Times New Roman" w:hAnsi="Times New Roman" w:cs="Times New Roman"/>
          <w:lang w:eastAsia="en-US"/>
        </w:rPr>
        <w:t>.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rPr>
          <w:rFonts w:ascii="Times New Roman" w:eastAsia="Times New Roman" w:hAnsi="Times New Roman" w:cs="Times New Roman"/>
          <w:lang w:eastAsia="en-US"/>
        </w:rPr>
        <w:t>s who received awards from the f</w:t>
      </w:r>
      <w:r w:rsidRPr="00F70D9D">
        <w:rPr>
          <w:rFonts w:ascii="Times New Roman" w:eastAsia="Times New Roman" w:hAnsi="Times New Roman" w:cs="Times New Roman"/>
          <w:lang w:eastAsia="en-US"/>
        </w:rPr>
        <w:t>und.  This may be due to selection effects, to the procedural effects of the fund (which discounted the income of the highest earners and reduced awards for insured decedents)</w:t>
      </w:r>
      <w:r w:rsidR="0080178C" w:rsidRPr="00F70D9D">
        <w:rPr>
          <w:rFonts w:ascii="Times New Roman" w:eastAsia="Times New Roman" w:hAnsi="Times New Roman" w:cs="Times New Roman"/>
          <w:lang w:eastAsia="en-US"/>
        </w:rPr>
        <w:t>—</w:t>
      </w:r>
      <w:r w:rsidRPr="00F70D9D">
        <w:rPr>
          <w:rFonts w:ascii="Times New Roman" w:eastAsia="Times New Roman" w:hAnsi="Times New Roman" w:cs="Times New Roman"/>
          <w:lang w:eastAsia="en-US"/>
        </w:rPr>
        <w:t xml:space="preserve">or simply to the value to be gained by being one of the hold-outs in a negotiation setting. </w:t>
      </w:r>
    </w:p>
    <w:p w14:paraId="6C2561C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124AE3C" w14:textId="08A84D09"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One vital question is why more families didn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rPr>
          <w:rFonts w:ascii="Times New Roman" w:eastAsia="Times New Roman" w:hAnsi="Times New Roman" w:cs="Times New Roman"/>
          <w:lang w:eastAsia="en-US"/>
        </w:rPr>
        <w:t>T</w:t>
      </w:r>
      <w:r w:rsidRPr="750671CE">
        <w:rPr>
          <w:rFonts w:ascii="Times New Roman" w:eastAsia="Times New Roman" w:hAnsi="Times New Roman" w:cs="Times New Roman"/>
          <w:lang w:eastAsia="en-US"/>
        </w:rPr>
        <w:t xml:space="preserve">owers would have had the most </w:t>
      </w:r>
      <w:r w:rsidR="00FA5988">
        <w:rPr>
          <w:rFonts w:ascii="Times New Roman" w:eastAsia="Times New Roman" w:hAnsi="Times New Roman" w:cs="Times New Roman"/>
          <w:lang w:eastAsia="en-US"/>
        </w:rPr>
        <w:t>to gain from opting out of the f</w:t>
      </w:r>
      <w:r w:rsidRPr="750671CE">
        <w:rPr>
          <w:rFonts w:ascii="Times New Roman" w:eastAsia="Times New Roman" w:hAnsi="Times New Roman" w:cs="Times New Roman"/>
          <w:lang w:eastAsia="en-US"/>
        </w:rPr>
        <w:t>und</w:t>
      </w:r>
      <w:r w:rsidR="0080178C" w:rsidRPr="0080178C">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and many of those presumably would have had the financial resources necessary to wait out a protracted litigation.  Yet there may have been other facto</w:t>
      </w:r>
      <w:r w:rsidR="00FA5988">
        <w:rPr>
          <w:rFonts w:ascii="Times New Roman" w:eastAsia="Times New Roman" w:hAnsi="Times New Roman" w:cs="Times New Roman"/>
          <w:lang w:eastAsia="en-US"/>
        </w:rPr>
        <w:t>rs that led people to join the f</w:t>
      </w:r>
      <w:r w:rsidRPr="750671CE">
        <w:rPr>
          <w:rFonts w:ascii="Times New Roman" w:eastAsia="Times New Roman" w:hAnsi="Times New Roman" w:cs="Times New Roman"/>
          <w:lang w:eastAsia="en-US"/>
        </w:rPr>
        <w:t xml:space="preserve">und: solidarity with other victims, patriotic support for the government program, or simply a desire for closure.  Families opting out of the fund also cited non-financial motives. </w:t>
      </w:r>
      <w:r w:rsidR="00FA5988">
        <w:rPr>
          <w:rFonts w:ascii="Times New Roman" w:eastAsia="Times New Roman" w:hAnsi="Times New Roman" w:cs="Times New Roman"/>
          <w:lang w:eastAsia="en-US"/>
        </w:rPr>
        <w:t xml:space="preserve"> Many families who refused the f</w:t>
      </w:r>
      <w:r w:rsidRPr="750671CE">
        <w:rPr>
          <w:rFonts w:ascii="Times New Roman" w:eastAsia="Times New Roman" w:hAnsi="Times New Roman" w:cs="Times New Roman"/>
          <w:lang w:eastAsia="en-US"/>
        </w:rPr>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F0963A6"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Other Funds</w:t>
      </w:r>
    </w:p>
    <w:p w14:paraId="5640CB8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ECC7CAB"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Kenneth Feinberg goes where disaster calls. In 2013, in the wake of the Boston Marathon bombings, Feinberg volunteered to administer a $60 million fund created by donations of private individuals to support people injured or killed. He also worked pro bono for Virginia Tech in the aftermath of a mass shooting in 2007. He also was employed by BP to manage a settlement fund to compensate people injured by the oil spill in the Gulf of Mexico in 2010, to be discussed further below. More recently, he has been hired by Penn State University to manage settlements related to sexual abuse perpetrated by a coach of the Penn State football team. </w:t>
      </w:r>
    </w:p>
    <w:p w14:paraId="55D76D4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4894A96" w14:textId="6573DDA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These funds all have different sources and effects. The 9/11 fund was created by the government; the Boston Marathon fund by private individuals; the Virginia Tech, BP Oil Spill and Penn State funds by private companies. The 9/11 fund was intentionally created to protect parties that could have been liable under tort law</w:t>
      </w:r>
      <w:r w:rsidR="00152801" w:rsidRPr="0015280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3139DE23"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i/>
          <w:iCs/>
          <w:lang w:eastAsia="en-US"/>
        </w:rPr>
      </w:pPr>
      <w:r w:rsidRPr="750671CE">
        <w:rPr>
          <w:rFonts w:ascii="Times New Roman" w:eastAsia="Times New Roman" w:hAnsi="Times New Roman" w:cs="Times New Roman"/>
          <w:i/>
          <w:iCs/>
          <w:lang w:eastAsia="en-US"/>
        </w:rPr>
        <w:t>Other Disasters</w:t>
      </w:r>
    </w:p>
    <w:p w14:paraId="140BA588"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i/>
          <w:lang w:eastAsia="en-US"/>
        </w:rPr>
      </w:pPr>
    </w:p>
    <w:p w14:paraId="1DDA0A74"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Not all disasters result in a compensation fund. In fact, the vast majority of deaths do not have any associated compensation fund. What makes some deaths special? Peter Schuck questions the rationale for singling out the victims of 9/11. </w:t>
      </w:r>
    </w:p>
    <w:p w14:paraId="50CFD8E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0C040A6" w14:textId="53104B93" w:rsidR="00C85B70" w:rsidRPr="00C85B70" w:rsidRDefault="750671CE" w:rsidP="00F94B7E">
      <w:pPr>
        <w:pStyle w:val="blockquote"/>
        <w:rPr>
          <w:lang w:eastAsia="en-US"/>
        </w:rPr>
      </w:pPr>
      <w:r w:rsidRPr="750671CE">
        <w:rPr>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Pr>
          <w:lang w:eastAsia="en-US"/>
        </w:rPr>
        <w:t>“</w:t>
      </w:r>
      <w:r w:rsidRPr="750671CE">
        <w:rPr>
          <w:lang w:eastAsia="en-US"/>
        </w:rPr>
        <w:t>lucky</w:t>
      </w:r>
      <w:r w:rsidR="00B05F31">
        <w:rPr>
          <w:lang w:eastAsia="en-US"/>
        </w:rPr>
        <w:t>”</w:t>
      </w:r>
      <w:r w:rsidRPr="750671CE">
        <w:rPr>
          <w:lang w:eastAsia="en-US"/>
        </w:rPr>
        <w:t xml:space="preserve"> enough to have been injured by someone who can be held liable under the tort system</w:t>
      </w:r>
      <w:r w:rsidR="00B05F31">
        <w:rPr>
          <w:lang w:eastAsia="en-US"/>
        </w:rPr>
        <w:t>’</w:t>
      </w:r>
      <w:r w:rsidRPr="750671CE">
        <w:rPr>
          <w:lang w:eastAsia="en-US"/>
        </w:rPr>
        <w:t xml:space="preserve">s peculiar, often arbitrary rules and who is also sufficiently insured or secure financially to pay the judgment. </w:t>
      </w:r>
    </w:p>
    <w:p w14:paraId="7A7D0561"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9445BB7"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Peter Schuck, </w:t>
      </w:r>
      <w:r w:rsidRPr="750671CE">
        <w:rPr>
          <w:rFonts w:ascii="Times New Roman" w:eastAsia="Times New Roman" w:hAnsi="Times New Roman" w:cs="Times New Roman"/>
          <w:i/>
          <w:iCs/>
          <w:lang w:eastAsia="en-US"/>
        </w:rPr>
        <w:t>Special Dispensation</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The American Lawyer</w:t>
      </w:r>
      <w:r w:rsidRPr="750671CE">
        <w:rPr>
          <w:rFonts w:ascii="Times New Roman" w:eastAsia="Times New Roman" w:hAnsi="Times New Roman" w:cs="Times New Roman"/>
          <w:lang w:eastAsia="en-US"/>
        </w:rPr>
        <w:t xml:space="preserve"> (2004).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C85B70" w:rsidRDefault="00C85B70" w:rsidP="00C85B70">
      <w:pPr>
        <w:tabs>
          <w:tab w:val="left" w:pos="7311"/>
        </w:tabs>
        <w:autoSpaceDE w:val="0"/>
        <w:autoSpaceDN w:val="0"/>
        <w:adjustRightInd w:val="0"/>
        <w:ind w:right="720"/>
        <w:rPr>
          <w:rFonts w:ascii="Times New Roman" w:eastAsia="Times New Roman" w:hAnsi="Times New Roman" w:cs="Times New Roman"/>
          <w:lang w:eastAsia="en-US"/>
        </w:rPr>
      </w:pPr>
    </w:p>
    <w:p w14:paraId="354104BD" w14:textId="30ED1C3B" w:rsidR="00C85B70" w:rsidRPr="00C85B70" w:rsidRDefault="750671CE" w:rsidP="00F94B7E">
      <w:pPr>
        <w:pStyle w:val="blockquote"/>
        <w:rPr>
          <w:lang w:eastAsia="en-US"/>
        </w:rPr>
      </w:pPr>
      <w:r w:rsidRPr="750671CE">
        <w:rPr>
          <w:lang w:eastAsia="en-US"/>
        </w:rPr>
        <w:t>Small wonder, then, that American society has deployed such a messy, ostensibly incoherent, if not unprincipled, mixture of institutions and approaches</w:t>
      </w:r>
      <w:r w:rsidR="006300F7" w:rsidRPr="006300F7">
        <w:rPr>
          <w:lang w:eastAsia="en-US"/>
        </w:rPr>
        <w:t>—</w:t>
      </w:r>
      <w:r w:rsidRPr="750671CE">
        <w:rPr>
          <w:lang w:eastAsia="en-US"/>
        </w:rPr>
        <w:t>tort, social insurance, private insurance, contract, charity, private savings, categorical programs</w:t>
      </w:r>
      <w:r w:rsidR="006300F7" w:rsidRPr="006300F7">
        <w:t xml:space="preserve"> </w:t>
      </w:r>
      <w:r w:rsidR="006300F7" w:rsidRPr="006300F7">
        <w:rPr>
          <w:lang w:eastAsia="en-US"/>
        </w:rPr>
        <w:t>—</w:t>
      </w:r>
      <w:r w:rsidRPr="750671CE">
        <w:rPr>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0D3E939"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i/>
          <w:iCs/>
          <w:lang w:eastAsia="en-US"/>
        </w:rPr>
      </w:pPr>
      <w:r w:rsidRPr="750671CE">
        <w:rPr>
          <w:rFonts w:ascii="Times New Roman" w:eastAsia="Times New Roman" w:hAnsi="Times New Roman" w:cs="Times New Roman"/>
          <w:i/>
          <w:iCs/>
          <w:lang w:eastAsia="en-US"/>
        </w:rPr>
        <w:t>Id.</w:t>
      </w:r>
    </w:p>
    <w:p w14:paraId="3CA71D0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2116FE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1FEF35F" w14:textId="7184540F" w:rsidR="00C85B70" w:rsidRPr="00C85B70" w:rsidRDefault="00C85B70" w:rsidP="00322687">
      <w:pPr>
        <w:pStyle w:val="Heading3"/>
      </w:pPr>
      <w:bookmarkStart w:id="1125" w:name="_Toc364636315"/>
      <w:bookmarkStart w:id="1126" w:name="_Toc518323602"/>
      <w:r w:rsidRPr="00C85B70">
        <w:t xml:space="preserve">2. </w:t>
      </w:r>
      <w:r w:rsidR="00D5743D">
        <w:t xml:space="preserve"> </w:t>
      </w:r>
      <w:r w:rsidRPr="00C85B70">
        <w:t>Aggregation: Class Actions and their Limits</w:t>
      </w:r>
      <w:bookmarkEnd w:id="1125"/>
      <w:bookmarkEnd w:id="1126"/>
    </w:p>
    <w:p w14:paraId="4CCB4021"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C6809CE" w14:textId="1360C693"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Most deaths, even in large-scale accidents, are not compensated for by centralized funds. If there is someone to sue, plaintiffs are compensated through private litigation and settlement. Plaintiffs in mass torts may try to aggregate their claims to sue in a class action lawsuit under Rule 23 of the Federal Rules of Civil Procedure. Under Rule 23, a court may certify a class of plaintiffs, represented by a named plaintiff and appoint counsel for the class.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A002F47" w14:textId="02AE9F4B"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Because class actions have the power to bind parties not immediately before the court, courts take a much more active role in managing the litigation and settlement process. For example, district courts must find that class counsel will fairly and adequately represent the interests of all the plaintiffs in the class and must approve any final settlement as fair. While mass torts were not originally envisioned as being well suited to class actions, use of the class actions for mass tort actions grew substantially in the 1970s and 1980s. Judith Resnik,</w:t>
      </w:r>
      <w:r w:rsidRPr="750671CE">
        <w:rPr>
          <w:rFonts w:ascii="Times New Roman" w:eastAsia="Times New Roman" w:hAnsi="Times New Roman" w:cs="Times New Roman"/>
          <w:i/>
          <w:iCs/>
          <w:lang w:eastAsia="en-US"/>
        </w:rPr>
        <w:t xml:space="preserve"> From </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Cases</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 xml:space="preserve"> to </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Litigation</w:t>
      </w:r>
      <w:r w:rsidRPr="750671CE">
        <w:rPr>
          <w:rFonts w:ascii="Times New Roman" w:eastAsia="Times New Roman" w:hAnsi="Times New Roman" w:cs="Times New Roman"/>
          <w:lang w:eastAsia="en-US"/>
        </w:rPr>
        <w:t>,</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lang w:eastAsia="en-US"/>
        </w:rPr>
        <w:t xml:space="preserve"> L</w:t>
      </w:r>
      <w:r w:rsidRPr="00F94B7E">
        <w:rPr>
          <w:rFonts w:ascii="Times New Roman" w:eastAsia="Times New Roman" w:hAnsi="Times New Roman" w:cs="Times New Roman"/>
          <w:smallCaps/>
          <w:lang w:eastAsia="en-US"/>
        </w:rPr>
        <w:t xml:space="preserve">aw &amp; Contemp. Probs. </w:t>
      </w:r>
      <w:r w:rsidRPr="750671CE">
        <w:rPr>
          <w:rFonts w:ascii="Times New Roman" w:eastAsia="Times New Roman" w:hAnsi="Times New Roman" w:cs="Times New Roman"/>
          <w:lang w:eastAsia="en-US"/>
        </w:rPr>
        <w:t>(Summer 1991). The class action vehicle held appeal to both plaintiffs and defendants.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counsel gets the ability to bring together a much larger number of plaintiffs than they could ever individually enlist, giving them access to higher damages and attorney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fees. Defendants get the opportunity to achieve a certain, speedy, and relatively quick resolution to an outstanding liability that might otherwise drag on for decades. </w:t>
      </w:r>
    </w:p>
    <w:p w14:paraId="5422A14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F918BD0" w14:textId="0021A1F8"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However, the Supreme Court in the late 1990s decided a pair of asbestos cases, </w:t>
      </w:r>
      <w:r w:rsidRPr="750671CE">
        <w:rPr>
          <w:rFonts w:ascii="Times New Roman" w:eastAsia="Times New Roman" w:hAnsi="Times New Roman" w:cs="Times New Roman"/>
          <w:i/>
          <w:iCs/>
          <w:lang w:eastAsia="en-US"/>
        </w:rPr>
        <w:t>Amchem Products, Inc. v. Windsor</w:t>
      </w:r>
      <w:r w:rsidRPr="750671CE">
        <w:rPr>
          <w:rFonts w:ascii="Times New Roman" w:eastAsia="Times New Roman" w:hAnsi="Times New Roman" w:cs="Times New Roman"/>
          <w:lang w:eastAsia="en-US"/>
        </w:rPr>
        <w:t>, 521 U.S. 591 (1997)</w:t>
      </w:r>
      <w:r w:rsidR="0096660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i/>
          <w:iCs/>
          <w:lang w:eastAsia="en-US"/>
        </w:rPr>
        <w:t>Ortiz v. Fireboard Corp</w:t>
      </w:r>
      <w:r w:rsidRPr="750671CE">
        <w:rPr>
          <w:rFonts w:ascii="Times New Roman" w:eastAsia="Times New Roman" w:hAnsi="Times New Roman" w:cs="Times New Roman"/>
          <w:lang w:eastAsia="en-US"/>
        </w:rPr>
        <w:t>, 527 U.S. 815 (1999), that made it exceedingly difficult for plaintiffs to bring class action suits for personal injury damages in mass tort cases. Both cases involved a global settlement of claims for a class that included many different plaintiffs</w:t>
      </w:r>
      <w:r w:rsidR="001423A9" w:rsidRPr="001423A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plaintiffs who had died, plaintiffs who were experiencing ongoing illness, plaintiffs who knew they were exposed to the asbestos and who had not yet suffered injury, and plaintiffs who may not have been aware of their exposure.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58C2BC8" w14:textId="254F5089"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Underlying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decisions was a concern that the class action vehicle itself might be used as a type of collusion between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attorney and the defendants to limit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exposure and increase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attorneys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fees at the expense of absent class members. For example, in </w:t>
      </w:r>
      <w:r w:rsidRPr="750671CE">
        <w:rPr>
          <w:rFonts w:ascii="Times New Roman" w:eastAsia="Times New Roman" w:hAnsi="Times New Roman" w:cs="Times New Roman"/>
          <w:i/>
          <w:iCs/>
          <w:lang w:eastAsia="en-US"/>
        </w:rPr>
        <w:t>Ortiz</w:t>
      </w:r>
      <w:r w:rsidRPr="750671CE">
        <w:rPr>
          <w:rFonts w:ascii="Times New Roman" w:eastAsia="Times New Roman" w:hAnsi="Times New Roman" w:cs="Times New Roman"/>
          <w:lang w:eastAsia="en-US"/>
        </w:rPr>
        <w:t>, the parties claimed that the class action should not have an opt-out procedure for plaintiffs because the defendants did not have sufficient resources to cover all the claims</w:t>
      </w:r>
      <w:r w:rsidR="00355189" w:rsidRPr="0035518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which required all the plaintiffs to come together to divide the limited resources. This fact was simply stipulated to by the parties, which led some to suspect that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had agreed to so stipulate in order to provide the defendants with the closure they required as a term of the class settlement deal. Both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attorney and the defendants seemed to benefit from alleging that there was a limited pot of money.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attorney won the ability to represent the entire class, without opt-outs, and the defendants won the ability to cap their liability at the amount they said they were able to pay.</w:t>
      </w:r>
    </w:p>
    <w:p w14:paraId="0D7854E0"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C5CD836" w14:textId="6ED14D09"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As many critics quickly pointed out, however, the difficulty with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approach was that the alternatives were no better</w:t>
      </w:r>
      <w:r w:rsidR="0025525E" w:rsidRPr="00355189">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and probably far worse.  The idea that asbestos litigation without class actions would provide individual asbestos victims with a day in court was exceedingly implausible. To the contrary, the promise of peace for defendants was all that had seemed to offer the hope that plaintiffs would be able to recover some amount in a relatively prompt fashion. </w:t>
      </w:r>
      <w:r w:rsidRPr="750671CE">
        <w:rPr>
          <w:rFonts w:ascii="Times New Roman" w:eastAsia="Times New Roman" w:hAnsi="Times New Roman" w:cs="Times New Roman"/>
          <w:i/>
          <w:iCs/>
          <w:lang w:eastAsia="en-US"/>
        </w:rPr>
        <w:t>See</w:t>
      </w:r>
      <w:r w:rsidRPr="750671CE">
        <w:rPr>
          <w:rFonts w:ascii="Times New Roman" w:eastAsia="Times New Roman" w:hAnsi="Times New Roman" w:cs="Times New Roman"/>
          <w:lang w:eastAsia="en-US"/>
        </w:rPr>
        <w:t xml:space="preserve"> Samuel Issacharoff &amp; John Fabian Witt, </w:t>
      </w:r>
      <w:r w:rsidRPr="750671CE">
        <w:rPr>
          <w:rFonts w:ascii="Times New Roman" w:eastAsia="Times New Roman" w:hAnsi="Times New Roman" w:cs="Times New Roman"/>
          <w:i/>
          <w:iCs/>
          <w:lang w:eastAsia="en-US"/>
        </w:rPr>
        <w:t>The Inevitability of Aggregate Settlement</w:t>
      </w:r>
      <w:r w:rsidRPr="750671CE">
        <w:rPr>
          <w:rFonts w:ascii="Times New Roman" w:eastAsia="Times New Roman" w:hAnsi="Times New Roman" w:cs="Times New Roman"/>
          <w:lang w:eastAsia="en-US"/>
        </w:rPr>
        <w:t xml:space="preserve">, 57 </w:t>
      </w:r>
      <w:r w:rsidRPr="00F94B7E">
        <w:rPr>
          <w:rFonts w:ascii="Times New Roman" w:eastAsia="Times New Roman" w:hAnsi="Times New Roman" w:cs="Times New Roman"/>
          <w:smallCaps/>
          <w:lang w:eastAsia="en-US"/>
        </w:rPr>
        <w:t>Vand. L. Rev</w:t>
      </w:r>
      <w:r w:rsidRPr="750671CE">
        <w:rPr>
          <w:rFonts w:ascii="Times New Roman" w:eastAsia="Times New Roman" w:hAnsi="Times New Roman" w:cs="Times New Roman"/>
          <w:lang w:eastAsia="en-US"/>
        </w:rPr>
        <w:t>. 1571 (2004).</w:t>
      </w:r>
    </w:p>
    <w:p w14:paraId="70DF6A5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5FFFDA0"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Amchem</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i/>
          <w:iCs/>
          <w:lang w:eastAsia="en-US"/>
        </w:rPr>
        <w:t>Ortiz</w:t>
      </w:r>
      <w:r w:rsidRPr="750671CE">
        <w:rPr>
          <w:rFonts w:ascii="Times New Roman" w:eastAsia="Times New Roman" w:hAnsi="Times New Roman" w:cs="Times New Roman"/>
          <w:lang w:eastAsia="en-US"/>
        </w:rPr>
        <w:t xml:space="preserve"> dramatically changed the landscape for mass torts. As one author stated: </w:t>
      </w:r>
    </w:p>
    <w:p w14:paraId="08B1B19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3F63510" w14:textId="0A219012" w:rsidR="00C85B70" w:rsidRPr="00C85B70" w:rsidRDefault="750671CE" w:rsidP="00F94B7E">
      <w:pPr>
        <w:pStyle w:val="blockquote"/>
        <w:rPr>
          <w:lang w:eastAsia="en-US"/>
        </w:rPr>
      </w:pPr>
      <w:r w:rsidRPr="750671CE">
        <w:rPr>
          <w:lang w:eastAsia="en-US"/>
        </w:rPr>
        <w:t xml:space="preserve">The </w:t>
      </w:r>
      <w:r w:rsidRPr="750671CE">
        <w:rPr>
          <w:i/>
          <w:iCs/>
          <w:lang w:eastAsia="en-US"/>
        </w:rPr>
        <w:t>Amchem</w:t>
      </w:r>
      <w:r w:rsidRPr="750671CE">
        <w:rPr>
          <w:lang w:eastAsia="en-US"/>
        </w:rPr>
        <w:t xml:space="preserve"> and </w:t>
      </w:r>
      <w:r w:rsidRPr="750671CE">
        <w:rPr>
          <w:i/>
          <w:iCs/>
          <w:lang w:eastAsia="en-US"/>
        </w:rPr>
        <w:t>Ortiz</w:t>
      </w:r>
      <w:r w:rsidRPr="750671CE">
        <w:rPr>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Pr>
          <w:lang w:eastAsia="en-US"/>
        </w:rPr>
        <w:t>“</w:t>
      </w:r>
      <w:r w:rsidRPr="750671CE">
        <w:rPr>
          <w:lang w:eastAsia="en-US"/>
        </w:rPr>
        <w:t>common questions of fact</w:t>
      </w:r>
      <w:r w:rsidR="00B05F31">
        <w:rPr>
          <w:lang w:eastAsia="en-US"/>
        </w:rPr>
        <w:t>”</w:t>
      </w:r>
      <w:r w:rsidRPr="750671CE">
        <w:rPr>
          <w:lang w:eastAsia="en-US"/>
        </w:rPr>
        <w:t xml:space="preserve"> to a single federal judge </w:t>
      </w:r>
      <w:r w:rsidR="00B05F31">
        <w:rPr>
          <w:lang w:eastAsia="en-US"/>
        </w:rPr>
        <w:t>“</w:t>
      </w:r>
      <w:r w:rsidRPr="750671CE">
        <w:rPr>
          <w:lang w:eastAsia="en-US"/>
        </w:rPr>
        <w:t>for coordinated or consolidated pretrial proceedings.</w:t>
      </w:r>
      <w:r w:rsidR="00B05F31">
        <w:rPr>
          <w:lang w:eastAsia="en-US"/>
        </w:rPr>
        <w:t>”</w:t>
      </w:r>
      <w:r w:rsidRPr="750671CE">
        <w:rPr>
          <w:lang w:eastAsia="en-US"/>
        </w:rPr>
        <w:t xml:space="preserve"> </w:t>
      </w:r>
      <w:r w:rsidR="00B05F31">
        <w:rPr>
          <w:lang w:eastAsia="en-US"/>
        </w:rPr>
        <w:t>“</w:t>
      </w:r>
      <w:r w:rsidRPr="750671CE">
        <w:rPr>
          <w:lang w:eastAsia="en-US"/>
        </w:rPr>
        <w:t>In contrast to the stringent rules that govern class actions, MDL is a looser and more flexible structure allowing for transfer and consolidation based on pragmatic considerations.</w:t>
      </w:r>
      <w:r w:rsidR="00B05F31">
        <w:rPr>
          <w:lang w:eastAsia="en-US"/>
        </w:rPr>
        <w:t>”</w:t>
      </w:r>
      <w:r w:rsidRPr="750671CE">
        <w:rPr>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25525E">
        <w:rPr>
          <w:lang w:eastAsia="en-US"/>
        </w:rPr>
        <w:t>—</w:t>
      </w:r>
      <w:r w:rsidRPr="750671CE">
        <w:rPr>
          <w:lang w:eastAsia="en-US"/>
        </w:rPr>
        <w:t>including those who may not have even known of the class action until notice is given upon settlement</w:t>
      </w:r>
      <w:r w:rsidR="0025525E" w:rsidRPr="0025525E">
        <w:rPr>
          <w:lang w:eastAsia="en-US"/>
        </w:rPr>
        <w:t>—</w:t>
      </w:r>
      <w:r w:rsidRPr="750671CE">
        <w:rPr>
          <w:lang w:eastAsia="en-US"/>
        </w:rPr>
        <w:t>is lessened in MDLs.</w:t>
      </w:r>
    </w:p>
    <w:p w14:paraId="375E666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3B8C459B" w14:textId="5CDD7BC8"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Edward F. Sherman, </w:t>
      </w:r>
      <w:r w:rsidRPr="750671CE">
        <w:rPr>
          <w:rFonts w:ascii="Times New Roman" w:eastAsia="Times New Roman" w:hAnsi="Times New Roman" w:cs="Times New Roman"/>
          <w:i/>
          <w:iCs/>
          <w:lang w:eastAsia="en-US"/>
        </w:rPr>
        <w:t>The Evolution of Asbestos Litigation</w:t>
      </w:r>
      <w:r w:rsidRPr="750671CE">
        <w:rPr>
          <w:rFonts w:ascii="Times New Roman" w:eastAsia="Times New Roman" w:hAnsi="Times New Roman" w:cs="Times New Roman"/>
          <w:lang w:eastAsia="en-US"/>
        </w:rPr>
        <w:t xml:space="preserve">, 88 </w:t>
      </w:r>
      <w:r w:rsidRPr="00F94B7E">
        <w:rPr>
          <w:rFonts w:ascii="Times New Roman" w:eastAsia="Times New Roman" w:hAnsi="Times New Roman" w:cs="Times New Roman"/>
          <w:smallCaps/>
          <w:lang w:eastAsia="en-US"/>
        </w:rPr>
        <w:t>Tul. L. Rev</w:t>
      </w:r>
      <w:r w:rsidRPr="750671CE">
        <w:rPr>
          <w:rFonts w:ascii="Times New Roman" w:eastAsia="Times New Roman" w:hAnsi="Times New Roman" w:cs="Times New Roman"/>
          <w:lang w:eastAsia="en-US"/>
        </w:rPr>
        <w:t>. 1021, 1031-33 (2014). However, multi-district litigation (unlike a class action) cannot bind all parties in the relevant class and thus does not prevent multiple trials arising out of the same mass tort.  In an MDL, only pre-trial proceedings are consolidated. The MDL is thus a far less efficient vehicle for quickly settling a large number of cases, even if it may offer greater due process protections.</w:t>
      </w:r>
    </w:p>
    <w:p w14:paraId="0F571544"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AD78FE5" w14:textId="22A66086"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So what was the result? Aggregation has continued.  But the aggregation we see after </w:t>
      </w:r>
      <w:r w:rsidRPr="750671CE">
        <w:rPr>
          <w:rFonts w:ascii="Times New Roman" w:eastAsia="Times New Roman" w:hAnsi="Times New Roman" w:cs="Times New Roman"/>
          <w:i/>
          <w:iCs/>
          <w:lang w:eastAsia="en-US"/>
        </w:rPr>
        <w:t>Amchem</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i/>
          <w:iCs/>
          <w:lang w:eastAsia="en-US"/>
        </w:rPr>
        <w:t>Ortiz</w:t>
      </w:r>
      <w:r w:rsidRPr="750671CE">
        <w:rPr>
          <w:rFonts w:ascii="Times New Roman" w:eastAsia="Times New Roman" w:hAnsi="Times New Roman" w:cs="Times New Roman"/>
          <w:lang w:eastAsia="en-US"/>
        </w:rPr>
        <w:t xml:space="preserve"> is aggregation that happens, as Professor Howard Erichson has described it, informally rather than formally. Howard M. Erichson, </w:t>
      </w:r>
      <w:r w:rsidRPr="00F94B7E">
        <w:rPr>
          <w:rFonts w:ascii="Times New Roman" w:eastAsia="Times New Roman" w:hAnsi="Times New Roman" w:cs="Times New Roman"/>
          <w:i/>
          <w:lang w:eastAsia="en-US"/>
        </w:rPr>
        <w:t>Informal Aggregation: Procedural and Ethical Implications of Coordination Among Counsel in Related Lawsuits</w:t>
      </w:r>
      <w:r w:rsidRPr="750671CE">
        <w:rPr>
          <w:rFonts w:ascii="Times New Roman" w:eastAsia="Times New Roman" w:hAnsi="Times New Roman" w:cs="Times New Roman"/>
          <w:lang w:eastAsia="en-US"/>
        </w:rPr>
        <w:t xml:space="preserve">, 50 </w:t>
      </w:r>
      <w:r w:rsidRPr="00F94B7E">
        <w:rPr>
          <w:rFonts w:ascii="Times New Roman" w:eastAsia="Times New Roman" w:hAnsi="Times New Roman" w:cs="Times New Roman"/>
          <w:smallCaps/>
          <w:lang w:eastAsia="en-US"/>
        </w:rPr>
        <w:t>Duke L.J</w:t>
      </w:r>
      <w:r w:rsidRPr="750671CE">
        <w:rPr>
          <w:rFonts w:ascii="Times New Roman" w:eastAsia="Times New Roman" w:hAnsi="Times New Roman" w:cs="Times New Roman"/>
          <w:lang w:eastAsia="en-US"/>
        </w:rPr>
        <w:t>. 381 (2000). Mass tort litigation no longer happens through Rule 23 class actions. But the economies of scale, and the imperatives of coordination, mean that it still happens. Only now it happens through the practices of lawyers who develop portfolios of thousands of claims. It happens through networks of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representatives who coordinate the actions of their claimants. And where the Rule 23 aggregation happened under judicial supervision, informal aggregation after </w:t>
      </w:r>
      <w:r w:rsidRPr="750671CE">
        <w:rPr>
          <w:rFonts w:ascii="Times New Roman" w:eastAsia="Times New Roman" w:hAnsi="Times New Roman" w:cs="Times New Roman"/>
          <w:i/>
          <w:iCs/>
          <w:lang w:eastAsia="en-US"/>
        </w:rPr>
        <w:t>Amchem</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i/>
          <w:iCs/>
          <w:lang w:eastAsia="en-US"/>
        </w:rPr>
        <w:t>Ortiz</w:t>
      </w:r>
      <w:r w:rsidRPr="750671CE">
        <w:rPr>
          <w:rFonts w:ascii="Times New Roman" w:eastAsia="Times New Roman" w:hAnsi="Times New Roman" w:cs="Times New Roman"/>
          <w:lang w:eastAsia="en-US"/>
        </w:rPr>
        <w:t xml:space="preserve"> happens entirely in private. </w:t>
      </w:r>
      <w:r w:rsidR="0035291C">
        <w:rPr>
          <w:rFonts w:ascii="Times New Roman" w:eastAsia="Times New Roman" w:hAnsi="Times New Roman" w:cs="Times New Roman"/>
          <w:lang w:eastAsia="en-US"/>
        </w:rPr>
        <w:t xml:space="preserve"> </w:t>
      </w:r>
      <w:r w:rsidR="0035291C" w:rsidRPr="0035291C">
        <w:rPr>
          <w:rFonts w:ascii="Times New Roman" w:eastAsia="Times New Roman" w:hAnsi="Times New Roman" w:cs="Times New Roman"/>
          <w:i/>
          <w:lang w:eastAsia="en-US"/>
        </w:rPr>
        <w:t>See also</w:t>
      </w:r>
      <w:r w:rsidR="0035291C">
        <w:rPr>
          <w:rFonts w:ascii="Times New Roman" w:eastAsia="Times New Roman" w:hAnsi="Times New Roman" w:cs="Times New Roman"/>
          <w:lang w:eastAsia="en-US"/>
        </w:rPr>
        <w:t xml:space="preserve"> Elizabeth Chamblee Burch, </w:t>
      </w:r>
      <w:r w:rsidR="0035291C" w:rsidRPr="0035291C">
        <w:rPr>
          <w:rFonts w:ascii="Times New Roman" w:eastAsia="Times New Roman" w:hAnsi="Times New Roman" w:cs="Times New Roman"/>
          <w:i/>
          <w:lang w:eastAsia="en-US"/>
        </w:rPr>
        <w:t>Monopolies in Multidistrict Litigation</w:t>
      </w:r>
      <w:r w:rsidR="0035291C">
        <w:rPr>
          <w:rFonts w:ascii="Times New Roman" w:eastAsia="Times New Roman" w:hAnsi="Times New Roman" w:cs="Times New Roman"/>
          <w:lang w:eastAsia="en-US"/>
        </w:rPr>
        <w:t xml:space="preserve">, 70 </w:t>
      </w:r>
      <w:r w:rsidR="0035291C" w:rsidRPr="0035291C">
        <w:rPr>
          <w:rFonts w:ascii="Times New Roman" w:eastAsia="Times New Roman" w:hAnsi="Times New Roman" w:cs="Times New Roman"/>
          <w:smallCaps/>
          <w:lang w:eastAsia="en-US"/>
        </w:rPr>
        <w:t>Vand. L. Rev</w:t>
      </w:r>
      <w:r w:rsidR="0035291C">
        <w:rPr>
          <w:rFonts w:ascii="Times New Roman" w:eastAsia="Times New Roman" w:hAnsi="Times New Roman" w:cs="Times New Roman"/>
          <w:lang w:eastAsia="en-US"/>
        </w:rPr>
        <w:t>. 67 (2017).</w:t>
      </w:r>
    </w:p>
    <w:p w14:paraId="5AB814E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3063A5B"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0F99280" w14:textId="49E0BC58" w:rsidR="00C85B70" w:rsidRPr="00C85B70" w:rsidRDefault="00C85B70" w:rsidP="00322687">
      <w:pPr>
        <w:pStyle w:val="Heading3"/>
      </w:pPr>
      <w:bookmarkStart w:id="1127" w:name="_Toc364636316"/>
      <w:bookmarkStart w:id="1128" w:name="_Toc518323603"/>
      <w:r w:rsidRPr="00C85B70">
        <w:t xml:space="preserve">3. </w:t>
      </w:r>
      <w:r w:rsidR="00D5743D">
        <w:t xml:space="preserve"> </w:t>
      </w:r>
      <w:r w:rsidRPr="00C85B70">
        <w:t>The Vioxx Settlement</w:t>
      </w:r>
      <w:bookmarkEnd w:id="1127"/>
      <w:bookmarkEnd w:id="1128"/>
    </w:p>
    <w:p w14:paraId="0175D906"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1136837" w14:textId="51428E2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settlement involving the painkiller Vioxx highlights some of the challenges of litigating mass torts without class actions. The drug was approved in 2000 and quickly became one of pharmaceutical giant Merck</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popular products. Four years later, however, Merck pulled Vioxx off the market when a study concluded that users had an increased chance of stroke or heart attack.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quickly began gathering plaintiffs.  Merck defended its conduct and committed publicly to trying every case filed against it.  According to Merck, Vioxx was not the cause of many of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injuries.</w:t>
      </w:r>
    </w:p>
    <w:p w14:paraId="0091CB54"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74320953" w14:textId="1A63BA81"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2007, however, a New Jersey jury awarded $20 million dollars in damages and $27.5 million dollars in additional punitive damages.  Merck won cases, too.  It won nine of the fourteen cases that went to trial against it.  But by that point,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accumulated portfolios of thousands of plaintiffs.  In late 2007, there were more than 27,000 cases pending against Merck.  </w:t>
      </w:r>
    </w:p>
    <w:p w14:paraId="3E9CB95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D800A51" w14:textId="562711CB"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Ultimately, Merck aimed to enter into a settlement with the principal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Frank McClellan analyzes the settlement dynamics as follows:</w:t>
      </w:r>
    </w:p>
    <w:p w14:paraId="54187D9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A981F71" w14:textId="66E62CEE" w:rsidR="00C85B70" w:rsidRPr="00C85B70" w:rsidRDefault="750671CE" w:rsidP="00F94B7E">
      <w:pPr>
        <w:pStyle w:val="blockquote"/>
        <w:rPr>
          <w:lang w:eastAsia="en-US"/>
        </w:rPr>
      </w:pPr>
      <w:r w:rsidRPr="750671CE">
        <w:rPr>
          <w:lang w:eastAsia="en-US"/>
        </w:rPr>
        <w:t>On November 9, 2007, Merck &amp; Co., the executive committee of the Plaintiffs</w:t>
      </w:r>
      <w:r w:rsidR="00B05F31">
        <w:rPr>
          <w:lang w:eastAsia="en-US"/>
        </w:rPr>
        <w:t>’</w:t>
      </w:r>
      <w:r w:rsidRPr="750671CE">
        <w:rPr>
          <w:lang w:eastAsia="en-US"/>
        </w:rPr>
        <w:t xml:space="preserve"> Steering Committee of the federal multidistrict, and plaintiffs</w:t>
      </w:r>
      <w:r w:rsidR="00B05F31">
        <w:rPr>
          <w:lang w:eastAsia="en-US"/>
        </w:rPr>
        <w:t>’</w:t>
      </w:r>
      <w:r w:rsidRPr="750671CE">
        <w:rPr>
          <w:lang w:eastAsia="en-US"/>
        </w:rPr>
        <w:t xml:space="preserve"> counsel representatives agreed to settle the Vioxx litigation. The plaintiffs</w:t>
      </w:r>
      <w:r w:rsidR="00B05F31">
        <w:rPr>
          <w:lang w:eastAsia="en-US"/>
        </w:rPr>
        <w:t>’</w:t>
      </w:r>
      <w:r w:rsidRPr="750671CE">
        <w:rPr>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BC3A1B">
        <w:rPr>
          <w:lang w:eastAsia="en-US"/>
        </w:rPr>
        <w:t>—</w:t>
      </w:r>
      <w:r w:rsidRPr="750671CE">
        <w:rPr>
          <w:lang w:eastAsia="en-US"/>
        </w:rPr>
        <w:t>by presenting adequate proof that Vioxx caused a heart attack, stroke, or death</w:t>
      </w:r>
      <w:r w:rsidR="00BC3A1B" w:rsidRPr="00BC3A1B">
        <w:rPr>
          <w:lang w:eastAsia="en-US"/>
        </w:rPr>
        <w:t>—</w:t>
      </w:r>
      <w:r w:rsidRPr="750671CE">
        <w:rPr>
          <w:lang w:eastAsia="en-US"/>
        </w:rPr>
        <w:t>will receive an average payment of between $100,000 and $200,000, less attorneys</w:t>
      </w:r>
      <w:r w:rsidR="00B05F31">
        <w:rPr>
          <w:lang w:eastAsia="en-US"/>
        </w:rPr>
        <w:t>’</w:t>
      </w:r>
      <w:r w:rsidRPr="750671CE">
        <w:rPr>
          <w:lang w:eastAsia="en-US"/>
        </w:rPr>
        <w:t xml:space="preserve"> fees ranging from 33% to 40%.</w:t>
      </w:r>
    </w:p>
    <w:p w14:paraId="48FB145B" w14:textId="77777777" w:rsidR="00C85B70" w:rsidRPr="00C85B70" w:rsidRDefault="00C85B70" w:rsidP="00F94B7E">
      <w:pPr>
        <w:pStyle w:val="blockquote"/>
        <w:rPr>
          <w:lang w:eastAsia="en-US"/>
        </w:rPr>
      </w:pPr>
    </w:p>
    <w:p w14:paraId="6348CCE2" w14:textId="7EAA85B2" w:rsidR="00C85B70" w:rsidRPr="00C85B70" w:rsidRDefault="750671CE" w:rsidP="00F94B7E">
      <w:pPr>
        <w:pStyle w:val="blockquote"/>
        <w:rPr>
          <w:lang w:eastAsia="en-US"/>
        </w:rPr>
      </w:pPr>
      <w:r w:rsidRPr="750671CE">
        <w:rPr>
          <w:lang w:eastAsia="en-US"/>
        </w:rPr>
        <w:t>Merck</w:t>
      </w:r>
      <w:r w:rsidR="00B05F31">
        <w:rPr>
          <w:lang w:eastAsia="en-US"/>
        </w:rPr>
        <w:t>’</w:t>
      </w:r>
      <w:r w:rsidRPr="750671CE">
        <w:rPr>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Pr>
          <w:lang w:eastAsia="en-US"/>
        </w:rPr>
        <w:t>’</w:t>
      </w:r>
      <w:r w:rsidRPr="750671CE">
        <w:rPr>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C85B70" w:rsidRDefault="00C85B70" w:rsidP="00F94B7E">
      <w:pPr>
        <w:pStyle w:val="blockquote"/>
        <w:rPr>
          <w:lang w:eastAsia="en-US"/>
        </w:rPr>
      </w:pPr>
    </w:p>
    <w:p w14:paraId="55F9FDF7" w14:textId="7DE01A8E" w:rsidR="00C85B70" w:rsidRPr="00C85B70" w:rsidRDefault="750671CE" w:rsidP="00F94B7E">
      <w:pPr>
        <w:pStyle w:val="blockquote"/>
        <w:rPr>
          <w:lang w:eastAsia="en-US"/>
        </w:rPr>
      </w:pPr>
      <w:r w:rsidRPr="750671CE">
        <w:rPr>
          <w:lang w:eastAsia="en-US"/>
        </w:rPr>
        <w:t xml:space="preserve">The settlement followed the trial of fourteen cases that resulted in nine wins for Merck and five wins for plaintiffs. Throughout the course of the litigation, Merck vowed to </w:t>
      </w:r>
      <w:r w:rsidR="00B05F31">
        <w:rPr>
          <w:lang w:eastAsia="en-US"/>
        </w:rPr>
        <w:t>“</w:t>
      </w:r>
      <w:r w:rsidRPr="750671CE">
        <w:rPr>
          <w:lang w:eastAsia="en-US"/>
        </w:rPr>
        <w:t>try every case</w:t>
      </w:r>
      <w:r w:rsidR="00B05F31">
        <w:rPr>
          <w:lang w:eastAsia="en-US"/>
        </w:rPr>
        <w:t>”</w:t>
      </w:r>
      <w:r w:rsidRPr="750671CE">
        <w:rPr>
          <w:lang w:eastAsia="en-US"/>
        </w:rPr>
        <w:t xml:space="preserve"> and backed its public litigation posture by paying millions of dollars in legal fees and other trial expenses, while running an extensive advertising campaign touting Merck</w:t>
      </w:r>
      <w:r w:rsidR="00B05F31">
        <w:rPr>
          <w:lang w:eastAsia="en-US"/>
        </w:rPr>
        <w:t>’</w:t>
      </w:r>
      <w:r w:rsidRPr="750671CE">
        <w:rPr>
          <w:lang w:eastAsia="en-US"/>
        </w:rPr>
        <w:t>s contributions to public health. The settlement reflects a tremendous victory for Merck, because the company</w:t>
      </w:r>
      <w:r w:rsidR="00B05F31">
        <w:rPr>
          <w:lang w:eastAsia="en-US"/>
        </w:rPr>
        <w:t>’</w:t>
      </w:r>
      <w:r w:rsidRPr="750671CE">
        <w:rPr>
          <w:lang w:eastAsia="en-US"/>
        </w:rPr>
        <w:t>s potential liability exposure was projected to be substantially higher. Wall Street rewarded Merck with a rise in its stock prices the day after the settlement was announced. Merck and the plaintiffs</w:t>
      </w:r>
      <w:r w:rsidR="00B05F31">
        <w:rPr>
          <w:lang w:eastAsia="en-US"/>
        </w:rPr>
        <w:t>’</w:t>
      </w:r>
      <w:r w:rsidRPr="750671CE">
        <w:rPr>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C85B70" w:rsidRDefault="00C85B70" w:rsidP="00F94B7E">
      <w:pPr>
        <w:pStyle w:val="blockquote"/>
        <w:rPr>
          <w:lang w:eastAsia="en-US"/>
        </w:rPr>
      </w:pPr>
    </w:p>
    <w:p w14:paraId="389FCF62" w14:textId="0DEA89E9" w:rsidR="00C85B70" w:rsidRPr="00C85B70" w:rsidRDefault="750671CE" w:rsidP="00F94B7E">
      <w:pPr>
        <w:pStyle w:val="blockquote"/>
        <w:rPr>
          <w:lang w:eastAsia="en-US"/>
        </w:rPr>
      </w:pPr>
      <w:r w:rsidRPr="750671CE">
        <w:rPr>
          <w:lang w:eastAsia="en-US"/>
        </w:rPr>
        <w:t>Merck</w:t>
      </w:r>
      <w:r w:rsidR="00B05F31">
        <w:rPr>
          <w:lang w:eastAsia="en-US"/>
        </w:rPr>
        <w:t>’</w:t>
      </w:r>
      <w:r w:rsidRPr="750671CE">
        <w:rPr>
          <w:lang w:eastAsia="en-US"/>
        </w:rPr>
        <w:t>s successful employment of a try-every-case strategy to produce a settlement much lower than expected reveals a glaring deficiency in the legal system</w:t>
      </w:r>
      <w:r w:rsidR="00B05F31">
        <w:rPr>
          <w:lang w:eastAsia="en-US"/>
        </w:rPr>
        <w:t>’</w:t>
      </w:r>
      <w:r w:rsidRPr="750671CE">
        <w:rPr>
          <w:lang w:eastAsia="en-US"/>
        </w:rPr>
        <w:t>s ability to achieve the fundamental goals of tort law in prescription drug cases where large numbers of consumers suffer adverse reactions to the same drug. If other corporations with vast financial resources follow Merck</w:t>
      </w:r>
      <w:r w:rsidR="00B05F31">
        <w:rPr>
          <w:lang w:eastAsia="en-US"/>
        </w:rPr>
        <w:t>’</w:t>
      </w:r>
      <w:r w:rsidRPr="750671CE">
        <w:rPr>
          <w:lang w:eastAsia="en-US"/>
        </w:rPr>
        <w:t>s lead, the disparate economic interests among the rich corporation, plaintiffs</w:t>
      </w:r>
      <w:r w:rsidR="00B05F31">
        <w:rPr>
          <w:lang w:eastAsia="en-US"/>
        </w:rPr>
        <w:t>’</w:t>
      </w:r>
      <w:r w:rsidRPr="750671CE">
        <w:rPr>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Pr>
          <w:lang w:eastAsia="en-US"/>
        </w:rPr>
        <w:t>’</w:t>
      </w:r>
      <w:r w:rsidRPr="750671CE">
        <w:rPr>
          <w:lang w:eastAsia="en-US"/>
        </w:rPr>
        <w:t xml:space="preserve"> lawyers accept the reality of costly litigation over an extended period of time transforms plaintiffs</w:t>
      </w:r>
      <w:r w:rsidR="00B05F31">
        <w:rPr>
          <w:lang w:eastAsia="en-US"/>
        </w:rPr>
        <w:t>’</w:t>
      </w:r>
      <w:r w:rsidRPr="750671CE">
        <w:rPr>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A6B279F"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Frank M. McClellan, </w:t>
      </w:r>
      <w:r w:rsidRPr="750671CE">
        <w:rPr>
          <w:rFonts w:ascii="Times New Roman" w:eastAsia="Times New Roman" w:hAnsi="Times New Roman" w:cs="Times New Roman"/>
          <w:i/>
          <w:iCs/>
          <w:lang w:eastAsia="en-US"/>
        </w:rPr>
        <w:t>The Vioxx Litigation: A Critical Look at Trial Tactics, the Tort System, and the Roles of Lawyers in Mass Tort Litigation</w:t>
      </w:r>
      <w:r w:rsidRPr="750671CE">
        <w:rPr>
          <w:rFonts w:ascii="Times New Roman" w:eastAsia="Times New Roman" w:hAnsi="Times New Roman" w:cs="Times New Roman"/>
          <w:lang w:eastAsia="en-US"/>
        </w:rPr>
        <w:t xml:space="preserve">, 57 </w:t>
      </w:r>
      <w:r w:rsidRPr="00F94B7E">
        <w:rPr>
          <w:rFonts w:ascii="Times New Roman" w:eastAsia="Times New Roman" w:hAnsi="Times New Roman" w:cs="Times New Roman"/>
          <w:smallCaps/>
          <w:lang w:eastAsia="en-US"/>
        </w:rPr>
        <w:t>DePaul L. Rev</w:t>
      </w:r>
      <w:r w:rsidRPr="750671CE">
        <w:rPr>
          <w:rFonts w:ascii="Times New Roman" w:eastAsia="Times New Roman" w:hAnsi="Times New Roman" w:cs="Times New Roman"/>
          <w:lang w:eastAsia="en-US"/>
        </w:rPr>
        <w:t xml:space="preserve">. 509 (2008). </w:t>
      </w:r>
    </w:p>
    <w:p w14:paraId="2BDBE557"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DFA07A2" w14:textId="0327B050"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As in the BP litigation, settlement is not necessarily where the story ends. Three and a half years after the settlement,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were in court suing each other over the division of the $315 million attorney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fee award from the settlement. Dionne Searcey, </w:t>
      </w:r>
      <w:r w:rsidRPr="750671CE">
        <w:rPr>
          <w:rFonts w:ascii="Times New Roman" w:eastAsia="Times New Roman" w:hAnsi="Times New Roman" w:cs="Times New Roman"/>
          <w:i/>
          <w:iCs/>
          <w:lang w:eastAsia="en-US"/>
        </w:rPr>
        <w:t>The Vioxx Endgame: It</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s All About the Fees</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smallCaps/>
          <w:lang w:eastAsia="en-US"/>
        </w:rPr>
        <w:t>Wall St</w:t>
      </w:r>
      <w:r w:rsidR="00BC3A1B">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 xml:space="preserve"> J</w:t>
      </w:r>
      <w:r w:rsidR="00BC3A1B">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 xml:space="preserve"> L</w:t>
      </w:r>
      <w:r w:rsidR="00BC3A1B">
        <w:rPr>
          <w:rFonts w:ascii="Times New Roman" w:eastAsia="Times New Roman" w:hAnsi="Times New Roman" w:cs="Times New Roman"/>
          <w:smallCaps/>
          <w:lang w:eastAsia="en-US"/>
        </w:rPr>
        <w:t>.</w:t>
      </w:r>
      <w:r w:rsidRPr="750671CE">
        <w:rPr>
          <w:rFonts w:ascii="Times New Roman" w:eastAsia="Times New Roman" w:hAnsi="Times New Roman" w:cs="Times New Roman"/>
          <w:smallCaps/>
          <w:lang w:eastAsia="en-US"/>
        </w:rPr>
        <w:t xml:space="preserve"> Blog</w:t>
      </w:r>
      <w:r w:rsidR="00C55B81">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March 3, 2011</w:t>
      </w:r>
      <w:r w:rsidR="00BC3A1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This highlights another distinction between class actions and multi-district litigation. In a class action lawsuit, the class counsel, appointed by the judge, has authority to divide up work and fees. In an MDL,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Committee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composed of multiple firms, sometimes with competing interests, represents the interests of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and is responsible for managing contentious issues like the division of fees. </w:t>
      </w:r>
    </w:p>
    <w:p w14:paraId="6C03A13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624C0914" w14:textId="24A398F9"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Howard Erichson explores the dynamics among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18EC169" w14:textId="5F01CB45" w:rsidR="00C85B70" w:rsidRPr="00C85B70" w:rsidRDefault="750671CE" w:rsidP="00F94B7E">
      <w:pPr>
        <w:pStyle w:val="blockquote"/>
        <w:rPr>
          <w:lang w:eastAsia="en-US"/>
        </w:rPr>
      </w:pPr>
      <w:r w:rsidRPr="750671CE">
        <w:rPr>
          <w:lang w:eastAsia="en-US"/>
        </w:rPr>
        <w:t>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more closely than it appears at first glance. The plaintiffs</w:t>
      </w:r>
      <w:r w:rsidR="00B05F31">
        <w:rPr>
          <w:lang w:eastAsia="en-US"/>
        </w:rPr>
        <w:t>’</w:t>
      </w:r>
      <w:r w:rsidRPr="750671CE">
        <w:rPr>
          <w:lang w:eastAsia="en-US"/>
        </w:rPr>
        <w:t xml:space="preserve"> lawyers are working together to coordinate their efforts. Many of them belong to the Widgium Litigation Group sponsored by the Association of Trial Lawyers of America, and receive the Widgium Newsletter, which keeps them abreast of litigation developments. The leading plaintiffs</w:t>
      </w:r>
      <w:r w:rsidR="00B05F31">
        <w:rPr>
          <w:lang w:eastAsia="en-US"/>
        </w:rPr>
        <w:t>’</w:t>
      </w:r>
      <w:r w:rsidRPr="750671CE">
        <w:rPr>
          <w:lang w:eastAsia="en-US"/>
        </w:rPr>
        <w:t xml:space="preserve"> lawyers</w:t>
      </w:r>
      <w:r w:rsidR="00196E67" w:rsidRPr="00196E67">
        <w:rPr>
          <w:lang w:eastAsia="en-US"/>
        </w:rPr>
        <w:t>—</w:t>
      </w:r>
      <w:r w:rsidRPr="750671CE">
        <w:rPr>
          <w:lang w:eastAsia="en-US"/>
        </w:rPr>
        <w:t>each of whom represents dozens or even hundreds of individual widgium plaintiffs</w:t>
      </w:r>
      <w:r w:rsidR="00196E67" w:rsidRPr="00196E67">
        <w:rPr>
          <w:lang w:eastAsia="en-US"/>
        </w:rPr>
        <w:t>—</w:t>
      </w:r>
      <w:r w:rsidRPr="750671CE">
        <w:rPr>
          <w:lang w:eastAsia="en-US"/>
        </w:rPr>
        <w:t>have presented training sessions to teach other lawyers how to try a widgium case. The plaintiffs</w:t>
      </w:r>
      <w:r w:rsidR="00B05F31">
        <w:rPr>
          <w:lang w:eastAsia="en-US"/>
        </w:rPr>
        <w:t>’</w:t>
      </w:r>
      <w:r w:rsidRPr="750671CE">
        <w:rPr>
          <w:lang w:eastAsia="en-US"/>
        </w:rPr>
        <w:t xml:space="preserve"> lawyers have pooled resources to hire experts and have shared the costs of discovery. . . . </w:t>
      </w:r>
    </w:p>
    <w:p w14:paraId="6C9EBD52" w14:textId="77777777" w:rsidR="00C85B70" w:rsidRPr="00C85B70" w:rsidRDefault="00C85B70" w:rsidP="00F94B7E">
      <w:pPr>
        <w:pStyle w:val="blockquote"/>
        <w:rPr>
          <w:lang w:eastAsia="en-US"/>
        </w:rPr>
      </w:pPr>
    </w:p>
    <w:p w14:paraId="20D1ED60" w14:textId="77777777" w:rsidR="00C85B70" w:rsidRPr="00C85B70" w:rsidRDefault="750671CE" w:rsidP="00F94B7E">
      <w:pPr>
        <w:pStyle w:val="blockquote"/>
        <w:rPr>
          <w:lang w:eastAsia="en-US"/>
        </w:rPr>
      </w:pPr>
      <w:r w:rsidRPr="750671CE">
        <w:rPr>
          <w:lang w:eastAsia="en-US"/>
        </w:rPr>
        <w:t xml:space="preserve">Informal aggregation practices have filled the void left by formal procedures that do not achieve full aggregation of related claims. . . . </w:t>
      </w:r>
    </w:p>
    <w:p w14:paraId="308C35A5" w14:textId="77777777" w:rsidR="00C85B70" w:rsidRPr="00C85B70" w:rsidRDefault="00C85B70" w:rsidP="00F94B7E">
      <w:pPr>
        <w:pStyle w:val="blockquote"/>
        <w:rPr>
          <w:lang w:eastAsia="en-US"/>
        </w:rPr>
      </w:pPr>
    </w:p>
    <w:p w14:paraId="0DF2D682" w14:textId="725F37BE" w:rsidR="00C85B70" w:rsidRPr="00C85B70" w:rsidRDefault="750671CE" w:rsidP="00F94B7E">
      <w:pPr>
        <w:pStyle w:val="blockquote"/>
        <w:rPr>
          <w:lang w:eastAsia="en-US"/>
        </w:rPr>
      </w:pPr>
      <w:r w:rsidRPr="750671CE">
        <w:rPr>
          <w:lang w:eastAsia="en-US"/>
        </w:rPr>
        <w:t xml:space="preserve">In informally aggregated litigation, settlement negotiations may occur with little control by the individual client, and trial preparation often is handled </w:t>
      </w:r>
      <w:r w:rsidR="00B05F31">
        <w:rPr>
          <w:lang w:eastAsia="en-US"/>
        </w:rPr>
        <w:t>“</w:t>
      </w:r>
      <w:r w:rsidRPr="750671CE">
        <w:rPr>
          <w:lang w:eastAsia="en-US"/>
        </w:rPr>
        <w:t>by a committee of plaintiffs</w:t>
      </w:r>
      <w:r w:rsidR="00B05F31">
        <w:rPr>
          <w:lang w:eastAsia="en-US"/>
        </w:rPr>
        <w:t>’</w:t>
      </w:r>
      <w:r w:rsidRPr="750671CE">
        <w:rPr>
          <w:lang w:eastAsia="en-US"/>
        </w:rPr>
        <w:t xml:space="preserve"> lawyers</w:t>
      </w:r>
      <w:r w:rsidR="00B05F31">
        <w:rPr>
          <w:lang w:eastAsia="en-US"/>
        </w:rPr>
        <w:t>”</w:t>
      </w:r>
      <w:r w:rsidRPr="750671CE">
        <w:rPr>
          <w:lang w:eastAsia="en-US"/>
        </w:rPr>
        <w:t xml:space="preserve"> who lack regular contact with most of the plaintiffs who rely on those lawyers</w:t>
      </w:r>
      <w:r w:rsidR="00B05F31">
        <w:rPr>
          <w:lang w:eastAsia="en-US"/>
        </w:rPr>
        <w:t>’</w:t>
      </w:r>
      <w:r w:rsidRPr="750671CE">
        <w:rPr>
          <w:lang w:eastAsia="en-US"/>
        </w:rPr>
        <w:t xml:space="preserve"> work. . . .</w:t>
      </w:r>
    </w:p>
    <w:p w14:paraId="381BEB5B" w14:textId="77777777" w:rsidR="00C85B70" w:rsidRPr="00C85B70" w:rsidRDefault="00C85B70" w:rsidP="00F94B7E">
      <w:pPr>
        <w:pStyle w:val="blockquote"/>
        <w:rPr>
          <w:lang w:eastAsia="en-US"/>
        </w:rPr>
      </w:pPr>
    </w:p>
    <w:p w14:paraId="2220C964" w14:textId="7BB7A451" w:rsidR="00C85B70" w:rsidRPr="00C85B70" w:rsidRDefault="750671CE" w:rsidP="00F94B7E">
      <w:pPr>
        <w:pStyle w:val="blockquote"/>
        <w:rPr>
          <w:lang w:eastAsia="en-US"/>
        </w:rPr>
      </w:pPr>
      <w:r w:rsidRPr="750671CE">
        <w:rPr>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Pr>
          <w:lang w:eastAsia="en-US"/>
        </w:rPr>
        <w:t>’</w:t>
      </w:r>
      <w:r w:rsidRPr="750671CE">
        <w:rPr>
          <w:lang w:eastAsia="en-US"/>
        </w:rPr>
        <w:t>s individually retained lawyer, nor can the client rely on explicit ethical duties to the client by those who control the case.</w:t>
      </w:r>
    </w:p>
    <w:p w14:paraId="5EDAD82B"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0CA3D778"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Howard M. Erichson, </w:t>
      </w:r>
      <w:r w:rsidRPr="750671CE">
        <w:rPr>
          <w:rFonts w:ascii="Times New Roman" w:eastAsia="Times New Roman" w:hAnsi="Times New Roman" w:cs="Times New Roman"/>
          <w:i/>
          <w:iCs/>
          <w:lang w:eastAsia="en-US"/>
        </w:rPr>
        <w:t>Informal Aggregation: Procedural and Ethical Implications of Coordination Among Counsel in Related Lawsuits</w:t>
      </w:r>
      <w:r w:rsidRPr="750671CE">
        <w:rPr>
          <w:rFonts w:ascii="Times New Roman" w:eastAsia="Times New Roman" w:hAnsi="Times New Roman" w:cs="Times New Roman"/>
          <w:lang w:eastAsia="en-US"/>
        </w:rPr>
        <w:t xml:space="preserve">, 50 </w:t>
      </w:r>
      <w:r w:rsidRPr="750671CE">
        <w:rPr>
          <w:rFonts w:ascii="Times New Roman" w:eastAsia="Times New Roman" w:hAnsi="Times New Roman" w:cs="Times New Roman"/>
          <w:smallCaps/>
          <w:lang w:eastAsia="en-US"/>
        </w:rPr>
        <w:t>Duke L.J</w:t>
      </w:r>
      <w:r w:rsidRPr="750671CE">
        <w:rPr>
          <w:rFonts w:ascii="Times New Roman" w:eastAsia="Times New Roman" w:hAnsi="Times New Roman" w:cs="Times New Roman"/>
          <w:lang w:eastAsia="en-US"/>
        </w:rPr>
        <w:t>. 381 (2000).</w:t>
      </w:r>
    </w:p>
    <w:p w14:paraId="048DD503"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50319354"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Other authors have taken a more favorable view of the informal aggregation that resulted in the Vioxx settlement:</w:t>
      </w:r>
    </w:p>
    <w:p w14:paraId="18EDE30C"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92BFB8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275E5945" w14:textId="75A24C67" w:rsidR="00C85B70" w:rsidRPr="00C85B70" w:rsidRDefault="750671CE" w:rsidP="00F94B7E">
      <w:pPr>
        <w:pStyle w:val="blockquote"/>
        <w:rPr>
          <w:lang w:eastAsia="en-US"/>
        </w:rPr>
      </w:pPr>
      <w:r w:rsidRPr="750671CE">
        <w:rPr>
          <w:lang w:eastAsia="en-US"/>
        </w:rPr>
        <w:t>The Vioxx settlement took the form not of a class action settlement but of a contract between the defendant-manufacturer Merck &amp; Company, Inc. and the small number of law firms within the plaintiffs</w:t>
      </w:r>
      <w:r w:rsidR="00B05F31">
        <w:rPr>
          <w:lang w:eastAsia="en-US"/>
        </w:rPr>
        <w:t>’</w:t>
      </w:r>
      <w:r w:rsidRPr="750671CE">
        <w:rPr>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196E67">
        <w:rPr>
          <w:lang w:eastAsia="en-US"/>
        </w:rPr>
        <w:t>—</w:t>
      </w:r>
      <w:r w:rsidR="00196E67">
        <w:rPr>
          <w:lang w:eastAsia="en-US"/>
        </w:rPr>
        <w:t>“</w:t>
      </w:r>
      <w:r w:rsidRPr="750671CE">
        <w:rPr>
          <w:lang w:eastAsia="en-US"/>
        </w:rPr>
        <w:t>to the extent permitted by</w:t>
      </w:r>
      <w:r w:rsidR="00B05F31">
        <w:rPr>
          <w:lang w:eastAsia="en-US"/>
        </w:rPr>
        <w:t>”</w:t>
      </w:r>
      <w:r w:rsidRPr="750671CE">
        <w:rPr>
          <w:lang w:eastAsia="en-US"/>
        </w:rPr>
        <w:t xml:space="preserve"> applicable ethical strictures</w:t>
      </w:r>
      <w:r w:rsidR="00196E67" w:rsidRPr="00196E67">
        <w:rPr>
          <w:lang w:eastAsia="en-US"/>
        </w:rPr>
        <w:t>—</w:t>
      </w:r>
      <w:r w:rsidRPr="750671CE">
        <w:rPr>
          <w:lang w:eastAsia="en-US"/>
        </w:rPr>
        <w:t>to disengage from the representation of any client who might decline the firm</w:t>
      </w:r>
      <w:r w:rsidR="00B05F31">
        <w:rPr>
          <w:lang w:eastAsia="en-US"/>
        </w:rPr>
        <w:t>’</w:t>
      </w:r>
      <w:r w:rsidRPr="750671CE">
        <w:rPr>
          <w:lang w:eastAsia="en-US"/>
        </w:rPr>
        <w:t>s advice to take the deal. Absent a signatory law firm</w:t>
      </w:r>
      <w:r w:rsidR="00B05F31">
        <w:rPr>
          <w:lang w:eastAsia="en-US"/>
        </w:rPr>
        <w:t>’</w:t>
      </w:r>
      <w:r w:rsidRPr="750671CE">
        <w:rPr>
          <w:lang w:eastAsia="en-US"/>
        </w:rPr>
        <w:t>s commitment of its entire Vioxx client inventory to the deal, Merck would have the discretion to reject the firm</w:t>
      </w:r>
      <w:r w:rsidR="00B05F31">
        <w:rPr>
          <w:lang w:eastAsia="en-US"/>
        </w:rPr>
        <w:t>’</w:t>
      </w:r>
      <w:r w:rsidRPr="750671CE">
        <w:rPr>
          <w:lang w:eastAsia="en-US"/>
        </w:rPr>
        <w:t>s enrollment such that none of the firm</w:t>
      </w:r>
      <w:r w:rsidR="00B05F31">
        <w:rPr>
          <w:lang w:eastAsia="en-US"/>
        </w:rPr>
        <w:t>’</w:t>
      </w:r>
      <w:r w:rsidRPr="750671CE">
        <w:rPr>
          <w:lang w:eastAsia="en-US"/>
        </w:rPr>
        <w:t>s clients would be eligible to participate.</w:t>
      </w:r>
    </w:p>
    <w:p w14:paraId="69936815" w14:textId="77777777" w:rsidR="00C85B70" w:rsidRPr="00C85B70" w:rsidRDefault="00C85B70" w:rsidP="00F94B7E">
      <w:pPr>
        <w:pStyle w:val="blockquote"/>
        <w:rPr>
          <w:lang w:eastAsia="en-US"/>
        </w:rPr>
      </w:pPr>
    </w:p>
    <w:p w14:paraId="570CDA6C" w14:textId="77777777" w:rsidR="00C85B70" w:rsidRPr="00C85B70" w:rsidRDefault="750671CE" w:rsidP="00F94B7E">
      <w:pPr>
        <w:pStyle w:val="blockquote"/>
        <w:rPr>
          <w:lang w:eastAsia="en-US"/>
        </w:rPr>
      </w:pPr>
      <w:r w:rsidRPr="750671CE">
        <w:rPr>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C85B70" w:rsidRDefault="00C85B70" w:rsidP="00F94B7E">
      <w:pPr>
        <w:pStyle w:val="blockquote"/>
        <w:rPr>
          <w:lang w:eastAsia="en-US"/>
        </w:rPr>
      </w:pPr>
    </w:p>
    <w:p w14:paraId="443F686E" w14:textId="5ECE31B7" w:rsidR="00C85B70" w:rsidRPr="00C85B70" w:rsidRDefault="750671CE" w:rsidP="00F94B7E">
      <w:pPr>
        <w:pStyle w:val="blockquote"/>
        <w:rPr>
          <w:lang w:eastAsia="en-US"/>
        </w:rPr>
      </w:pPr>
      <w:r w:rsidRPr="750671CE">
        <w:rPr>
          <w:lang w:eastAsia="en-US"/>
        </w:rPr>
        <w:t>[T]he deal consisted of . . . allocation of the fixed overall sum of $4.85 billion from Merck according to a point system designed to assess the relative strength of individual Vioxx users</w:t>
      </w:r>
      <w:r w:rsidR="00B05F31">
        <w:rPr>
          <w:lang w:eastAsia="en-US"/>
        </w:rPr>
        <w:t>’</w:t>
      </w:r>
      <w:r w:rsidRPr="750671CE">
        <w:rPr>
          <w:lang w:eastAsia="en-US"/>
        </w:rPr>
        <w:t xml:space="preserve"> cases as to specific causation.</w:t>
      </w:r>
      <w:r w:rsidR="00213055">
        <w:rPr>
          <w:lang w:eastAsia="en-US"/>
        </w:rPr>
        <w:t> </w:t>
      </w:r>
      <w:r w:rsidRPr="750671CE">
        <w:rPr>
          <w:lang w:eastAsia="en-US"/>
        </w:rPr>
        <w:t>.</w:t>
      </w:r>
      <w:r w:rsidR="00213055">
        <w:rPr>
          <w:lang w:eastAsia="en-US"/>
        </w:rPr>
        <w:t> </w:t>
      </w:r>
      <w:r w:rsidRPr="750671CE">
        <w:rPr>
          <w:lang w:eastAsia="en-US"/>
        </w:rPr>
        <w:t>.</w:t>
      </w:r>
      <w:r w:rsidR="00213055">
        <w:rPr>
          <w:lang w:eastAsia="en-US"/>
        </w:rPr>
        <w:t> </w:t>
      </w:r>
      <w:r w:rsidRPr="750671CE">
        <w:rPr>
          <w:lang w:eastAsia="en-US"/>
        </w:rPr>
        <w:t>.</w:t>
      </w:r>
    </w:p>
    <w:p w14:paraId="4F96243E" w14:textId="77777777" w:rsidR="00C85B70" w:rsidRPr="00C85B70" w:rsidRDefault="00C85B70" w:rsidP="00C85B70">
      <w:pPr>
        <w:tabs>
          <w:tab w:val="left" w:pos="7311"/>
        </w:tabs>
        <w:autoSpaceDE w:val="0"/>
        <w:autoSpaceDN w:val="0"/>
        <w:adjustRightInd w:val="0"/>
        <w:ind w:left="720" w:right="720"/>
        <w:rPr>
          <w:rFonts w:ascii="Times New Roman" w:eastAsia="Times New Roman" w:hAnsi="Times New Roman" w:cs="Times New Roman"/>
          <w:lang w:eastAsia="en-US"/>
        </w:rPr>
      </w:pPr>
    </w:p>
    <w:p w14:paraId="4DF94806" w14:textId="77777777"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Richard A. Nagareda, </w:t>
      </w:r>
      <w:r w:rsidRPr="750671CE">
        <w:rPr>
          <w:rFonts w:ascii="Times New Roman" w:eastAsia="Times New Roman" w:hAnsi="Times New Roman" w:cs="Times New Roman"/>
          <w:i/>
          <w:iCs/>
          <w:lang w:eastAsia="en-US"/>
        </w:rPr>
        <w:t>Embedded Aggregation in Civil Litigation</w:t>
      </w:r>
      <w:r w:rsidRPr="750671CE">
        <w:rPr>
          <w:rFonts w:ascii="Times New Roman" w:eastAsia="Times New Roman" w:hAnsi="Times New Roman" w:cs="Times New Roman"/>
          <w:lang w:eastAsia="en-US"/>
        </w:rPr>
        <w:t>, 95 C</w:t>
      </w:r>
      <w:r w:rsidRPr="00F94B7E">
        <w:rPr>
          <w:rFonts w:ascii="Times New Roman" w:eastAsia="Times New Roman" w:hAnsi="Times New Roman" w:cs="Times New Roman"/>
          <w:smallCaps/>
          <w:lang w:eastAsia="en-US"/>
        </w:rPr>
        <w:t>ornell L. Rev</w:t>
      </w:r>
      <w:r w:rsidRPr="750671CE">
        <w:rPr>
          <w:rFonts w:ascii="Times New Roman" w:eastAsia="Times New Roman" w:hAnsi="Times New Roman" w:cs="Times New Roman"/>
          <w:lang w:eastAsia="en-US"/>
        </w:rPr>
        <w:t>. 1105 (2010).</w:t>
      </w:r>
    </w:p>
    <w:p w14:paraId="6F4CDE6D"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2FDEA0A"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120877F3" w14:textId="57B1A03D" w:rsidR="00C85B70" w:rsidRPr="00C85B70" w:rsidRDefault="00C85B70" w:rsidP="00322687">
      <w:pPr>
        <w:pStyle w:val="Heading3"/>
      </w:pPr>
      <w:bookmarkStart w:id="1129" w:name="_Toc364636317"/>
      <w:bookmarkStart w:id="1130" w:name="_Toc518323604"/>
      <w:r w:rsidRPr="00C85B70">
        <w:t>4. The BP Oil Spill</w:t>
      </w:r>
      <w:bookmarkEnd w:id="1129"/>
      <w:bookmarkEnd w:id="1130"/>
    </w:p>
    <w:p w14:paraId="69EE518F"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76BBC233"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On April 20, 2010, an explosion in an offshore oil rig operated by BP created an outpouring of oil into the Gulf of Mexico. Approximately 4.9 million barrels of oil spilled into the Gulf before the well was ultimately sealed. Oil eventually reached the shores of Texas, Louisiana, Mississippi, Alabama, and Florida. Businesses and individuals, from beach resorts to fishermen, felt the economic impact of the spill. The spill also caused significant ecological damage to the region. The government brought civil and criminal cases on its own behalf to recover its cost in cleaning up and mitigating the impact of the spill. In parallel, individual plaintiffs began to reach for compensation.</w:t>
      </w:r>
    </w:p>
    <w:p w14:paraId="1C1603E8"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13A0ABFB"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i/>
          <w:iCs/>
          <w:lang w:eastAsia="en-US"/>
        </w:rPr>
      </w:pPr>
      <w:r w:rsidRPr="750671CE">
        <w:rPr>
          <w:rFonts w:ascii="Times New Roman" w:eastAsia="Times New Roman" w:hAnsi="Times New Roman" w:cs="Times New Roman"/>
          <w:i/>
          <w:iCs/>
          <w:lang w:eastAsia="en-US"/>
        </w:rPr>
        <w:t>The Compensation Fund</w:t>
      </w:r>
    </w:p>
    <w:p w14:paraId="15F287B7"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p>
    <w:p w14:paraId="144D2E8E" w14:textId="5E9EB6D2"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the aftermath of the spill, BP committed to taking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full responsibility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for the disaster and promised to compensate injured parties. BP hired Kenneth Feinberg, the same lawyer who ran the 9/11 Compensation Fund, to administer claims through the Gulf Coast Claims Facility (GCCF). Businesses and individuals filed claims with the fund, which had broad authority to set criteria for determining eligibility and awards. The GCCF came under heavy criticism by state governments, the Department of Justice, and plaintiffs for taking too long and for improperly rejecting claims. The GCCF paid out nearly $7 billion before it was subsumed into the broader class action settlement.</w:t>
      </w:r>
    </w:p>
    <w:p w14:paraId="6FFFC477"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422102FD" w14:textId="77777777"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i/>
          <w:iCs/>
          <w:lang w:eastAsia="en-US"/>
        </w:rPr>
      </w:pPr>
      <w:r w:rsidRPr="750671CE">
        <w:rPr>
          <w:rFonts w:ascii="Times New Roman" w:eastAsia="Times New Roman" w:hAnsi="Times New Roman" w:cs="Times New Roman"/>
          <w:i/>
          <w:iCs/>
          <w:lang w:eastAsia="en-US"/>
        </w:rPr>
        <w:t>The Class Action Settlement</w:t>
      </w:r>
    </w:p>
    <w:p w14:paraId="077C8432"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i/>
          <w:lang w:eastAsia="en-US"/>
        </w:rPr>
      </w:pPr>
    </w:p>
    <w:p w14:paraId="4EE8354D" w14:textId="03FDD3C8"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While the GCCF was paying out claims, BP was negotiating with a class of plaintiffs in district court. BP actually supported the plaintiffs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motion for class certification.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39355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without demonstrating that the oil spill actually caused that downturn in revenue. The broad terms of the settlement led to subsequent lawsuits over the claims administration process. BP challenged the claims administrator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1966BB" w:rsidRPr="001966BB">
        <w:rPr>
          <w:rFonts w:ascii="Times New Roman" w:eastAsia="Times New Roman" w:hAnsi="Times New Roman" w:cs="Times New Roman"/>
          <w:i/>
          <w:lang w:eastAsia="en-US"/>
        </w:rPr>
        <w:t>In re Deepwater Horizon</w:t>
      </w:r>
      <w:r w:rsidR="001966BB">
        <w:rPr>
          <w:rFonts w:ascii="Times New Roman" w:eastAsia="Times New Roman" w:hAnsi="Times New Roman" w:cs="Times New Roman"/>
          <w:lang w:eastAsia="en-US"/>
        </w:rPr>
        <w:t xml:space="preserve">, 744 F.3d 370 (5th Cir. 2014).  </w:t>
      </w:r>
      <w:r w:rsidRPr="750671CE">
        <w:rPr>
          <w:rFonts w:ascii="Times New Roman" w:eastAsia="Times New Roman" w:hAnsi="Times New Roman" w:cs="Times New Roman"/>
          <w:lang w:eastAsia="en-US"/>
        </w:rPr>
        <w:t>BP also challenged the accounting process that the claims administrator of the fund was using, and the district court agreed with BP</w:t>
      </w:r>
      <w:r w:rsidR="00393558" w:rsidRPr="0039355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but refused BP its request to recoup funds paid out under the old methodology. So far, about $4 billion has been paid out under the class action settlement. Many plaintiffs opted out of the class action process, and those cases are still settling.</w:t>
      </w:r>
    </w:p>
    <w:p w14:paraId="3D519B39"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7EBCA1C9" w14:textId="29A7A423"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Why did BP agree to such a bad deal? At the time, BP was taking heat about the GCCF from federal and state governments, who were both suing BP themselves and debating regulations restricting exploitation of offshore assets. It may have believed that getting a fast, generous settlement would have a public relations benefit that would spill over into other areas. BP ultimately paid out approximately $2 billion to federal and state governments. After a brief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moratorium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on approving new offshore assets, regulation has not actually significantly increased in the Gulf, and BP has opened up new wells there in the past several years.</w:t>
      </w:r>
    </w:p>
    <w:p w14:paraId="2597922F"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42CFD9C9" w14:textId="44CF3FEA"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remains to be seen what lessons will be learned from this debacle. Future companies may be more cautious about agreeing to broad, ill-defined settlement agreements</w:t>
      </w:r>
      <w:r w:rsidR="00393558" w:rsidRPr="00393558">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but perhaps they will take comfort from the fact that they may be able to buy their way out of regulation by accepting tort liability.</w:t>
      </w:r>
    </w:p>
    <w:p w14:paraId="3AE2BD26"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57B15CFD" w14:textId="77777777" w:rsidR="00C85B70" w:rsidRPr="00C85B70" w:rsidRDefault="00C85B70" w:rsidP="00F94B7E">
      <w:pPr>
        <w:tabs>
          <w:tab w:val="left" w:pos="7311"/>
        </w:tabs>
        <w:autoSpaceDE w:val="0"/>
        <w:autoSpaceDN w:val="0"/>
        <w:adjustRightInd w:val="0"/>
        <w:rPr>
          <w:rFonts w:ascii="Times New Roman" w:eastAsia="Times New Roman" w:hAnsi="Times New Roman" w:cs="Times New Roman"/>
          <w:lang w:eastAsia="en-US"/>
        </w:rPr>
      </w:pPr>
    </w:p>
    <w:p w14:paraId="4A4943AE" w14:textId="6C1CE8D2" w:rsidR="00C85B70" w:rsidRPr="00C85B70" w:rsidRDefault="00C85B70" w:rsidP="00322687">
      <w:pPr>
        <w:pStyle w:val="Heading3"/>
      </w:pPr>
      <w:bookmarkStart w:id="1131" w:name="_Toc364636318"/>
      <w:bookmarkStart w:id="1132" w:name="_Toc518323605"/>
      <w:r w:rsidRPr="00C85B70">
        <w:t xml:space="preserve">5. </w:t>
      </w:r>
      <w:r w:rsidR="00D5743D">
        <w:t xml:space="preserve"> </w:t>
      </w:r>
      <w:r w:rsidRPr="00C85B70">
        <w:t>State Attorneys General</w:t>
      </w:r>
      <w:bookmarkEnd w:id="1131"/>
      <w:bookmarkEnd w:id="1132"/>
    </w:p>
    <w:p w14:paraId="77B64805"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26F5D18B" w14:textId="6D6CDBF6" w:rsidR="00C85B70" w:rsidRPr="00C85B70" w:rsidRDefault="750671CE" w:rsidP="750671CE">
      <w:pPr>
        <w:tabs>
          <w:tab w:val="left" w:pos="7311"/>
        </w:tabs>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Given the procedural challenges to class actions as a way of resolving mass torts, state attorneys general have attempted to fill the void by bringing actions on behalf of their citizens. Courts have generally been more friendly to this vehicle for resolving mass torts, as state attorneys</w:t>
      </w:r>
      <w:r w:rsidR="00213055">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general have a claim to democratic legitimacy that lead counsel for </w:t>
      </w:r>
      <w:r w:rsidR="00EB66BB">
        <w:rPr>
          <w:rFonts w:ascii="Times New Roman" w:eastAsia="Times New Roman" w:hAnsi="Times New Roman" w:cs="Times New Roman"/>
          <w:lang w:eastAsia="en-US"/>
        </w:rPr>
        <w:t>a</w:t>
      </w:r>
      <w:r w:rsidRPr="750671CE">
        <w:rPr>
          <w:rFonts w:ascii="Times New Roman" w:eastAsia="Times New Roman" w:hAnsi="Times New Roman" w:cs="Times New Roman"/>
          <w:lang w:eastAsia="en-US"/>
        </w:rPr>
        <w:t xml:space="preserve"> class does not. However, Margaret Lemos observes that we ought to have some concern about whether state attorneys general will provide an adequate substitute for either private litigants or class action attorneys adequately motivated by incentives of the contingency fee. We ought especially to be concerned given that state attorney general litigation may in some settings have the same claim preclusive effects of class actions on third parties.  Consider Professor Margaret Lemos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observations:</w:t>
      </w:r>
    </w:p>
    <w:p w14:paraId="736D3278" w14:textId="77777777" w:rsidR="00C85B70" w:rsidRPr="00C85B70" w:rsidRDefault="00C85B70" w:rsidP="00F94B7E">
      <w:pPr>
        <w:tabs>
          <w:tab w:val="left" w:pos="7311"/>
        </w:tabs>
        <w:autoSpaceDE w:val="0"/>
        <w:autoSpaceDN w:val="0"/>
        <w:adjustRightInd w:val="0"/>
        <w:rPr>
          <w:rFonts w:ascii="Times New Roman" w:eastAsia="Times New Roman" w:hAnsi="Times New Roman" w:cs="Times New Roman"/>
          <w:lang w:eastAsia="en-US"/>
        </w:rPr>
      </w:pPr>
    </w:p>
    <w:p w14:paraId="3F3618C2" w14:textId="63733972" w:rsidR="00C85B70" w:rsidRPr="00C85B70" w:rsidRDefault="750671CE" w:rsidP="00F94B7E">
      <w:pPr>
        <w:pStyle w:val="blockquote"/>
        <w:rPr>
          <w:lang w:eastAsia="en-US"/>
        </w:rPr>
      </w:pPr>
      <w:r w:rsidRPr="750671CE">
        <w:rPr>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Pr>
          <w:lang w:eastAsia="en-US"/>
        </w:rPr>
        <w:t>’</w:t>
      </w:r>
      <w:r w:rsidRPr="750671CE">
        <w:rPr>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C85B70" w:rsidRDefault="00C85B70" w:rsidP="00C85B70">
      <w:pPr>
        <w:tabs>
          <w:tab w:val="left" w:pos="7311"/>
        </w:tabs>
        <w:autoSpaceDE w:val="0"/>
        <w:autoSpaceDN w:val="0"/>
        <w:adjustRightInd w:val="0"/>
        <w:ind w:firstLine="720"/>
        <w:rPr>
          <w:rFonts w:ascii="Times New Roman" w:eastAsia="Times New Roman" w:hAnsi="Times New Roman" w:cs="Times New Roman"/>
          <w:lang w:eastAsia="en-US"/>
        </w:rPr>
      </w:pPr>
    </w:p>
    <w:p w14:paraId="2C9ABCF1" w14:textId="6A5CF996" w:rsidR="00C85B70" w:rsidRPr="00C85B70" w:rsidRDefault="750671CE" w:rsidP="750671CE">
      <w:pPr>
        <w:tabs>
          <w:tab w:val="left" w:pos="7311"/>
        </w:tabs>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Margaret H. Lemos, </w:t>
      </w:r>
      <w:r w:rsidRPr="00F94B7E">
        <w:rPr>
          <w:rFonts w:ascii="Times New Roman" w:eastAsia="Times New Roman" w:hAnsi="Times New Roman" w:cs="Times New Roman"/>
          <w:i/>
          <w:lang w:eastAsia="en-US"/>
        </w:rPr>
        <w:t>Aggregate Litigation Goes Public: Representative Suits by State Attorneys General</w:t>
      </w:r>
      <w:r w:rsidRPr="750671CE">
        <w:rPr>
          <w:rFonts w:ascii="Times New Roman" w:eastAsia="Times New Roman" w:hAnsi="Times New Roman" w:cs="Times New Roman"/>
          <w:lang w:eastAsia="en-US"/>
        </w:rPr>
        <w:t xml:space="preserve">, 126 </w:t>
      </w:r>
      <w:r w:rsidRPr="00F94B7E">
        <w:rPr>
          <w:rFonts w:ascii="Times New Roman" w:eastAsia="Times New Roman" w:hAnsi="Times New Roman" w:cs="Times New Roman"/>
          <w:smallCaps/>
          <w:lang w:eastAsia="en-US"/>
        </w:rPr>
        <w:t>Harv. L. Rev.</w:t>
      </w:r>
      <w:r w:rsidRPr="750671CE">
        <w:rPr>
          <w:rFonts w:ascii="Times New Roman" w:eastAsia="Times New Roman" w:hAnsi="Times New Roman" w:cs="Times New Roman"/>
          <w:lang w:eastAsia="en-US"/>
        </w:rPr>
        <w:t xml:space="preserve"> 486, 487 (2012).  Professor Lemos goes on to argue that preclusion by state attorney general </w:t>
      </w:r>
      <w:r w:rsidRPr="750671CE">
        <w:rPr>
          <w:rFonts w:ascii="Times New Roman" w:eastAsia="Times New Roman" w:hAnsi="Times New Roman" w:cs="Times New Roman"/>
          <w:i/>
          <w:iCs/>
          <w:lang w:eastAsia="en-US"/>
        </w:rPr>
        <w:t>parens patria</w:t>
      </w:r>
      <w:r w:rsidRPr="750671CE">
        <w:rPr>
          <w:rFonts w:ascii="Times New Roman" w:eastAsia="Times New Roman" w:hAnsi="Times New Roman" w:cs="Times New Roman"/>
          <w:lang w:eastAsia="en-US"/>
        </w:rPr>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750671CE">
        <w:rPr>
          <w:rFonts w:ascii="Times New Roman" w:eastAsia="Times New Roman" w:hAnsi="Times New Roman" w:cs="Times New Roman"/>
          <w:i/>
          <w:iCs/>
          <w:lang w:eastAsia="en-US"/>
        </w:rPr>
        <w:t>Amchem</w:t>
      </w:r>
      <w:r w:rsidRPr="750671CE">
        <w:rPr>
          <w:rFonts w:ascii="Times New Roman" w:eastAsia="Times New Roman" w:hAnsi="Times New Roman" w:cs="Times New Roman"/>
          <w:lang w:eastAsia="en-US"/>
        </w:rPr>
        <w:t xml:space="preserve"> and </w:t>
      </w:r>
      <w:r w:rsidRPr="750671CE">
        <w:rPr>
          <w:rFonts w:ascii="Times New Roman" w:eastAsia="Times New Roman" w:hAnsi="Times New Roman" w:cs="Times New Roman"/>
          <w:i/>
          <w:iCs/>
          <w:lang w:eastAsia="en-US"/>
        </w:rPr>
        <w:t>Ortiz</w:t>
      </w:r>
      <w:r w:rsidRPr="750671CE">
        <w:rPr>
          <w:rFonts w:ascii="Times New Roman" w:eastAsia="Times New Roman" w:hAnsi="Times New Roman" w:cs="Times New Roman"/>
          <w:lang w:eastAsia="en-US"/>
        </w:rPr>
        <w:t xml:space="preserve">. </w:t>
      </w:r>
    </w:p>
    <w:p w14:paraId="474F3F32" w14:textId="77777777" w:rsidR="00C85B70" w:rsidRPr="00C85B70" w:rsidRDefault="00C85B70" w:rsidP="00C85B70">
      <w:pPr>
        <w:tabs>
          <w:tab w:val="left" w:pos="7311"/>
        </w:tabs>
        <w:autoSpaceDE w:val="0"/>
        <w:autoSpaceDN w:val="0"/>
        <w:adjustRightInd w:val="0"/>
        <w:rPr>
          <w:rFonts w:ascii="Times New Roman" w:eastAsia="Times New Roman" w:hAnsi="Times New Roman" w:cs="Times New Roman"/>
          <w:lang w:eastAsia="en-US"/>
        </w:rPr>
      </w:pPr>
    </w:p>
    <w:p w14:paraId="477872A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2D425D2" w14:textId="77777777" w:rsidR="00C85B70" w:rsidRPr="00C85B70" w:rsidRDefault="00C85B70" w:rsidP="750671CE">
      <w:pPr>
        <w:pStyle w:val="Heading2"/>
        <w:rPr>
          <w:lang w:eastAsia="en-US"/>
        </w:rPr>
      </w:pPr>
      <w:bookmarkStart w:id="1133" w:name="_Toc364636319"/>
      <w:bookmarkStart w:id="1134" w:name="_Toc518323606"/>
      <w:r w:rsidRPr="00C85B70">
        <w:rPr>
          <w:lang w:eastAsia="en-US"/>
        </w:rPr>
        <w:t>D. Punitive Damages</w:t>
      </w:r>
      <w:bookmarkEnd w:id="1133"/>
      <w:bookmarkEnd w:id="1134"/>
    </w:p>
    <w:p w14:paraId="73CEBCF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D352181" w14:textId="5598D900" w:rsidR="00D971FF"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Up to this point, we have been discussing compensatory damages</w:t>
      </w:r>
      <w:r w:rsidR="001E115B" w:rsidRPr="001E115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damages that are intended to restore the plaintiff to where she was prior to the tort. Punitive damages play a different role. Instead of compensating the plaintiff, they are meant to punish the defendant. Why might we want to punish a defendant above and beyond the cost of reparations to the plaintiff? Judge Posner rehearsed a series of rationales in </w:t>
      </w:r>
      <w:r w:rsidRPr="750671CE">
        <w:rPr>
          <w:rFonts w:ascii="Times New Roman" w:eastAsia="Times New Roman" w:hAnsi="Times New Roman" w:cs="Times New Roman"/>
          <w:i/>
          <w:iCs/>
          <w:lang w:eastAsia="en-US"/>
        </w:rPr>
        <w:t>Kemezy v. Peters</w:t>
      </w:r>
      <w:r w:rsidRPr="750671CE">
        <w:rPr>
          <w:rFonts w:ascii="Times New Roman" w:eastAsia="Times New Roman" w:hAnsi="Times New Roman" w:cs="Times New Roman"/>
          <w:lang w:eastAsia="en-US"/>
        </w:rPr>
        <w:t xml:space="preserve">: </w:t>
      </w:r>
    </w:p>
    <w:p w14:paraId="63C9B01C" w14:textId="57236CD2" w:rsidR="00D971FF" w:rsidRDefault="00D971FF">
      <w:pPr>
        <w:rPr>
          <w:rFonts w:ascii="Times New Roman" w:eastAsia="Times New Roman" w:hAnsi="Times New Roman" w:cs="Times New Roman"/>
          <w:lang w:eastAsia="en-US"/>
        </w:rPr>
      </w:pPr>
    </w:p>
    <w:p w14:paraId="05129EB1" w14:textId="77777777" w:rsidR="00051CC4" w:rsidRDefault="00051CC4">
      <w:pPr>
        <w:rPr>
          <w:rFonts w:ascii="Times New Roman" w:eastAsia="Times New Roman" w:hAnsi="Times New Roman" w:cs="Times New Roman"/>
          <w:lang w:eastAsia="en-US"/>
        </w:rPr>
      </w:pPr>
    </w:p>
    <w:p w14:paraId="0CE3CCE7" w14:textId="25ED12AE" w:rsidR="00C85B70" w:rsidRPr="00C85B70" w:rsidRDefault="00C85B70" w:rsidP="750671CE">
      <w:pPr>
        <w:autoSpaceDE w:val="0"/>
        <w:autoSpaceDN w:val="0"/>
        <w:adjustRightInd w:val="0"/>
        <w:contextualSpacing/>
        <w:rPr>
          <w:rFonts w:ascii="Times New Roman" w:eastAsia="Times New Roman" w:hAnsi="Times New Roman" w:cs="Times New Roman"/>
          <w:b/>
          <w:bCs/>
          <w:lang w:eastAsia="en-US"/>
        </w:rPr>
      </w:pPr>
      <w:bookmarkStart w:id="1135" w:name="_Toc518323607"/>
      <w:r w:rsidRPr="00E87AC9">
        <w:rPr>
          <w:rStyle w:val="Heading3Char"/>
          <w:i/>
        </w:rPr>
        <w:t>Kemezy v. Peters</w:t>
      </w:r>
      <w:bookmarkEnd w:id="1135"/>
      <w:r w:rsidR="002B3D44"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79 F.3d 33 (7th Cir. 1996)</w:t>
      </w:r>
    </w:p>
    <w:p w14:paraId="1A387A9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3C3769B" w14:textId="59B7A0CB" w:rsidR="00C85B70" w:rsidRPr="00C85B70" w:rsidRDefault="750671CE" w:rsidP="750671CE">
      <w:pPr>
        <w:autoSpaceDE w:val="0"/>
        <w:autoSpaceDN w:val="0"/>
        <w:adjustRightInd w:val="0"/>
        <w:ind w:right="72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Posner</w:t>
      </w:r>
      <w:r w:rsidRPr="750671CE">
        <w:rPr>
          <w:rFonts w:ascii="Times New Roman" w:eastAsia="Times New Roman" w:hAnsi="Times New Roman" w:cs="Times New Roman"/>
          <w:lang w:eastAsia="en-US"/>
        </w:rPr>
        <w:t>, C</w:t>
      </w:r>
      <w:r w:rsidR="00E87AC9">
        <w:rPr>
          <w:rFonts w:ascii="Times New Roman" w:eastAsia="Times New Roman" w:hAnsi="Times New Roman" w:cs="Times New Roman"/>
          <w:lang w:eastAsia="en-US"/>
        </w:rPr>
        <w:t xml:space="preserve">.J. </w:t>
      </w:r>
      <w:r w:rsidRPr="750671CE">
        <w:rPr>
          <w:rFonts w:ascii="Times New Roman" w:eastAsia="Times New Roman" w:hAnsi="Times New Roman" w:cs="Times New Roman"/>
          <w:lang w:eastAsia="en-US"/>
        </w:rPr>
        <w:t xml:space="preserve"> </w:t>
      </w:r>
    </w:p>
    <w:p w14:paraId="7CA9CEEE"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19746A43" w14:textId="53684EDC"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Jeffrey Kemezy sued a Muncie, Indiana policeman named James Peters under 42 U.S.C. § 1983, claiming that Peters had wantonly beaten him with the officer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nightstick in an altercation in a bowling alley where Peters was moonlighting as a security guard. The jury awarded Kemezy $10,000 in compensatory damages and $20,000 in punitive damages. Peters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appeal challenges only the award of punitive damages, and that on the narrowest of grounds: that it was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burden to introduce evidence concerning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59E3670A" w14:textId="08F439B3"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overdeterring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such conduct by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award of damages is not a concern, a generous award of punitive damages will assure full compensation without impeding socially valuable conduct.</w:t>
      </w:r>
    </w:p>
    <w:p w14:paraId="03F4E24C"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649A3428"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5FD34AAA" w14:textId="77FCD942"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3. Punitive damages are necessary in some cases to make sure that people channel transactions through the market when the costs of voluntary transactions are low. We do not want a person to be able to take his neighbor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1978B9CA"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058479BB" w14:textId="7956643E"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5. An award of punitive damages expresses the community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abhorrence at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6DF500F8" w14:textId="68AB07CC"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6. Punitive damages relieve the pressures on the criminal justice system. They do this not so much by creating an additional sanction, which could be done by increasing the fines imposed in criminal cases, as by giving private individuals</w:t>
      </w:r>
      <w:r w:rsidR="0021305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tort victims themselves</w:t>
      </w:r>
      <w:r w:rsidR="00213055">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monetary incentive to shoulder the costs of enforcement.</w:t>
      </w:r>
    </w:p>
    <w:p w14:paraId="6B331BE8"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22C29030"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8E991EA" w14:textId="196BE182"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What is striking about the purposes that are served by the awarding of punitive damages is that none of them depends critically on proof that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behavior again. Juries, rightly or wrongly, think differently, so plaintiffs who are seeking punitive damages often present evidence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wealth. The question is whether they must present such evidence</w:t>
      </w:r>
      <w:r w:rsidR="001E115B" w:rsidRPr="001E115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7ACE6E5" w14:textId="69E361C4"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Take the question from the other side: if the defendant is not as wealthy as the jury might in the absence of any evidence suppose, should the plaintiff be required to show this? That seems an odd suggestion too. The reprehensibility of a person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8E96B8A" w14:textId="21217D19"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usual practice with respect to fines is not to proportion the fine to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A54BD1E" w14:textId="3EE26D4A"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ill becomes defendants to argue that plaintiffs must introduce evidence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w:t>
      </w:r>
      <w:r w:rsidR="00213055">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w:t>
      </w:r>
      <w:r w:rsidR="00213055">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information about net worth is in the possession of the person whose net wealth is in issue, the normal principles of pleading would put the burden of production on the defendant</w:t>
      </w:r>
      <w:r w:rsidR="00700DCC" w:rsidRPr="00700DCC">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which, as we have been at pains to stress, is just where defendants as a whole would want it. . . .</w:t>
      </w:r>
    </w:p>
    <w:p w14:paraId="2FE80962"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3BCB423" w14:textId="77777777" w:rsidR="00C85B70" w:rsidRDefault="750671CE" w:rsidP="750671CE">
      <w:pPr>
        <w:autoSpaceDE w:val="0"/>
        <w:autoSpaceDN w:val="0"/>
        <w:adjustRightInd w:val="0"/>
        <w:ind w:right="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Affirmed.</w:t>
      </w:r>
    </w:p>
    <w:p w14:paraId="365E9D14" w14:textId="77777777" w:rsidR="00051CC4" w:rsidRDefault="00051CC4" w:rsidP="750671CE">
      <w:pPr>
        <w:autoSpaceDE w:val="0"/>
        <w:autoSpaceDN w:val="0"/>
        <w:adjustRightInd w:val="0"/>
        <w:ind w:right="720"/>
        <w:contextualSpacing/>
        <w:rPr>
          <w:rFonts w:ascii="Times New Roman" w:eastAsia="Times New Roman" w:hAnsi="Times New Roman" w:cs="Times New Roman"/>
          <w:lang w:eastAsia="en-US"/>
        </w:rPr>
      </w:pPr>
    </w:p>
    <w:p w14:paraId="61238B30" w14:textId="77777777" w:rsidR="00051CC4" w:rsidRPr="00C85B70" w:rsidRDefault="00051CC4" w:rsidP="750671CE">
      <w:pPr>
        <w:autoSpaceDE w:val="0"/>
        <w:autoSpaceDN w:val="0"/>
        <w:adjustRightInd w:val="0"/>
        <w:ind w:right="720"/>
        <w:contextualSpacing/>
        <w:rPr>
          <w:rFonts w:ascii="Times New Roman" w:eastAsia="Times New Roman" w:hAnsi="Times New Roman" w:cs="Times New Roman"/>
          <w:lang w:eastAsia="en-US"/>
        </w:rPr>
      </w:pPr>
    </w:p>
    <w:p w14:paraId="07A97483" w14:textId="77777777" w:rsidR="00C85B70" w:rsidRPr="00C85B70" w:rsidRDefault="00C85B70" w:rsidP="002502CC">
      <w:pPr>
        <w:pStyle w:val="Heading4"/>
      </w:pPr>
      <w:bookmarkStart w:id="1136" w:name="_Toc364636320"/>
      <w:bookmarkStart w:id="1137" w:name="_Toc518323608"/>
      <w:r w:rsidRPr="00C85B70">
        <w:t>Notes</w:t>
      </w:r>
      <w:bookmarkEnd w:id="1136"/>
      <w:bookmarkEnd w:id="1137"/>
    </w:p>
    <w:p w14:paraId="0AE76F54" w14:textId="77777777" w:rsidR="00C85B70" w:rsidRDefault="00C85B70" w:rsidP="00C85B70">
      <w:pPr>
        <w:autoSpaceDE w:val="0"/>
        <w:autoSpaceDN w:val="0"/>
        <w:adjustRightInd w:val="0"/>
        <w:contextualSpacing/>
        <w:rPr>
          <w:rFonts w:ascii="Times New Roman" w:eastAsia="Times New Roman" w:hAnsi="Times New Roman" w:cs="Times New Roman"/>
          <w:lang w:eastAsia="en-US"/>
        </w:rPr>
      </w:pPr>
    </w:p>
    <w:p w14:paraId="0DFAA9B4" w14:textId="77777777" w:rsidR="00945FB9" w:rsidRPr="00C85B70" w:rsidRDefault="00945FB9" w:rsidP="00C85B70">
      <w:pPr>
        <w:autoSpaceDE w:val="0"/>
        <w:autoSpaceDN w:val="0"/>
        <w:adjustRightInd w:val="0"/>
        <w:contextualSpacing/>
        <w:rPr>
          <w:rFonts w:ascii="Times New Roman" w:eastAsia="Times New Roman" w:hAnsi="Times New Roman" w:cs="Times New Roman"/>
          <w:lang w:eastAsia="en-US"/>
        </w:rPr>
      </w:pPr>
    </w:p>
    <w:p w14:paraId="6BA6A3A8" w14:textId="5A5A16CE" w:rsidR="00C85B70" w:rsidRPr="00F94B7E" w:rsidRDefault="750671CE" w:rsidP="00F94B7E">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The relevance of wealth</w:t>
      </w:r>
      <w:r w:rsidRPr="00F94B7E">
        <w:rPr>
          <w:rFonts w:ascii="Times New Roman" w:eastAsia="Times New Roman" w:hAnsi="Times New Roman" w:cs="Times New Roman"/>
          <w:lang w:eastAsia="en-US"/>
        </w:rPr>
        <w:t>.  A central controversy in punitive damages cases is whether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B8A26A6" w14:textId="720EFDFD" w:rsidR="00C85B70" w:rsidRPr="00C85B70" w:rsidRDefault="750671CE" w:rsidP="00F94B7E">
      <w:pPr>
        <w:pStyle w:val="blockquote"/>
        <w:rPr>
          <w:lang w:eastAsia="en-US"/>
        </w:rPr>
      </w:pPr>
      <w:r w:rsidRPr="750671CE">
        <w:rPr>
          <w:lang w:eastAsia="en-US"/>
        </w:rPr>
        <w:t>Courts take account of a defendant</w:t>
      </w:r>
      <w:r w:rsidR="00B05F31">
        <w:rPr>
          <w:lang w:eastAsia="en-US"/>
        </w:rPr>
        <w:t>’</w:t>
      </w:r>
      <w:r w:rsidRPr="750671CE">
        <w:rPr>
          <w:lang w:eastAsia="en-US"/>
        </w:rPr>
        <w:t xml:space="preserve">s wealth when </w:t>
      </w:r>
      <w:r w:rsidR="00B05F31">
        <w:rPr>
          <w:lang w:eastAsia="en-US"/>
        </w:rPr>
        <w:t>“</w:t>
      </w:r>
      <w:r w:rsidRPr="750671CE">
        <w:rPr>
          <w:lang w:eastAsia="en-US"/>
        </w:rPr>
        <w:t>[a]n amount sufficient to punish or to deter one individual may be trivial to another.</w:t>
      </w:r>
      <w:r w:rsidR="00B05F31">
        <w:rPr>
          <w:lang w:eastAsia="en-US"/>
        </w:rPr>
        <w:t>”</w:t>
      </w:r>
      <w:r w:rsidRPr="750671CE">
        <w:rPr>
          <w:lang w:eastAsia="en-US"/>
        </w:rPr>
        <w:t xml:space="preserve"> . . .  For natural persons the marginal utility of money decreases as wealth increases, so that higher fines may be needed to deter those possessing great wealth. (</w:t>
      </w:r>
      <w:r w:rsidR="00B05F31">
        <w:rPr>
          <w:lang w:eastAsia="en-US"/>
        </w:rPr>
        <w:t>“</w:t>
      </w:r>
      <w:r w:rsidRPr="750671CE">
        <w:rPr>
          <w:lang w:eastAsia="en-US"/>
        </w:rPr>
        <w:t>May be</w:t>
      </w:r>
      <w:r w:rsidR="00B05F31">
        <w:rPr>
          <w:lang w:eastAsia="en-US"/>
        </w:rPr>
        <w:t>”</w:t>
      </w:r>
      <w:r w:rsidRPr="750671CE">
        <w:rPr>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C85B70" w:rsidRDefault="00C85B70" w:rsidP="00F94B7E">
      <w:pPr>
        <w:pStyle w:val="blockquote"/>
        <w:rPr>
          <w:lang w:eastAsia="en-US"/>
        </w:rPr>
      </w:pPr>
    </w:p>
    <w:p w14:paraId="3778D5AB" w14:textId="45243E5D" w:rsidR="00C85B70" w:rsidRPr="00C85B70" w:rsidRDefault="750671CE" w:rsidP="00F94B7E">
      <w:pPr>
        <w:pStyle w:val="blockquote"/>
        <w:rPr>
          <w:lang w:eastAsia="en-US"/>
        </w:rPr>
      </w:pPr>
      <w:r w:rsidRPr="750671CE">
        <w:rPr>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Pr>
          <w:lang w:eastAsia="en-US"/>
        </w:rPr>
        <w:t>’</w:t>
      </w:r>
      <w:r w:rsidRPr="750671CE">
        <w:rPr>
          <w:lang w:eastAsia="en-US"/>
        </w:rPr>
        <w:t>Oréal introduces 10,000 products, perhaps 10 of these infringe someone else</w:t>
      </w:r>
      <w:r w:rsidR="00B05F31">
        <w:rPr>
          <w:lang w:eastAsia="en-US"/>
        </w:rPr>
        <w:t>’</w:t>
      </w:r>
      <w:r w:rsidRPr="750671CE">
        <w:rPr>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Pr>
          <w:lang w:eastAsia="en-US"/>
        </w:rPr>
        <w:t>’</w:t>
      </w:r>
      <w:r w:rsidRPr="750671CE">
        <w:rPr>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5AC0B25E" w14:textId="4D29C30A"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Zazu Designs v. L</w:t>
      </w:r>
      <w:r w:rsidR="00B05F31">
        <w:rPr>
          <w:rFonts w:ascii="Times New Roman" w:eastAsia="Times New Roman" w:hAnsi="Times New Roman" w:cs="Times New Roman"/>
          <w:i/>
          <w:iCs/>
          <w:lang w:eastAsia="en-US"/>
        </w:rPr>
        <w:t>’</w:t>
      </w:r>
      <w:r w:rsidRPr="750671CE">
        <w:rPr>
          <w:rFonts w:ascii="Times New Roman" w:eastAsia="Times New Roman" w:hAnsi="Times New Roman" w:cs="Times New Roman"/>
          <w:i/>
          <w:iCs/>
          <w:lang w:eastAsia="en-US"/>
        </w:rPr>
        <w:t>Oreal</w:t>
      </w:r>
      <w:r w:rsidRPr="750671CE">
        <w:rPr>
          <w:rFonts w:ascii="Times New Roman" w:eastAsia="Times New Roman" w:hAnsi="Times New Roman" w:cs="Times New Roman"/>
          <w:lang w:eastAsia="en-US"/>
        </w:rPr>
        <w:t>, 979 F.2d 499 (7</w:t>
      </w:r>
      <w:r w:rsidR="00700DCC">
        <w:rPr>
          <w:rFonts w:ascii="Times New Roman" w:eastAsia="Times New Roman" w:hAnsi="Times New Roman" w:cs="Times New Roman"/>
          <w:lang w:eastAsia="en-US"/>
        </w:rPr>
        <w:t>th</w:t>
      </w:r>
      <w:r w:rsidRPr="750671CE">
        <w:rPr>
          <w:rFonts w:ascii="Times New Roman" w:eastAsia="Times New Roman" w:hAnsi="Times New Roman" w:cs="Times New Roman"/>
          <w:lang w:eastAsia="en-US"/>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85EB73C"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74A85016" w14:textId="562C272E" w:rsidR="00C85B70" w:rsidRPr="00F94B7E" w:rsidRDefault="750671CE" w:rsidP="00F94B7E">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 concealment model</w:t>
      </w:r>
      <w:r w:rsidRPr="00F94B7E">
        <w:rPr>
          <w:rFonts w:ascii="Times New Roman" w:eastAsia="Times New Roman" w:hAnsi="Times New Roman" w:cs="Times New Roman"/>
          <w:lang w:eastAsia="en-US"/>
        </w:rPr>
        <w:t>.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fourth consideration is the risk of concealment.  Professors Polinsky and Shavell formalized this rationale in a leading article that articulated a so-called multiplier basis for punitive damages: </w:t>
      </w:r>
    </w:p>
    <w:p w14:paraId="78154D48"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6442B592" w14:textId="77777777" w:rsidR="00C85B70" w:rsidRPr="00C85B70" w:rsidRDefault="750671CE" w:rsidP="00F94B7E">
      <w:pPr>
        <w:pStyle w:val="blockquote"/>
        <w:rPr>
          <w:lang w:eastAsia="en-US"/>
        </w:rPr>
      </w:pPr>
      <w:r w:rsidRPr="750671CE">
        <w:rPr>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2385A019" w14:textId="2143805C"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 Mitchell Polinsky &amp; Steven Shavell, </w:t>
      </w:r>
      <w:r w:rsidRPr="750671CE">
        <w:rPr>
          <w:rFonts w:ascii="Times New Roman" w:eastAsia="Times New Roman" w:hAnsi="Times New Roman" w:cs="Times New Roman"/>
          <w:i/>
          <w:iCs/>
          <w:lang w:eastAsia="en-US"/>
        </w:rPr>
        <w:t>Punitive Damages: An Economic Analysis</w:t>
      </w:r>
      <w:r w:rsidRPr="750671CE">
        <w:rPr>
          <w:rFonts w:ascii="Times New Roman" w:eastAsia="Times New Roman" w:hAnsi="Times New Roman" w:cs="Times New Roman"/>
          <w:lang w:eastAsia="en-US"/>
        </w:rPr>
        <w:t xml:space="preserve">, 111 </w:t>
      </w:r>
      <w:r w:rsidRPr="750671CE">
        <w:rPr>
          <w:rFonts w:ascii="Times New Roman" w:eastAsia="Times New Roman" w:hAnsi="Times New Roman" w:cs="Times New Roman"/>
          <w:smallCaps/>
          <w:lang w:eastAsia="en-US"/>
        </w:rPr>
        <w:t>Harv. L. Rev</w:t>
      </w:r>
      <w:r w:rsidRPr="750671CE">
        <w:rPr>
          <w:rFonts w:ascii="Times New Roman" w:eastAsia="Times New Roman" w:hAnsi="Times New Roman" w:cs="Times New Roman"/>
          <w:lang w:eastAsia="en-US"/>
        </w:rPr>
        <w:t>. 869, 874 (1998).  Polinsky and Shavell make punitive damage safe for the world of Learned Hand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0A714D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4D7F58B" w14:textId="76E7F3AA" w:rsidR="00C85B70" w:rsidRPr="00F94B7E" w:rsidRDefault="750671CE" w:rsidP="00F94B7E">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prevalence of punitives. </w:t>
      </w:r>
      <w:r w:rsidRPr="00F94B7E">
        <w:rPr>
          <w:rFonts w:ascii="Times New Roman" w:eastAsia="Times New Roman" w:hAnsi="Times New Roman" w:cs="Times New Roman"/>
          <w:lang w:eastAsia="en-US"/>
        </w:rPr>
        <w:t xml:space="preserve"> How much do punitive damages actually change the landscape of tort damages? One study suggests that punitive damages may not be as widespread as we might think.</w:t>
      </w:r>
    </w:p>
    <w:p w14:paraId="5BF3A31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CC5BCFF" w14:textId="77777777" w:rsidR="00C85B70" w:rsidRPr="00C85B70" w:rsidRDefault="750671CE" w:rsidP="00F94B7E">
      <w:pPr>
        <w:pStyle w:val="blockquote"/>
        <w:rPr>
          <w:lang w:eastAsia="en-US"/>
        </w:rPr>
      </w:pPr>
      <w:r w:rsidRPr="750671CE">
        <w:rPr>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were not rarely awarded. They were awarded in 35.5 percent . . . of cases won by plaintiffs in which punitive damages were sought.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C85B70" w:rsidRDefault="00C85B70" w:rsidP="00C85B70">
      <w:pPr>
        <w:autoSpaceDE w:val="0"/>
        <w:autoSpaceDN w:val="0"/>
        <w:adjustRightInd w:val="0"/>
        <w:ind w:left="720" w:right="720"/>
        <w:contextualSpacing/>
        <w:rPr>
          <w:rFonts w:ascii="Times New Roman" w:eastAsia="Times New Roman" w:hAnsi="Times New Roman" w:cs="Times New Roman"/>
          <w:lang w:eastAsia="en-US"/>
        </w:rPr>
      </w:pPr>
    </w:p>
    <w:p w14:paraId="7535C73A" w14:textId="3B7BA670"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Theodore Eisenberg, Michael Heise, Nicole L. Waters </w:t>
      </w:r>
      <w:r w:rsidR="007B4D24">
        <w:rPr>
          <w:rFonts w:ascii="Times New Roman" w:eastAsia="Times New Roman" w:hAnsi="Times New Roman" w:cs="Times New Roman"/>
          <w:lang w:eastAsia="en-US"/>
        </w:rPr>
        <w:t xml:space="preserve">&amp; </w:t>
      </w:r>
      <w:r w:rsidRPr="750671CE">
        <w:rPr>
          <w:rFonts w:ascii="Times New Roman" w:eastAsia="Times New Roman" w:hAnsi="Times New Roman" w:cs="Times New Roman"/>
          <w:lang w:eastAsia="en-US"/>
        </w:rPr>
        <w:t xml:space="preserve">Martin T. Wells, </w:t>
      </w:r>
      <w:r w:rsidRPr="750671CE">
        <w:rPr>
          <w:rFonts w:ascii="Times New Roman" w:eastAsia="Times New Roman" w:hAnsi="Times New Roman" w:cs="Times New Roman"/>
          <w:i/>
          <w:iCs/>
          <w:lang w:eastAsia="en-US"/>
        </w:rPr>
        <w:t>The Decision to Award Punitive Damages: An Empirical Study</w:t>
      </w:r>
      <w:r w:rsidRPr="750671CE">
        <w:rPr>
          <w:rFonts w:ascii="Times New Roman" w:eastAsia="Times New Roman" w:hAnsi="Times New Roman" w:cs="Times New Roman"/>
          <w:lang w:eastAsia="en-US"/>
        </w:rPr>
        <w:t xml:space="preserve">, 2 </w:t>
      </w:r>
      <w:r w:rsidRPr="750671CE">
        <w:rPr>
          <w:rFonts w:ascii="Times New Roman" w:eastAsia="Times New Roman" w:hAnsi="Times New Roman" w:cs="Times New Roman"/>
          <w:smallCaps/>
          <w:lang w:eastAsia="en-US"/>
        </w:rPr>
        <w:t>J. Legal Analysis</w:t>
      </w:r>
      <w:r w:rsidRPr="750671CE">
        <w:rPr>
          <w:rFonts w:ascii="Times New Roman" w:eastAsia="Times New Roman" w:hAnsi="Times New Roman" w:cs="Times New Roman"/>
          <w:lang w:eastAsia="en-US"/>
        </w:rPr>
        <w:t xml:space="preserve"> 577 (2010).  Critics of the Eisenberg methodology contend that the threat of punitive damages pushes defendants to settle and that punitives play a larger role in American torts practice than this study suggests.   Eisenberg and his co-authors, however, found that there did not seem to be a settlement effect: cases in which punitives were sought in the pleadings were neither more nor less likely to come to settlement.   </w:t>
      </w:r>
    </w:p>
    <w:p w14:paraId="2B28ECC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C0FD5D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68CAE77" w14:textId="2FA31E99" w:rsidR="00C85B70" w:rsidRPr="00F94B7E" w:rsidRDefault="750671CE" w:rsidP="00F94B7E">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Arbitrariness in punitives?</w:t>
      </w:r>
      <w:r w:rsidRPr="00F94B7E">
        <w:rPr>
          <w:rFonts w:ascii="Times New Roman" w:eastAsia="Times New Roman" w:hAnsi="Times New Roman" w:cs="Times New Roman"/>
          <w:lang w:eastAsia="en-US"/>
        </w:rPr>
        <w:t xml:space="preserve">  Judge Posner</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rationales for punitive damages in </w:t>
      </w:r>
      <w:r w:rsidRPr="00F94B7E">
        <w:rPr>
          <w:rFonts w:ascii="Times New Roman" w:eastAsia="Times New Roman" w:hAnsi="Times New Roman" w:cs="Times New Roman"/>
          <w:i/>
          <w:iCs/>
          <w:lang w:eastAsia="en-US"/>
        </w:rPr>
        <w:t>Kemezy</w:t>
      </w:r>
      <w:r w:rsidRPr="00F94B7E">
        <w:rPr>
          <w:rFonts w:ascii="Times New Roman" w:eastAsia="Times New Roman" w:hAnsi="Times New Roman" w:cs="Times New Roman"/>
          <w:lang w:eastAsia="en-US"/>
        </w:rPr>
        <w:t xml:space="preserve"> encompass a broad set of values</w:t>
      </w:r>
      <w:r w:rsidR="007B4D24"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some of which are very difficult to put a price on. How, after all, does one price outrage?  Empirical research has shown that the amount of punitive damages awarded can be incredibly unpredictable.  When Cass Sunstein and his collaborators explored this phenomenon, they found that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people have a remarkably high degree of moral consensus on the degrees of outrage and punishment that are appropriate for punitive damage cases,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and that this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moral consensus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cut</w:t>
      </w:r>
      <w:r w:rsidR="00213055">
        <w:rPr>
          <w:rFonts w:ascii="Times New Roman" w:eastAsia="Times New Roman" w:hAnsi="Times New Roman" w:cs="Times New Roman"/>
          <w:lang w:eastAsia="en-US"/>
        </w:rPr>
        <w:t>s</w:t>
      </w:r>
      <w:r w:rsidRPr="00F94B7E">
        <w:rPr>
          <w:rFonts w:ascii="Times New Roman" w:eastAsia="Times New Roman" w:hAnsi="Times New Roman" w:cs="Times New Roman"/>
          <w:lang w:eastAsia="en-US"/>
        </w:rPr>
        <w:t xml:space="preserve"> across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differences in gender, race, income, age, and education.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But the consensus, they concluded,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fractures when the legal system uses dollars as the vehicle to measure moral outrage.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The most important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source of arbitrariness within the existing system of punitive damages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is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use of an unbounded dollar scale.</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Further arbitrariness was produced by the fact that juries lacked any consistent points of reference or comparison.  The study concluded that</w:t>
      </w:r>
    </w:p>
    <w:p w14:paraId="3E0DFEFF"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39FC4877" w14:textId="07FF57A3" w:rsidR="00C85B70" w:rsidRPr="00C85B70" w:rsidRDefault="750671CE" w:rsidP="00F94B7E">
      <w:pPr>
        <w:pStyle w:val="blockquote"/>
        <w:rPr>
          <w:lang w:eastAsia="en-US"/>
        </w:rPr>
      </w:pPr>
      <w:r w:rsidRPr="750671CE">
        <w:rPr>
          <w:lang w:eastAsia="en-US"/>
        </w:rPr>
        <w:t xml:space="preserve">[i]f juries cannot consistently or sensibly </w:t>
      </w:r>
      <w:r w:rsidR="00B05F31">
        <w:rPr>
          <w:lang w:eastAsia="en-US"/>
        </w:rPr>
        <w:t>“</w:t>
      </w:r>
      <w:r w:rsidRPr="750671CE">
        <w:rPr>
          <w:lang w:eastAsia="en-US"/>
        </w:rPr>
        <w:t>map</w:t>
      </w:r>
      <w:r w:rsidR="00B05F31">
        <w:rPr>
          <w:lang w:eastAsia="en-US"/>
        </w:rPr>
        <w:t>”</w:t>
      </w:r>
      <w:r w:rsidRPr="750671CE">
        <w:rPr>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C85B70" w:rsidRDefault="00C85B70" w:rsidP="00C85B70">
      <w:pPr>
        <w:tabs>
          <w:tab w:val="left" w:pos="720"/>
        </w:tabs>
        <w:autoSpaceDE w:val="0"/>
        <w:autoSpaceDN w:val="0"/>
        <w:adjustRightInd w:val="0"/>
        <w:ind w:right="720"/>
        <w:contextualSpacing/>
        <w:rPr>
          <w:rFonts w:ascii="Times New Roman" w:eastAsia="Times New Roman" w:hAnsi="Times New Roman" w:cs="Times New Roman"/>
          <w:lang w:eastAsia="en-US"/>
        </w:rPr>
      </w:pPr>
    </w:p>
    <w:p w14:paraId="02632B1D" w14:textId="1FD9B285" w:rsidR="00C85B70" w:rsidRPr="00C85B70" w:rsidRDefault="750671CE" w:rsidP="750671CE">
      <w:pPr>
        <w:tabs>
          <w:tab w:val="left" w:pos="720"/>
        </w:tabs>
        <w:autoSpaceDE w:val="0"/>
        <w:autoSpaceDN w:val="0"/>
        <w:adjustRightInd w:val="0"/>
        <w:ind w:right="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Cass R. Sunstein</w:t>
      </w:r>
      <w:r w:rsidR="00213055">
        <w:rPr>
          <w:rFonts w:ascii="Times New Roman" w:eastAsia="Times New Roman" w:hAnsi="Times New Roman" w:cs="Times New Roman"/>
          <w:lang w:eastAsia="en-US"/>
        </w:rPr>
        <w:t>, Daniel Kahneman &amp; David Schkade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Assessing Punitive Damages (with Notes on Cognition and Valuation in Law)</w:t>
      </w:r>
      <w:r w:rsidRPr="750671CE">
        <w:rPr>
          <w:rFonts w:ascii="Times New Roman" w:eastAsia="Times New Roman" w:hAnsi="Times New Roman" w:cs="Times New Roman"/>
          <w:lang w:eastAsia="en-US"/>
        </w:rPr>
        <w:t xml:space="preserve">, 107 </w:t>
      </w:r>
      <w:r w:rsidRPr="750671CE">
        <w:rPr>
          <w:rFonts w:ascii="Times New Roman" w:eastAsia="Times New Roman" w:hAnsi="Times New Roman" w:cs="Times New Roman"/>
          <w:smallCaps/>
          <w:lang w:eastAsia="en-US"/>
        </w:rPr>
        <w:t>Yale L.J.</w:t>
      </w:r>
      <w:r w:rsidRPr="750671CE">
        <w:rPr>
          <w:rFonts w:ascii="Times New Roman" w:eastAsia="Times New Roman" w:hAnsi="Times New Roman" w:cs="Times New Roman"/>
          <w:lang w:eastAsia="en-US"/>
        </w:rPr>
        <w:t xml:space="preserve"> 2071 (1998).</w:t>
      </w:r>
    </w:p>
    <w:p w14:paraId="3179A611"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2E4AC4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9B2D373" w14:textId="65334C92" w:rsidR="00C85B70" w:rsidRPr="00F94B7E" w:rsidRDefault="750671CE" w:rsidP="00F94B7E">
      <w:pPr>
        <w:pStyle w:val="ListParagraph"/>
        <w:numPr>
          <w:ilvl w:val="0"/>
          <w:numId w:val="129"/>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Supreme Court </w:t>
      </w:r>
      <w:r w:rsidR="00BD43F6" w:rsidRPr="00F94B7E">
        <w:rPr>
          <w:rFonts w:ascii="Times New Roman" w:eastAsia="Times New Roman" w:hAnsi="Times New Roman" w:cs="Times New Roman"/>
          <w:i/>
          <w:iCs/>
          <w:lang w:eastAsia="en-US"/>
        </w:rPr>
        <w:t>i</w:t>
      </w:r>
      <w:r w:rsidRPr="00F94B7E">
        <w:rPr>
          <w:rFonts w:ascii="Times New Roman" w:eastAsia="Times New Roman" w:hAnsi="Times New Roman" w:cs="Times New Roman"/>
          <w:i/>
          <w:iCs/>
          <w:lang w:eastAsia="en-US"/>
        </w:rPr>
        <w:t>ntervenes</w:t>
      </w:r>
      <w:r w:rsidRPr="00F94B7E">
        <w:rPr>
          <w:rFonts w:ascii="Times New Roman" w:eastAsia="Times New Roman" w:hAnsi="Times New Roman" w:cs="Times New Roman"/>
          <w:lang w:eastAsia="en-US"/>
        </w:rPr>
        <w:t xml:space="preserve">.  In a dramatic series of cases beginning in the mid-1990s, the Supreme Court has taken the view that some punitive damages can be so excessive as to violate the Due Process clause of the Fourteenth Amendment. The first case finding constitutionally excessive punitive damages was </w:t>
      </w:r>
      <w:r w:rsidRPr="00F94B7E">
        <w:rPr>
          <w:rFonts w:ascii="Times New Roman" w:eastAsia="Times New Roman" w:hAnsi="Times New Roman" w:cs="Times New Roman"/>
          <w:i/>
          <w:iCs/>
          <w:lang w:eastAsia="en-US"/>
        </w:rPr>
        <w:t>BMW of North America, Inc. v. Gore</w:t>
      </w:r>
      <w:r w:rsidRPr="00F94B7E">
        <w:rPr>
          <w:rFonts w:ascii="Times New Roman" w:eastAsia="Times New Roman" w:hAnsi="Times New Roman" w:cs="Times New Roman"/>
          <w:lang w:eastAsia="en-US"/>
        </w:rPr>
        <w:t xml:space="preserve">, 517 U.S. 559 (1996). In </w:t>
      </w:r>
      <w:r w:rsidRPr="00F94B7E">
        <w:rPr>
          <w:rFonts w:ascii="Times New Roman" w:eastAsia="Times New Roman" w:hAnsi="Times New Roman" w:cs="Times New Roman"/>
          <w:i/>
          <w:iCs/>
          <w:lang w:eastAsia="en-US"/>
        </w:rPr>
        <w:t>Gore</w:t>
      </w:r>
      <w:r w:rsidRPr="00F94B7E">
        <w:rPr>
          <w:rFonts w:ascii="Times New Roman" w:eastAsia="Times New Roman" w:hAnsi="Times New Roman" w:cs="Times New Roman"/>
          <w:lang w:eastAsia="en-US"/>
        </w:rPr>
        <w:t>, plaintiff complained that defendant had failed to disclose that the plaintiff</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B50973A" w14:textId="77777777" w:rsidR="00C85B70" w:rsidRPr="00C85B70" w:rsidRDefault="00C85B70" w:rsidP="750671CE">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 xml:space="preserve">Seven years later, the Court revisited the </w:t>
      </w:r>
      <w:r w:rsidRPr="750671CE">
        <w:rPr>
          <w:rFonts w:ascii="Times New Roman" w:eastAsia="Times New Roman" w:hAnsi="Times New Roman" w:cs="Times New Roman"/>
          <w:i/>
          <w:iCs/>
          <w:lang w:eastAsia="en-US"/>
        </w:rPr>
        <w:t>Gore</w:t>
      </w:r>
      <w:r w:rsidRPr="00C85B70">
        <w:rPr>
          <w:rFonts w:ascii="Times New Roman" w:eastAsia="Times New Roman" w:hAnsi="Times New Roman" w:cs="Times New Roman"/>
          <w:lang w:eastAsia="en-US"/>
        </w:rPr>
        <w:t xml:space="preserve"> factors in </w:t>
      </w:r>
      <w:r w:rsidRPr="750671CE">
        <w:rPr>
          <w:rFonts w:ascii="Times New Roman" w:eastAsia="Times New Roman" w:hAnsi="Times New Roman" w:cs="Times New Roman"/>
          <w:i/>
          <w:iCs/>
          <w:lang w:eastAsia="en-US"/>
        </w:rPr>
        <w:t>State Farm</w:t>
      </w:r>
      <w:r w:rsidRPr="00C85B70">
        <w:rPr>
          <w:rFonts w:ascii="Times New Roman" w:eastAsia="Times New Roman" w:hAnsi="Times New Roman" w:cs="Times New Roman"/>
          <w:lang w:eastAsia="en-US"/>
        </w:rPr>
        <w:t xml:space="preserve">: </w:t>
      </w:r>
    </w:p>
    <w:p w14:paraId="4DC669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FBEE7A0"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6D40A12" w14:textId="3BDB4546" w:rsidR="00C85B70" w:rsidRPr="00C85B70" w:rsidRDefault="00C85B70" w:rsidP="750671CE">
      <w:pPr>
        <w:autoSpaceDE w:val="0"/>
        <w:autoSpaceDN w:val="0"/>
        <w:adjustRightInd w:val="0"/>
        <w:contextualSpacing/>
        <w:rPr>
          <w:rFonts w:ascii="Times New Roman" w:eastAsia="Times New Roman" w:hAnsi="Times New Roman" w:cs="Times New Roman"/>
          <w:lang w:eastAsia="en-US"/>
        </w:rPr>
      </w:pPr>
      <w:bookmarkStart w:id="1138" w:name="_Toc518323609"/>
      <w:r w:rsidRPr="00E87AC9">
        <w:rPr>
          <w:rStyle w:val="Heading3Char"/>
          <w:i/>
        </w:rPr>
        <w:t>State Farm Mut. Auto. Ins. Co. v. Campbell</w:t>
      </w:r>
      <w:bookmarkEnd w:id="1138"/>
      <w:r w:rsidR="002B3D44"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538 U.S. 408 (2003)</w:t>
      </w:r>
    </w:p>
    <w:p w14:paraId="1F93452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C9E52CC" w14:textId="77777777"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We address once again the measure of punishment, by means of punitive damages, a State may impose upon a defendant in a civil case. 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12C8D2F0"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w:t>
      </w:r>
    </w:p>
    <w:p w14:paraId="3D50FE41"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6736DEE0" w14:textId="77777777"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0E2CECE1" w14:textId="343C3B27"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the ensuing wrongful death and tort action, Campbell insisted he was not at fault. Early investigations did support differing conclusions as to who caused the accident, but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consensus was reached early on by the investigators and witnesses that Mr. Campbell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unsafe pass had indeed caused the crash.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Campbell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insurance company, petitioner State Farm Mutual Automobile Insurance Company (State Farm), nonetheless decided to contest liability and declined offers by Slusher and Ospital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estate (Ospital) to settle the claims for the policy limit of $50,000 ($25,000 per claimant). State Farm also ignored the advice of one of its own investigators and took the case to trial, assuring the Campbells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their assets were safe, that they had no liability for the accident, that [State Farm] would represent their interests, and that they did not need to procure separate counsel.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the contrary, a jury determined that Campbell was 100 percent at fault, and a judgment was returned for $185,849, far more than the amount offered in settlement.</w:t>
      </w:r>
    </w:p>
    <w:p w14:paraId="6C8822B7"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DA8C26A" w14:textId="0FC79A1A"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At first State Farm refused to cover the $135,849 in excess liability. Its counsel made this clear to the Campbells: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You may want to put for sale signs on your property to get things moving.</w:t>
      </w:r>
      <w:r w:rsidR="00C534E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and Ospital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attorneys. The Campbells also agreed that Slusher and Ospital would have a right to play a part in all major decisions concerning the bad-faith action. No settlement could be concluded without Slusher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and Ospital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approval, and Slusher and Ospital would receive 90 percent of any verdict against State Farm.</w:t>
      </w:r>
    </w:p>
    <w:p w14:paraId="0E3720C5"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3F0EB3F" w14:textId="2D433935"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1989, the Utah Supreme Court denied Campbell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appeal in the wrongful-death and tort actions. </w:t>
      </w:r>
      <w:r w:rsidRPr="750671CE">
        <w:rPr>
          <w:rFonts w:ascii="Times New Roman" w:eastAsia="Times New Roman" w:hAnsi="Times New Roman" w:cs="Times New Roman"/>
          <w:i/>
          <w:iCs/>
          <w:lang w:eastAsia="en-US"/>
        </w:rPr>
        <w:t>Slusher v. Ospital</w:t>
      </w:r>
      <w:r w:rsidRPr="750671CE">
        <w:rPr>
          <w:rFonts w:ascii="Times New Roman" w:eastAsia="Times New Roman" w:hAnsi="Times New Roman" w:cs="Times New Roman"/>
          <w:lang w:eastAsia="en-US"/>
        </w:rPr>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decision not to settle was unreasonable because there was a substantial likelihood of an excess verdict.</w:t>
      </w:r>
    </w:p>
    <w:p w14:paraId="7C7DCD3D"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01379905" w14:textId="39B3E95B"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Before the second phase of the action against State Farm we decided </w:t>
      </w:r>
      <w:r w:rsidRPr="750671CE">
        <w:rPr>
          <w:rFonts w:ascii="Times New Roman" w:eastAsia="Times New Roman" w:hAnsi="Times New Roman" w:cs="Times New Roman"/>
          <w:i/>
          <w:iCs/>
          <w:lang w:eastAsia="en-US"/>
        </w:rPr>
        <w:t>BMW of North America, Inc. v. Gore</w:t>
      </w:r>
      <w:r w:rsidRPr="750671CE">
        <w:rPr>
          <w:rFonts w:ascii="Times New Roman" w:eastAsia="Times New Roman" w:hAnsi="Times New Roman" w:cs="Times New Roman"/>
          <w:lang w:eastAsia="en-US"/>
        </w:rPr>
        <w:t>, 517 U.S. 559, and refused to sustain a $2 million punitive damages award which accompanied a verdict of only $4,000 in compensatory damages. Based on that decision, State Farm . . . moved for the exclusion of evidence of dissimilar out-of-state conduct. The trial court denied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motion.</w:t>
      </w:r>
    </w:p>
    <w:p w14:paraId="4CF61208"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171EA61C" w14:textId="0E1FE6AD" w:rsidR="00C85B70" w:rsidRPr="00C85B70" w:rsidRDefault="750671CE" w:rsidP="00945FB9">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second phase addressed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liability for fraud and intentional infliction of emotional distress, as well as compensatory and punitive damages. . . . State Farm argued during phase II that its decision to take the case to trial was an </w:t>
      </w:r>
      <w:r w:rsidR="00C534E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honest mistake</w:t>
      </w:r>
      <w:r w:rsidR="00C534E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that did not warrant punitive damages. In contrast, the Campbells introduced evidence that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decision to take the case to trial was a result of a national scheme to meet corporate fiscal goals by capping payouts on claims company wide. . . . In contrast, the Campbells introduced evidence that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decision to take the case to trial was a result of a national scheme to meet corporate fiscal goals by capping payouts on claims company wide. This scheme was referred to as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Performance, Planning and Review,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in the Campbell case was indeed intentional and sufficiently egregious to warrant punitive damages.</w:t>
      </w:r>
      <w:r w:rsidR="00B05F31">
        <w:rPr>
          <w:rFonts w:ascii="Times New Roman" w:eastAsia="Times New Roman" w:hAnsi="Times New Roman" w:cs="Times New Roman"/>
          <w:lang w:eastAsia="en-US"/>
        </w:rPr>
        <w:t>”</w:t>
      </w:r>
    </w:p>
    <w:p w14:paraId="0DD74004" w14:textId="77777777" w:rsidR="00C85B70" w:rsidRPr="00C85B70" w:rsidRDefault="00C85B70" w:rsidP="00945FB9">
      <w:pPr>
        <w:autoSpaceDE w:val="0"/>
        <w:autoSpaceDN w:val="0"/>
        <w:adjustRightInd w:val="0"/>
        <w:rPr>
          <w:rFonts w:ascii="Times New Roman" w:eastAsia="Times New Roman" w:hAnsi="Times New Roman" w:cs="Times New Roman"/>
          <w:lang w:eastAsia="en-US"/>
        </w:rPr>
      </w:pPr>
    </w:p>
    <w:p w14:paraId="15BF83A4" w14:textId="58C5EDEF" w:rsidR="00C85B70" w:rsidRPr="00C85B70" w:rsidRDefault="750671CE" w:rsidP="00945FB9">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Evidence pertaining to the PP &amp; R policy concerned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business practices for over 20 years in numerous States. Most of these practices bore no relation to third-party automobile insurance claims, the type of claim underlying the Campbells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5BC9F4D" w14:textId="12BD385E"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Utah Supreme Court . . . reinstated the $145 million punitive damages award. Relying in large part on the extensive evidence concerning the PP &amp; R policy, the court concluded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was reprehensible. The court also relied upon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massive wealth</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on testimony indicating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actions, because of their clandestine nature, will be punished at most in one out of every 50,000 cases as a matter of statistical probability,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concluded that the ratio between punitive and compensatory damages was not unwarranted. We granted certiorari. </w:t>
      </w:r>
    </w:p>
    <w:p w14:paraId="2038132F"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2244AD1F"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w:t>
      </w:r>
    </w:p>
    <w:p w14:paraId="3FB236D5"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2EE688A" w14:textId="220CED49"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[e]lementary notions of fairness enshrined in our constitutional jurisprudence dictate that a person receive fair notice not only of the conduct that will subject him to punishment, but also of the severity of the penalty that a State may impose.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 </w:t>
      </w:r>
    </w:p>
    <w:p w14:paraId="7F2D43D4"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06902A15" w14:textId="78E1312B"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 Vague instructions, or those that merely inform the jury to avoid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passion or prejudice,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do little to aid the decisionmaker in its task of assigning appropriate weight to evidence that is relevant and evidence that is tangential or only inflammatory. </w:t>
      </w:r>
    </w:p>
    <w:p w14:paraId="63AB2A17"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87A929E" w14:textId="73595CA9"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light of these concerns, in </w:t>
      </w:r>
      <w:r w:rsidRPr="750671CE">
        <w:rPr>
          <w:rFonts w:ascii="Times New Roman" w:eastAsia="Times New Roman" w:hAnsi="Times New Roman" w:cs="Times New Roman"/>
          <w:i/>
          <w:iCs/>
          <w:lang w:eastAsia="en-US"/>
        </w:rPr>
        <w:t>Gore</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supra</w:t>
      </w:r>
      <w:r w:rsidRPr="750671CE">
        <w:rPr>
          <w:rFonts w:ascii="Times New Roman" w:eastAsia="Times New Roman" w:hAnsi="Times New Roman" w:cs="Times New Roman"/>
          <w:lang w:eastAsia="en-US"/>
        </w:rPr>
        <w:t>, we instructed courts reviewing punitive damages to consider three guideposts: (1) the degree of reprehensibility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249183AF"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III</w:t>
      </w:r>
    </w:p>
    <w:p w14:paraId="7D758E89"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21EA264B" w14:textId="54AB3705"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Under the principles outlined in </w:t>
      </w:r>
      <w:r w:rsidRPr="750671CE">
        <w:rPr>
          <w:rFonts w:ascii="Times New Roman" w:eastAsia="Times New Roman" w:hAnsi="Times New Roman" w:cs="Times New Roman"/>
          <w:i/>
          <w:iCs/>
          <w:lang w:eastAsia="en-US"/>
        </w:rPr>
        <w:t>BMW of North America, Inc. v. Gore</w:t>
      </w:r>
      <w:r w:rsidRPr="750671CE">
        <w:rPr>
          <w:rFonts w:ascii="Times New Roman" w:eastAsia="Times New Roman" w:hAnsi="Times New Roman" w:cs="Times New Roman"/>
          <w:lang w:eastAsia="en-US"/>
        </w:rPr>
        <w:t>, this case is neither close nor difficult. It was error to reinstate the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$145 million punitive damages award. . . . </w:t>
      </w:r>
    </w:p>
    <w:p w14:paraId="2ECBBCED"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591B93FB" w14:textId="722832E8"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While we do not suggest there was error in awarding punitive damages based upon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toward the Campbells, a more modest punishment for this reprehensible conduct could have satisfied the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legitimate objectives, and the Utah courts should have gone no further.</w:t>
      </w:r>
    </w:p>
    <w:p w14:paraId="1208F3C1"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C7BF858" w14:textId="40C3D5DB"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This case, instead, was used as a platform to expose, and punish, the perceived deficiencies of State Farm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operations throughout the country. The Utah Supreme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 makes explicit that State Farm was being condemned for its nationwide policies rather than for the conduct directed toward the Campbells. This was, as well, an explicit rationale of the trial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decision in approving the award, though reduced from $145 million to $25 million. . . . </w:t>
      </w:r>
    </w:p>
    <w:p w14:paraId="3AF341E1"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21331C99" w14:textId="1D5FFC7A"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jurisdiction. Any proper adjudication of conduct that occurred outside Utah to other persons would require their inclusion, and, to those parties, the Utah courts, in the usual case, would need to apply the laws of their relevant jurisdiction.</w:t>
      </w:r>
    </w:p>
    <w:p w14:paraId="40DCD47A"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2D01D51" w14:textId="0B35EAE4"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 Lawful out-of-state conduct may be probative when it demonstrates the deliberateness and culpability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1890F8F8" w14:textId="740272C9"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For a more fundamental reason, however, the Utah courts erred in relying upon this and other evidence: The courts awarded punitive damages to punish and deter conduct that bore no relation to the Campbells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harm. A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dissimilar acts, independent from the acts upon which liability was premised, may not serve as the basis for punitive damages. A defendant should be punished for the conduct that harmed the plaintiff, not for being an unsavory individual or business. Due process does not permit courts, in the calculation of punitive damages, to adjudicate the merits of other parties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rPr>
          <w:rFonts w:ascii="Times New Roman" w:eastAsia="Times New Roman" w:hAnsi="Times New Roman" w:cs="Times New Roman"/>
          <w:lang w:eastAsia="en-US"/>
        </w:rPr>
        <w:t>.</w:t>
      </w:r>
    </w:p>
    <w:p w14:paraId="0CAC0A7A"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F1AAFA1"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B</w:t>
      </w:r>
    </w:p>
    <w:p w14:paraId="7DD08E00"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4E48006" w14:textId="24919553"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Turning to the second </w:t>
      </w:r>
      <w:r w:rsidRPr="750671CE">
        <w:rPr>
          <w:rFonts w:ascii="Times New Roman" w:eastAsia="Times New Roman" w:hAnsi="Times New Roman" w:cs="Times New Roman"/>
          <w:i/>
          <w:iCs/>
          <w:lang w:eastAsia="en-US"/>
        </w:rPr>
        <w:t>Gore</w:t>
      </w:r>
      <w:r w:rsidRPr="750671CE">
        <w:rPr>
          <w:rFonts w:ascii="Times New Roman" w:eastAsia="Times New Roman" w:hAnsi="Times New Roman" w:cs="Times New Roman"/>
          <w:lang w:eastAsia="en-US"/>
        </w:rPr>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750671CE">
        <w:rPr>
          <w:rFonts w:ascii="Times New Roman" w:eastAsia="Times New Roman" w:hAnsi="Times New Roman" w:cs="Times New Roman"/>
          <w:i/>
          <w:iCs/>
          <w:lang w:eastAsia="en-US"/>
        </w:rPr>
        <w:t>Haslip</w:t>
      </w:r>
      <w:r w:rsidRPr="750671CE">
        <w:rPr>
          <w:rFonts w:ascii="Times New Roman" w:eastAsia="Times New Roman" w:hAnsi="Times New Roman" w:cs="Times New Roman"/>
          <w:lang w:eastAsia="en-US"/>
        </w:rPr>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goals of deterrence and retribution, than awards with ratios in range of 500 to 1, or, in this case, of 145 to 1.</w:t>
      </w:r>
    </w:p>
    <w:p w14:paraId="0D1040EC"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3974FF0" w14:textId="2E80E301"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1EE2787D" w14:textId="2B9F87E1" w:rsidR="00051CC4" w:rsidRDefault="00051CC4">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71352621"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C</w:t>
      </w:r>
    </w:p>
    <w:p w14:paraId="1F04AE36"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119C0897" w14:textId="6ED96E9A"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third guidepost in </w:t>
      </w:r>
      <w:r w:rsidRPr="750671CE">
        <w:rPr>
          <w:rFonts w:ascii="Times New Roman" w:eastAsia="Times New Roman" w:hAnsi="Times New Roman" w:cs="Times New Roman"/>
          <w:i/>
          <w:iCs/>
          <w:lang w:eastAsia="en-US"/>
        </w:rPr>
        <w:t>Gore</w:t>
      </w:r>
      <w:r w:rsidRPr="750671CE">
        <w:rPr>
          <w:rFonts w:ascii="Times New Roman" w:eastAsia="Times New Roman" w:hAnsi="Times New Roman" w:cs="Times New Roman"/>
          <w:lang w:eastAsia="en-US"/>
        </w:rPr>
        <w:t xml:space="preserve"> is the disparity between the punitive damages award and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civil penalties authorized or imposed in comparable cases.</w:t>
      </w:r>
      <w:r w:rsidR="00B05F31">
        <w:rPr>
          <w:rFonts w:ascii="Times New Roman" w:eastAsia="Times New Roman" w:hAnsi="Times New Roman" w:cs="Times New Roman"/>
          <w:lang w:eastAsia="en-US"/>
        </w:rPr>
        <w:t>”</w:t>
      </w:r>
    </w:p>
    <w:p w14:paraId="2A023A76"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32897DC9" w14:textId="60B7242E"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5FAB5558"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AF5FC31" w14:textId="77777777"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6A85B308" w14:textId="77777777" w:rsidR="00C85B70" w:rsidRPr="00C85B70" w:rsidRDefault="750671CE" w:rsidP="00945FB9">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judgment of the Utah Supreme Court is reversed, and the case is remanded for further proceedings not inconsistent with this opinion.</w:t>
      </w:r>
    </w:p>
    <w:p w14:paraId="263238B0"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6FB5784C" w14:textId="77777777" w:rsidR="00C85B70" w:rsidRPr="00C85B70" w:rsidRDefault="750671CE" w:rsidP="00945FB9">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It is so ordered.</w:t>
      </w:r>
    </w:p>
    <w:p w14:paraId="1FD4FCF0"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48F84A72" w14:textId="77777777" w:rsidR="00C85B70" w:rsidRPr="00C85B70" w:rsidRDefault="00C85B70" w:rsidP="00945FB9">
      <w:pPr>
        <w:autoSpaceDE w:val="0"/>
        <w:autoSpaceDN w:val="0"/>
        <w:adjustRightInd w:val="0"/>
        <w:contextualSpacing/>
        <w:rPr>
          <w:rFonts w:ascii="Times New Roman" w:eastAsia="Times New Roman" w:hAnsi="Times New Roman" w:cs="Times New Roman"/>
          <w:lang w:eastAsia="en-US"/>
        </w:rPr>
      </w:pPr>
    </w:p>
    <w:p w14:paraId="784CC749" w14:textId="6CF3D46C" w:rsidR="00C85B70" w:rsidRPr="00C85B70" w:rsidRDefault="750671CE" w:rsidP="00945FB9">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Scalia</w:t>
      </w:r>
      <w:r w:rsidRPr="750671CE">
        <w:rPr>
          <w:rFonts w:ascii="Times New Roman" w:eastAsia="Times New Roman" w:hAnsi="Times New Roman" w:cs="Times New Roman"/>
          <w:lang w:eastAsia="en-US"/>
        </w:rPr>
        <w:t>,</w:t>
      </w:r>
      <w:r w:rsidR="0038332A">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dissenting.</w:t>
      </w:r>
    </w:p>
    <w:p w14:paraId="34862D7D"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A8BD287" w14:textId="47D45204"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 adhere to the view expressed in my dissenting opinion in </w:t>
      </w:r>
      <w:r w:rsidRPr="750671CE">
        <w:rPr>
          <w:rFonts w:ascii="Times New Roman" w:eastAsia="Times New Roman" w:hAnsi="Times New Roman" w:cs="Times New Roman"/>
          <w:i/>
          <w:iCs/>
          <w:lang w:eastAsia="en-US"/>
        </w:rPr>
        <w:t>BMW of North America, Inc. v. Gore</w:t>
      </w:r>
      <w:r w:rsidRPr="750671CE">
        <w:rPr>
          <w:rFonts w:ascii="Times New Roman" w:eastAsia="Times New Roman" w:hAnsi="Times New Roman" w:cs="Times New Roman"/>
          <w:lang w:eastAsia="en-US"/>
        </w:rPr>
        <w:t xml:space="preserve"> that the Due Process Clause provides no substantive protections against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unreasonable</w:t>
      </w:r>
      <w:r w:rsidR="00251C70">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awards of punitive damages. I am also of the view that the punitive damages jurisprudence which has sprung forth from </w:t>
      </w:r>
      <w:r w:rsidRPr="750671CE">
        <w:rPr>
          <w:rFonts w:ascii="Times New Roman" w:eastAsia="Times New Roman" w:hAnsi="Times New Roman" w:cs="Times New Roman"/>
          <w:i/>
          <w:iCs/>
          <w:lang w:eastAsia="en-US"/>
        </w:rPr>
        <w:t>BMW v. Gore</w:t>
      </w:r>
      <w:r w:rsidRPr="750671CE">
        <w:rPr>
          <w:rFonts w:ascii="Times New Roman" w:eastAsia="Times New Roman" w:hAnsi="Times New Roman" w:cs="Times New Roman"/>
          <w:lang w:eastAsia="en-US"/>
        </w:rPr>
        <w:t xml:space="preserve"> is insusceptible of principled application; accordingly, I do not feel justified in giving the case </w:t>
      </w:r>
      <w:r w:rsidRPr="750671CE">
        <w:rPr>
          <w:rFonts w:ascii="Times New Roman" w:eastAsia="Times New Roman" w:hAnsi="Times New Roman" w:cs="Times New Roman"/>
          <w:i/>
          <w:iCs/>
          <w:lang w:eastAsia="en-US"/>
        </w:rPr>
        <w:t>stare decisis</w:t>
      </w:r>
      <w:r w:rsidRPr="750671CE">
        <w:rPr>
          <w:rFonts w:ascii="Times New Roman" w:eastAsia="Times New Roman" w:hAnsi="Times New Roman" w:cs="Times New Roman"/>
          <w:lang w:eastAsia="en-US"/>
        </w:rPr>
        <w:t xml:space="preserve"> effect.  I would affirm the judgment of the Utah Supreme Court.</w:t>
      </w:r>
    </w:p>
    <w:p w14:paraId="01184EC7"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1C92D195"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77EF7D4" w14:textId="375B4F33" w:rsidR="00C85B70" w:rsidRPr="00C85B70" w:rsidRDefault="750671CE" w:rsidP="750671CE">
      <w:pPr>
        <w:autoSpaceDE w:val="0"/>
        <w:autoSpaceDN w:val="0"/>
        <w:adjustRightInd w:val="0"/>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Thomas</w:t>
      </w:r>
      <w:r w:rsidRPr="750671CE">
        <w:rPr>
          <w:rFonts w:ascii="Times New Roman" w:eastAsia="Times New Roman" w:hAnsi="Times New Roman" w:cs="Times New Roman"/>
          <w:lang w:eastAsia="en-US"/>
        </w:rPr>
        <w:t>,</w:t>
      </w:r>
      <w:r w:rsidR="0038332A">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dissenting.</w:t>
      </w:r>
    </w:p>
    <w:p w14:paraId="6CF655EB" w14:textId="77777777" w:rsidR="00C85B70" w:rsidRPr="00C85B70" w:rsidRDefault="00C85B70" w:rsidP="00C85B70">
      <w:pPr>
        <w:autoSpaceDE w:val="0"/>
        <w:autoSpaceDN w:val="0"/>
        <w:adjustRightInd w:val="0"/>
        <w:rPr>
          <w:rFonts w:ascii="Times New Roman" w:eastAsia="Times New Roman" w:hAnsi="Times New Roman" w:cs="Times New Roman"/>
          <w:lang w:eastAsia="en-US"/>
        </w:rPr>
      </w:pPr>
    </w:p>
    <w:p w14:paraId="414B0F0F" w14:textId="77777777" w:rsidR="00C85B70" w:rsidRPr="00C85B70" w:rsidRDefault="750671CE" w:rsidP="750671CE">
      <w:pPr>
        <w:autoSpaceDE w:val="0"/>
        <w:autoSpaceDN w:val="0"/>
        <w:adjustRightInd w:val="0"/>
        <w:ind w:firstLine="720"/>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 would affirm the judgment below because I continue to believe that the Constitution does not constrain the size of punitive damages awards.</w:t>
      </w:r>
    </w:p>
    <w:p w14:paraId="778D817F"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AADD72E" w14:textId="245A4D1F" w:rsidR="00D971FF" w:rsidRDefault="00D971FF">
      <w:pPr>
        <w:rPr>
          <w:rFonts w:ascii="Times New Roman" w:eastAsia="Times New Roman" w:hAnsi="Times New Roman" w:cs="Times New Roman"/>
          <w:lang w:eastAsia="en-US"/>
        </w:rPr>
      </w:pPr>
    </w:p>
    <w:p w14:paraId="4A24C4DF" w14:textId="44FA3902" w:rsidR="00C85B70" w:rsidRPr="00C85B70" w:rsidRDefault="750671CE" w:rsidP="750671CE">
      <w:pPr>
        <w:autoSpaceDE w:val="0"/>
        <w:autoSpaceDN w:val="0"/>
        <w:adjustRightInd w:val="0"/>
        <w:ind w:right="72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Ginsburg</w:t>
      </w:r>
      <w:r w:rsidRPr="750671CE">
        <w:rPr>
          <w:rFonts w:ascii="Times New Roman" w:eastAsia="Times New Roman" w:hAnsi="Times New Roman" w:cs="Times New Roman"/>
          <w:lang w:eastAsia="en-US"/>
        </w:rPr>
        <w:t>,</w:t>
      </w:r>
      <w:r w:rsidR="0038332A">
        <w:rPr>
          <w:rFonts w:ascii="Times New Roman" w:eastAsia="Times New Roman" w:hAnsi="Times New Roman" w:cs="Times New Roman"/>
          <w:lang w:eastAsia="en-US"/>
        </w:rPr>
        <w:t xml:space="preserve"> J.,</w:t>
      </w:r>
      <w:r w:rsidRPr="750671CE">
        <w:rPr>
          <w:rFonts w:ascii="Times New Roman" w:eastAsia="Times New Roman" w:hAnsi="Times New Roman" w:cs="Times New Roman"/>
          <w:lang w:eastAsia="en-US"/>
        </w:rPr>
        <w:t xml:space="preserve"> dissenting.</w:t>
      </w:r>
    </w:p>
    <w:p w14:paraId="7FA16B96"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6EA94BC1" w14:textId="0C1F627D" w:rsidR="00C85B70" w:rsidRPr="00C85B70" w:rsidRDefault="750671CE" w:rsidP="003A4A92">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In </w:t>
      </w:r>
      <w:r w:rsidRPr="750671CE">
        <w:rPr>
          <w:rFonts w:ascii="Times New Roman" w:eastAsia="Times New Roman" w:hAnsi="Times New Roman" w:cs="Times New Roman"/>
          <w:i/>
          <w:iCs/>
          <w:lang w:eastAsia="en-US"/>
        </w:rPr>
        <w:t>Gore</w:t>
      </w:r>
      <w:r w:rsidRPr="750671CE">
        <w:rPr>
          <w:rFonts w:ascii="Times New Roman" w:eastAsia="Times New Roman" w:hAnsi="Times New Roman" w:cs="Times New Roman"/>
          <w:lang w:eastAsia="en-US"/>
        </w:rPr>
        <w:t>, I stated why I resisted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foray into punitive damages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territory traditionally within the States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domain.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 adhere to those views, and note again that, unlike federal habeas corpus review of state-court convictions . . . , the Court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work[s] at this business [of reviewing state court judgments] alone,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unaided by the participation of federal district courts and courts of appeals. . . .</w:t>
      </w:r>
    </w:p>
    <w:p w14:paraId="6FCC2B7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6AC53EB"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C1C1033" w14:textId="77777777" w:rsidR="00C85B70" w:rsidRPr="00C85B70" w:rsidRDefault="00C85B70" w:rsidP="002502CC">
      <w:pPr>
        <w:pStyle w:val="Heading4"/>
      </w:pPr>
      <w:bookmarkStart w:id="1139" w:name="_Toc364636321"/>
      <w:bookmarkStart w:id="1140" w:name="_Toc518323610"/>
      <w:r w:rsidRPr="00C85B70">
        <w:t>Notes</w:t>
      </w:r>
      <w:bookmarkEnd w:id="1139"/>
      <w:bookmarkEnd w:id="1140"/>
    </w:p>
    <w:p w14:paraId="7BA6465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4E5ABA9" w14:textId="4FE7E687" w:rsidR="00C85B70" w:rsidRPr="00F94B7E" w:rsidRDefault="750671CE" w:rsidP="00F94B7E">
      <w:pPr>
        <w:pStyle w:val="ListParagraph"/>
        <w:numPr>
          <w:ilvl w:val="0"/>
          <w:numId w:val="13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Room left for the multiplier theory?</w:t>
      </w:r>
      <w:r w:rsidRPr="00F94B7E">
        <w:rPr>
          <w:rFonts w:ascii="Times New Roman" w:eastAsia="Times New Roman" w:hAnsi="Times New Roman" w:cs="Times New Roman"/>
          <w:lang w:eastAsia="en-US"/>
        </w:rPr>
        <w:t xml:space="preserve">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decision in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seems to have dealt a powerful blow to the economists</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multiplier theory of punitive damages. If conduct to nonparties is inadmissible, then the undetected cases are essentially excluded from consideration</w:t>
      </w:r>
      <w:r w:rsidR="009E1E5A"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at least if to consider them means to increase the punishment to the defendant on the basis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additional wrongs to nonparties.</w:t>
      </w:r>
    </w:p>
    <w:p w14:paraId="69F7387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C3D8D9C" w14:textId="0E83971F" w:rsidR="00C85B70" w:rsidRPr="00F94B7E" w:rsidRDefault="750671CE" w:rsidP="00F94B7E">
      <w:pPr>
        <w:pStyle w:val="ListParagraph"/>
        <w:numPr>
          <w:ilvl w:val="0"/>
          <w:numId w:val="130"/>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Whither conduct toward nonparties?</w:t>
      </w:r>
      <w:r w:rsidRPr="00F94B7E">
        <w:rPr>
          <w:rFonts w:ascii="Times New Roman" w:eastAsia="Times New Roman" w:hAnsi="Times New Roman" w:cs="Times New Roman"/>
          <w:lang w:eastAsia="en-US"/>
        </w:rPr>
        <w:t xml:space="preserve"> But did this mean that evidence of conduct toward nonparties was irrelevant altogether? What about the relevance of conduct to nonparties as evidence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culpability with respect to the plaintiff himself or herself? Isn</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t evidence of </w:t>
      </w:r>
      <w:r w:rsidR="009E1E5A" w:rsidRPr="00F94B7E">
        <w:rPr>
          <w:rFonts w:ascii="Times New Roman" w:eastAsia="Times New Roman" w:hAnsi="Times New Roman" w:cs="Times New Roman"/>
          <w:lang w:eastAsia="en-US"/>
        </w:rPr>
        <w:t xml:space="preserve">the </w:t>
      </w:r>
      <w:r w:rsidRPr="00F94B7E">
        <w:rPr>
          <w:rFonts w:ascii="Times New Roman" w:eastAsia="Times New Roman" w:hAnsi="Times New Roman" w:cs="Times New Roman"/>
          <w:lang w:eastAsia="en-US"/>
        </w:rPr>
        <w:t>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behavior toward others a quintessential way of showing the culpability of the defendant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mental state in its conduct toward any given plaintiff? Shortly after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the Supreme Court was drawn back into the quagmire, this time in a punitive damages award arising out of a tobacco case. Events would reveal just how difficult the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new line would be to follow.</w:t>
      </w:r>
    </w:p>
    <w:p w14:paraId="706E80D8"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A51E33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69C9940" w14:textId="33C6F036" w:rsidR="00C85B70" w:rsidRPr="00C85B70" w:rsidRDefault="00C85B70" w:rsidP="750671CE">
      <w:pPr>
        <w:autoSpaceDE w:val="0"/>
        <w:autoSpaceDN w:val="0"/>
        <w:adjustRightInd w:val="0"/>
        <w:contextualSpacing/>
        <w:rPr>
          <w:rFonts w:ascii="Times New Roman" w:eastAsia="Times New Roman" w:hAnsi="Times New Roman" w:cs="Times New Roman"/>
          <w:lang w:eastAsia="en-US"/>
        </w:rPr>
      </w:pPr>
      <w:bookmarkStart w:id="1141" w:name="_Toc518323611"/>
      <w:r w:rsidRPr="00E87AC9">
        <w:rPr>
          <w:rStyle w:val="Heading3Char"/>
          <w:i/>
        </w:rPr>
        <w:t>Philip Morris USA v. Williams</w:t>
      </w:r>
      <w:bookmarkEnd w:id="1141"/>
      <w:r w:rsidR="002B3D44" w:rsidRPr="750671CE">
        <w:rPr>
          <w:rFonts w:ascii="Times New Roman" w:eastAsia="Times New Roman" w:hAnsi="Times New Roman" w:cs="Times New Roman"/>
          <w:b/>
          <w:bCs/>
          <w:lang w:eastAsia="en-US"/>
        </w:rPr>
        <w:t xml:space="preserve">, </w:t>
      </w:r>
      <w:r w:rsidRPr="750671CE">
        <w:rPr>
          <w:rFonts w:ascii="Times New Roman" w:eastAsia="Times New Roman" w:hAnsi="Times New Roman" w:cs="Times New Roman"/>
          <w:b/>
          <w:bCs/>
          <w:lang w:eastAsia="en-US"/>
        </w:rPr>
        <w:t xml:space="preserve">549 U.S. 346 (2007) </w:t>
      </w:r>
    </w:p>
    <w:p w14:paraId="70B0115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D959EB4" w14:textId="39DF597C" w:rsidR="00C85B70" w:rsidRPr="00C85B70" w:rsidRDefault="750671CE" w:rsidP="750671CE">
      <w:pPr>
        <w:autoSpaceDE w:val="0"/>
        <w:autoSpaceDN w:val="0"/>
        <w:adjustRightInd w:val="0"/>
        <w:ind w:right="72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Breyer</w:t>
      </w:r>
      <w:r w:rsidR="000E3EBE">
        <w:rPr>
          <w:rFonts w:ascii="Times New Roman" w:eastAsia="Times New Roman" w:hAnsi="Times New Roman" w:cs="Times New Roman"/>
          <w:smallCaps/>
          <w:lang w:eastAsia="en-US"/>
        </w:rPr>
        <w:t>, J.</w:t>
      </w:r>
    </w:p>
    <w:p w14:paraId="5FF63B7A" w14:textId="77777777" w:rsidR="00C85B70" w:rsidRPr="00C85B70" w:rsidRDefault="00C85B70" w:rsidP="00C85B70">
      <w:pPr>
        <w:autoSpaceDE w:val="0"/>
        <w:autoSpaceDN w:val="0"/>
        <w:adjustRightInd w:val="0"/>
        <w:ind w:right="720"/>
        <w:contextualSpacing/>
        <w:rPr>
          <w:rFonts w:ascii="Times New Roman" w:eastAsia="Times New Roman" w:hAnsi="Times New Roman" w:cs="Times New Roman"/>
          <w:lang w:eastAsia="en-US"/>
        </w:rPr>
      </w:pPr>
    </w:p>
    <w:p w14:paraId="04549A3B" w14:textId="3C31F7F1"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question we address today concerns a large state-court punitive damages award. We are asked whether the Constitution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property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from the defendant without due process.</w:t>
      </w:r>
    </w:p>
    <w:p w14:paraId="3CAD73EB"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544D7D5" w14:textId="77777777"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w:t>
      </w:r>
    </w:p>
    <w:p w14:paraId="1D1901F0"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36C1BD1" w14:textId="0CA56C38"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This lawsuit arises out of the death of Jesse Williams, a heavy cigarette smoker. Respondent, Williams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widow, represents his estate in this state lawsuit for negligence and deceit against Philip Morris, the manufacturer of Marlboro, the brand that Williams favored. A jury found that Williams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112257F1" w14:textId="5CF12246"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trial judge subsequently found the $79.5 million punitive damages award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see, e.g., </w:t>
      </w:r>
      <w:r w:rsidRPr="00F94B7E">
        <w:rPr>
          <w:rFonts w:ascii="Times New Roman" w:eastAsia="Times New Roman" w:hAnsi="Times New Roman" w:cs="Times New Roman"/>
          <w:i/>
          <w:lang w:eastAsia="en-US"/>
        </w:rPr>
        <w:t>BMW of North America, Inc. v. Gore</w:t>
      </w:r>
      <w:r w:rsidRPr="750671CE">
        <w:rPr>
          <w:rFonts w:ascii="Times New Roman" w:eastAsia="Times New Roman" w:hAnsi="Times New Roman" w:cs="Times New Roman"/>
          <w:lang w:eastAsia="en-US"/>
        </w:rPr>
        <w:t>,</w:t>
      </w:r>
      <w:r w:rsidR="0026352C">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(1995), and reduced it to $32 million. Both sides appealed. The Oregon Court of Appeals rejected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arguments and restored the $79.5 million jury award. Subsequently, Philip Morris sought review in the Oregon Supreme Court (which denied review) and then here. We remanded the case in light of </w:t>
      </w:r>
      <w:r w:rsidRPr="00F94B7E">
        <w:rPr>
          <w:rFonts w:ascii="Times New Roman" w:eastAsia="Times New Roman" w:hAnsi="Times New Roman" w:cs="Times New Roman"/>
          <w:i/>
          <w:lang w:eastAsia="en-US"/>
        </w:rPr>
        <w:t>State Farm Mut. Automobile Ins. Co. v. Campbell</w:t>
      </w:r>
      <w:r w:rsidRPr="750671CE">
        <w:rPr>
          <w:rFonts w:ascii="Times New Roman" w:eastAsia="Times New Roman" w:hAnsi="Times New Roman" w:cs="Times New Roman"/>
          <w:lang w:eastAsia="en-US"/>
        </w:rPr>
        <w:t xml:space="preserve">, </w:t>
      </w:r>
      <w:r w:rsidR="0026352C">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(2003). The Oregon Court of Appeals adhered to its original views. And Philip Morris sought, and this time obtained, review in the Oregon Supreme Court.</w:t>
      </w:r>
    </w:p>
    <w:p w14:paraId="73DE44BE" w14:textId="700DC492"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Philip Morris then made two arguments relevant here. First, it said that the trial court should have accepted, but did not accept, a proposed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punitive damages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instruction that specified the jury could not seek to punish Philip Morris for injury to other persons not before the court. In particular, Philip Morris pointed out that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attorney had told the jury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think about how many other Jesse Williams in the last 40 years in the State of Oregon there have been. </w:t>
      </w:r>
      <w:r w:rsidR="009E1E5A">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In Oregon, how many people do we see outside, driving home .</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 smoking cigarettes? </w:t>
      </w:r>
      <w:r w:rsidR="009E1E5A">
        <w:rPr>
          <w:rFonts w:ascii="Times New Roman" w:eastAsia="Times New Roman" w:hAnsi="Times New Roman" w:cs="Times New Roman"/>
          <w:lang w:eastAsia="en-US"/>
        </w:rPr>
        <w:t>. . .</w:t>
      </w:r>
      <w:r w:rsidR="009E1E5A"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[C]igarettes </w:t>
      </w:r>
      <w:r w:rsidR="009E1E5A">
        <w:rPr>
          <w:rFonts w:ascii="Times New Roman" w:eastAsia="Times New Roman" w:hAnsi="Times New Roman" w:cs="Times New Roman"/>
          <w:lang w:eastAsia="en-US"/>
        </w:rPr>
        <w:t>. . .</w:t>
      </w:r>
      <w:r w:rsidR="009E1E5A"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are going to kill ten [of every hundred]. [And] the market share of Marlboros [i.e., Philip Morris] is one-third [i.e., one of every three killed].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In light of this argument, Philip Morris asked the trial court to tell the jury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you may consider the extent of harm suffered by others in determining what [the] reasonable relationship 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between any punitive award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harm caused to Jesse Williams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by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misconduct,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[but] you are not to punish the defendant for the impact of its alleged misconduct on other persons, who may bring lawsuits of their own in which other juries can resolve their claims</w:t>
      </w:r>
      <w:r w:rsidR="0026352C">
        <w:rPr>
          <w:rFonts w:ascii="Times New Roman" w:eastAsia="Times New Roman" w:hAnsi="Times New Roman" w:cs="Times New Roman"/>
          <w:lang w:eastAsia="en-US"/>
        </w:rPr>
        <w:t xml:space="preserve">”. . . . </w:t>
      </w:r>
      <w:r w:rsidRPr="750671CE">
        <w:rPr>
          <w:rFonts w:ascii="Times New Roman" w:eastAsia="Times New Roman" w:hAnsi="Times New Roman" w:cs="Times New Roman"/>
          <w:lang w:eastAsia="en-US"/>
        </w:rPr>
        <w:t xml:space="preserve"> The judge rejected this proposal and instead told the jury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[p]unitive damages are awarded against a defendant to punish misconduct and to deter misconduct,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are not intended to compensate the plaintiff or anyone else for damages caused by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 . . </w:t>
      </w:r>
    </w:p>
    <w:p w14:paraId="31003339"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FB9D178" w14:textId="7A999860"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Second, Philip Morris pointed to the roughly 100-to-1 ratio the $79.5 million punitive damages award bears to $821,000 in compensatory damages. Philip Morris noted that this Court in </w:t>
      </w:r>
      <w:r w:rsidRPr="00F94B7E">
        <w:rPr>
          <w:rFonts w:ascii="Times New Roman" w:eastAsia="Times New Roman" w:hAnsi="Times New Roman" w:cs="Times New Roman"/>
          <w:i/>
          <w:lang w:eastAsia="en-US"/>
        </w:rPr>
        <w:t>BMW</w:t>
      </w:r>
      <w:r w:rsidRPr="750671CE">
        <w:rPr>
          <w:rFonts w:ascii="Times New Roman" w:eastAsia="Times New Roman" w:hAnsi="Times New Roman" w:cs="Times New Roman"/>
          <w:lang w:eastAsia="en-US"/>
        </w:rPr>
        <w:t xml:space="preserve"> emphasized the constitutional need for punitive damages awards to reflect (1)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reprehensibility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conduct, (2) a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reasonable relationship</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to the harm the plaintiff (or related victim) suffered, and (3) the presence (or absence)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sanctions,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e.g., criminal penalties, that state law provided for comparable conduct </w:t>
      </w:r>
      <w:r w:rsidR="0026352C">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And in </w:t>
      </w:r>
      <w:r w:rsidRPr="00F94B7E">
        <w:rPr>
          <w:rFonts w:ascii="Times New Roman" w:eastAsia="Times New Roman" w:hAnsi="Times New Roman" w:cs="Times New Roman"/>
          <w:i/>
          <w:lang w:eastAsia="en-US"/>
        </w:rPr>
        <w:t>State Farm</w:t>
      </w:r>
      <w:r w:rsidRPr="750671CE">
        <w:rPr>
          <w:rFonts w:ascii="Times New Roman" w:eastAsia="Times New Roman" w:hAnsi="Times New Roman" w:cs="Times New Roman"/>
          <w:lang w:eastAsia="en-US"/>
        </w:rPr>
        <w:t xml:space="preserve">, this Court said that the longstanding historical practice of setting punitive damages at two, three, or four times the size of compensatory damages, while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not binding,</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instructive,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and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[s]ingle-digit multipliers are more likely to comport with due process.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Philip Morris claimed that, in light of this case law, the punitive award was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grossly 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xml:space="preserve">. . . </w:t>
      </w:r>
    </w:p>
    <w:p w14:paraId="46A5D889"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370E7FE" w14:textId="1296C4A5"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Oregon Supreme Court rejected these and other Philip Morris arguments. In particular, it rejected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claim that the Constitution prohibits a state jury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from using punitive damages to punish a defendant for harm to nonparties.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And in light of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reprehensible conduct, it found that the $79.5 million award was not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grossly 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xml:space="preserve">. . . </w:t>
      </w:r>
    </w:p>
    <w:p w14:paraId="7D80EE82"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64AFF5D" w14:textId="3D02B580"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Philip Morris then sought certiorari. It asked us to consider, among other things, (1) its claim that Oregon had unconstitutionally permitted it to be punished for harming nonparty victims; and (2) whether Oregon had in effect disregarded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constitutional requirement that punitive damages be reasonably related to the plaintiff</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harm.</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w:t>
      </w:r>
      <w:r w:rsidRPr="750671CE">
        <w:rPr>
          <w:rFonts w:ascii="Times New Roman" w:eastAsia="Times New Roman" w:hAnsi="Times New Roman" w:cs="Times New Roman"/>
          <w:lang w:eastAsia="en-US"/>
        </w:rPr>
        <w:t xml:space="preserve"> We granted certiorari limited to these two questions.</w:t>
      </w:r>
    </w:p>
    <w:p w14:paraId="163382A8"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12821C6" w14:textId="31034E61"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For reasons we shall set forth, we consider only the first of these questions. We vacate the Oregon Supreme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judgment, and we remand the case for further proceedings.</w:t>
      </w:r>
    </w:p>
    <w:p w14:paraId="438F7657" w14:textId="77777777"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w:t>
      </w:r>
    </w:p>
    <w:p w14:paraId="71BBB3CE"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48EDDB9F" w14:textId="59AD9AF1"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This Court has long made clear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[p]unitive damages may properly be imposed to further a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legitimate interests in punishing unlawful conduct and deterring its repetition.</w:t>
      </w:r>
      <w:r w:rsidR="00B05F31">
        <w:rPr>
          <w:rFonts w:ascii="Times New Roman" w:eastAsia="Times New Roman" w:hAnsi="Times New Roman" w:cs="Times New Roman"/>
          <w:lang w:eastAsia="en-US"/>
        </w:rPr>
        <w:t>”</w:t>
      </w:r>
      <w:r w:rsidR="00022A06">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At the same time, we have emphasized the need to avoid an arbitrary determination of an award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amount. Unless a State insists upon proper standards that will cabin the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discretionary authority, its punitive damages system may deprive a defendant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fair notice .</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of the severity of the penalty that a State may impose,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it may threaten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arbitrary punishments,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i.e., punishments that reflect not an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application of law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decisionmaker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caprice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and, where the amounts are sufficiently large, it may impose one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(or one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policy choice,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say as to the conditions under which (or even whether) certain products can be sold, upon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neighboring States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with different public policies </w:t>
      </w:r>
      <w:r w:rsidR="00022A06">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w:t>
      </w:r>
    </w:p>
    <w:p w14:paraId="680F5147"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2EAE0DED" w14:textId="786AE5C6"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For these and similar reasons, this Court has found that the Constitution imposes certain limits, in respect both to procedures for awarding punitive damages and to amounts forbidden as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grossly 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See </w:t>
      </w:r>
      <w:r w:rsidRPr="750671CE">
        <w:rPr>
          <w:rFonts w:ascii="Times New Roman" w:eastAsia="Times New Roman" w:hAnsi="Times New Roman" w:cs="Times New Roman"/>
          <w:i/>
          <w:iCs/>
          <w:lang w:eastAsia="en-US"/>
        </w:rPr>
        <w:t>Honda Motor Co. v. Oberg</w:t>
      </w:r>
      <w:r w:rsidRPr="750671CE">
        <w:rPr>
          <w:rFonts w:ascii="Times New Roman" w:eastAsia="Times New Roman" w:hAnsi="Times New Roman" w:cs="Times New Roman"/>
          <w:lang w:eastAsia="en-US"/>
        </w:rPr>
        <w:t xml:space="preserve">, (1994) (requiring judicial review of the size of punitive awards); </w:t>
      </w:r>
      <w:r w:rsidRPr="750671CE">
        <w:rPr>
          <w:rFonts w:ascii="Times New Roman" w:eastAsia="Times New Roman" w:hAnsi="Times New Roman" w:cs="Times New Roman"/>
          <w:i/>
          <w:iCs/>
          <w:lang w:eastAsia="en-US"/>
        </w:rPr>
        <w:t>Cooper Industries, Inc. v. Leatherman Tool Group, Inc</w:t>
      </w:r>
      <w:r w:rsidRPr="750671CE">
        <w:rPr>
          <w:rFonts w:ascii="Times New Roman" w:eastAsia="Times New Roman" w:hAnsi="Times New Roman" w:cs="Times New Roman"/>
          <w:lang w:eastAsia="en-US"/>
        </w:rPr>
        <w:t xml:space="preserve">., (2001) (review must be de novo); </w:t>
      </w:r>
      <w:r w:rsidRPr="750671CE">
        <w:rPr>
          <w:rFonts w:ascii="Times New Roman" w:eastAsia="Times New Roman" w:hAnsi="Times New Roman" w:cs="Times New Roman"/>
          <w:i/>
          <w:iCs/>
          <w:lang w:eastAsia="en-US"/>
        </w:rPr>
        <w:t>BMW, supra</w:t>
      </w:r>
      <w:r w:rsidRPr="750671CE">
        <w:rPr>
          <w:rFonts w:ascii="Times New Roman" w:eastAsia="Times New Roman" w:hAnsi="Times New Roman" w:cs="Times New Roman"/>
          <w:lang w:eastAsia="en-US"/>
        </w:rPr>
        <w:t>, (excessiveness decision depends upon the reprehensibility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 .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State Farm, supra</w:t>
      </w:r>
      <w:r w:rsidRPr="750671CE">
        <w:rPr>
          <w:rFonts w:ascii="Times New Roman" w:eastAsia="Times New Roman" w:hAnsi="Times New Roman" w:cs="Times New Roman"/>
          <w:lang w:eastAsia="en-US"/>
        </w:rPr>
        <w:t xml:space="preserve"> (excessiveness more likely where ratio exceeds single digits). Because we shall not decide whether the award here at issue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grossly excessive,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we need now only consider the Constitution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procedural limitations.</w:t>
      </w:r>
    </w:p>
    <w:p w14:paraId="6658FD9C"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7F063291" w14:textId="77777777"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III</w:t>
      </w:r>
    </w:p>
    <w:p w14:paraId="2BCEF045"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3CE449D4" w14:textId="3E8BE517"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In our view, the Constitution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an opportunity to present every available defense.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statements to the contrary.</w:t>
      </w:r>
    </w:p>
    <w:p w14:paraId="1CF11DCA"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91084B4" w14:textId="17E077A7"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rPr>
          <w:rFonts w:ascii="Times New Roman" w:eastAsia="Times New Roman" w:hAnsi="Times New Roman" w:cs="Times New Roman"/>
          <w:lang w:eastAsia="en-US"/>
        </w:rPr>
        <w:t>. . .</w:t>
      </w:r>
    </w:p>
    <w:p w14:paraId="39BFE1AE"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1141A675" w14:textId="13AB50B8"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could have caused. But we have made clear that the potential harm at issue was harm potentially caused the plaintiff. . . .</w:t>
      </w:r>
    </w:p>
    <w:p w14:paraId="1E9B8C9B"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06DCF54" w14:textId="195B0269"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452FC99" w14:textId="75BB6136"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(or one jury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policies (e.g., banning cigarettes) upon other States</w:t>
      </w:r>
      <w:r w:rsidR="00022A06" w:rsidRPr="00022A0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all of which accompany awards that, today, may be many times the size of such awards in the 18th and 19th centuries </w:t>
      </w:r>
      <w:r w:rsidR="00022A06">
        <w:rPr>
          <w:rFonts w:ascii="Times New Roman" w:eastAsia="Times New Roman" w:hAnsi="Times New Roman" w:cs="Times New Roman"/>
          <w:lang w:eastAsia="en-US"/>
        </w:rPr>
        <w:t>. . .</w:t>
      </w:r>
      <w:r w:rsidR="00022A06" w:rsidRPr="00022A06">
        <w:t xml:space="preserve"> </w:t>
      </w:r>
      <w:r w:rsidR="00022A06" w:rsidRPr="00022A0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5EB16387" w14:textId="1EA78DDF" w:rsidR="00C85B70" w:rsidRPr="00C85B70" w:rsidRDefault="00D971FF" w:rsidP="000E3EBE">
      <w:pPr>
        <w:autoSpaceDE w:val="0"/>
        <w:autoSpaceDN w:val="0"/>
        <w:adjustRightInd w:val="0"/>
        <w:contextualSpacing/>
        <w:rPr>
          <w:rFonts w:ascii="Times New Roman" w:eastAsia="Times New Roman" w:hAnsi="Times New Roman" w:cs="Times New Roman"/>
          <w:lang w:eastAsia="en-US"/>
        </w:rPr>
      </w:pPr>
      <w:r>
        <w:rPr>
          <w:rFonts w:ascii="Times New Roman" w:eastAsia="Times New Roman" w:hAnsi="Times New Roman" w:cs="Times New Roman"/>
          <w:lang w:eastAsia="en-US"/>
        </w:rPr>
        <w:br/>
      </w:r>
      <w:r>
        <w:rPr>
          <w:rFonts w:ascii="Times New Roman" w:eastAsia="Times New Roman" w:hAnsi="Times New Roman" w:cs="Times New Roman"/>
          <w:lang w:eastAsia="en-US"/>
        </w:rPr>
        <w:br/>
      </w:r>
    </w:p>
    <w:p w14:paraId="56442C1A" w14:textId="77777777"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IV</w:t>
      </w:r>
    </w:p>
    <w:p w14:paraId="105CB72B"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4FEB984E" w14:textId="0EFAFD8E"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 as focusing only upon reprehensibility. See, e.g., 340 Ore., at 51</w:t>
      </w:r>
      <w:r w:rsidR="00E825A1">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jury could consider whether Williams and his misfortune were merely exemplars of the harm that Philip Morris was prepared to inflict on the smoking public at large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But the Oregon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 elsewhere makes clear that that court held more than these few phrases might suggest.</w:t>
      </w:r>
    </w:p>
    <w:p w14:paraId="1C3EBE35"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2E13B0E0" w14:textId="7E74E432"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instruction that Philip Morris said the trial court should have given distinguishes between using harm to others as part of the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reasonable relationship</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equation (which it would allow) and using it directly as a basis for punishment. The instruction asked the trial court to tell the jury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you may consider the extent of harm suffered by others in determining what [the] reasonable relationship 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between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punishable misconduct and harm caused to Jesse Williams,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[but] you are not to punish the defendant for the impact of its alleged misconduct on other persons, who may bring lawsuits of their own in which other juries can resolve their claims</w:t>
      </w:r>
      <w:r w:rsidR="00022A0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w:t>
      </w:r>
      <w:r w:rsidR="00022A06">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 And as the Oregon Supreme Court explicitly recognized, Philip Morris argued that the Constitution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prohibits the state, acting through a civil jury, from using punitive damages to punish a defendant for harm to nonparties.</w:t>
      </w:r>
      <w:r w:rsidR="00B05F31">
        <w:rPr>
          <w:rFonts w:ascii="Times New Roman" w:eastAsia="Times New Roman" w:hAnsi="Times New Roman" w:cs="Times New Roman"/>
          <w:lang w:eastAsia="en-US"/>
        </w:rPr>
        <w:t>”</w:t>
      </w:r>
      <w:r w:rsidR="003958CF">
        <w:rPr>
          <w:rFonts w:ascii="Times New Roman" w:eastAsia="Times New Roman" w:hAnsi="Times New Roman" w:cs="Times New Roman"/>
          <w:lang w:eastAsia="en-US"/>
        </w:rPr>
        <w:t xml:space="preserve"> . . .</w:t>
      </w:r>
    </w:p>
    <w:p w14:paraId="44754F00" w14:textId="77777777" w:rsidR="00C85B70" w:rsidRPr="00C85B70" w:rsidRDefault="00C85B70" w:rsidP="00F94B7E">
      <w:pPr>
        <w:autoSpaceDE w:val="0"/>
        <w:autoSpaceDN w:val="0"/>
        <w:adjustRightInd w:val="0"/>
        <w:contextualSpacing/>
        <w:jc w:val="right"/>
        <w:rPr>
          <w:rFonts w:ascii="Times New Roman" w:eastAsia="Times New Roman" w:hAnsi="Times New Roman" w:cs="Times New Roman"/>
          <w:lang w:eastAsia="en-US"/>
        </w:rPr>
      </w:pPr>
    </w:p>
    <w:p w14:paraId="636493BB" w14:textId="2362E9FE"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court rejected that claim. In doing so, it pointed out (1) that this Court in </w:t>
      </w:r>
      <w:r w:rsidRPr="00F94B7E">
        <w:rPr>
          <w:rFonts w:ascii="Times New Roman" w:eastAsia="Times New Roman" w:hAnsi="Times New Roman" w:cs="Times New Roman"/>
          <w:i/>
          <w:lang w:eastAsia="en-US"/>
        </w:rPr>
        <w:t>State</w:t>
      </w:r>
      <w:r w:rsidRPr="750671CE">
        <w:rPr>
          <w:rFonts w:ascii="Times New Roman" w:eastAsia="Times New Roman" w:hAnsi="Times New Roman" w:cs="Times New Roman"/>
          <w:lang w:eastAsia="en-US"/>
        </w:rPr>
        <w:t xml:space="preserve"> </w:t>
      </w:r>
      <w:r w:rsidRPr="00F94B7E">
        <w:rPr>
          <w:rFonts w:ascii="Times New Roman" w:eastAsia="Times New Roman" w:hAnsi="Times New Roman" w:cs="Times New Roman"/>
          <w:i/>
          <w:lang w:eastAsia="en-US"/>
        </w:rPr>
        <w:t>Farm</w:t>
      </w:r>
      <w:r w:rsidRPr="750671CE">
        <w:rPr>
          <w:rFonts w:ascii="Times New Roman" w:eastAsia="Times New Roman" w:hAnsi="Times New Roman" w:cs="Times New Roman"/>
          <w:lang w:eastAsia="en-US"/>
        </w:rPr>
        <w:t xml:space="preserve"> had held only that a jury could not base its award upon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dissimilar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acts of a defendant.</w:t>
      </w:r>
      <w:r w:rsidR="003958CF">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It added (2)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[i]f a jury cannot punish for the conduct, then it is difficult to see why it may consider it at all.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3958CF">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 And it stated (3)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[i]t is unclear to us how a jury could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consider</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harm to others, yet withhold that consideration from the punishment calculus.</w:t>
      </w:r>
      <w:r w:rsidR="00B05F31">
        <w:rPr>
          <w:rFonts w:ascii="Times New Roman" w:eastAsia="Times New Roman" w:hAnsi="Times New Roman" w:cs="Times New Roman"/>
          <w:lang w:eastAsia="en-US"/>
        </w:rPr>
        <w:t>”</w:t>
      </w:r>
      <w:r w:rsidR="003958CF">
        <w:rPr>
          <w:rFonts w:ascii="Times New Roman" w:eastAsia="Times New Roman" w:hAnsi="Times New Roman" w:cs="Times New Roman"/>
          <w:lang w:eastAsia="en-US"/>
        </w:rPr>
        <w:t xml:space="preserve"> . . .</w:t>
      </w:r>
    </w:p>
    <w:p w14:paraId="248459E2"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0478EAA1" w14:textId="24B77A22"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Oregon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first statement is correct. We did not previously hold explicitly that a jury may not punish for the harm caused others. But we do so hold now. We do not agree with the Oregon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second statement. We have explained why we believe the Due Process Clause prohibits a State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rPr>
          <w:rFonts w:ascii="Times New Roman" w:eastAsia="Times New Roman" w:hAnsi="Times New Roman" w:cs="Times New Roman"/>
          <w:lang w:eastAsia="en-US"/>
        </w:rPr>
        <w:t>. . .</w:t>
      </w:r>
    </w:p>
    <w:p w14:paraId="2DCDC675"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4A43312C" w14:textId="693B8241"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Oregon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22A0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because, for instance, of the sort of evidence that was introduced at trial or the kinds of argument the plaintiff made to the jury</w:t>
      </w:r>
      <w:r w:rsidR="00022A06" w:rsidRPr="00022A06">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4E3B8773" w14:textId="77777777"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V</w:t>
      </w:r>
    </w:p>
    <w:p w14:paraId="5CC838F7"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083E550B" w14:textId="2441107F"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As the preceding discussion makes clear, we believe that the Oregon Supreme Court applied the wrong constitutional standard when considering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appeal. We remand this case so that the Oregon Supreme Court can apply the standard we have set forth. . . .</w:t>
      </w:r>
    </w:p>
    <w:p w14:paraId="5A513D65" w14:textId="351E2EB7" w:rsidR="00AB07BD" w:rsidRDefault="00AB07BD">
      <w:pPr>
        <w:rPr>
          <w:rFonts w:ascii="Times New Roman" w:eastAsia="Times New Roman" w:hAnsi="Times New Roman" w:cs="Times New Roman"/>
          <w:lang w:eastAsia="en-US"/>
        </w:rPr>
      </w:pPr>
      <w:r>
        <w:rPr>
          <w:rFonts w:ascii="Times New Roman" w:eastAsia="Times New Roman" w:hAnsi="Times New Roman" w:cs="Times New Roman"/>
          <w:lang w:eastAsia="en-US"/>
        </w:rPr>
        <w:br w:type="page"/>
      </w:r>
    </w:p>
    <w:p w14:paraId="79AD2095" w14:textId="497CD09F"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Stevens</w:t>
      </w:r>
      <w:r w:rsidRPr="750671CE">
        <w:rPr>
          <w:rFonts w:ascii="Times New Roman" w:eastAsia="Times New Roman" w:hAnsi="Times New Roman" w:cs="Times New Roman"/>
          <w:lang w:eastAsia="en-US"/>
        </w:rPr>
        <w:t xml:space="preserve">, </w:t>
      </w:r>
      <w:r w:rsidR="00E87AC9">
        <w:rPr>
          <w:rFonts w:ascii="Times New Roman" w:eastAsia="Times New Roman" w:hAnsi="Times New Roman" w:cs="Times New Roman"/>
          <w:lang w:eastAsia="en-US"/>
        </w:rPr>
        <w:t xml:space="preserve">J. </w:t>
      </w:r>
      <w:r w:rsidRPr="750671CE">
        <w:rPr>
          <w:rFonts w:ascii="Times New Roman" w:eastAsia="Times New Roman" w:hAnsi="Times New Roman" w:cs="Times New Roman"/>
          <w:lang w:eastAsia="en-US"/>
        </w:rPr>
        <w:t>dissenting.</w:t>
      </w:r>
    </w:p>
    <w:p w14:paraId="01C7EC9E"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DCD1FDE" w14:textId="2B00F665"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 .</w:t>
      </w:r>
    </w:p>
    <w:p w14:paraId="714C89E0"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20523B75" w14:textId="5EF9410E"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Unlike the Court, I see no reason why an interest in punishing a wrongdoer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 harming persons who are not before the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E14B79">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should not be taken into consideration when assessing the appropriate sanction for reprehensible conduct.</w:t>
      </w:r>
    </w:p>
    <w:p w14:paraId="0DBFAC55"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0D42EE88" w14:textId="3D6666D5"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Whereas compensatory damages are measured by the harm the defendant has caused the plaintiff, punitive damages are a sanction for the public harm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conduct has caused or threatened. There is little difference between the justification for a criminal sanction, such as a fine or a term of imprisonment, and an award of punitive damages. </w:t>
      </w:r>
      <w:r w:rsidR="00E14B79">
        <w:rPr>
          <w:rFonts w:ascii="Times New Roman" w:eastAsia="Times New Roman" w:hAnsi="Times New Roman" w:cs="Times New Roman"/>
          <w:lang w:eastAsia="en-US"/>
        </w:rPr>
        <w:t xml:space="preserve">. . . </w:t>
      </w:r>
      <w:r w:rsidRPr="750671CE">
        <w:rPr>
          <w:rFonts w:ascii="Times New Roman" w:eastAsia="Times New Roman" w:hAnsi="Times New Roman" w:cs="Times New Roman"/>
          <w:lang w:eastAsia="en-US"/>
        </w:rPr>
        <w:t xml:space="preserve">In our early history either type of sanction might have been imposed in litigation prosecuted by a private citizen. </w:t>
      </w:r>
      <w:r w:rsidR="00E14B79">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wrongdoing. We have never held otherwise.</w:t>
      </w:r>
    </w:p>
    <w:p w14:paraId="5BC58CFB"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3C90742" w14:textId="514FC8B8" w:rsidR="00C85B70" w:rsidRPr="00C85B70" w:rsidRDefault="00C85B70" w:rsidP="00F94B7E">
      <w:pPr>
        <w:autoSpaceDE w:val="0"/>
        <w:autoSpaceDN w:val="0"/>
        <w:adjustRightInd w:val="0"/>
        <w:ind w:firstLine="72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In the case before us, evidence attesting to the possible harm the defendant</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rPr>
          <w:rFonts w:ascii="Times New Roman" w:eastAsia="Times New Roman" w:hAnsi="Times New Roman" w:cs="Times New Roman"/>
          <w:lang w:eastAsia="en-US"/>
        </w:rPr>
        <w:t xml:space="preserve">. . . </w:t>
      </w:r>
      <w:r w:rsidRPr="00C85B70">
        <w:rPr>
          <w:rFonts w:ascii="Times New Roman" w:eastAsia="Times New Roman" w:hAnsi="Times New Roman" w:cs="Times New Roman"/>
          <w:lang w:eastAsia="en-US"/>
        </w:rPr>
        <w:t xml:space="preserve">. But a punitive damages award, instead of serving a compensatory purpose, serves the entirely different purposes of retribution and deterrence that underlie every criminal sanction. </w:t>
      </w:r>
      <w:r w:rsidR="00E14B79">
        <w:rPr>
          <w:rFonts w:ascii="Times New Roman" w:eastAsia="Times New Roman" w:hAnsi="Times New Roman" w:cs="Times New Roman"/>
          <w:lang w:eastAsia="en-US"/>
        </w:rPr>
        <w:t xml:space="preserve">. . </w:t>
      </w:r>
      <w:r w:rsidR="00E14B79" w:rsidRPr="00C85B70">
        <w:rPr>
          <w:rFonts w:ascii="Times New Roman" w:eastAsia="Times New Roman" w:hAnsi="Times New Roman" w:cs="Times New Roman"/>
          <w:lang w:eastAsia="en-US"/>
        </w:rPr>
        <w:t xml:space="preserve">. </w:t>
      </w:r>
      <w:r w:rsidRPr="00C85B70">
        <w:rPr>
          <w:rFonts w:ascii="Times New Roman" w:eastAsia="Times New Roman" w:hAnsi="Times New Roman" w:cs="Times New Roman"/>
          <w:lang w:eastAsia="en-US"/>
        </w:rPr>
        <w:t>This justification for punitive damages has even greater salience when, as in this case, see Ore. Rev. Stat. § 31.735(1) (2003), the award is payable in whole or in part to the State rather than to the private litigant.</w:t>
      </w:r>
      <w:r w:rsidRPr="00C85B70">
        <w:rPr>
          <w:rFonts w:ascii="Times New Roman" w:eastAsia="Times New Roman" w:hAnsi="Times New Roman" w:cs="Times New Roman"/>
          <w:vertAlign w:val="superscript"/>
          <w:lang w:eastAsia="en-US"/>
        </w:rPr>
        <w:footnoteReference w:customMarkFollows="1" w:id="41"/>
        <w:t>1</w:t>
      </w:r>
    </w:p>
    <w:p w14:paraId="622847B1"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3E532D8A" w14:textId="29B63B91"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While apparently recognizing the novelty of its holding </w:t>
      </w:r>
      <w:r w:rsidR="00E14B79">
        <w:rPr>
          <w:rFonts w:ascii="Times New Roman" w:eastAsia="Times New Roman" w:hAnsi="Times New Roman" w:cs="Times New Roman"/>
          <w:lang w:eastAsia="en-US"/>
        </w:rPr>
        <w:t xml:space="preserve">. . </w:t>
      </w:r>
      <w:r w:rsidR="00E14B79" w:rsidRPr="00C85B70">
        <w:rPr>
          <w:rFonts w:ascii="Times New Roman" w:eastAsia="Times New Roman" w:hAnsi="Times New Roman" w:cs="Times New Roman"/>
          <w:lang w:eastAsia="en-US"/>
        </w:rPr>
        <w:t>.</w:t>
      </w:r>
      <w:r w:rsidR="00E14B79">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the majority relies on a distinction between taking  third-party harm into account in order to assess the reprehensibility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w:t>
      </w:r>
      <w:r w:rsidR="00E825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which is permitted</w:t>
      </w:r>
      <w:r w:rsidR="00E825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from doing so in order to punish the defendant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directly</w:t>
      </w:r>
      <w:r w:rsidR="00B05F31">
        <w:rPr>
          <w:rFonts w:ascii="Times New Roman" w:eastAsia="Times New Roman" w:hAnsi="Times New Roman" w:cs="Times New Roman"/>
          <w:lang w:eastAsia="en-US"/>
        </w:rPr>
        <w:t>”</w:t>
      </w:r>
      <w:r w:rsidR="00E825A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which is forbidden.</w:t>
      </w:r>
      <w:r w:rsidR="00E14B79" w:rsidRPr="00E14B79">
        <w:rPr>
          <w:rFonts w:ascii="Times New Roman" w:eastAsia="Times New Roman" w:hAnsi="Times New Roman" w:cs="Times New Roman"/>
          <w:lang w:eastAsia="en-US"/>
        </w:rPr>
        <w:t xml:space="preserve"> </w:t>
      </w:r>
      <w:r w:rsidR="00E14B79">
        <w:rPr>
          <w:rFonts w:ascii="Times New Roman" w:eastAsia="Times New Roman" w:hAnsi="Times New Roman" w:cs="Times New Roman"/>
          <w:lang w:eastAsia="en-US"/>
        </w:rPr>
        <w:t xml:space="preserve">. . </w:t>
      </w:r>
      <w:r w:rsidR="00E14B79"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This nuance eludes me. When a jury increases a punitive damages award because injuries to third parties enhanced the reprehensibility of the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conduct, the jury is by definition punishing the defendant</w:t>
      </w:r>
      <w:r w:rsidR="00E94FB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directly</w:t>
      </w:r>
      <w:r w:rsidR="00E94FBE">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for third-party harm. A murderer who kills his victim by throwing a bomb that injures dozens of bystanders should be punished more severely than one who harms no one other than his intended victim. . . .</w:t>
      </w:r>
    </w:p>
    <w:p w14:paraId="1806D19D"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8A43CA4" w14:textId="67403124"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Court should be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reluctant to expand the concept of substantive due process because guideposts for responsible decisionmaking in this unchartered area are scarce and open-ended.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E14B79">
        <w:rPr>
          <w:rFonts w:ascii="Times New Roman" w:eastAsia="Times New Roman" w:hAnsi="Times New Roman" w:cs="Times New Roman"/>
          <w:lang w:eastAsia="en-US"/>
        </w:rPr>
        <w:t xml:space="preserve">. . </w:t>
      </w:r>
      <w:r w:rsidR="00E14B79"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 xml:space="preserve">Judicial restraint counsels us to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exercise the utmost care whenever we are asked to break new ground in this field.</w:t>
      </w:r>
      <w:r w:rsidR="00B05F31">
        <w:rPr>
          <w:rFonts w:ascii="Times New Roman" w:eastAsia="Times New Roman" w:hAnsi="Times New Roman" w:cs="Times New Roman"/>
          <w:lang w:eastAsia="en-US"/>
        </w:rPr>
        <w:t>”</w:t>
      </w:r>
      <w:r w:rsidR="00E14B79" w:rsidRPr="00E14B79">
        <w:rPr>
          <w:rFonts w:ascii="Times New Roman" w:eastAsia="Times New Roman" w:hAnsi="Times New Roman" w:cs="Times New Roman"/>
          <w:lang w:eastAsia="en-US"/>
        </w:rPr>
        <w:t xml:space="preserve"> </w:t>
      </w:r>
      <w:r w:rsidR="00E14B79">
        <w:rPr>
          <w:rFonts w:ascii="Times New Roman" w:eastAsia="Times New Roman" w:hAnsi="Times New Roman" w:cs="Times New Roman"/>
          <w:lang w:eastAsia="en-US"/>
        </w:rPr>
        <w:t xml:space="preserve">. . </w:t>
      </w:r>
      <w:r w:rsidR="00E14B79" w:rsidRPr="00C85B70">
        <w:rPr>
          <w:rFonts w:ascii="Times New Roman" w:eastAsia="Times New Roman" w:hAnsi="Times New Roman" w:cs="Times New Roman"/>
          <w:lang w:eastAsia="en-US"/>
        </w:rPr>
        <w:t xml:space="preserve">. </w:t>
      </w:r>
      <w:r w:rsidRPr="750671CE">
        <w:rPr>
          <w:rFonts w:ascii="Times New Roman" w:eastAsia="Times New Roman" w:hAnsi="Times New Roman" w:cs="Times New Roman"/>
          <w:lang w:eastAsia="en-US"/>
        </w:rPr>
        <w:t>Today the majority ignores that sound advice when it announces its new rule of substantive law.</w:t>
      </w:r>
    </w:p>
    <w:p w14:paraId="2FB739CB"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2330EEE6" w14:textId="77777777"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Essentially for the reasons stated in the opinion of the Supreme Court of Oregon, I would affirm its judgment.</w:t>
      </w:r>
    </w:p>
    <w:p w14:paraId="514B83B4"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90870E6" w14:textId="2C706BD2"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smallCaps/>
          <w:lang w:eastAsia="en-US"/>
        </w:rPr>
        <w:t>Thomas</w:t>
      </w:r>
      <w:r w:rsidRPr="750671CE">
        <w:rPr>
          <w:rFonts w:ascii="Times New Roman" w:eastAsia="Times New Roman" w:hAnsi="Times New Roman" w:cs="Times New Roman"/>
          <w:lang w:eastAsia="en-US"/>
        </w:rPr>
        <w:t xml:space="preserve">, </w:t>
      </w:r>
      <w:r w:rsidR="002E3CF9">
        <w:rPr>
          <w:rFonts w:ascii="Times New Roman" w:eastAsia="Times New Roman" w:hAnsi="Times New Roman" w:cs="Times New Roman"/>
          <w:lang w:eastAsia="en-US"/>
        </w:rPr>
        <w:t xml:space="preserve">J., </w:t>
      </w:r>
      <w:r w:rsidRPr="750671CE">
        <w:rPr>
          <w:rFonts w:ascii="Times New Roman" w:eastAsia="Times New Roman" w:hAnsi="Times New Roman" w:cs="Times New Roman"/>
          <w:lang w:eastAsia="en-US"/>
        </w:rPr>
        <w:t>dissenting.</w:t>
      </w:r>
    </w:p>
    <w:p w14:paraId="33DFFF99"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335D5478" w14:textId="79BF7F9D"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 . . I write . . . to reiterate my view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Constitution does not constrain the size of punitive damages awards.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State Farm Mut. Automobile Ins. Co. v. Campbell</w:t>
      </w:r>
      <w:r w:rsidRPr="750671CE">
        <w:rPr>
          <w:rFonts w:ascii="Times New Roman" w:eastAsia="Times New Roman" w:hAnsi="Times New Roman" w:cs="Times New Roman"/>
          <w:lang w:eastAsia="en-US"/>
        </w:rPr>
        <w:t>, (2003) (</w:t>
      </w:r>
      <w:r w:rsidR="00E14B79" w:rsidRPr="00F94B7E">
        <w:rPr>
          <w:rFonts w:ascii="Times New Roman" w:eastAsia="Times New Roman" w:hAnsi="Times New Roman" w:cs="Times New Roman"/>
          <w:lang w:eastAsia="en-US"/>
        </w:rPr>
        <w:t>Thomas</w:t>
      </w:r>
      <w:r w:rsidRPr="750671CE">
        <w:rPr>
          <w:rFonts w:ascii="Times New Roman" w:eastAsia="Times New Roman" w:hAnsi="Times New Roman" w:cs="Times New Roman"/>
          <w:lang w:eastAsia="en-US"/>
        </w:rPr>
        <w:t>, J., dissenting). . . . Today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opinion proves once again that this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punitive damages jurisprudence is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insusceptible of principled application.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Pr="750671CE">
        <w:rPr>
          <w:rFonts w:ascii="Times New Roman" w:eastAsia="Times New Roman" w:hAnsi="Times New Roman" w:cs="Times New Roman"/>
          <w:i/>
          <w:iCs/>
          <w:lang w:eastAsia="en-US"/>
        </w:rPr>
        <w:t>BMW of North America, Inc. v. Gore</w:t>
      </w:r>
      <w:r w:rsidRPr="750671CE">
        <w:rPr>
          <w:rFonts w:ascii="Times New Roman" w:eastAsia="Times New Roman" w:hAnsi="Times New Roman" w:cs="Times New Roman"/>
          <w:lang w:eastAsia="en-US"/>
        </w:rPr>
        <w:t>, (1996) (</w:t>
      </w:r>
      <w:r w:rsidR="00E14B79" w:rsidRPr="00F94B7E">
        <w:rPr>
          <w:rFonts w:ascii="Times New Roman" w:eastAsia="Times New Roman" w:hAnsi="Times New Roman" w:cs="Times New Roman"/>
          <w:lang w:eastAsia="en-US"/>
        </w:rPr>
        <w:t>Scalia</w:t>
      </w:r>
      <w:r w:rsidRPr="00F659B7">
        <w:rPr>
          <w:rFonts w:ascii="Times New Roman" w:eastAsia="Times New Roman" w:hAnsi="Times New Roman" w:cs="Times New Roman"/>
          <w:lang w:eastAsia="en-US"/>
        </w:rPr>
        <w:t>, J.,</w:t>
      </w:r>
      <w:r w:rsidRPr="750671CE">
        <w:rPr>
          <w:rFonts w:ascii="Times New Roman" w:eastAsia="Times New Roman" w:hAnsi="Times New Roman" w:cs="Times New Roman"/>
          <w:lang w:eastAsia="en-US"/>
        </w:rPr>
        <w:t xml:space="preserve"> joined by </w:t>
      </w:r>
      <w:r w:rsidR="00E14B79" w:rsidRPr="00F94B7E">
        <w:rPr>
          <w:rFonts w:ascii="Times New Roman" w:eastAsia="Times New Roman" w:hAnsi="Times New Roman" w:cs="Times New Roman"/>
          <w:lang w:eastAsia="en-US"/>
        </w:rPr>
        <w:t>Thomas</w:t>
      </w:r>
      <w:r w:rsidRPr="00F659B7">
        <w:rPr>
          <w:rFonts w:ascii="Times New Roman" w:eastAsia="Times New Roman" w:hAnsi="Times New Roman" w:cs="Times New Roman"/>
          <w:lang w:eastAsia="en-US"/>
        </w:rPr>
        <w:t>, J., dissenting</w:t>
      </w:r>
      <w:r w:rsidRPr="750671CE">
        <w:rPr>
          <w:rFonts w:ascii="Times New Roman" w:eastAsia="Times New Roman" w:hAnsi="Times New Roman" w:cs="Times New Roman"/>
          <w:lang w:eastAsia="en-US"/>
        </w:rPr>
        <w:t>).</w:t>
      </w:r>
    </w:p>
    <w:p w14:paraId="1E7E48CD"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DBBA5B4"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52D0E44C" w14:textId="2B7AA505" w:rsidR="00C85B70" w:rsidRPr="00C85B70" w:rsidRDefault="750671CE" w:rsidP="000E3EB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Justice </w:t>
      </w:r>
      <w:r w:rsidRPr="750671CE">
        <w:rPr>
          <w:rFonts w:ascii="Times New Roman" w:eastAsia="Times New Roman" w:hAnsi="Times New Roman" w:cs="Times New Roman"/>
          <w:smallCaps/>
          <w:lang w:eastAsia="en-US"/>
        </w:rPr>
        <w:t>Ginsburg</w:t>
      </w:r>
      <w:r w:rsidRPr="750671CE">
        <w:rPr>
          <w:rFonts w:ascii="Times New Roman" w:eastAsia="Times New Roman" w:hAnsi="Times New Roman" w:cs="Times New Roman"/>
          <w:lang w:eastAsia="en-US"/>
        </w:rPr>
        <w:t xml:space="preserve">, with whom Justice </w:t>
      </w:r>
      <w:r w:rsidRPr="750671CE">
        <w:rPr>
          <w:rFonts w:ascii="Times New Roman" w:eastAsia="Times New Roman" w:hAnsi="Times New Roman" w:cs="Times New Roman"/>
          <w:smallCaps/>
          <w:lang w:eastAsia="en-US"/>
        </w:rPr>
        <w:t>Scalia</w:t>
      </w:r>
      <w:r w:rsidRPr="750671CE">
        <w:rPr>
          <w:rFonts w:ascii="Times New Roman" w:eastAsia="Times New Roman" w:hAnsi="Times New Roman" w:cs="Times New Roman"/>
          <w:lang w:eastAsia="en-US"/>
        </w:rPr>
        <w:t xml:space="preserve"> and Justice </w:t>
      </w:r>
      <w:r w:rsidRPr="750671CE">
        <w:rPr>
          <w:rFonts w:ascii="Times New Roman" w:eastAsia="Times New Roman" w:hAnsi="Times New Roman" w:cs="Times New Roman"/>
          <w:smallCaps/>
          <w:lang w:eastAsia="en-US"/>
        </w:rPr>
        <w:t xml:space="preserve">Thomas </w:t>
      </w:r>
      <w:r w:rsidRPr="750671CE">
        <w:rPr>
          <w:rFonts w:ascii="Times New Roman" w:eastAsia="Times New Roman" w:hAnsi="Times New Roman" w:cs="Times New Roman"/>
          <w:lang w:eastAsia="en-US"/>
        </w:rPr>
        <w:t>join, dissenting.</w:t>
      </w:r>
    </w:p>
    <w:p w14:paraId="32D325D4"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695F1745" w14:textId="09FCC9A6"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purpose of punitive damages, it can hardly be denied, is not to compensate, but to punish. Punish for what? Not for harm actually caused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strangers to the litigation,</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Court states, but for the reprehensibility of defendant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conduct.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[C]onduct that risks harm to many,</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Court observes,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is likely more reprehensible than conduct that risks harm to only a few.</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C85B70" w:rsidRDefault="00C85B70" w:rsidP="000E3EBE">
      <w:pPr>
        <w:autoSpaceDE w:val="0"/>
        <w:autoSpaceDN w:val="0"/>
        <w:adjustRightInd w:val="0"/>
        <w:contextualSpacing/>
        <w:rPr>
          <w:rFonts w:ascii="Times New Roman" w:eastAsia="Times New Roman" w:hAnsi="Times New Roman" w:cs="Times New Roman"/>
          <w:lang w:eastAsia="en-US"/>
        </w:rPr>
      </w:pPr>
    </w:p>
    <w:p w14:paraId="00CCA201" w14:textId="428FA332" w:rsidR="00C85B70" w:rsidRPr="00C85B70" w:rsidRDefault="750671CE" w:rsidP="000E3EB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right question regarding reprehensibility, the Court acknowledges, would train on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harm that Philip Morris was prepared to inflict on the smoking public at large.</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w:t>
      </w:r>
      <w:r w:rsidR="00BF7DFB">
        <w:rPr>
          <w:rFonts w:ascii="Times New Roman" w:eastAsia="Times New Roman" w:hAnsi="Times New Roman" w:cs="Times New Roman"/>
          <w:lang w:eastAsia="en-US"/>
        </w:rPr>
        <w:t>. . .</w:t>
      </w:r>
      <w:r w:rsidRPr="750671CE">
        <w:rPr>
          <w:rFonts w:ascii="Times New Roman" w:eastAsia="Times New Roman" w:hAnsi="Times New Roman" w:cs="Times New Roman"/>
          <w:lang w:eastAsia="en-US"/>
        </w:rPr>
        <w:t xml:space="preserve"> The Court identifies no evidence introduced and no charge delivered inconsistent with that inquiry. . . .</w:t>
      </w:r>
    </w:p>
    <w:p w14:paraId="456FA6F4" w14:textId="4139CDCC" w:rsidR="00D971FF" w:rsidRDefault="00D971FF">
      <w:pPr>
        <w:rPr>
          <w:rFonts w:ascii="Times New Roman" w:eastAsia="Times New Roman" w:hAnsi="Times New Roman" w:cs="Times New Roman"/>
          <w:lang w:eastAsia="en-US"/>
        </w:rPr>
      </w:pPr>
    </w:p>
    <w:p w14:paraId="6198EE9D" w14:textId="77777777" w:rsidR="00AB07BD" w:rsidRDefault="00AB07BD">
      <w:pPr>
        <w:rPr>
          <w:rFonts w:ascii="Times New Roman" w:eastAsia="Times New Roman" w:hAnsi="Times New Roman" w:cs="Times New Roman"/>
          <w:lang w:eastAsia="en-US"/>
        </w:rPr>
      </w:pPr>
    </w:p>
    <w:p w14:paraId="1D743135" w14:textId="77777777" w:rsidR="00C85B70" w:rsidRPr="00C85B70" w:rsidRDefault="00C85B70" w:rsidP="002502CC">
      <w:pPr>
        <w:pStyle w:val="Heading4"/>
      </w:pPr>
      <w:bookmarkStart w:id="1142" w:name="_Toc364636322"/>
      <w:bookmarkStart w:id="1143" w:name="_Toc518323612"/>
      <w:r w:rsidRPr="00C85B70">
        <w:t>Notes</w:t>
      </w:r>
      <w:bookmarkEnd w:id="1142"/>
      <w:bookmarkEnd w:id="1143"/>
    </w:p>
    <w:p w14:paraId="0D90885D" w14:textId="77777777" w:rsidR="00C85B70" w:rsidRDefault="00C85B70" w:rsidP="00C85B70">
      <w:pPr>
        <w:autoSpaceDE w:val="0"/>
        <w:autoSpaceDN w:val="0"/>
        <w:adjustRightInd w:val="0"/>
        <w:contextualSpacing/>
        <w:rPr>
          <w:rFonts w:ascii="Times New Roman" w:eastAsia="Times New Roman" w:hAnsi="Times New Roman" w:cs="Times New Roman"/>
          <w:lang w:eastAsia="en-US"/>
        </w:rPr>
      </w:pPr>
    </w:p>
    <w:p w14:paraId="78DF21BB" w14:textId="77777777" w:rsidR="00F659B7" w:rsidRPr="00C85B70" w:rsidRDefault="00F659B7" w:rsidP="00C85B70">
      <w:pPr>
        <w:autoSpaceDE w:val="0"/>
        <w:autoSpaceDN w:val="0"/>
        <w:adjustRightInd w:val="0"/>
        <w:contextualSpacing/>
        <w:rPr>
          <w:rFonts w:ascii="Times New Roman" w:eastAsia="Times New Roman" w:hAnsi="Times New Roman" w:cs="Times New Roman"/>
          <w:lang w:eastAsia="en-US"/>
        </w:rPr>
      </w:pPr>
    </w:p>
    <w:p w14:paraId="7CCBFD8C" w14:textId="44832D9F" w:rsidR="00C85B70" w:rsidRPr="00F94B7E" w:rsidRDefault="750671CE" w:rsidP="00F94B7E">
      <w:pPr>
        <w:pStyle w:val="ListParagraph"/>
        <w:numPr>
          <w:ilvl w:val="0"/>
          <w:numId w:val="131"/>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w:t>
      </w:r>
      <w:r w:rsidR="000E3EBE" w:rsidRPr="00F94B7E">
        <w:rPr>
          <w:rFonts w:ascii="Times New Roman" w:eastAsia="Times New Roman" w:hAnsi="Times New Roman" w:cs="Times New Roman"/>
          <w:i/>
          <w:iCs/>
          <w:lang w:eastAsia="en-US"/>
        </w:rPr>
        <w:t>a</w:t>
      </w:r>
      <w:r w:rsidRPr="00F94B7E">
        <w:rPr>
          <w:rFonts w:ascii="Times New Roman" w:eastAsia="Times New Roman" w:hAnsi="Times New Roman" w:cs="Times New Roman"/>
          <w:i/>
          <w:iCs/>
          <w:lang w:eastAsia="en-US"/>
        </w:rPr>
        <w:t xml:space="preserve">ftermath of </w:t>
      </w:r>
      <w:r w:rsidRPr="00F94B7E">
        <w:rPr>
          <w:rFonts w:ascii="Times New Roman" w:eastAsia="Times New Roman" w:hAnsi="Times New Roman" w:cs="Times New Roman"/>
          <w:lang w:eastAsia="en-US"/>
        </w:rPr>
        <w:t>Williams. The Oregon courts were widely expected to bow to the U.S. Supreme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 decision and to reverse the trial court</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s punitive damages determination in the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case. 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58012990" w14:textId="04AE8FCE" w:rsidR="00C85B70" w:rsidRPr="00C85B70" w:rsidRDefault="750671CE" w:rsidP="00F94B7E">
      <w:pPr>
        <w:pStyle w:val="blockquote"/>
        <w:rPr>
          <w:lang w:eastAsia="en-US"/>
        </w:rPr>
      </w:pPr>
      <w:r w:rsidRPr="750671CE">
        <w:rPr>
          <w:lang w:eastAsia="en-US"/>
        </w:rPr>
        <w:t>[W]e are called upon to reconsider and reassess our earlier holding, which arose in the context of the trial court</w:t>
      </w:r>
      <w:r w:rsidR="00B05F31">
        <w:rPr>
          <w:lang w:eastAsia="en-US"/>
        </w:rPr>
        <w:t>’</w:t>
      </w:r>
      <w:r w:rsidRPr="750671CE">
        <w:rPr>
          <w:lang w:eastAsia="en-US"/>
        </w:rPr>
        <w:t>s refusal to give a particular proposed jury instruction that defendant had requested. Having reconsidered and reassessed the issue, we now conclude that the proposed jury instruction at issue here also was flawed for other reasons that we did not identify in our former opinion. We therefore reaffirm this court</w:t>
      </w:r>
      <w:r w:rsidR="00B05F31">
        <w:rPr>
          <w:lang w:eastAsia="en-US"/>
        </w:rPr>
        <w:t>’</w:t>
      </w:r>
      <w:r w:rsidRPr="750671CE">
        <w:rPr>
          <w:lang w:eastAsia="en-US"/>
        </w:rPr>
        <w:t>s prior conclusion that the trial court did not err in refusing to give the instruction. We otherwise reaffirm our prior opinion in all respects.</w:t>
      </w:r>
    </w:p>
    <w:p w14:paraId="3FA456AC"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1E9DEAC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D810CE4" w14:textId="777A1103" w:rsidR="00C85B70" w:rsidRPr="00C85B70" w:rsidRDefault="750671CE" w:rsidP="00C85B70">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The United States Supreme Court granted Philip Morris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petition for writ of certiorari to review the Oregon courts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decision yet again. Observers of the Court expected the Court to enforce its judgment on the Oregon courts. Petitioner Philip Morris described the Oregon courts as flouting the authority of the United States Supreme Court. But on March 31, 2009, after briefing and after oral arguments, the Court (without comment) dismissed the writ of certiorari as improvidently granted. The $32 million Oregon punitive damages judgment was left in place.</w:t>
      </w:r>
    </w:p>
    <w:p w14:paraId="0AD86CE2"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2BD5DCDD"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686DE0E" w14:textId="741818A9" w:rsidR="00C85B70" w:rsidRPr="00F94B7E" w:rsidRDefault="750671CE" w:rsidP="00F94B7E">
      <w:pPr>
        <w:pStyle w:val="ListParagraph"/>
        <w:numPr>
          <w:ilvl w:val="0"/>
          <w:numId w:val="131"/>
        </w:numPr>
        <w:autoSpaceDE w:val="0"/>
        <w:autoSpaceDN w:val="0"/>
        <w:adjustRightInd w:val="0"/>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The Exxon Valdez </w:t>
      </w:r>
      <w:r w:rsidR="003958CF" w:rsidRPr="00F94B7E">
        <w:rPr>
          <w:rFonts w:ascii="Times New Roman" w:eastAsia="Times New Roman" w:hAnsi="Times New Roman" w:cs="Times New Roman"/>
          <w:i/>
          <w:iCs/>
          <w:lang w:eastAsia="en-US"/>
        </w:rPr>
        <w:t>l</w:t>
      </w:r>
      <w:r w:rsidRPr="00F94B7E">
        <w:rPr>
          <w:rFonts w:ascii="Times New Roman" w:eastAsia="Times New Roman" w:hAnsi="Times New Roman" w:cs="Times New Roman"/>
          <w:i/>
          <w:iCs/>
          <w:lang w:eastAsia="en-US"/>
        </w:rPr>
        <w:t>itigation.</w:t>
      </w:r>
      <w:r w:rsidRPr="00F94B7E">
        <w:rPr>
          <w:rFonts w:ascii="Times New Roman" w:eastAsia="Times New Roman" w:hAnsi="Times New Roman" w:cs="Times New Roman"/>
          <w:lang w:eastAsia="en-US"/>
        </w:rPr>
        <w:t xml:space="preserve"> As Justice Ginsburg noted in her </w:t>
      </w:r>
      <w:r w:rsidRPr="00F94B7E">
        <w:rPr>
          <w:rFonts w:ascii="Times New Roman" w:eastAsia="Times New Roman" w:hAnsi="Times New Roman" w:cs="Times New Roman"/>
          <w:i/>
          <w:iCs/>
          <w:lang w:eastAsia="en-US"/>
        </w:rPr>
        <w:t>State Farm</w:t>
      </w:r>
      <w:r w:rsidRPr="00F94B7E">
        <w:rPr>
          <w:rFonts w:ascii="Times New Roman" w:eastAsia="Times New Roman" w:hAnsi="Times New Roman" w:cs="Times New Roman"/>
          <w:lang w:eastAsia="en-US"/>
        </w:rPr>
        <w:t xml:space="preserve"> dissent, curtailing punitive fines in state cases raises particular federalism concerns. However, in the </w:t>
      </w:r>
      <w:r w:rsidRPr="00F94B7E">
        <w:rPr>
          <w:rFonts w:ascii="Times New Roman" w:eastAsia="Times New Roman" w:hAnsi="Times New Roman" w:cs="Times New Roman"/>
          <w:i/>
          <w:iCs/>
          <w:lang w:eastAsia="en-US"/>
        </w:rPr>
        <w:t>Exxon Valdez</w:t>
      </w:r>
      <w:r w:rsidRPr="00F94B7E">
        <w:rPr>
          <w:rFonts w:ascii="Times New Roman" w:eastAsia="Times New Roman" w:hAnsi="Times New Roman" w:cs="Times New Roman"/>
          <w:lang w:eastAsia="en-US"/>
        </w:rPr>
        <w:t xml:space="preserve"> case, the Supreme Court was unimpeded by such concerns because it was ruling on the case based on its maritime jurisdiction. Instead of applying a due process analysis, the Court was building federal maritime common law. </w:t>
      </w:r>
    </w:p>
    <w:p w14:paraId="3F019BC6"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BC1C8DB" w14:textId="5B77029B"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The </w:t>
      </w:r>
      <w:r w:rsidRPr="750671CE">
        <w:rPr>
          <w:rFonts w:ascii="Times New Roman" w:eastAsia="Times New Roman" w:hAnsi="Times New Roman" w:cs="Times New Roman"/>
          <w:i/>
          <w:iCs/>
          <w:lang w:eastAsia="en-US"/>
        </w:rPr>
        <w:t>Exxon Valdez</w:t>
      </w:r>
      <w:r w:rsidRPr="750671CE">
        <w:rPr>
          <w:rFonts w:ascii="Times New Roman" w:eastAsia="Times New Roman" w:hAnsi="Times New Roman" w:cs="Times New Roman"/>
          <w:lang w:eastAsia="en-US"/>
        </w:rPr>
        <w:t xml:space="preserve"> litigation arose out of a massive, 11-million-gallon oil spill in Prince William Sound, Alaska, in 1989. A 900-foot-long supertanker ran aground on Bligh Reef during a turning maneuver in the Valdez Narrows. The vessel</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55947EE" w14:textId="7D04D9FE"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Numerous civil claims and criminal charges followed against Hazelwood and Exxon.  Exxon expended $2.1 billion in cleanup efforts. Civil claims settlements amounted to more than $1 billion. When certain claims went to trial in the federal district court for the District of Alaska, Exxon conceded liability and contested only its damages. A jury awarded commercial fisherman</w:t>
      </w:r>
      <w:r w:rsidR="00BF7DFB" w:rsidRPr="00BF7DF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only group that had not settled its compensatory damages claims</w:t>
      </w:r>
      <w:r w:rsidR="00BF7DFB" w:rsidRPr="00BF7DFB">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$287 million in compensatory damages. The same jury then concluded that Hazelwood</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due process cases on excessive punitive damages awards.</w:t>
      </w:r>
    </w:p>
    <w:p w14:paraId="7D297B34"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3B6882EF" w14:textId="7143C8B6" w:rsidR="00C85B70" w:rsidRPr="00C85B70" w:rsidRDefault="750671CE" w:rsidP="750671CE">
      <w:pPr>
        <w:autoSpaceDE w:val="0"/>
        <w:autoSpaceDN w:val="0"/>
        <w:adjustRightInd w:val="0"/>
        <w:ind w:firstLine="72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At the Supreme Court, Justice Samuel Alito recused himself because he owned stock in Exxon. The remaining eight justices split evenly on the question whether under federal maritime law, a corporation can be held vicariously liable in punitive damages for the reckless acts of its employees. The split left undisturbed the Ninth Circuit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s conclusion that such punitive damages awards were appropriate under federal maritime law. But on the question of what the relationship between punitive and compensatory damages is in federal maritime law, the Court reduced the lower court</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s punitive damages award by a factor of five. Writing for a majority of the Court, Justice David Souter conceded that the law of punitive damages had not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mass-produced runaway awards.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 xml:space="preserve">  But that did not, he continued, resolve the problem of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the stark unpredictability of punitive awards</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w:t>
      </w:r>
    </w:p>
    <w:p w14:paraId="3373ED3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015FD0B1" w14:textId="77777777" w:rsidR="00C85B70" w:rsidRPr="00C85B70" w:rsidRDefault="750671CE" w:rsidP="00F94B7E">
      <w:pPr>
        <w:pStyle w:val="blockquote"/>
        <w:rPr>
          <w:lang w:eastAsia="en-US"/>
        </w:rPr>
      </w:pPr>
      <w:r w:rsidRPr="750671CE">
        <w:rPr>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4A2F3A09" w14:textId="0CF5F516"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i/>
          <w:iCs/>
          <w:lang w:eastAsia="en-US"/>
        </w:rPr>
        <w:t>Exxon Shipping Co. v. Baker</w:t>
      </w:r>
      <w:r w:rsidRPr="750671CE">
        <w:rPr>
          <w:rFonts w:ascii="Times New Roman" w:eastAsia="Times New Roman" w:hAnsi="Times New Roman" w:cs="Times New Roman"/>
          <w:lang w:eastAsia="en-US"/>
        </w:rPr>
        <w:t xml:space="preserve">, 554 U.S. 471 (2008). Noting that the median ratio of compensatories to punitives was less than 1:1, Souter ruled that </w:t>
      </w:r>
      <w:r w:rsidR="00B05F31">
        <w:rPr>
          <w:rFonts w:ascii="Times New Roman" w:eastAsia="Times New Roman" w:hAnsi="Times New Roman" w:cs="Times New Roman"/>
          <w:lang w:eastAsia="en-US"/>
        </w:rPr>
        <w:t>“</w:t>
      </w:r>
      <w:r w:rsidRPr="750671CE">
        <w:rPr>
          <w:rFonts w:ascii="Times New Roman" w:eastAsia="Times New Roman" w:hAnsi="Times New Roman" w:cs="Times New Roman"/>
          <w:lang w:eastAsia="en-US"/>
        </w:rPr>
        <w:t>given the need to protect against the possibility (and the disruptive cost to the legal system) of awards that are unpredictable and unnecessary . . . we consider that a 1:1 ratio . . . is a fair upper limit in such maritime cases.</w:t>
      </w:r>
      <w:r w:rsidR="00B05F31">
        <w:rPr>
          <w:rFonts w:ascii="Times New Roman" w:eastAsia="Times New Roman" w:hAnsi="Times New Roman" w:cs="Times New Roman"/>
          <w:lang w:eastAsia="en-US"/>
        </w:rPr>
        <w:t>”</w:t>
      </w:r>
    </w:p>
    <w:p w14:paraId="10D25705"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706115EF" w14:textId="77777777" w:rsidR="00C85B70" w:rsidRPr="00C85B70" w:rsidRDefault="00C85B70" w:rsidP="00C85B70">
      <w:pPr>
        <w:rPr>
          <w:rFonts w:ascii="Times New Roman" w:eastAsia="Times New Roman" w:hAnsi="Times New Roman" w:cs="Times New Roman"/>
          <w:lang w:eastAsia="en-US"/>
        </w:rPr>
      </w:pPr>
    </w:p>
    <w:p w14:paraId="579357BA" w14:textId="3E2BCF4C" w:rsidR="00C85B70" w:rsidRPr="00F94B7E" w:rsidRDefault="750671CE" w:rsidP="00F94B7E">
      <w:pPr>
        <w:pStyle w:val="ListParagraph"/>
        <w:keepNext/>
        <w:keepLines/>
        <w:numPr>
          <w:ilvl w:val="0"/>
          <w:numId w:val="131"/>
        </w:numPr>
        <w:autoSpaceDE w:val="0"/>
        <w:autoSpaceDN w:val="0"/>
        <w:adjustRightInd w:val="0"/>
        <w:spacing w:before="200"/>
        <w:ind w:left="0" w:firstLine="360"/>
        <w:outlineLvl w:val="2"/>
        <w:rPr>
          <w:rFonts w:ascii="Times New Roman" w:eastAsia="Times New Roman,ＭＳ ゴシック" w:hAnsi="Times New Roman" w:cs="Times New Roman"/>
          <w:lang w:eastAsia="en-US"/>
        </w:rPr>
      </w:pPr>
      <w:r w:rsidRPr="00F94B7E">
        <w:rPr>
          <w:rFonts w:ascii="Times New Roman" w:eastAsia="Times New Roman,ＭＳ ゴシック" w:hAnsi="Times New Roman" w:cs="Times New Roman"/>
          <w:i/>
          <w:iCs/>
          <w:lang w:eastAsia="en-US"/>
        </w:rPr>
        <w:t xml:space="preserve">Ratio ceilings?  </w:t>
      </w:r>
      <w:r w:rsidRPr="00F94B7E">
        <w:rPr>
          <w:rFonts w:ascii="Times New Roman" w:eastAsia="Times New Roman,ＭＳ ゴシック" w:hAnsi="Times New Roman" w:cs="Times New Roman"/>
          <w:lang w:eastAsia="en-US"/>
        </w:rPr>
        <w:t>The Exxon Valdez case indicates the extent of the Supreme Court</w:t>
      </w:r>
      <w:r w:rsidR="00B05F31" w:rsidRPr="00F94B7E">
        <w:rPr>
          <w:rFonts w:ascii="Times New Roman" w:eastAsia="Times New Roman,ＭＳ ゴシック" w:hAnsi="Times New Roman" w:cs="Times New Roman"/>
          <w:lang w:eastAsia="en-US"/>
        </w:rPr>
        <w:t>’</w:t>
      </w:r>
      <w:r w:rsidRPr="00F94B7E">
        <w:rPr>
          <w:rFonts w:ascii="Times New Roman" w:eastAsia="Times New Roman,ＭＳ ゴシック" w:hAnsi="Times New Roman" w:cs="Times New Roman"/>
          <w:lang w:eastAsia="en-US"/>
        </w:rPr>
        <w:t xml:space="preserve">s reliance on a jurisprudence of ratios. But does that reliance on ratios make sense in light of the rationales for punitive damages discussed by Judge Posner at the beginning of the chapter? </w:t>
      </w:r>
    </w:p>
    <w:p w14:paraId="4A99559C" w14:textId="5A4E1316" w:rsidR="00C85B70" w:rsidRPr="00F94B7E" w:rsidRDefault="750671CE" w:rsidP="00F94B7E">
      <w:pPr>
        <w:keepNext/>
        <w:keepLines/>
        <w:autoSpaceDE w:val="0"/>
        <w:autoSpaceDN w:val="0"/>
        <w:adjustRightInd w:val="0"/>
        <w:spacing w:before="200"/>
        <w:ind w:firstLine="360"/>
        <w:outlineLvl w:val="2"/>
        <w:rPr>
          <w:rFonts w:ascii="Times New Roman" w:eastAsia="Times New Roman,ＭＳ ゴシック" w:hAnsi="Times New Roman" w:cs="Times New Roman"/>
          <w:lang w:eastAsia="en-US"/>
        </w:rPr>
      </w:pPr>
      <w:r w:rsidRPr="00F94B7E">
        <w:rPr>
          <w:rFonts w:ascii="Times New Roman" w:eastAsia="Times New Roman,ＭＳ ゴシック" w:hAnsi="Times New Roman" w:cs="Times New Roman"/>
          <w:lang w:eastAsia="en-US"/>
        </w:rPr>
        <w:t xml:space="preserve">Consider that question in the context of </w:t>
      </w:r>
      <w:r w:rsidRPr="00F94B7E">
        <w:rPr>
          <w:rFonts w:ascii="Times New Roman" w:eastAsia="Times New Roman,ＭＳ ゴシック" w:hAnsi="Times New Roman" w:cs="Times New Roman"/>
          <w:i/>
          <w:iCs/>
          <w:lang w:eastAsia="en-US"/>
        </w:rPr>
        <w:t>Jacque v. Steenberg Homes, Inc.</w:t>
      </w:r>
      <w:r w:rsidRPr="00F94B7E">
        <w:rPr>
          <w:rFonts w:ascii="Times New Roman" w:eastAsia="Times New Roman,ＭＳ ゴシック" w:hAnsi="Times New Roman" w:cs="Times New Roman"/>
          <w:lang w:eastAsia="en-US"/>
        </w:rPr>
        <w:t>, 563 N.W.2d 154 (Wis. 1997), where the defendant ignored plaintiff landowner</w:t>
      </w:r>
      <w:r w:rsidR="00B05F31" w:rsidRPr="00F94B7E">
        <w:rPr>
          <w:rFonts w:ascii="Times New Roman" w:eastAsia="Times New Roman,ＭＳ ゴシック" w:hAnsi="Times New Roman" w:cs="Times New Roman"/>
          <w:lang w:eastAsia="en-US"/>
        </w:rPr>
        <w:t>’</w:t>
      </w:r>
      <w:r w:rsidRPr="00F94B7E">
        <w:rPr>
          <w:rFonts w:ascii="Times New Roman" w:eastAsia="Times New Roman,ＭＳ ゴシック" w:hAnsi="Times New Roman" w:cs="Times New Roman"/>
          <w:lang w:eastAsia="en-US"/>
        </w:rPr>
        <w:t>s express refusal to allow him to cross the land in question and crossed over the land to deliver a mobile home. At trial</w:t>
      </w:r>
      <w:r w:rsidR="00E94FBE">
        <w:rPr>
          <w:rFonts w:ascii="Times New Roman" w:eastAsia="Times New Roman,ＭＳ ゴシック" w:hAnsi="Times New Roman" w:cs="Times New Roman"/>
          <w:lang w:eastAsia="en-US"/>
        </w:rPr>
        <w:t>,</w:t>
      </w:r>
      <w:r w:rsidRPr="00F94B7E">
        <w:rPr>
          <w:rFonts w:ascii="Times New Roman" w:eastAsia="Times New Roman,ＭＳ ゴシック" w:hAnsi="Times New Roman" w:cs="Times New Roman"/>
          <w:lang w:eastAsia="en-US"/>
        </w:rPr>
        <w:t xml:space="preserve"> the defendant contended that the crossing had done no damage to the plaintiff</w:t>
      </w:r>
      <w:r w:rsidR="00B05F31" w:rsidRPr="00F94B7E">
        <w:rPr>
          <w:rFonts w:ascii="Times New Roman" w:eastAsia="Times New Roman,ＭＳ ゴシック" w:hAnsi="Times New Roman" w:cs="Times New Roman"/>
          <w:lang w:eastAsia="en-US"/>
        </w:rPr>
        <w:t>’</w:t>
      </w:r>
      <w:r w:rsidRPr="00F94B7E">
        <w:rPr>
          <w:rFonts w:ascii="Times New Roman" w:eastAsia="Times New Roman,ＭＳ ゴシック" w:hAnsi="Times New Roman" w:cs="Times New Roman"/>
          <w:lang w:eastAsia="en-US"/>
        </w:rPr>
        <w:t>s land and that therefore neither compensatory nor punitive damages could properly be awarded.  The Wisconsin Supreme Court would have none of it:</w:t>
      </w:r>
    </w:p>
    <w:p w14:paraId="77760FBE" w14:textId="77777777" w:rsidR="00C85B70" w:rsidRPr="00DB5930" w:rsidRDefault="00C85B70" w:rsidP="00C85B70">
      <w:pPr>
        <w:ind w:left="720" w:right="720"/>
        <w:rPr>
          <w:rFonts w:ascii="Times New Roman" w:eastAsia="Times New Roman" w:hAnsi="Times New Roman" w:cs="Times New Roman"/>
          <w:lang w:eastAsia="en-US"/>
        </w:rPr>
      </w:pPr>
    </w:p>
    <w:p w14:paraId="0746F692" w14:textId="354EE3E8" w:rsidR="00C85B70" w:rsidRPr="00DB5930" w:rsidRDefault="750671CE" w:rsidP="00F94B7E">
      <w:pPr>
        <w:ind w:left="720" w:right="720"/>
        <w:jc w:val="both"/>
        <w:rPr>
          <w:rFonts w:ascii="Times New Roman" w:eastAsia="Times New Roman" w:hAnsi="Times New Roman" w:cs="Times New Roman"/>
          <w:lang w:eastAsia="en-US"/>
        </w:rPr>
      </w:pPr>
      <w:r w:rsidRPr="00DB5930">
        <w:rPr>
          <w:rFonts w:ascii="Times New Roman" w:eastAsia="Times New Roman" w:hAnsi="Times New Roman" w:cs="Times New Roman"/>
          <w:lang w:eastAsia="en-US"/>
        </w:rPr>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DB5930">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 xml:space="preserve"> land and dragged the mobile home across that path, in the face of the Jacques</w:t>
      </w:r>
      <w:r w:rsidR="00B05F31" w:rsidRPr="00DB5930">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DB5930" w:rsidRDefault="00C85B70" w:rsidP="00F94B7E">
      <w:pPr>
        <w:ind w:left="720" w:right="720"/>
        <w:jc w:val="both"/>
        <w:rPr>
          <w:rFonts w:ascii="Times New Roman" w:eastAsia="Times New Roman" w:hAnsi="Times New Roman" w:cs="Times New Roman"/>
          <w:lang w:eastAsia="en-US"/>
        </w:rPr>
      </w:pPr>
    </w:p>
    <w:p w14:paraId="3C28CD32" w14:textId="77777777" w:rsidR="00C85B70" w:rsidRPr="00DB5930" w:rsidRDefault="750671CE" w:rsidP="00F94B7E">
      <w:pPr>
        <w:ind w:left="720" w:right="720"/>
        <w:jc w:val="both"/>
        <w:rPr>
          <w:rFonts w:ascii="Times New Roman" w:eastAsia="Times New Roman" w:hAnsi="Times New Roman" w:cs="Times New Roman"/>
          <w:lang w:eastAsia="en-US"/>
        </w:rPr>
      </w:pPr>
      <w:r w:rsidRPr="00DB5930">
        <w:rPr>
          <w:rFonts w:ascii="Times New Roman" w:eastAsia="Times New Roman" w:hAnsi="Times New Roman" w:cs="Times New Roman"/>
          <w:lang w:eastAsia="en-US"/>
        </w:rPr>
        <w:t>In conclusion, we hold that when nominal damages are awarded for an intentional trespass to land, punitive damages may, in the discretion of the jury, be awarded.</w:t>
      </w:r>
    </w:p>
    <w:p w14:paraId="0454CE9C" w14:textId="77777777" w:rsidR="00C85B70" w:rsidRPr="00DB5930" w:rsidRDefault="00C85B70" w:rsidP="00C85B70">
      <w:pPr>
        <w:rPr>
          <w:rFonts w:ascii="Times New Roman" w:eastAsia="Times New Roman" w:hAnsi="Times New Roman" w:cs="Times New Roman"/>
          <w:lang w:eastAsia="en-US"/>
        </w:rPr>
      </w:pPr>
    </w:p>
    <w:p w14:paraId="4486E92C" w14:textId="7EB5C1D5" w:rsidR="00C85B70" w:rsidRPr="00DB5930" w:rsidRDefault="750671CE" w:rsidP="750671CE">
      <w:pPr>
        <w:rPr>
          <w:rFonts w:ascii="Times New Roman" w:eastAsia="Times New Roman" w:hAnsi="Times New Roman" w:cs="Times New Roman"/>
          <w:lang w:eastAsia="en-US"/>
        </w:rPr>
      </w:pPr>
      <w:r w:rsidRPr="00DB5930">
        <w:rPr>
          <w:rFonts w:ascii="Times New Roman" w:eastAsia="Times New Roman" w:hAnsi="Times New Roman" w:cs="Times New Roman"/>
          <w:i/>
          <w:iCs/>
          <w:lang w:eastAsia="en-US"/>
        </w:rPr>
        <w:t>Jacque</w:t>
      </w:r>
      <w:r w:rsidRPr="00DB5930">
        <w:rPr>
          <w:rFonts w:ascii="Times New Roman" w:eastAsia="Times New Roman" w:hAnsi="Times New Roman" w:cs="Times New Roman"/>
          <w:lang w:eastAsia="en-US"/>
        </w:rPr>
        <w:t xml:space="preserve">, 563 N.W.2d at 161. The Court thus upheld an award of $100,000 in punitive damages.  Does the 1,000 to 1 ratio in </w:t>
      </w:r>
      <w:r w:rsidRPr="00DB5930">
        <w:rPr>
          <w:rFonts w:ascii="Times New Roman" w:eastAsia="Times New Roman" w:hAnsi="Times New Roman" w:cs="Times New Roman"/>
          <w:i/>
          <w:iCs/>
          <w:lang w:eastAsia="en-US"/>
        </w:rPr>
        <w:t>Jacque</w:t>
      </w:r>
      <w:r w:rsidRPr="00DB5930">
        <w:rPr>
          <w:rFonts w:ascii="Times New Roman" w:eastAsia="Times New Roman" w:hAnsi="Times New Roman" w:cs="Times New Roman"/>
          <w:lang w:eastAsia="en-US"/>
        </w:rPr>
        <w:t xml:space="preserve"> violate the </w:t>
      </w:r>
      <w:r w:rsidRPr="00DB5930">
        <w:rPr>
          <w:rFonts w:ascii="Times New Roman" w:eastAsia="Times New Roman" w:hAnsi="Times New Roman" w:cs="Times New Roman"/>
          <w:i/>
          <w:iCs/>
          <w:lang w:eastAsia="en-US"/>
        </w:rPr>
        <w:t>BMW v. Gore</w:t>
      </w:r>
      <w:r w:rsidRPr="00DB5930">
        <w:rPr>
          <w:rFonts w:ascii="Times New Roman" w:eastAsia="Times New Roman" w:hAnsi="Times New Roman" w:cs="Times New Roman"/>
          <w:lang w:eastAsia="en-US"/>
        </w:rPr>
        <w:t xml:space="preserve"> rule as refined in </w:t>
      </w:r>
      <w:r w:rsidRPr="00DB5930">
        <w:rPr>
          <w:rFonts w:ascii="Times New Roman" w:eastAsia="Times New Roman" w:hAnsi="Times New Roman" w:cs="Times New Roman"/>
          <w:i/>
          <w:iCs/>
          <w:lang w:eastAsia="en-US"/>
        </w:rPr>
        <w:t>State Farm</w:t>
      </w:r>
      <w:r w:rsidRPr="00DB5930">
        <w:rPr>
          <w:rFonts w:ascii="Times New Roman" w:eastAsia="Times New Roman" w:hAnsi="Times New Roman" w:cs="Times New Roman"/>
          <w:lang w:eastAsia="en-US"/>
        </w:rPr>
        <w:t>?  Ought cases of nominal compensatory damages be governed by the Court</w:t>
      </w:r>
      <w:r w:rsidR="00B05F31" w:rsidRPr="00DB5930">
        <w:rPr>
          <w:rFonts w:ascii="Times New Roman" w:eastAsia="Times New Roman" w:hAnsi="Times New Roman" w:cs="Times New Roman"/>
          <w:lang w:eastAsia="en-US"/>
        </w:rPr>
        <w:t>’</w:t>
      </w:r>
      <w:r w:rsidRPr="00DB5930">
        <w:rPr>
          <w:rFonts w:ascii="Times New Roman" w:eastAsia="Times New Roman" w:hAnsi="Times New Roman" w:cs="Times New Roman"/>
          <w:lang w:eastAsia="en-US"/>
        </w:rPr>
        <w:t>s ratios?  And if not, should the fact of some positive compensatory damages (however modest) move a case back into a ratio governed domain?</w:t>
      </w:r>
    </w:p>
    <w:p w14:paraId="06AC2729" w14:textId="77777777" w:rsidR="00C85B70" w:rsidRPr="00C85B70" w:rsidRDefault="00C85B70" w:rsidP="00C85B70">
      <w:pPr>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 xml:space="preserve"> </w:t>
      </w:r>
    </w:p>
    <w:p w14:paraId="15671222" w14:textId="77777777" w:rsidR="00C85B70" w:rsidRPr="00C85B70" w:rsidRDefault="00C85B70" w:rsidP="00C85B70">
      <w:pPr>
        <w:rPr>
          <w:rFonts w:ascii="Times New Roman" w:eastAsia="Times New Roman" w:hAnsi="Times New Roman" w:cs="Times New Roman"/>
          <w:lang w:eastAsia="en-US"/>
        </w:rPr>
      </w:pPr>
    </w:p>
    <w:p w14:paraId="2E2F6BB5" w14:textId="31BC7159" w:rsidR="00C85B70" w:rsidRPr="00F94B7E" w:rsidRDefault="750671CE" w:rsidP="00F94B7E">
      <w:pPr>
        <w:pStyle w:val="ListParagraph"/>
        <w:numPr>
          <w:ilvl w:val="0"/>
          <w:numId w:val="131"/>
        </w:numPr>
        <w:ind w:left="0" w:firstLine="360"/>
        <w:rPr>
          <w:rFonts w:ascii="Times New Roman" w:eastAsia="Times New Roman" w:hAnsi="Times New Roman" w:cs="Times New Roman"/>
          <w:lang w:eastAsia="en-US"/>
        </w:rPr>
      </w:pPr>
      <w:r w:rsidRPr="00F94B7E">
        <w:rPr>
          <w:rFonts w:ascii="Times New Roman" w:eastAsia="Times New Roman" w:hAnsi="Times New Roman" w:cs="Times New Roman"/>
          <w:i/>
          <w:iCs/>
          <w:lang w:eastAsia="en-US"/>
        </w:rPr>
        <w:t xml:space="preserve">Societal damages? </w:t>
      </w:r>
      <w:r w:rsidRPr="00F94B7E">
        <w:rPr>
          <w:rFonts w:ascii="Times New Roman" w:eastAsia="Times New Roman" w:hAnsi="Times New Roman" w:cs="Times New Roman"/>
          <w:lang w:eastAsia="en-US"/>
        </w:rPr>
        <w:t xml:space="preserve"> As Justice Stevens notes, the punitive damages in </w:t>
      </w:r>
      <w:r w:rsidRPr="00F94B7E">
        <w:rPr>
          <w:rFonts w:ascii="Times New Roman" w:eastAsia="Times New Roman" w:hAnsi="Times New Roman" w:cs="Times New Roman"/>
          <w:i/>
          <w:iCs/>
          <w:lang w:eastAsia="en-US"/>
        </w:rPr>
        <w:t>Williams</w:t>
      </w:r>
      <w:r w:rsidRPr="00F94B7E">
        <w:rPr>
          <w:rFonts w:ascii="Times New Roman" w:eastAsia="Times New Roman" w:hAnsi="Times New Roman" w:cs="Times New Roman"/>
          <w:lang w:eastAsia="en-US"/>
        </w:rPr>
        <w:t xml:space="preserve"> were in part allocated to the state. As Professor Catherine Sharkey points out, it is a striking feature of punitive damages that they have often, at least historically, been motivated by harm to non-parties in the case. Sharkey suggests an interesting idea for managing this facet of punitive damages by splitting off the </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societal</w:t>
      </w:r>
      <w:r w:rsidR="00B05F31" w:rsidRPr="00F94B7E">
        <w:rPr>
          <w:rFonts w:ascii="Times New Roman" w:eastAsia="Times New Roman" w:hAnsi="Times New Roman" w:cs="Times New Roman"/>
          <w:lang w:eastAsia="en-US"/>
        </w:rPr>
        <w:t>”</w:t>
      </w:r>
      <w:r w:rsidRPr="00F94B7E">
        <w:rPr>
          <w:rFonts w:ascii="Times New Roman" w:eastAsia="Times New Roman" w:hAnsi="Times New Roman" w:cs="Times New Roman"/>
          <w:lang w:eastAsia="en-US"/>
        </w:rPr>
        <w:t xml:space="preserve"> component of the award and funneling it toward the state:</w:t>
      </w:r>
    </w:p>
    <w:p w14:paraId="6C43D1EC" w14:textId="77777777" w:rsidR="00C85B70" w:rsidRPr="00C85B70" w:rsidRDefault="00C85B70" w:rsidP="00C85B70">
      <w:pPr>
        <w:rPr>
          <w:rFonts w:ascii="Times New Roman" w:eastAsia="Times New Roman" w:hAnsi="Times New Roman" w:cs="Times New Roman"/>
          <w:lang w:eastAsia="en-US"/>
        </w:rPr>
      </w:pPr>
    </w:p>
    <w:p w14:paraId="00D93C68" w14:textId="4F575B95" w:rsidR="00C85B70" w:rsidRDefault="750671CE" w:rsidP="00F94B7E">
      <w:pPr>
        <w:pStyle w:val="blockquote"/>
        <w:rPr>
          <w:lang w:eastAsia="en-US"/>
        </w:rPr>
      </w:pPr>
      <w:r w:rsidRPr="750671CE">
        <w:rPr>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Pr>
          <w:lang w:eastAsia="en-US"/>
        </w:rPr>
        <w:t>’</w:t>
      </w:r>
      <w:r w:rsidRPr="750671CE">
        <w:rPr>
          <w:lang w:eastAsia="en-US"/>
        </w:rPr>
        <w:t>s award of significant punitive damages in single-plaintiff (i.e., non-class action or consolidated multiparty) cases. . . .</w:t>
      </w:r>
    </w:p>
    <w:p w14:paraId="08ED4126" w14:textId="77777777" w:rsidR="009D2BF0" w:rsidRPr="00C85B70" w:rsidRDefault="009D2BF0" w:rsidP="00F94B7E">
      <w:pPr>
        <w:pStyle w:val="blockquote"/>
        <w:rPr>
          <w:lang w:eastAsia="en-US"/>
        </w:rPr>
      </w:pPr>
    </w:p>
    <w:p w14:paraId="28EF0406" w14:textId="41120848" w:rsidR="00C85B70" w:rsidRPr="00C85B70" w:rsidRDefault="750671CE" w:rsidP="00F94B7E">
      <w:pPr>
        <w:pStyle w:val="blockquote"/>
        <w:rPr>
          <w:lang w:eastAsia="en-US"/>
        </w:rPr>
      </w:pPr>
      <w:r w:rsidRPr="750671CE">
        <w:rPr>
          <w:lang w:eastAsia="en-US"/>
        </w:rPr>
        <w:t>The entire theory of societal damages may be attacked as an end run around class certification rules and procedures</w:t>
      </w:r>
      <w:r w:rsidR="00832826">
        <w:rPr>
          <w:lang w:eastAsia="en-US"/>
        </w:rPr>
        <w:t>—</w:t>
      </w:r>
      <w:r w:rsidRPr="750671CE">
        <w:rPr>
          <w:lang w:eastAsia="en-US"/>
        </w:rPr>
        <w:t xml:space="preserve">allowing punitive damages to serve as </w:t>
      </w:r>
      <w:r w:rsidR="00B05F31">
        <w:rPr>
          <w:lang w:eastAsia="en-US"/>
        </w:rPr>
        <w:t>“</w:t>
      </w:r>
      <w:r w:rsidRPr="750671CE">
        <w:rPr>
          <w:lang w:eastAsia="en-US"/>
        </w:rPr>
        <w:t>the poor man</w:t>
      </w:r>
      <w:r w:rsidR="00B05F31">
        <w:rPr>
          <w:lang w:eastAsia="en-US"/>
        </w:rPr>
        <w:t>’</w:t>
      </w:r>
      <w:r w:rsidRPr="750671CE">
        <w:rPr>
          <w:lang w:eastAsia="en-US"/>
        </w:rPr>
        <w:t>s class action.</w:t>
      </w:r>
      <w:r w:rsidR="00B05F31">
        <w:rPr>
          <w:lang w:eastAsia="en-US"/>
        </w:rPr>
        <w:t>”</w:t>
      </w:r>
      <w:r w:rsidRPr="750671CE">
        <w:rPr>
          <w:lang w:eastAsia="en-US"/>
        </w:rPr>
        <w:t xml:space="preserve"> . . . In fact, split-recovery schemes, as they now exist</w:t>
      </w:r>
      <w:r w:rsidR="009D2BF0" w:rsidRPr="009D2BF0">
        <w:rPr>
          <w:lang w:eastAsia="en-US"/>
        </w:rPr>
        <w:t>—</w:t>
      </w:r>
      <w:r w:rsidRPr="750671CE">
        <w:rPr>
          <w:lang w:eastAsia="en-US"/>
        </w:rPr>
        <w:t>especially those that give over a significant portion of punitive damages awards directly to the state</w:t>
      </w:r>
      <w:r w:rsidR="00274D34" w:rsidRPr="00274D34">
        <w:rPr>
          <w:lang w:eastAsia="en-US"/>
        </w:rPr>
        <w:t>—</w:t>
      </w:r>
      <w:r w:rsidRPr="750671CE">
        <w:rPr>
          <w:lang w:eastAsia="en-US"/>
        </w:rPr>
        <w:t xml:space="preserve">would provide particularly egregious examples: The state is in effect </w:t>
      </w:r>
      <w:r w:rsidR="00B05F31">
        <w:rPr>
          <w:lang w:eastAsia="en-US"/>
        </w:rPr>
        <w:t>“</w:t>
      </w:r>
      <w:r w:rsidRPr="750671CE">
        <w:rPr>
          <w:lang w:eastAsia="en-US"/>
        </w:rPr>
        <w:t>bribed</w:t>
      </w:r>
      <w:r w:rsidR="00B05F31">
        <w:rPr>
          <w:lang w:eastAsia="en-US"/>
        </w:rPr>
        <w:t>”</w:t>
      </w:r>
      <w:r w:rsidRPr="750671CE">
        <w:rPr>
          <w:lang w:eastAsia="en-US"/>
        </w:rPr>
        <w:t xml:space="preserve"> to overlook the compromise of procedural protections, and the state is under no duty to use its recovery to effectuate compensation (or any other goal). </w:t>
      </w:r>
    </w:p>
    <w:p w14:paraId="10E8FF36" w14:textId="77777777" w:rsidR="009D2BF0" w:rsidRDefault="009D2BF0" w:rsidP="750671CE">
      <w:pPr>
        <w:autoSpaceDE w:val="0"/>
        <w:autoSpaceDN w:val="0"/>
        <w:adjustRightInd w:val="0"/>
        <w:contextualSpacing/>
        <w:rPr>
          <w:rFonts w:ascii="Times New Roman" w:eastAsia="Times New Roman" w:hAnsi="Times New Roman" w:cs="Times New Roman"/>
          <w:lang w:eastAsia="en-US"/>
        </w:rPr>
      </w:pPr>
    </w:p>
    <w:p w14:paraId="747A3464" w14:textId="6BD47A03" w:rsidR="00C85B70" w:rsidRPr="00C85B70" w:rsidRDefault="750671CE" w:rsidP="750671CE">
      <w:pPr>
        <w:autoSpaceDE w:val="0"/>
        <w:autoSpaceDN w:val="0"/>
        <w:adjustRightInd w:val="0"/>
        <w:contextualSpacing/>
        <w:rPr>
          <w:rFonts w:ascii="Times New Roman" w:eastAsia="Times New Roman" w:hAnsi="Times New Roman" w:cs="Times New Roman"/>
          <w:lang w:eastAsia="en-US"/>
        </w:rPr>
      </w:pPr>
      <w:r w:rsidRPr="750671CE">
        <w:rPr>
          <w:rFonts w:ascii="Times New Roman" w:eastAsia="Times New Roman" w:hAnsi="Times New Roman" w:cs="Times New Roman"/>
          <w:lang w:eastAsia="en-US"/>
        </w:rPr>
        <w:t xml:space="preserve">Catherine M. Sharkey, </w:t>
      </w:r>
      <w:r w:rsidRPr="750671CE">
        <w:rPr>
          <w:rFonts w:ascii="Times New Roman" w:eastAsia="Times New Roman" w:hAnsi="Times New Roman" w:cs="Times New Roman"/>
          <w:i/>
          <w:iCs/>
          <w:lang w:eastAsia="en-US"/>
        </w:rPr>
        <w:t xml:space="preserve">Punitive Damages </w:t>
      </w:r>
      <w:r w:rsidR="009D2BF0">
        <w:rPr>
          <w:rFonts w:ascii="Times New Roman" w:eastAsia="Times New Roman" w:hAnsi="Times New Roman" w:cs="Times New Roman"/>
          <w:i/>
          <w:iCs/>
          <w:lang w:eastAsia="en-US"/>
        </w:rPr>
        <w:t>a</w:t>
      </w:r>
      <w:r w:rsidRPr="750671CE">
        <w:rPr>
          <w:rFonts w:ascii="Times New Roman" w:eastAsia="Times New Roman" w:hAnsi="Times New Roman" w:cs="Times New Roman"/>
          <w:i/>
          <w:iCs/>
          <w:lang w:eastAsia="en-US"/>
        </w:rPr>
        <w:t>s Societal Damages</w:t>
      </w:r>
      <w:r w:rsidRPr="750671CE">
        <w:rPr>
          <w:rFonts w:ascii="Times New Roman" w:eastAsia="Times New Roman" w:hAnsi="Times New Roman" w:cs="Times New Roman"/>
          <w:lang w:eastAsia="en-US"/>
        </w:rPr>
        <w:t xml:space="preserve">, 113 </w:t>
      </w:r>
      <w:r w:rsidRPr="00F94B7E">
        <w:rPr>
          <w:rFonts w:ascii="Times New Roman" w:eastAsia="Times New Roman" w:hAnsi="Times New Roman" w:cs="Times New Roman"/>
          <w:smallCaps/>
          <w:lang w:eastAsia="en-US"/>
        </w:rPr>
        <w:t>Yale L.J.</w:t>
      </w:r>
      <w:r w:rsidRPr="750671CE">
        <w:rPr>
          <w:rFonts w:ascii="Times New Roman" w:eastAsia="Times New Roman" w:hAnsi="Times New Roman" w:cs="Times New Roman"/>
          <w:lang w:eastAsia="en-US"/>
        </w:rPr>
        <w:t xml:space="preserve"> 347 (2003). Do you find her proposal compelling? One objection is that plaintiffs will simply settle with defendants to exclude the state from receiving its share. </w:t>
      </w:r>
    </w:p>
    <w:p w14:paraId="0F38E059" w14:textId="77777777" w:rsidR="00C85B70" w:rsidRPr="00C85B70" w:rsidRDefault="00C85B70" w:rsidP="00C85B70">
      <w:pPr>
        <w:autoSpaceDE w:val="0"/>
        <w:autoSpaceDN w:val="0"/>
        <w:adjustRightInd w:val="0"/>
        <w:contextualSpacing/>
        <w:rPr>
          <w:rFonts w:ascii="Times New Roman" w:eastAsia="Times New Roman" w:hAnsi="Times New Roman" w:cs="Times New Roman"/>
          <w:lang w:eastAsia="en-US"/>
        </w:rPr>
      </w:pPr>
    </w:p>
    <w:p w14:paraId="657B7CA6" w14:textId="3E5ABEA9" w:rsidR="002E68BC" w:rsidRPr="00257A5C" w:rsidRDefault="00C85B70" w:rsidP="750671CE">
      <w:pPr>
        <w:autoSpaceDE w:val="0"/>
        <w:autoSpaceDN w:val="0"/>
        <w:adjustRightInd w:val="0"/>
        <w:contextualSpacing/>
        <w:rPr>
          <w:rFonts w:ascii="Times New Roman" w:eastAsia="Times New Roman" w:hAnsi="Times New Roman" w:cs="Times New Roman"/>
          <w:lang w:eastAsia="en-US"/>
        </w:rPr>
      </w:pPr>
      <w:r w:rsidRPr="00C85B70">
        <w:rPr>
          <w:rFonts w:ascii="Times New Roman" w:eastAsia="Times New Roman" w:hAnsi="Times New Roman" w:cs="Times New Roman"/>
          <w:lang w:eastAsia="en-US"/>
        </w:rPr>
        <w:tab/>
        <w:t>Another is that the theory of punitives as societal damages has no m</w:t>
      </w:r>
      <w:r w:rsidR="00BC396C">
        <w:rPr>
          <w:rFonts w:ascii="Times New Roman" w:eastAsia="Times New Roman" w:hAnsi="Times New Roman" w:cs="Times New Roman"/>
          <w:lang w:eastAsia="en-US"/>
        </w:rPr>
        <w:t xml:space="preserve">echanism for claim preclusion. </w:t>
      </w:r>
      <w:r w:rsidRPr="00C85B70">
        <w:rPr>
          <w:rFonts w:ascii="Times New Roman" w:eastAsia="Times New Roman" w:hAnsi="Times New Roman" w:cs="Times New Roman"/>
          <w:lang w:eastAsia="en-US"/>
        </w:rPr>
        <w:t xml:space="preserve">The theory of </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societal damages</w:t>
      </w:r>
      <w:r w:rsidR="00B05F31">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rPr>
          <w:rFonts w:ascii="Times New Roman" w:eastAsia="Times New Roman" w:hAnsi="Times New Roman" w:cs="Times New Roman"/>
          <w:lang w:eastAsia="en-US"/>
        </w:rPr>
        <w:t xml:space="preserve">lack a coordination mechanism. </w:t>
      </w:r>
      <w:r w:rsidRPr="00C85B70">
        <w:rPr>
          <w:rFonts w:ascii="Times New Roman" w:eastAsia="Times New Roman" w:hAnsi="Times New Roman" w:cs="Times New Roman"/>
          <w:lang w:eastAsia="en-US"/>
        </w:rPr>
        <w:t>Nothing in the law of punitive damages precludes a second award of damages in t</w:t>
      </w:r>
      <w:r w:rsidR="00BC396C">
        <w:rPr>
          <w:rFonts w:ascii="Times New Roman" w:eastAsia="Times New Roman" w:hAnsi="Times New Roman" w:cs="Times New Roman"/>
          <w:lang w:eastAsia="en-US"/>
        </w:rPr>
        <w:t xml:space="preserve">he same state or jurisdiction. </w:t>
      </w:r>
      <w:r w:rsidRPr="00C85B70">
        <w:rPr>
          <w:rFonts w:ascii="Times New Roman" w:eastAsia="Times New Roman" w:hAnsi="Times New Roman" w:cs="Times New Roman"/>
          <w:lang w:eastAsia="en-US"/>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274D34">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especially a low first award</w:t>
      </w:r>
      <w:r w:rsidR="00274D34" w:rsidRPr="00274D34">
        <w:rPr>
          <w:rFonts w:ascii="Times New Roman" w:eastAsia="Times New Roman" w:hAnsi="Times New Roman" w:cs="Times New Roman"/>
          <w:lang w:eastAsia="en-US"/>
        </w:rPr>
        <w:t>—</w:t>
      </w:r>
      <w:r w:rsidRPr="00C85B70">
        <w:rPr>
          <w:rFonts w:ascii="Times New Roman" w:eastAsia="Times New Roman" w:hAnsi="Times New Roman" w:cs="Times New Roman"/>
          <w:lang w:eastAsia="en-US"/>
        </w:rPr>
        <w:t>as pro</w:t>
      </w:r>
      <w:r w:rsidR="00257A5C">
        <w:rPr>
          <w:rFonts w:ascii="Times New Roman" w:eastAsia="Times New Roman" w:hAnsi="Times New Roman" w:cs="Times New Roman"/>
          <w:lang w:eastAsia="en-US"/>
        </w:rPr>
        <w:t>tection against future awards.</w:t>
      </w:r>
    </w:p>
    <w:sectPr w:rsidR="002E68BC" w:rsidRPr="00257A5C" w:rsidSect="00080A6E">
      <w:headerReference w:type="even" r:id="rId84"/>
      <w:headerReference w:type="default" r:id="rId85"/>
      <w:headerReference w:type="first" r:id="rId86"/>
      <w:pgSz w:w="12240" w:h="15840"/>
      <w:pgMar w:top="1440" w:right="1800" w:bottom="1440" w:left="1800" w:header="720" w:footer="720" w:gutter="0"/>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3B9925" w14:textId="77777777" w:rsidR="00E35F15" w:rsidRDefault="00E35F15" w:rsidP="00322595">
      <w:r>
        <w:separator/>
      </w:r>
    </w:p>
  </w:endnote>
  <w:endnote w:type="continuationSeparator" w:id="0">
    <w:p w14:paraId="092EDFC0" w14:textId="77777777" w:rsidR="00E35F15" w:rsidRDefault="00E35F15"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auto"/>
    <w:pitch w:val="variable"/>
    <w:sig w:usb0="E00002FF" w:usb1="7AC7FFFF" w:usb2="00000012" w:usb3="00000000" w:csb0="0002000D" w:csb1="00000000"/>
  </w:font>
  <w:font w:name="Times New Roman,¥Z8Óˇøù•'1">
    <w:altName w:val="Times New Roman"/>
    <w:charset w:val="00"/>
    <w:family w:val="auto"/>
    <w:pitch w:val="variable"/>
    <w:sig w:usb0="00000003" w:usb1="00000000" w:usb2="00000000" w:usb3="00000000" w:csb0="00000001" w:csb1="00000000"/>
  </w:font>
  <w:font w:name="Times,Garamond">
    <w:altName w:val="Times New Roman"/>
    <w:panose1 w:val="00000000000000000000"/>
    <w:charset w:val="00"/>
    <w:family w:val="roman"/>
    <w:notTrueType/>
    <w:pitch w:val="default"/>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00000003" w:usb1="00000000" w:usb2="00000000" w:usb3="00000000" w:csb0="00000001" w:csb1="00000000"/>
  </w:font>
  <w:font w:name="Times New Roman,Batang">
    <w:charset w:val="00"/>
    <w:family w:val="auto"/>
    <w:pitch w:val="variable"/>
    <w:sig w:usb0="00000003" w:usb1="00000000" w:usb2="00000000" w:usb3="00000000" w:csb0="00000001" w:csb1="00000000"/>
  </w:font>
  <w:font w:name="Times New Roman,,ＭＳ ゴシック">
    <w:charset w:val="00"/>
    <w:family w:val="auto"/>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8A7121" w14:textId="77777777" w:rsidR="001853BF" w:rsidRDefault="001853BF" w:rsidP="006456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722B05E" w14:textId="77777777" w:rsidR="001853BF" w:rsidRDefault="001853B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937035972"/>
      <w:docPartObj>
        <w:docPartGallery w:val="Page Numbers (Bottom of Page)"/>
        <w:docPartUnique/>
      </w:docPartObj>
    </w:sdtPr>
    <w:sdtEndPr>
      <w:rPr>
        <w:noProof/>
      </w:rPr>
    </w:sdtEndPr>
    <w:sdtContent>
      <w:p w14:paraId="20E9FF0E" w14:textId="31D76098" w:rsidR="001853BF" w:rsidRPr="00961DD7" w:rsidRDefault="00E35F15">
        <w:pPr>
          <w:pStyle w:val="Footer"/>
          <w:jc w:val="center"/>
          <w:rPr>
            <w:rFonts w:ascii="Times New Roman" w:hAnsi="Times New Roman" w:cs="Times New Roman"/>
          </w:rPr>
        </w:pPr>
      </w:p>
    </w:sdtContent>
  </w:sdt>
  <w:p w14:paraId="56BBB675" w14:textId="77777777" w:rsidR="001853BF" w:rsidRPr="00961DD7" w:rsidRDefault="001853BF">
    <w:pPr>
      <w:pStyle w:val="Footer"/>
      <w:rPr>
        <w:rFonts w:ascii="Times New Roman" w:hAnsi="Times New Roman" w:cs="Times New Roma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6C24C" w14:textId="27F8E859" w:rsidR="001853BF" w:rsidRDefault="001853BF">
    <w:pPr>
      <w:pStyle w:val="Footer"/>
      <w:jc w:val="center"/>
      <w:rPr>
        <w:caps/>
        <w:noProof/>
        <w:color w:val="4F81BD" w:themeColor="accent1"/>
      </w:rPr>
    </w:pPr>
  </w:p>
  <w:p w14:paraId="02A5A565" w14:textId="77777777" w:rsidR="001853BF" w:rsidRDefault="001853BF">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32791B69" w:rsidR="001853BF" w:rsidRPr="00961DD7" w:rsidRDefault="001853BF">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7663E9">
          <w:rPr>
            <w:rFonts w:ascii="Times New Roman" w:hAnsi="Times New Roman" w:cs="Times New Roman"/>
            <w:noProof/>
          </w:rPr>
          <w:t>xii</w:t>
        </w:r>
        <w:r w:rsidRPr="00184225">
          <w:rPr>
            <w:rFonts w:ascii="Times New Roman" w:hAnsi="Times New Roman" w:cs="Times New Roman"/>
            <w:noProof/>
          </w:rPr>
          <w:fldChar w:fldCharType="end"/>
        </w:r>
      </w:p>
    </w:sdtContent>
  </w:sdt>
  <w:p w14:paraId="64D09F38" w14:textId="77777777" w:rsidR="001853BF" w:rsidRPr="00961DD7" w:rsidRDefault="001853BF">
    <w:pPr>
      <w:pStyle w:val="Footer"/>
      <w:rPr>
        <w:rFonts w:ascii="Times New Roman" w:hAnsi="Times New Roman" w:cs="Times New Roma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3E7B1" w14:textId="6184106D" w:rsidR="001853BF" w:rsidRPr="00184225" w:rsidRDefault="001853BF">
    <w:pPr>
      <w:pStyle w:val="Footer"/>
      <w:jc w:val="center"/>
      <w:rPr>
        <w:caps/>
        <w:noProof/>
      </w:rPr>
    </w:pPr>
  </w:p>
  <w:p w14:paraId="30DC1D36" w14:textId="77777777" w:rsidR="001853BF" w:rsidRDefault="001853BF">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1853BF" w:rsidRPr="00961DD7" w:rsidRDefault="001853BF">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7663E9">
          <w:rPr>
            <w:rFonts w:ascii="Times New Roman" w:hAnsi="Times New Roman" w:cs="Times New Roman"/>
            <w:noProof/>
          </w:rPr>
          <w:t>219</w:t>
        </w:r>
        <w:r w:rsidRPr="00184225">
          <w:rPr>
            <w:rFonts w:ascii="Times New Roman" w:hAnsi="Times New Roman" w:cs="Times New Roman"/>
            <w:noProof/>
          </w:rPr>
          <w:fldChar w:fldCharType="end"/>
        </w:r>
      </w:p>
    </w:sdtContent>
  </w:sdt>
  <w:p w14:paraId="21D7EE4F" w14:textId="77777777" w:rsidR="001853BF" w:rsidRPr="00961DD7" w:rsidRDefault="001853BF">
    <w:pPr>
      <w:pStyle w:val="Foote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7C6985" w14:textId="77777777" w:rsidR="00E35F15" w:rsidRDefault="00E35F15" w:rsidP="00322595">
      <w:r>
        <w:separator/>
      </w:r>
    </w:p>
  </w:footnote>
  <w:footnote w:type="continuationSeparator" w:id="0">
    <w:p w14:paraId="3631C2EC" w14:textId="77777777" w:rsidR="00E35F15" w:rsidRDefault="00E35F15" w:rsidP="00322595">
      <w:r>
        <w:continuationSeparator/>
      </w:r>
    </w:p>
  </w:footnote>
  <w:footnote w:id="1">
    <w:p w14:paraId="592224F5" w14:textId="77777777" w:rsidR="00864ECF" w:rsidRPr="000B4EA6" w:rsidRDefault="00864ECF" w:rsidP="00864ECF">
      <w:pPr>
        <w:pStyle w:val="NormalWeb"/>
        <w:spacing w:before="0" w:beforeAutospacing="0" w:after="0" w:afterAutospacing="0"/>
        <w:contextualSpacing/>
        <w:rPr>
          <w:color w:val="000000" w:themeColor="text1"/>
        </w:rPr>
      </w:pPr>
      <w:r w:rsidRPr="000B4EA6">
        <w:rPr>
          <w:rStyle w:val="FootnoteReference"/>
          <w:color w:val="000000" w:themeColor="text1"/>
        </w:rPr>
        <w:footnoteRef/>
      </w:r>
      <w:r w:rsidRPr="000B4EA6">
        <w:rPr>
          <w:color w:val="000000" w:themeColor="text1"/>
        </w:rPr>
        <w:t xml:space="preserve"> </w:t>
      </w:r>
      <w:r>
        <w:rPr>
          <w:color w:val="000000" w:themeColor="text1"/>
        </w:rPr>
        <w:t xml:space="preserve">For more on this topic, </w:t>
      </w:r>
      <w:r w:rsidRPr="00864ECF">
        <w:rPr>
          <w:color w:val="000000" w:themeColor="text1"/>
        </w:rPr>
        <w:t>see</w:t>
      </w:r>
      <w:r>
        <w:rPr>
          <w:i/>
          <w:color w:val="000000" w:themeColor="text1"/>
        </w:rPr>
        <w:t xml:space="preserve"> </w:t>
      </w:r>
      <w:r w:rsidRPr="000B4EA6">
        <w:rPr>
          <w:color w:val="000000" w:themeColor="text1"/>
        </w:rPr>
        <w:t xml:space="preserve">Ellen Bublick, </w:t>
      </w:r>
      <w:r w:rsidRPr="000B4EA6">
        <w:rPr>
          <w:i/>
          <w:color w:val="000000" w:themeColor="text1"/>
        </w:rPr>
        <w:t>Civil Tort Actions Filed by Victims of Sexual Assault: Promise and Perils</w:t>
      </w:r>
      <w:r w:rsidRPr="000B4EA6">
        <w:rPr>
          <w:color w:val="000000" w:themeColor="text1"/>
        </w:rPr>
        <w:t xml:space="preserve">, </w:t>
      </w:r>
      <w:r w:rsidRPr="000B4EA6">
        <w:rPr>
          <w:smallCaps/>
          <w:color w:val="000000" w:themeColor="text1"/>
        </w:rPr>
        <w:t xml:space="preserve">National Online Resource Center on Violence Against Women </w:t>
      </w:r>
      <w:r w:rsidRPr="000B4EA6">
        <w:rPr>
          <w:color w:val="000000" w:themeColor="text1"/>
        </w:rPr>
        <w:t>(2009)</w:t>
      </w:r>
      <w:r>
        <w:rPr>
          <w:color w:val="000000" w:themeColor="text1"/>
        </w:rPr>
        <w:t>,</w:t>
      </w:r>
      <w:r w:rsidRPr="000B4EA6">
        <w:rPr>
          <w:color w:val="000000" w:themeColor="text1"/>
        </w:rPr>
        <w:t xml:space="preserve"> https://vawnet.org/sites/default/files/materials/files/2016-09/AR_CivilTortActions.pdf</w:t>
      </w:r>
      <w:r>
        <w:rPr>
          <w:color w:val="000000" w:themeColor="text1"/>
        </w:rPr>
        <w:t>.</w:t>
      </w:r>
    </w:p>
  </w:footnote>
  <w:footnote w:id="2">
    <w:p w14:paraId="420E4D34" w14:textId="77777777" w:rsidR="001853BF" w:rsidRPr="009E54E4" w:rsidRDefault="001853BF" w:rsidP="005F28D6">
      <w:pPr>
        <w:rPr>
          <w:rFonts w:ascii="Times New Roman" w:hAnsi="Times New Roman" w:cs="Times New Roman"/>
          <w:smallCaps/>
          <w:sz w:val="20"/>
          <w:szCs w:val="20"/>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Y.B.</w:t>
      </w:r>
      <w:r w:rsidRPr="00735627">
        <w:rPr>
          <w:rFonts w:ascii="Times New Roman" w:hAnsi="Times New Roman" w:cs="Times New Roman"/>
          <w:sz w:val="20"/>
          <w:szCs w:val="20"/>
        </w:rPr>
        <w:t xml:space="preserve"> Lib.Ass. folio 99, placitum 60 (Assizes 1348), translated from the Law French in,</w:t>
      </w:r>
      <w:r w:rsidRPr="009E54E4">
        <w:rPr>
          <w:rFonts w:ascii="Times New Roman" w:hAnsi="Times New Roman" w:cs="Times New Roman"/>
          <w:smallCaps/>
          <w:sz w:val="20"/>
          <w:szCs w:val="20"/>
        </w:rPr>
        <w:t xml:space="preserve"> James Barr Ames, Select Cases on Torts</w:t>
      </w:r>
      <w:r w:rsidRPr="009E54E4">
        <w:rPr>
          <w:rFonts w:ascii="Times New Roman" w:hAnsi="Times New Roman" w:cs="Times New Roman"/>
          <w:sz w:val="20"/>
          <w:szCs w:val="20"/>
        </w:rPr>
        <w:t xml:space="preserve"> </w:t>
      </w:r>
      <w:r w:rsidRPr="009E54E4">
        <w:rPr>
          <w:rFonts w:ascii="Times New Roman" w:hAnsi="Times New Roman" w:cs="Times New Roman"/>
          <w:smallCaps/>
          <w:sz w:val="20"/>
          <w:szCs w:val="20"/>
        </w:rPr>
        <w:t>1 (1874).</w:t>
      </w:r>
    </w:p>
    <w:p w14:paraId="39B49A6F" w14:textId="77777777" w:rsidR="001853BF" w:rsidRPr="009E54E4" w:rsidRDefault="001853BF" w:rsidP="005F28D6">
      <w:pPr>
        <w:pStyle w:val="FootnoteText"/>
        <w:rPr>
          <w:rFonts w:ascii="Times New Roman" w:hAnsi="Times New Roman" w:cs="Times New Roman"/>
          <w:sz w:val="20"/>
          <w:szCs w:val="20"/>
        </w:rPr>
      </w:pPr>
    </w:p>
  </w:footnote>
  <w:footnote w:id="3">
    <w:p w14:paraId="029A28FD" w14:textId="03EE0566" w:rsidR="001853BF" w:rsidRPr="00F94B7E" w:rsidRDefault="001853BF"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4">
    <w:p w14:paraId="6F23338B" w14:textId="77777777" w:rsidR="001853BF" w:rsidRPr="009E54E4" w:rsidRDefault="001853BF"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5">
    <w:p w14:paraId="347D6033" w14:textId="77777777" w:rsidR="001853BF" w:rsidRPr="009E54E4" w:rsidRDefault="001853BF"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6">
    <w:p w14:paraId="48E042F1" w14:textId="77777777" w:rsidR="001853BF" w:rsidRPr="009E54E4" w:rsidRDefault="001853BF" w:rsidP="00C22B24">
      <w:pPr>
        <w:spacing w:line="244" w:lineRule="auto"/>
        <w:ind w:right="85"/>
        <w:rPr>
          <w:rFonts w:ascii="Times New Roman" w:hAnsi="Times New Roman" w:cs="Times New Roman"/>
          <w:sz w:val="20"/>
          <w:szCs w:val="20"/>
        </w:rPr>
      </w:pPr>
      <w:r w:rsidRPr="009E54E4">
        <w:rPr>
          <w:rStyle w:val="FootnoteReference"/>
          <w:rFonts w:ascii="Times New Roman" w:hAnsi="Times New Roman" w:cs="Times New Roman"/>
          <w:sz w:val="20"/>
          <w:szCs w:val="20"/>
        </w:rPr>
        <w:t>15</w:t>
      </w:r>
      <w:r w:rsidRPr="009E54E4">
        <w:rPr>
          <w:rFonts w:ascii="Times New Roman" w:hAnsi="Times New Roman" w:cs="Times New Roman"/>
          <w:sz w:val="20"/>
          <w:szCs w:val="20"/>
        </w:rPr>
        <w:t xml:space="preserve"> </w:t>
      </w:r>
      <w:r w:rsidRPr="00F94B7E">
        <w:rPr>
          <w:rFonts w:ascii="Times New Roman" w:hAnsi="Times New Roman" w:cs="Times New Roman"/>
          <w:smallCaps/>
          <w:sz w:val="20"/>
          <w:szCs w:val="20"/>
        </w:rPr>
        <w:t>Restatement, Torts, Tentative Draft No</w:t>
      </w:r>
      <w:r w:rsidRPr="009E54E4">
        <w:rPr>
          <w:rFonts w:ascii="Times New Roman" w:hAnsi="Times New Roman" w:cs="Times New Roman"/>
          <w:sz w:val="20"/>
          <w:szCs w:val="20"/>
        </w:rPr>
        <w:t xml:space="preserve">. 4, </w:t>
      </w:r>
      <w:r w:rsidRPr="00735627">
        <w:rPr>
          <w:rFonts w:ascii="Times New Roman" w:hAnsi="Times New Roman" w:cs="Times New Roman"/>
          <w:sz w:val="20"/>
          <w:szCs w:val="20"/>
        </w:rPr>
        <w:t xml:space="preserve">§ 238A, Comment c. This is quoted with apparent approval in </w:t>
      </w:r>
      <w:r w:rsidRPr="00F94B7E">
        <w:rPr>
          <w:rFonts w:ascii="Times New Roman" w:hAnsi="Times New Roman" w:cs="Times New Roman"/>
          <w:i/>
          <w:sz w:val="20"/>
          <w:szCs w:val="20"/>
        </w:rPr>
        <w:t>Wittmeier v. Post</w:t>
      </w:r>
      <w:r w:rsidRPr="009E54E4">
        <w:rPr>
          <w:rFonts w:ascii="Times New Roman" w:hAnsi="Times New Roman" w:cs="Times New Roman"/>
          <w:sz w:val="20"/>
          <w:szCs w:val="20"/>
        </w:rPr>
        <w:t>, S.D., 105 N.W.2d 65.</w:t>
      </w:r>
    </w:p>
    <w:p w14:paraId="5E74FD27" w14:textId="77777777" w:rsidR="001853BF" w:rsidRPr="00735627" w:rsidRDefault="001853BF" w:rsidP="00C22B24">
      <w:pPr>
        <w:pStyle w:val="FootnoteText"/>
        <w:rPr>
          <w:rFonts w:ascii="Times New Roman" w:hAnsi="Times New Roman" w:cs="Times New Roman"/>
          <w:sz w:val="20"/>
          <w:szCs w:val="20"/>
        </w:rPr>
      </w:pPr>
    </w:p>
  </w:footnote>
  <w:footnote w:id="7">
    <w:p w14:paraId="4920A6B2" w14:textId="362E8B99" w:rsidR="001853BF" w:rsidRPr="009E54E4" w:rsidRDefault="001853BF" w:rsidP="00C22B24">
      <w:pPr>
        <w:pStyle w:val="FootnoteText"/>
        <w:rPr>
          <w:rFonts w:ascii="Times New Roman" w:hAnsi="Times New Roman" w:cs="Times New Roman"/>
          <w:sz w:val="20"/>
          <w:szCs w:val="20"/>
        </w:rPr>
      </w:pPr>
      <w:r w:rsidRPr="00735627">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“According to the Kinsey Report / Every average man you know . . . .”</w:t>
      </w:r>
    </w:p>
  </w:footnote>
  <w:footnote w:id="8">
    <w:p w14:paraId="04A7D93A" w14:textId="01A35165" w:rsidR="001853BF" w:rsidRPr="009E54E4" w:rsidRDefault="001853BF" w:rsidP="00C22B24">
      <w:pPr>
        <w:spacing w:before="41"/>
        <w:ind w:left="100" w:right="154"/>
        <w:rPr>
          <w:rFonts w:ascii="Times New Roman" w:hAnsi="Times New Roman" w:cs="Times New Roman"/>
          <w:sz w:val="20"/>
          <w:szCs w:val="20"/>
        </w:rPr>
      </w:pPr>
      <w:r w:rsidRPr="009E54E4">
        <w:rPr>
          <w:rStyle w:val="FootnoteReference"/>
          <w:rFonts w:ascii="Times New Roman" w:hAnsi="Times New Roman" w:cs="Times New Roman"/>
          <w:sz w:val="20"/>
          <w:szCs w:val="20"/>
        </w:rPr>
        <w:t>9</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One</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writer</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explains:</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w:t>
      </w:r>
      <w:r w:rsidRPr="009E54E4">
        <w:rPr>
          <w:rFonts w:ascii="Times New Roman" w:eastAsia="Times New Roman" w:hAnsi="Times New Roman" w:cs="Times New Roman"/>
          <w:spacing w:val="2"/>
          <w:sz w:val="20"/>
          <w:szCs w:val="20"/>
        </w:rPr>
        <w:t>W</w:t>
      </w:r>
      <w:r w:rsidRPr="009E54E4">
        <w:rPr>
          <w:rFonts w:ascii="Times New Roman" w:eastAsia="Times New Roman" w:hAnsi="Times New Roman" w:cs="Times New Roman"/>
          <w:sz w:val="20"/>
          <w:szCs w:val="20"/>
        </w:rPr>
        <w:t>hile</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any</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wo</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hold</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positive</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attitudes</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about</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uncoerced</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sex,</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their</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greater physical</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social</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vulnerability</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to</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sexual</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coercion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can</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ake</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wo</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wary</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sexual</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encounters.</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Moreover, A</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erican</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wo</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have</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been</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raised</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in</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 society</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where</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rape</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sex-related</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violence</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have</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reached</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unprecedented levels,</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a vast</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pornography</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industry</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creates</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continuous</w:t>
      </w:r>
      <w:r w:rsidRPr="009E54E4">
        <w:rPr>
          <w:rFonts w:ascii="Times New Roman" w:eastAsia="Times New Roman" w:hAnsi="Times New Roman" w:cs="Times New Roman"/>
          <w:spacing w:val="-11"/>
          <w:sz w:val="20"/>
          <w:szCs w:val="20"/>
        </w:rPr>
        <w:t xml:space="preserve"> </w:t>
      </w:r>
      <w:r w:rsidRPr="009E54E4">
        <w:rPr>
          <w:rFonts w:ascii="Times New Roman" w:eastAsia="Times New Roman" w:hAnsi="Times New Roman" w:cs="Times New Roman"/>
          <w:sz w:val="20"/>
          <w:szCs w:val="20"/>
        </w:rPr>
        <w:t>i</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ages</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sexual</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coercion,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objectification</w:t>
      </w:r>
      <w:r w:rsidRPr="009E54E4">
        <w:rPr>
          <w:rFonts w:ascii="Times New Roman" w:eastAsia="Times New Roman" w:hAnsi="Times New Roman" w:cs="Times New Roman"/>
          <w:spacing w:val="-11"/>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violence. Finally,</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wo</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as</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a</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group</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tend</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to</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hold</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ore</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restrictive</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views</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both</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the</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situation</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type</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relationship</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in</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which sexual</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conduct</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is appropriate.</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Because</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the</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inequality</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and</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c</w:t>
      </w:r>
      <w:r w:rsidRPr="009E54E4">
        <w:rPr>
          <w:rFonts w:ascii="Times New Roman" w:eastAsia="Times New Roman" w:hAnsi="Times New Roman" w:cs="Times New Roman"/>
          <w:spacing w:val="-3"/>
          <w:sz w:val="20"/>
          <w:szCs w:val="20"/>
        </w:rPr>
        <w:t>o</w:t>
      </w:r>
      <w:r w:rsidRPr="009E54E4">
        <w:rPr>
          <w:rFonts w:ascii="Times New Roman" w:eastAsia="Times New Roman" w:hAnsi="Times New Roman" w:cs="Times New Roman"/>
          <w:sz w:val="20"/>
          <w:szCs w:val="20"/>
        </w:rPr>
        <w:t>ercion</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with</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which</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it is so</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frequently</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associated</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in</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 xml:space="preserve">the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inds</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wo</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the</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appearance</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sexuality</w:t>
      </w:r>
      <w:r w:rsidRPr="009E54E4">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in</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an</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unexpec</w:t>
      </w:r>
      <w:r w:rsidRPr="009E54E4">
        <w:rPr>
          <w:rFonts w:ascii="Times New Roman" w:eastAsia="Times New Roman" w:hAnsi="Times New Roman" w:cs="Times New Roman"/>
          <w:spacing w:val="-5"/>
          <w:sz w:val="20"/>
          <w:szCs w:val="20"/>
        </w:rPr>
        <w:t>t</w:t>
      </w:r>
      <w:r w:rsidRPr="009E54E4">
        <w:rPr>
          <w:rFonts w:ascii="Times New Roman" w:eastAsia="Times New Roman" w:hAnsi="Times New Roman" w:cs="Times New Roman"/>
          <w:sz w:val="20"/>
          <w:szCs w:val="20"/>
        </w:rPr>
        <w:t>ed</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context</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or</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 setting</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ostensible</w:t>
      </w:r>
      <w:r w:rsidRPr="009E54E4">
        <w:rPr>
          <w:rFonts w:ascii="Times New Roman" w:eastAsia="Times New Roman" w:hAnsi="Times New Roman" w:cs="Times New Roman"/>
          <w:spacing w:val="-7"/>
          <w:sz w:val="20"/>
          <w:szCs w:val="20"/>
        </w:rPr>
        <w:t xml:space="preserve"> </w:t>
      </w:r>
      <w:r w:rsidRPr="009E54E4">
        <w:rPr>
          <w:rFonts w:ascii="Times New Roman" w:eastAsia="Times New Roman" w:hAnsi="Times New Roman" w:cs="Times New Roman"/>
          <w:sz w:val="20"/>
          <w:szCs w:val="20"/>
        </w:rPr>
        <w:t>equality</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can</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be</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an anguishing</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experience.”</w:t>
      </w:r>
      <w:r w:rsidRPr="009E54E4">
        <w:rPr>
          <w:rFonts w:ascii="Times New Roman" w:eastAsia="Times New Roman" w:hAnsi="Times New Roman" w:cs="Times New Roman"/>
          <w:spacing w:val="-9"/>
          <w:sz w:val="20"/>
          <w:szCs w:val="20"/>
        </w:rPr>
        <w:t xml:space="preserve"> Kathryn </w:t>
      </w:r>
      <w:r w:rsidRPr="009E54E4">
        <w:rPr>
          <w:rFonts w:ascii="Times New Roman" w:eastAsia="Times New Roman" w:hAnsi="Times New Roman" w:cs="Times New Roman"/>
          <w:sz w:val="20"/>
          <w:szCs w:val="20"/>
        </w:rPr>
        <w:t>Abra</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s,</w:t>
      </w:r>
      <w:r w:rsidRPr="009E54E4">
        <w:rPr>
          <w:rFonts w:ascii="Times New Roman" w:eastAsia="Times New Roman" w:hAnsi="Times New Roman" w:cs="Times New Roman"/>
          <w:spacing w:val="-6"/>
          <w:sz w:val="20"/>
          <w:szCs w:val="20"/>
        </w:rPr>
        <w:t xml:space="preserve"> </w:t>
      </w:r>
      <w:r w:rsidRPr="00F94B7E">
        <w:rPr>
          <w:rFonts w:ascii="Times New Roman" w:eastAsia="Times New Roman" w:hAnsi="Times New Roman" w:cs="Times New Roman"/>
          <w:i/>
          <w:sz w:val="20"/>
          <w:szCs w:val="20"/>
        </w:rPr>
        <w:t>Gender</w:t>
      </w:r>
      <w:r w:rsidRPr="00F94B7E">
        <w:rPr>
          <w:rFonts w:ascii="Times New Roman" w:eastAsia="Times New Roman" w:hAnsi="Times New Roman" w:cs="Times New Roman"/>
          <w:i/>
          <w:spacing w:val="-5"/>
          <w:sz w:val="20"/>
          <w:szCs w:val="20"/>
        </w:rPr>
        <w:t xml:space="preserve"> </w:t>
      </w:r>
      <w:r w:rsidRPr="00F94B7E">
        <w:rPr>
          <w:rFonts w:ascii="Times New Roman" w:eastAsia="Times New Roman" w:hAnsi="Times New Roman" w:cs="Times New Roman"/>
          <w:i/>
          <w:sz w:val="20"/>
          <w:szCs w:val="20"/>
        </w:rPr>
        <w:t>Discri</w:t>
      </w:r>
      <w:r w:rsidRPr="00F94B7E">
        <w:rPr>
          <w:rFonts w:ascii="Times New Roman" w:eastAsia="Times New Roman" w:hAnsi="Times New Roman" w:cs="Times New Roman"/>
          <w:i/>
          <w:spacing w:val="-3"/>
          <w:sz w:val="20"/>
          <w:szCs w:val="20"/>
        </w:rPr>
        <w:t>m</w:t>
      </w:r>
      <w:r w:rsidRPr="00F94B7E">
        <w:rPr>
          <w:rFonts w:ascii="Times New Roman" w:eastAsia="Times New Roman" w:hAnsi="Times New Roman" w:cs="Times New Roman"/>
          <w:i/>
          <w:sz w:val="20"/>
          <w:szCs w:val="20"/>
        </w:rPr>
        <w:t>inat</w:t>
      </w:r>
      <w:r w:rsidRPr="00F94B7E">
        <w:rPr>
          <w:rFonts w:ascii="Times New Roman" w:eastAsia="Times New Roman" w:hAnsi="Times New Roman" w:cs="Times New Roman"/>
          <w:i/>
          <w:spacing w:val="-1"/>
          <w:sz w:val="20"/>
          <w:szCs w:val="20"/>
        </w:rPr>
        <w:t>i</w:t>
      </w:r>
      <w:r w:rsidRPr="00F94B7E">
        <w:rPr>
          <w:rFonts w:ascii="Times New Roman" w:eastAsia="Times New Roman" w:hAnsi="Times New Roman" w:cs="Times New Roman"/>
          <w:i/>
          <w:sz w:val="20"/>
          <w:szCs w:val="20"/>
        </w:rPr>
        <w:t>on</w:t>
      </w:r>
      <w:r w:rsidRPr="00F94B7E">
        <w:rPr>
          <w:rFonts w:ascii="Times New Roman" w:eastAsia="Times New Roman" w:hAnsi="Times New Roman" w:cs="Times New Roman"/>
          <w:i/>
          <w:spacing w:val="-12"/>
          <w:sz w:val="20"/>
          <w:szCs w:val="20"/>
        </w:rPr>
        <w:t xml:space="preserve"> </w:t>
      </w:r>
      <w:r w:rsidRPr="00F94B7E">
        <w:rPr>
          <w:rFonts w:ascii="Times New Roman" w:eastAsia="Times New Roman" w:hAnsi="Times New Roman" w:cs="Times New Roman"/>
          <w:i/>
          <w:sz w:val="20"/>
          <w:szCs w:val="20"/>
        </w:rPr>
        <w:t>and</w:t>
      </w:r>
      <w:r w:rsidRPr="00F94B7E">
        <w:rPr>
          <w:rFonts w:ascii="Times New Roman" w:eastAsia="Times New Roman" w:hAnsi="Times New Roman" w:cs="Times New Roman"/>
          <w:i/>
          <w:spacing w:val="-3"/>
          <w:sz w:val="20"/>
          <w:szCs w:val="20"/>
        </w:rPr>
        <w:t xml:space="preserve"> </w:t>
      </w:r>
      <w:r w:rsidRPr="00F94B7E">
        <w:rPr>
          <w:rFonts w:ascii="Times New Roman" w:eastAsia="Times New Roman" w:hAnsi="Times New Roman" w:cs="Times New Roman"/>
          <w:i/>
          <w:sz w:val="20"/>
          <w:szCs w:val="20"/>
        </w:rPr>
        <w:t>the</w:t>
      </w:r>
      <w:r w:rsidRPr="00F94B7E">
        <w:rPr>
          <w:rFonts w:ascii="Times New Roman" w:eastAsia="Times New Roman" w:hAnsi="Times New Roman" w:cs="Times New Roman"/>
          <w:i/>
          <w:spacing w:val="-2"/>
          <w:sz w:val="20"/>
          <w:szCs w:val="20"/>
        </w:rPr>
        <w:t xml:space="preserve"> </w:t>
      </w:r>
      <w:r w:rsidRPr="00F94B7E">
        <w:rPr>
          <w:rFonts w:ascii="Times New Roman" w:eastAsia="Times New Roman" w:hAnsi="Times New Roman" w:cs="Times New Roman"/>
          <w:i/>
          <w:sz w:val="20"/>
          <w:szCs w:val="20"/>
        </w:rPr>
        <w:t>Transfor</w:t>
      </w:r>
      <w:r w:rsidRPr="00F94B7E">
        <w:rPr>
          <w:rFonts w:ascii="Times New Roman" w:eastAsia="Times New Roman" w:hAnsi="Times New Roman" w:cs="Times New Roman"/>
          <w:i/>
          <w:spacing w:val="-3"/>
          <w:sz w:val="20"/>
          <w:szCs w:val="20"/>
        </w:rPr>
        <w:t>m</w:t>
      </w:r>
      <w:r w:rsidRPr="00F94B7E">
        <w:rPr>
          <w:rFonts w:ascii="Times New Roman" w:eastAsia="Times New Roman" w:hAnsi="Times New Roman" w:cs="Times New Roman"/>
          <w:i/>
          <w:sz w:val="20"/>
          <w:szCs w:val="20"/>
        </w:rPr>
        <w:t>ation</w:t>
      </w:r>
      <w:r w:rsidRPr="00F94B7E">
        <w:rPr>
          <w:rFonts w:ascii="Times New Roman" w:eastAsia="Times New Roman" w:hAnsi="Times New Roman" w:cs="Times New Roman"/>
          <w:i/>
          <w:spacing w:val="-12"/>
          <w:sz w:val="20"/>
          <w:szCs w:val="20"/>
        </w:rPr>
        <w:t xml:space="preserve"> </w:t>
      </w:r>
      <w:r w:rsidRPr="00F94B7E">
        <w:rPr>
          <w:rFonts w:ascii="Times New Roman" w:eastAsia="Times New Roman" w:hAnsi="Times New Roman" w:cs="Times New Roman"/>
          <w:i/>
          <w:sz w:val="20"/>
          <w:szCs w:val="20"/>
        </w:rPr>
        <w:t>of</w:t>
      </w:r>
      <w:r w:rsidRPr="00F94B7E">
        <w:rPr>
          <w:rFonts w:ascii="Times New Roman" w:eastAsia="Times New Roman" w:hAnsi="Times New Roman" w:cs="Times New Roman"/>
          <w:i/>
          <w:spacing w:val="-2"/>
          <w:sz w:val="20"/>
          <w:szCs w:val="20"/>
        </w:rPr>
        <w:t xml:space="preserve"> </w:t>
      </w:r>
      <w:r w:rsidRPr="00F94B7E">
        <w:rPr>
          <w:rFonts w:ascii="Times New Roman" w:eastAsia="Times New Roman" w:hAnsi="Times New Roman" w:cs="Times New Roman"/>
          <w:i/>
          <w:spacing w:val="2"/>
          <w:sz w:val="20"/>
          <w:szCs w:val="20"/>
        </w:rPr>
        <w:t>W</w:t>
      </w:r>
      <w:r w:rsidRPr="00F94B7E">
        <w:rPr>
          <w:rFonts w:ascii="Times New Roman" w:eastAsia="Times New Roman" w:hAnsi="Times New Roman" w:cs="Times New Roman"/>
          <w:i/>
          <w:sz w:val="20"/>
          <w:szCs w:val="20"/>
        </w:rPr>
        <w:t>orkplace</w:t>
      </w:r>
      <w:r w:rsidRPr="00F94B7E">
        <w:rPr>
          <w:rFonts w:ascii="Times New Roman" w:eastAsia="Times New Roman" w:hAnsi="Times New Roman" w:cs="Times New Roman"/>
          <w:i/>
          <w:spacing w:val="-9"/>
          <w:sz w:val="20"/>
          <w:szCs w:val="20"/>
        </w:rPr>
        <w:t xml:space="preserve"> </w:t>
      </w:r>
      <w:r w:rsidRPr="00F94B7E">
        <w:rPr>
          <w:rFonts w:ascii="Times New Roman" w:eastAsia="Times New Roman" w:hAnsi="Times New Roman" w:cs="Times New Roman"/>
          <w:i/>
          <w:sz w:val="20"/>
          <w:szCs w:val="20"/>
        </w:rPr>
        <w:t>Nor</w:t>
      </w:r>
      <w:r w:rsidRPr="00F94B7E">
        <w:rPr>
          <w:rFonts w:ascii="Times New Roman" w:eastAsia="Times New Roman" w:hAnsi="Times New Roman" w:cs="Times New Roman"/>
          <w:i/>
          <w:spacing w:val="-3"/>
          <w:sz w:val="20"/>
          <w:szCs w:val="20"/>
        </w:rPr>
        <w:t>m</w:t>
      </w:r>
      <w:r w:rsidRPr="00F94B7E">
        <w:rPr>
          <w:rFonts w:ascii="Times New Roman" w:eastAsia="Times New Roman" w:hAnsi="Times New Roman" w:cs="Times New Roman"/>
          <w:i/>
          <w:sz w:val="20"/>
          <w:szCs w:val="20"/>
        </w:rPr>
        <w:t>s</w:t>
      </w:r>
      <w:r w:rsidRPr="009E54E4">
        <w:rPr>
          <w:rFonts w:ascii="Times New Roman" w:eastAsia="Times New Roman" w:hAnsi="Times New Roman" w:cs="Times New Roman"/>
          <w:sz w:val="20"/>
          <w:szCs w:val="20"/>
        </w:rPr>
        <w:t>,</w:t>
      </w:r>
      <w:r w:rsidRPr="00735627">
        <w:rPr>
          <w:rFonts w:ascii="Times New Roman" w:eastAsia="Times New Roman" w:hAnsi="Times New Roman" w:cs="Times New Roman"/>
          <w:spacing w:val="-6"/>
          <w:sz w:val="20"/>
          <w:szCs w:val="20"/>
        </w:rPr>
        <w:t xml:space="preserve"> </w:t>
      </w:r>
      <w:r w:rsidRPr="009E54E4">
        <w:rPr>
          <w:rFonts w:ascii="Times New Roman" w:eastAsia="Times New Roman" w:hAnsi="Times New Roman" w:cs="Times New Roman"/>
          <w:sz w:val="20"/>
          <w:szCs w:val="20"/>
        </w:rPr>
        <w:t>42</w:t>
      </w:r>
      <w:r w:rsidRPr="009E54E4">
        <w:rPr>
          <w:rFonts w:ascii="Times New Roman" w:hAnsi="Times New Roman" w:cs="Times New Roman"/>
          <w:sz w:val="20"/>
          <w:szCs w:val="20"/>
        </w:rPr>
        <w:t xml:space="preserve"> </w:t>
      </w:r>
      <w:r w:rsidRPr="00F94B7E">
        <w:rPr>
          <w:rFonts w:ascii="Times New Roman" w:eastAsia="Times New Roman" w:hAnsi="Times New Roman" w:cs="Times New Roman"/>
          <w:smallCaps/>
          <w:sz w:val="20"/>
          <w:szCs w:val="20"/>
        </w:rPr>
        <w:t>Vand. L. Rev</w:t>
      </w:r>
      <w:r w:rsidRPr="009E54E4">
        <w:rPr>
          <w:rFonts w:ascii="Times New Roman" w:eastAsia="Times New Roman" w:hAnsi="Times New Roman" w:cs="Times New Roman"/>
          <w:sz w:val="20"/>
          <w:szCs w:val="20"/>
        </w:rPr>
        <w:t>.</w:t>
      </w:r>
      <w:r w:rsidRPr="00735627">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1183,</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1205</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(1989).</w:t>
      </w:r>
    </w:p>
  </w:footnote>
  <w:footnote w:id="9">
    <w:p w14:paraId="36454263" w14:textId="5512763B" w:rsidR="001853BF" w:rsidRPr="009E54E4" w:rsidRDefault="001853BF" w:rsidP="00C22B24">
      <w:pPr>
        <w:ind w:left="115" w:right="677"/>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course,</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where</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ale</w:t>
      </w:r>
      <w:r w:rsidRPr="009E54E4">
        <w:rPr>
          <w:rFonts w:ascii="Times New Roman" w:eastAsia="Times New Roman" w:hAnsi="Times New Roman" w:cs="Times New Roman"/>
          <w:spacing w:val="-3"/>
          <w:sz w:val="20"/>
          <w:szCs w:val="20"/>
        </w:rPr>
        <w:t xml:space="preserve"> </w:t>
      </w:r>
      <w:r w:rsidRPr="009E54E4">
        <w:rPr>
          <w:rFonts w:ascii="Times New Roman" w:eastAsia="Times New Roman" w:hAnsi="Times New Roman" w:cs="Times New Roman"/>
          <w:sz w:val="20"/>
          <w:szCs w:val="20"/>
        </w:rPr>
        <w:t>e</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ployees</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allege</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that</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c</w:t>
      </w:r>
      <w:r w:rsidRPr="009E54E4">
        <w:rPr>
          <w:rFonts w:ascii="Times New Roman" w:eastAsia="Times New Roman" w:hAnsi="Times New Roman" w:cs="Times New Roman"/>
          <w:spacing w:val="-3"/>
          <w:sz w:val="20"/>
          <w:szCs w:val="20"/>
        </w:rPr>
        <w:t>o</w:t>
      </w:r>
      <w:r w:rsidRPr="009E54E4">
        <w:rPr>
          <w:rFonts w:ascii="Times New Roman" w:eastAsia="Times New Roman" w:hAnsi="Times New Roman" w:cs="Times New Roman"/>
          <w:sz w:val="20"/>
          <w:szCs w:val="20"/>
        </w:rPr>
        <w:t>-workers</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engage</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in</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conduct</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which</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creates</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a hostile environ</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ent,</w:t>
      </w:r>
      <w:r w:rsidRPr="009E54E4">
        <w:rPr>
          <w:rFonts w:ascii="Times New Roman" w:eastAsia="Times New Roman" w:hAnsi="Times New Roman" w:cs="Times New Roman"/>
          <w:spacing w:val="-11"/>
          <w:sz w:val="20"/>
          <w:szCs w:val="20"/>
        </w:rPr>
        <w:t xml:space="preserve"> </w:t>
      </w:r>
      <w:r w:rsidRPr="009E54E4">
        <w:rPr>
          <w:rFonts w:ascii="Times New Roman" w:eastAsia="Times New Roman" w:hAnsi="Times New Roman" w:cs="Times New Roman"/>
          <w:sz w:val="20"/>
          <w:szCs w:val="20"/>
        </w:rPr>
        <w:t>the</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appropriate</w:t>
      </w:r>
      <w:r w:rsidRPr="009E54E4">
        <w:rPr>
          <w:rFonts w:ascii="Times New Roman" w:eastAsia="Times New Roman" w:hAnsi="Times New Roman" w:cs="Times New Roman"/>
          <w:spacing w:val="-9"/>
          <w:sz w:val="20"/>
          <w:szCs w:val="20"/>
        </w:rPr>
        <w:t xml:space="preserve"> </w:t>
      </w:r>
      <w:r w:rsidRPr="009E54E4">
        <w:rPr>
          <w:rFonts w:ascii="Times New Roman" w:eastAsia="Times New Roman" w:hAnsi="Times New Roman" w:cs="Times New Roman"/>
          <w:sz w:val="20"/>
          <w:szCs w:val="20"/>
        </w:rPr>
        <w:t>victi</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pacing w:val="-1"/>
          <w:sz w:val="20"/>
          <w:szCs w:val="20"/>
        </w:rPr>
        <w:t>’</w:t>
      </w:r>
      <w:r w:rsidRPr="009E54E4">
        <w:rPr>
          <w:rFonts w:ascii="Times New Roman" w:eastAsia="Times New Roman" w:hAnsi="Times New Roman" w:cs="Times New Roman"/>
          <w:sz w:val="20"/>
          <w:szCs w:val="20"/>
        </w:rPr>
        <w:t>s</w:t>
      </w:r>
      <w:r w:rsidRPr="009E54E4">
        <w:rPr>
          <w:rFonts w:ascii="Times New Roman" w:eastAsia="Times New Roman" w:hAnsi="Times New Roman" w:cs="Times New Roman"/>
          <w:spacing w:val="-5"/>
          <w:sz w:val="20"/>
          <w:szCs w:val="20"/>
        </w:rPr>
        <w:t xml:space="preserve"> </w:t>
      </w:r>
      <w:r w:rsidRPr="009E54E4">
        <w:rPr>
          <w:rFonts w:ascii="Times New Roman" w:eastAsia="Times New Roman" w:hAnsi="Times New Roman" w:cs="Times New Roman"/>
          <w:sz w:val="20"/>
          <w:szCs w:val="20"/>
        </w:rPr>
        <w:t>per</w:t>
      </w:r>
      <w:r w:rsidRPr="009E54E4">
        <w:rPr>
          <w:rFonts w:ascii="Times New Roman" w:eastAsia="Times New Roman" w:hAnsi="Times New Roman" w:cs="Times New Roman"/>
          <w:spacing w:val="-1"/>
          <w:sz w:val="20"/>
          <w:szCs w:val="20"/>
        </w:rPr>
        <w:t>s</w:t>
      </w:r>
      <w:r w:rsidRPr="009E54E4">
        <w:rPr>
          <w:rFonts w:ascii="Times New Roman" w:eastAsia="Times New Roman" w:hAnsi="Times New Roman" w:cs="Times New Roman"/>
          <w:sz w:val="20"/>
          <w:szCs w:val="20"/>
        </w:rPr>
        <w:t>pective</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z w:val="20"/>
          <w:szCs w:val="20"/>
        </w:rPr>
        <w:t>would</w:t>
      </w:r>
      <w:r w:rsidRPr="009E54E4">
        <w:rPr>
          <w:rFonts w:ascii="Times New Roman" w:eastAsia="Times New Roman" w:hAnsi="Times New Roman" w:cs="Times New Roman"/>
          <w:spacing w:val="-4"/>
          <w:sz w:val="20"/>
          <w:szCs w:val="20"/>
        </w:rPr>
        <w:t xml:space="preserve"> </w:t>
      </w:r>
      <w:r w:rsidRPr="009E54E4">
        <w:rPr>
          <w:rFonts w:ascii="Times New Roman" w:eastAsia="Times New Roman" w:hAnsi="Times New Roman" w:cs="Times New Roman"/>
          <w:sz w:val="20"/>
          <w:szCs w:val="20"/>
        </w:rPr>
        <w:t>be</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that</w:t>
      </w:r>
      <w:r w:rsidRPr="009E54E4">
        <w:rPr>
          <w:rFonts w:ascii="Times New Roman" w:eastAsia="Times New Roman" w:hAnsi="Times New Roman" w:cs="Times New Roman"/>
          <w:spacing w:val="-2"/>
          <w:sz w:val="20"/>
          <w:szCs w:val="20"/>
        </w:rPr>
        <w:t xml:space="preserve"> </w:t>
      </w:r>
      <w:r w:rsidRPr="009E54E4">
        <w:rPr>
          <w:rFonts w:ascii="Times New Roman" w:eastAsia="Times New Roman" w:hAnsi="Times New Roman" w:cs="Times New Roman"/>
          <w:sz w:val="20"/>
          <w:szCs w:val="20"/>
        </w:rPr>
        <w:t>of</w:t>
      </w:r>
      <w:r w:rsidRPr="009E54E4">
        <w:rPr>
          <w:rFonts w:ascii="Times New Roman" w:eastAsia="Times New Roman" w:hAnsi="Times New Roman" w:cs="Times New Roman"/>
          <w:spacing w:val="-1"/>
          <w:sz w:val="20"/>
          <w:szCs w:val="20"/>
        </w:rPr>
        <w:t xml:space="preserve"> </w:t>
      </w:r>
      <w:r w:rsidRPr="009E54E4">
        <w:rPr>
          <w:rFonts w:ascii="Times New Roman" w:eastAsia="Times New Roman" w:hAnsi="Times New Roman" w:cs="Times New Roman"/>
          <w:sz w:val="20"/>
          <w:szCs w:val="20"/>
        </w:rPr>
        <w:t>a reasonable</w:t>
      </w:r>
      <w:r w:rsidRPr="009E54E4">
        <w:rPr>
          <w:rFonts w:ascii="Times New Roman" w:eastAsia="Times New Roman" w:hAnsi="Times New Roman" w:cs="Times New Roman"/>
          <w:spacing w:val="-8"/>
          <w:sz w:val="20"/>
          <w:szCs w:val="20"/>
        </w:rPr>
        <w:t xml:space="preserve"> </w:t>
      </w:r>
      <w:r w:rsidRPr="009E54E4">
        <w:rPr>
          <w:rFonts w:ascii="Times New Roman" w:eastAsia="Times New Roman" w:hAnsi="Times New Roman" w:cs="Times New Roman"/>
          <w:spacing w:val="-3"/>
          <w:sz w:val="20"/>
          <w:szCs w:val="20"/>
        </w:rPr>
        <w:t>m</w:t>
      </w:r>
      <w:r w:rsidRPr="009E54E4">
        <w:rPr>
          <w:rFonts w:ascii="Times New Roman" w:eastAsia="Times New Roman" w:hAnsi="Times New Roman" w:cs="Times New Roman"/>
          <w:sz w:val="20"/>
          <w:szCs w:val="20"/>
        </w:rPr>
        <w:t>an.</w:t>
      </w:r>
      <w:r w:rsidRPr="009E54E4">
        <w:rPr>
          <w:rFonts w:ascii="Times New Roman" w:hAnsi="Times New Roman" w:cs="Times New Roman"/>
          <w:sz w:val="20"/>
          <w:szCs w:val="20"/>
        </w:rPr>
        <w:t xml:space="preserve"> </w:t>
      </w:r>
    </w:p>
    <w:p w14:paraId="1A10B246" w14:textId="77777777" w:rsidR="001853BF" w:rsidRPr="009E54E4" w:rsidRDefault="001853BF" w:rsidP="00C22B24">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10">
    <w:p w14:paraId="59D51AD7" w14:textId="350DC2A8" w:rsidR="001853BF" w:rsidRPr="009E54E4" w:rsidRDefault="001853BF">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Sen.Bill No. 43 (1971 Reg.Sess.); Assem.Bill No. 694 (1971 Reg.Sess.); Sen.Bill No. 132 (1972 Reg.Sess.); Assem.Bill No. 102 (1972 Reg.Sess.); Sen.Bill No. 10 (1973 Reg.Sess.); Sen.Bill No. 557 (1973 Reg.Sess.); Assem.Bill No. 50 (1973 Reg.Sess.); Assem.Bill No. 801 (1973 Reg.Sess.); Assem.Bill No. 1666 (1973 Reg.Sess.); Sen.Bill No. 2021 (1974 Reg.Sess.).)</w:t>
      </w:r>
    </w:p>
  </w:footnote>
  <w:footnote w:id="11">
    <w:p w14:paraId="01059817" w14:textId="519773C8" w:rsidR="001853BF" w:rsidRPr="009E54E4" w:rsidRDefault="001853BF">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2">
    <w:p w14:paraId="53AA4D34" w14:textId="36EEDC67" w:rsidR="001853BF" w:rsidRPr="009E54E4" w:rsidRDefault="001853BF">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3">
    <w:p w14:paraId="5B60FB51" w14:textId="6C5F74F9" w:rsidR="001853BF" w:rsidRPr="009E54E4" w:rsidRDefault="001853BF">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4">
    <w:p w14:paraId="2F7C56F5" w14:textId="29D49AC5" w:rsidR="001853BF" w:rsidRPr="009E54E4" w:rsidRDefault="001853BF"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5">
    <w:p w14:paraId="5020BAC3" w14:textId="5D51CCC8" w:rsidR="001853BF" w:rsidRPr="009E54E4" w:rsidRDefault="001853BF"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6">
    <w:p w14:paraId="463E1B6C" w14:textId="07936A4E" w:rsidR="001853BF" w:rsidRPr="009E54E4" w:rsidRDefault="001853BF"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7">
    <w:p w14:paraId="57AEE6D5" w14:textId="318431C0" w:rsidR="001853BF" w:rsidRPr="00F94B7E" w:rsidRDefault="001853BF"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18">
    <w:p w14:paraId="6BDA6918" w14:textId="77777777" w:rsidR="001853BF" w:rsidRPr="009E54E4" w:rsidRDefault="001853BF"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9">
    <w:p w14:paraId="34FEB741" w14:textId="6BD2B78D" w:rsidR="001853BF" w:rsidRPr="009E54E4" w:rsidRDefault="001853BF"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20">
    <w:p w14:paraId="19AAB7F9" w14:textId="37755D3B" w:rsidR="001853BF" w:rsidRPr="00F94B7E" w:rsidRDefault="001853BF" w:rsidP="00F94B7E">
      <w:pPr>
        <w:widowControl w:val="0"/>
        <w:overflowPunct w:val="0"/>
        <w:autoSpaceDE w:val="0"/>
        <w:autoSpaceDN w:val="0"/>
        <w:adjustRightInd w:val="0"/>
        <w:rPr>
          <w:rFonts w:ascii="Times New Roman" w:hAnsi="Times New Roman" w:cs="Times New Roman"/>
          <w:color w:val="000000"/>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F94B7E">
        <w:rPr>
          <w:rFonts w:ascii="Times New Roman" w:hAnsi="Times New Roman" w:cs="Times New Roman"/>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1853BF" w:rsidRPr="00F94B7E" w:rsidRDefault="001853BF" w:rsidP="00F94B7E">
      <w:pPr>
        <w:widowControl w:val="0"/>
        <w:overflowPunct w:val="0"/>
        <w:autoSpaceDE w:val="0"/>
        <w:autoSpaceDN w:val="0"/>
        <w:adjustRightInd w:val="0"/>
        <w:rPr>
          <w:rFonts w:ascii="Times New Roman" w:hAnsi="Times New Roman" w:cs="Times New Roman"/>
          <w:color w:val="000000"/>
          <w:sz w:val="20"/>
          <w:szCs w:val="20"/>
        </w:rPr>
      </w:pPr>
    </w:p>
    <w:p w14:paraId="2664B549" w14:textId="2C86690A" w:rsidR="001853BF" w:rsidRPr="00F94B7E" w:rsidRDefault="001853BF" w:rsidP="00F94B7E">
      <w:pPr>
        <w:widowControl w:val="0"/>
        <w:overflowPunct w:val="0"/>
        <w:autoSpaceDE w:val="0"/>
        <w:autoSpaceDN w:val="0"/>
        <w:adjustRightInd w:val="0"/>
        <w:ind w:left="720" w:right="720"/>
        <w:rPr>
          <w:rFonts w:ascii="Times New Roman" w:hAnsi="Times New Roman" w:cs="Times New Roman"/>
          <w:color w:val="000000"/>
          <w:sz w:val="20"/>
          <w:szCs w:val="20"/>
        </w:rPr>
      </w:pPr>
      <w:r w:rsidRPr="00F94B7E">
        <w:rPr>
          <w:rFonts w:ascii="Times New Roman" w:hAnsi="Times New Roman" w:cs="Times New Roman"/>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1853BF" w:rsidRPr="00F94B7E" w:rsidRDefault="001853BF" w:rsidP="00F94B7E">
      <w:pPr>
        <w:widowControl w:val="0"/>
        <w:overflowPunct w:val="0"/>
        <w:autoSpaceDE w:val="0"/>
        <w:autoSpaceDN w:val="0"/>
        <w:adjustRightInd w:val="0"/>
        <w:rPr>
          <w:rFonts w:ascii="Times New Roman" w:hAnsi="Times New Roman" w:cs="Times New Roman"/>
          <w:color w:val="000000"/>
          <w:sz w:val="20"/>
          <w:szCs w:val="20"/>
        </w:rPr>
      </w:pPr>
    </w:p>
    <w:p w14:paraId="01437E91" w14:textId="5D764054" w:rsidR="001853BF" w:rsidRPr="00F94B7E" w:rsidRDefault="001853BF" w:rsidP="00F94B7E">
      <w:pPr>
        <w:rPr>
          <w:rFonts w:ascii="Times New Roman" w:hAnsi="Times New Roman" w:cs="Times New Roman"/>
          <w:sz w:val="20"/>
          <w:szCs w:val="20"/>
        </w:rPr>
      </w:pPr>
      <w:r w:rsidRPr="00F94B7E">
        <w:rPr>
          <w:rFonts w:ascii="Times New Roman" w:eastAsia="Times New Roman" w:hAnsi="Times New Roman" w:cs="Times New Roman"/>
          <w:color w:val="212121"/>
          <w:sz w:val="20"/>
          <w:szCs w:val="20"/>
          <w:lang w:eastAsia="en-US"/>
        </w:rPr>
        <w:t>W. Page Keeton et al., </w:t>
      </w:r>
      <w:r w:rsidRPr="00F94B7E">
        <w:rPr>
          <w:rFonts w:ascii="Times New Roman" w:eastAsia="Times New Roman" w:hAnsi="Times New Roman" w:cs="Times New Roman"/>
          <w:i/>
          <w:iCs/>
          <w:color w:val="212121"/>
          <w:sz w:val="20"/>
          <w:szCs w:val="20"/>
          <w:lang w:eastAsia="en-US"/>
        </w:rPr>
        <w:t>Prosser and Keeton on the Laws of Torts</w:t>
      </w:r>
      <w:r w:rsidRPr="00F94B7E">
        <w:rPr>
          <w:rFonts w:ascii="Times New Roman" w:eastAsia="Times New Roman" w:hAnsi="Times New Roman" w:cs="Times New Roman"/>
          <w:color w:val="212121"/>
          <w:sz w:val="20"/>
          <w:szCs w:val="20"/>
          <w:lang w:eastAsia="en-US"/>
        </w:rPr>
        <w:t> § 56, at 374 (5th ed. 1984).</w:t>
      </w:r>
    </w:p>
  </w:footnote>
  <w:footnote w:id="21">
    <w:p w14:paraId="155B3EF2" w14:textId="77777777" w:rsidR="001853BF" w:rsidRPr="00F94B7E" w:rsidRDefault="001853BF"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22">
    <w:p w14:paraId="688A86B7" w14:textId="0207358F" w:rsidR="001853BF" w:rsidRPr="00F94B7E" w:rsidRDefault="001853BF"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23">
    <w:p w14:paraId="488BDB71" w14:textId="699E72D5" w:rsidR="001853BF" w:rsidRPr="009E54E4" w:rsidRDefault="001853BF"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24">
    <w:p w14:paraId="7DE94395" w14:textId="7EA844F2" w:rsidR="001853BF" w:rsidRPr="00F94B7E" w:rsidRDefault="001853BF"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25">
    <w:p w14:paraId="41D3525B" w14:textId="77777777" w:rsidR="001853BF" w:rsidRPr="009E54E4" w:rsidRDefault="001853BF"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1853BF" w:rsidRPr="00F94B7E" w:rsidRDefault="001853BF" w:rsidP="00F94B7E">
      <w:pPr>
        <w:pStyle w:val="blockquote"/>
        <w:rPr>
          <w:sz w:val="20"/>
          <w:szCs w:val="20"/>
        </w:rPr>
      </w:pPr>
    </w:p>
    <w:p w14:paraId="40D44C70" w14:textId="77777777" w:rsidR="001853BF" w:rsidRPr="00F94B7E" w:rsidRDefault="001853BF" w:rsidP="00F94B7E">
      <w:pPr>
        <w:pStyle w:val="blockquote"/>
        <w:rPr>
          <w:sz w:val="20"/>
          <w:szCs w:val="20"/>
        </w:rPr>
      </w:pPr>
      <w:r w:rsidRPr="00F94B7E">
        <w:rPr>
          <w:sz w:val="20"/>
          <w:szCs w:val="20"/>
        </w:rPr>
        <w:t>A person is guilty of criminal nuisance in the second degree when . . .</w:t>
      </w:r>
    </w:p>
    <w:p w14:paraId="2B852F65" w14:textId="77777777" w:rsidR="001853BF" w:rsidRPr="00F94B7E" w:rsidRDefault="001853BF" w:rsidP="00F94B7E">
      <w:pPr>
        <w:pStyle w:val="blockquote"/>
        <w:rPr>
          <w:sz w:val="20"/>
          <w:szCs w:val="20"/>
        </w:rPr>
      </w:pPr>
    </w:p>
    <w:p w14:paraId="2F77ECD7" w14:textId="77777777" w:rsidR="001853BF" w:rsidRPr="00735627" w:rsidRDefault="001853BF"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6">
    <w:p w14:paraId="6F2F9DC1" w14:textId="77777777" w:rsidR="001853BF" w:rsidRPr="00735627" w:rsidRDefault="001853BF"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27">
    <w:p w14:paraId="10C3E536" w14:textId="77777777" w:rsidR="001853BF" w:rsidRPr="009E54E4" w:rsidRDefault="001853BF"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28">
    <w:p w14:paraId="463CF1E7" w14:textId="43A58A5B" w:rsidR="001853BF" w:rsidRPr="000D46E0" w:rsidRDefault="001853BF"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1853BF" w:rsidRPr="009E54E4" w:rsidRDefault="001853BF" w:rsidP="00C85B70">
      <w:pPr>
        <w:pStyle w:val="FootnoteText"/>
        <w:rPr>
          <w:rFonts w:ascii="Times New Roman" w:hAnsi="Times New Roman" w:cs="Times New Roman"/>
          <w:sz w:val="20"/>
          <w:szCs w:val="20"/>
        </w:rPr>
      </w:pPr>
    </w:p>
  </w:footnote>
  <w:footnote w:id="29">
    <w:p w14:paraId="7A53F296" w14:textId="77777777" w:rsidR="001853BF" w:rsidRPr="009E54E4" w:rsidRDefault="001853BF" w:rsidP="00C85B70">
      <w:pPr>
        <w:widowControl w:val="0"/>
        <w:autoSpaceDE w:val="0"/>
        <w:autoSpaceDN w:val="0"/>
        <w:adjustRightInd w:val="0"/>
        <w:jc w:val="both"/>
        <w:rPr>
          <w:rFonts w:ascii="Times New Roman" w:hAnsi="Times New Roman" w:cs="Times New Roman"/>
          <w:color w:val="000000"/>
          <w:sz w:val="20"/>
          <w:szCs w:val="20"/>
        </w:rPr>
      </w:pPr>
      <w:r w:rsidRPr="009E54E4">
        <w:rPr>
          <w:rStyle w:val="FootnoteReference"/>
          <w:rFonts w:ascii="Times New Roman" w:hAnsi="Times New Roman" w:cs="Times New Roman"/>
          <w:sz w:val="20"/>
          <w:szCs w:val="20"/>
        </w:rPr>
        <w:t>2</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Section 402A . . . reads as follows:</w:t>
      </w:r>
    </w:p>
    <w:p w14:paraId="018E4C7F" w14:textId="1869FA84" w:rsidR="001853BF" w:rsidRPr="009E54E4" w:rsidRDefault="001853BF" w:rsidP="00F94B7E">
      <w:pPr>
        <w:widowControl w:val="0"/>
        <w:autoSpaceDE w:val="0"/>
        <w:autoSpaceDN w:val="0"/>
        <w:adjustRightInd w:val="0"/>
        <w:ind w:left="720" w:right="720"/>
        <w:jc w:val="both"/>
        <w:rPr>
          <w:rFonts w:ascii="Times New Roman" w:hAnsi="Times New Roman" w:cs="Times New Roman"/>
          <w:color w:val="000000"/>
          <w:sz w:val="20"/>
          <w:szCs w:val="20"/>
        </w:rPr>
      </w:pPr>
      <w:r w:rsidRPr="009E54E4">
        <w:rPr>
          <w:rFonts w:ascii="Times New Roman" w:hAnsi="Times New Roman" w:cs="Times New Roman"/>
          <w:color w:val="000000"/>
          <w:sz w:val="20"/>
          <w:szCs w:val="20"/>
        </w:rPr>
        <w:t>Special Liability of Seller of Product for Physical Harm to User or Consumer.</w:t>
      </w:r>
    </w:p>
    <w:p w14:paraId="4B195C1C" w14:textId="34BC6482" w:rsidR="001853BF" w:rsidRPr="009E54E4" w:rsidRDefault="001853BF" w:rsidP="00F94B7E">
      <w:pPr>
        <w:widowControl w:val="0"/>
        <w:autoSpaceDE w:val="0"/>
        <w:autoSpaceDN w:val="0"/>
        <w:adjustRightInd w:val="0"/>
        <w:ind w:left="1440" w:right="720"/>
        <w:jc w:val="both"/>
        <w:rPr>
          <w:rFonts w:ascii="Times New Roman" w:hAnsi="Times New Roman" w:cs="Times New Roman"/>
          <w:color w:val="000000"/>
          <w:sz w:val="20"/>
          <w:szCs w:val="20"/>
        </w:rPr>
      </w:pPr>
      <w:r w:rsidRPr="009E54E4">
        <w:rPr>
          <w:rFonts w:ascii="Times New Roman" w:hAnsi="Times New Roman" w:cs="Times New Roman"/>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1853BF" w:rsidRPr="009E54E4" w:rsidRDefault="001853BF" w:rsidP="00F94B7E">
      <w:pPr>
        <w:widowControl w:val="0"/>
        <w:autoSpaceDE w:val="0"/>
        <w:autoSpaceDN w:val="0"/>
        <w:adjustRightInd w:val="0"/>
        <w:ind w:left="2160" w:right="720"/>
        <w:jc w:val="both"/>
        <w:rPr>
          <w:rFonts w:ascii="Times New Roman" w:hAnsi="Times New Roman" w:cs="Times New Roman"/>
          <w:color w:val="000000"/>
          <w:sz w:val="20"/>
          <w:szCs w:val="20"/>
        </w:rPr>
      </w:pPr>
      <w:r w:rsidRPr="009E54E4" w:rsidDel="000E283D">
        <w:rPr>
          <w:rFonts w:ascii="Times New Roman" w:hAnsi="Times New Roman" w:cs="Times New Roman"/>
          <w:color w:val="000000"/>
          <w:sz w:val="20"/>
          <w:szCs w:val="20"/>
        </w:rPr>
        <w:t xml:space="preserve"> </w:t>
      </w:r>
      <w:r w:rsidRPr="009E54E4">
        <w:rPr>
          <w:rFonts w:ascii="Times New Roman" w:hAnsi="Times New Roman" w:cs="Times New Roman"/>
          <w:color w:val="000000"/>
          <w:sz w:val="20"/>
          <w:szCs w:val="20"/>
        </w:rPr>
        <w:t>(a) the seller is engaged in the business of selling such a product, and</w:t>
      </w:r>
    </w:p>
    <w:p w14:paraId="4A0D1D0C" w14:textId="5AA0F490" w:rsidR="001853BF" w:rsidRPr="009E54E4" w:rsidRDefault="001853BF" w:rsidP="00F94B7E">
      <w:pPr>
        <w:widowControl w:val="0"/>
        <w:autoSpaceDE w:val="0"/>
        <w:autoSpaceDN w:val="0"/>
        <w:adjustRightInd w:val="0"/>
        <w:ind w:left="2160" w:right="720"/>
        <w:jc w:val="both"/>
        <w:rPr>
          <w:rFonts w:ascii="Times New Roman" w:hAnsi="Times New Roman" w:cs="Times New Roman"/>
          <w:color w:val="000000"/>
          <w:sz w:val="20"/>
          <w:szCs w:val="20"/>
        </w:rPr>
      </w:pPr>
      <w:r w:rsidRPr="009E54E4">
        <w:rPr>
          <w:rFonts w:ascii="Times New Roman" w:hAnsi="Times New Roman" w:cs="Times New Roman"/>
          <w:color w:val="000000"/>
          <w:sz w:val="20"/>
          <w:szCs w:val="20"/>
        </w:rPr>
        <w:t>(b) it is expected to and does reach the user or consumer without substantial change in the condition in which it is sold.</w:t>
      </w:r>
    </w:p>
    <w:p w14:paraId="7420320B" w14:textId="51900F79" w:rsidR="001853BF" w:rsidRPr="009E54E4" w:rsidRDefault="001853BF" w:rsidP="00F94B7E">
      <w:pPr>
        <w:widowControl w:val="0"/>
        <w:autoSpaceDE w:val="0"/>
        <w:autoSpaceDN w:val="0"/>
        <w:adjustRightInd w:val="0"/>
        <w:ind w:left="1440" w:right="720"/>
        <w:jc w:val="both"/>
        <w:rPr>
          <w:rFonts w:ascii="Times New Roman" w:hAnsi="Times New Roman" w:cs="Times New Roman"/>
          <w:color w:val="000000"/>
          <w:sz w:val="20"/>
          <w:szCs w:val="20"/>
        </w:rPr>
      </w:pPr>
      <w:r w:rsidRPr="009E54E4">
        <w:rPr>
          <w:rFonts w:ascii="Times New Roman" w:hAnsi="Times New Roman" w:cs="Times New Roman"/>
          <w:color w:val="000000"/>
          <w:sz w:val="20"/>
          <w:szCs w:val="20"/>
        </w:rPr>
        <w:t>“(2) The rule stated in Subsection (1) applies although</w:t>
      </w:r>
    </w:p>
    <w:p w14:paraId="122CC44A" w14:textId="6BD32D33" w:rsidR="001853BF" w:rsidRPr="009E54E4" w:rsidRDefault="001853BF" w:rsidP="00F94B7E">
      <w:pPr>
        <w:widowControl w:val="0"/>
        <w:autoSpaceDE w:val="0"/>
        <w:autoSpaceDN w:val="0"/>
        <w:adjustRightInd w:val="0"/>
        <w:ind w:left="2160" w:right="720"/>
        <w:jc w:val="both"/>
        <w:rPr>
          <w:rFonts w:ascii="Times New Roman" w:hAnsi="Times New Roman" w:cs="Times New Roman"/>
          <w:color w:val="000000"/>
          <w:sz w:val="20"/>
          <w:szCs w:val="20"/>
        </w:rPr>
      </w:pPr>
      <w:r w:rsidRPr="009E54E4">
        <w:rPr>
          <w:rFonts w:ascii="Times New Roman" w:hAnsi="Times New Roman" w:cs="Times New Roman"/>
          <w:color w:val="000000"/>
          <w:sz w:val="20"/>
          <w:szCs w:val="20"/>
        </w:rPr>
        <w:t>(a) the seller has exercised all possible care in the preparation and sale of his product, and</w:t>
      </w:r>
    </w:p>
    <w:p w14:paraId="5A72FAC3" w14:textId="2258EB1A" w:rsidR="001853BF" w:rsidRPr="009E54E4" w:rsidRDefault="001853BF"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30">
    <w:p w14:paraId="080AE74E" w14:textId="77777777" w:rsidR="001853BF" w:rsidRPr="009E54E4" w:rsidRDefault="001853BF" w:rsidP="00C85B70">
      <w:pPr>
        <w:pStyle w:val="FootnoteText"/>
        <w:rPr>
          <w:rFonts w:ascii="Times New Roman" w:eastAsia="Malgun Gothic" w:hAnsi="Times New Roman" w:cs="Times New Roman"/>
          <w:sz w:val="20"/>
          <w:szCs w:val="20"/>
          <w:lang w:eastAsia="ko-KR"/>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Alaska, Arizona, California, Colorado, Connecticut, Florida, Illinois, Iowa, Kentucky, Maine, Maryland, Massachusetts, Michigan, Minnesota, Nebraska, New Hampshire, New Jersey, New Mexico, New </w:t>
      </w:r>
      <w:r w:rsidRPr="00735627">
        <w:rPr>
          <w:rFonts w:ascii="Times New Roman" w:hAnsi="Times New Roman" w:cs="Times New Roman"/>
          <w:sz w:val="20"/>
          <w:szCs w:val="20"/>
        </w:rPr>
        <w:t>York, North Dakota, Ohio, Oklahoma, Rhode Island, South Carolina, Tennessee, Texas, West Virginia, Wyoming</w:t>
      </w:r>
    </w:p>
  </w:footnote>
  <w:footnote w:id="31">
    <w:p w14:paraId="2558545C" w14:textId="77777777" w:rsidR="001853BF" w:rsidRPr="009E54E4" w:rsidRDefault="001853BF" w:rsidP="00C85B70">
      <w:pPr>
        <w:pStyle w:val="FootnoteText"/>
        <w:rPr>
          <w:rFonts w:ascii="Times New Roman" w:eastAsia="Malgun Gothic" w:hAnsi="Times New Roman" w:cs="Times New Roman"/>
          <w:sz w:val="20"/>
          <w:szCs w:val="20"/>
          <w:lang w:eastAsia="ko-KR"/>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Alabama, Delaware, Hawaii, Idaho, Indiana, Kansas, Louisiana, Montana, Nevada, North Carolina, Oregon, South Dakota, Vermont, Virginia, Washington</w:t>
      </w:r>
    </w:p>
  </w:footnote>
  <w:footnote w:id="32">
    <w:p w14:paraId="48A909AA" w14:textId="77777777" w:rsidR="001853BF" w:rsidRPr="009E54E4" w:rsidRDefault="001853BF" w:rsidP="00C85B70">
      <w:pPr>
        <w:rPr>
          <w:rFonts w:ascii="Times New Roman" w:hAnsi="Times New Roman" w:cs="Times New Roman"/>
          <w:sz w:val="20"/>
          <w:szCs w:val="20"/>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Arkansas, Georgia, Mississippi, Missouri, Pennsylvania, Utah, Wisconsin, District of Columbia</w:t>
      </w:r>
    </w:p>
  </w:footnote>
  <w:footnote w:id="33">
    <w:p w14:paraId="17E49A19" w14:textId="072FD888" w:rsidR="001853BF" w:rsidRPr="009E54E4" w:rsidRDefault="001853BF"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34">
    <w:p w14:paraId="37F874AB" w14:textId="15A44A74" w:rsidR="001853BF" w:rsidRPr="009E54E4" w:rsidRDefault="001853BF"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35">
    <w:p w14:paraId="578B45FD" w14:textId="77777777" w:rsidR="001853BF" w:rsidRPr="009E54E4" w:rsidRDefault="001853BF" w:rsidP="003A495A">
      <w:pPr>
        <w:spacing w:line="241" w:lineRule="auto"/>
        <w:ind w:right="65"/>
        <w:rPr>
          <w:rFonts w:ascii="Times New Roman" w:hAnsi="Times New Roman" w:cs="Times New Roman"/>
          <w:sz w:val="20"/>
          <w:szCs w:val="20"/>
        </w:rPr>
      </w:pPr>
      <w:r w:rsidRPr="009E54E4">
        <w:rPr>
          <w:rStyle w:val="FootnoteReference"/>
          <w:rFonts w:ascii="Times New Roman" w:hAnsi="Times New Roman" w:cs="Times New Roman"/>
          <w:sz w:val="20"/>
          <w:szCs w:val="20"/>
        </w:rPr>
        <w:t>12</w:t>
      </w:r>
      <w:r w:rsidRPr="009E54E4">
        <w:rPr>
          <w:rFonts w:ascii="Times New Roman" w:hAnsi="Times New Roman" w:cs="Times New Roman"/>
          <w:sz w:val="20"/>
          <w:szCs w:val="20"/>
        </w:rPr>
        <w:t xml:space="preserve">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sa</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peroration would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also support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third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possibility (barr</w:t>
      </w:r>
      <w:r w:rsidRPr="009E54E4">
        <w:rPr>
          <w:rFonts w:ascii="Times New Roman" w:hAnsi="Times New Roman" w:cs="Times New Roman"/>
          <w:spacing w:val="1"/>
          <w:sz w:val="20"/>
          <w:szCs w:val="20"/>
        </w:rPr>
        <w:t>in</w:t>
      </w:r>
      <w:r w:rsidRPr="009E54E4">
        <w:rPr>
          <w:rFonts w:ascii="Times New Roman" w:hAnsi="Times New Roman" w:cs="Times New Roman"/>
          <w:sz w:val="20"/>
          <w:szCs w:val="20"/>
        </w:rPr>
        <w:t>g</w:t>
      </w:r>
      <w:r w:rsidRPr="009E54E4">
        <w:rPr>
          <w:rFonts w:ascii="Times New Roman" w:hAnsi="Times New Roman" w:cs="Times New Roman"/>
          <w:spacing w:val="1"/>
          <w:sz w:val="20"/>
          <w:szCs w:val="20"/>
        </w:rPr>
        <w:t xml:space="preserve"> </w:t>
      </w:r>
      <w:r w:rsidRPr="009E54E4">
        <w:rPr>
          <w:rFonts w:ascii="Times New Roman" w:hAnsi="Times New Roman" w:cs="Times New Roman"/>
          <w:w w:val="102"/>
          <w:sz w:val="20"/>
          <w:szCs w:val="20"/>
        </w:rPr>
        <w:t xml:space="preserve">strict </w:t>
      </w:r>
      <w:r w:rsidRPr="009E54E4">
        <w:rPr>
          <w:rFonts w:ascii="Times New Roman" w:hAnsi="Times New Roman" w:cs="Times New Roman"/>
          <w:sz w:val="20"/>
          <w:szCs w:val="20"/>
        </w:rPr>
        <w:t>liability actions</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but per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itting such</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actions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when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on negligence</w:t>
      </w:r>
      <w:r w:rsidRPr="009E54E4">
        <w:rPr>
          <w:rFonts w:ascii="Times New Roman" w:hAnsi="Times New Roman" w:cs="Times New Roman"/>
          <w:spacing w:val="8"/>
          <w:sz w:val="20"/>
          <w:szCs w:val="20"/>
        </w:rPr>
        <w:t>)</w:t>
      </w:r>
      <w:r w:rsidRPr="009E54E4">
        <w:rPr>
          <w:rFonts w:ascii="Times New Roman" w:hAnsi="Times New Roman" w:cs="Times New Roman"/>
          <w:sz w:val="20"/>
          <w:szCs w:val="20"/>
        </w:rPr>
        <w:t>.  Unlike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fourth</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 xml:space="preserve">possibility, </w:t>
      </w:r>
      <w:r w:rsidRPr="009E54E4">
        <w:rPr>
          <w:rFonts w:ascii="Times New Roman" w:hAnsi="Times New Roman" w:cs="Times New Roman"/>
          <w:spacing w:val="1"/>
          <w:sz w:val="20"/>
          <w:szCs w:val="20"/>
        </w:rPr>
        <w:t>ho</w:t>
      </w:r>
      <w:r w:rsidRPr="009E54E4">
        <w:rPr>
          <w:rFonts w:ascii="Times New Roman" w:hAnsi="Times New Roman" w:cs="Times New Roman"/>
          <w:sz w:val="20"/>
          <w:szCs w:val="20"/>
        </w:rPr>
        <w:t>wever,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third</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would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require</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no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further restriction</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27"/>
          <w:sz w:val="20"/>
          <w:szCs w:val="20"/>
        </w:rPr>
        <w:t xml:space="preserve"> </w:t>
      </w:r>
      <w:r w:rsidRPr="00F94B7E">
        <w:rPr>
          <w:rFonts w:ascii="Times New Roman" w:hAnsi="Times New Roman" w:cs="Times New Roman"/>
          <w:i/>
          <w:sz w:val="20"/>
          <w:szCs w:val="20"/>
        </w:rPr>
        <w:t>Rob</w:t>
      </w:r>
      <w:r w:rsidRPr="00F94B7E">
        <w:rPr>
          <w:rFonts w:ascii="Times New Roman" w:hAnsi="Times New Roman" w:cs="Times New Roman"/>
          <w:i/>
          <w:spacing w:val="1"/>
          <w:sz w:val="20"/>
          <w:szCs w:val="20"/>
        </w:rPr>
        <w:t>i</w:t>
      </w:r>
      <w:r w:rsidRPr="00F94B7E">
        <w:rPr>
          <w:rFonts w:ascii="Times New Roman" w:hAnsi="Times New Roman" w:cs="Times New Roman"/>
          <w:i/>
          <w:sz w:val="20"/>
          <w:szCs w:val="20"/>
        </w:rPr>
        <w:t>nson</w:t>
      </w:r>
      <w:r w:rsidRPr="009E54E4">
        <w:rPr>
          <w:rFonts w:ascii="Times New Roman" w:hAnsi="Times New Roman" w:cs="Times New Roman"/>
          <w:sz w:val="20"/>
          <w:szCs w:val="20"/>
        </w:rPr>
        <w:t>,</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25"/>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27"/>
          <w:sz w:val="20"/>
          <w:szCs w:val="20"/>
        </w:rPr>
        <w:t xml:space="preserve"> </w:t>
      </w:r>
      <w:r w:rsidRPr="009E54E4">
        <w:rPr>
          <w:rFonts w:ascii="Times New Roman" w:hAnsi="Times New Roman" w:cs="Times New Roman"/>
          <w:sz w:val="20"/>
          <w:szCs w:val="20"/>
        </w:rPr>
        <w:t xml:space="preserve">discussed </w:t>
      </w:r>
      <w:r w:rsidRPr="00F94B7E">
        <w:rPr>
          <w:rFonts w:ascii="Times New Roman" w:hAnsi="Times New Roman" w:cs="Times New Roman"/>
          <w:i/>
          <w:sz w:val="20"/>
          <w:szCs w:val="20"/>
        </w:rPr>
        <w:t>supra</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note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6,</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negligence 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was</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li</w:t>
      </w:r>
      <w:r w:rsidRPr="009E54E4">
        <w:rPr>
          <w:rFonts w:ascii="Times New Roman" w:hAnsi="Times New Roman" w:cs="Times New Roman"/>
          <w:spacing w:val="-1"/>
          <w:sz w:val="20"/>
          <w:szCs w:val="20"/>
        </w:rPr>
        <w:t>m</w:t>
      </w:r>
      <w:r w:rsidRPr="009E54E4">
        <w:rPr>
          <w:rFonts w:ascii="Times New Roman" w:hAnsi="Times New Roman" w:cs="Times New Roman"/>
          <w:sz w:val="20"/>
          <w:szCs w:val="20"/>
        </w:rPr>
        <w:t>ited</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discussion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 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defect.  </w:t>
      </w:r>
    </w:p>
    <w:p w14:paraId="1508D0C8" w14:textId="136CD979" w:rsidR="001853BF" w:rsidRPr="009E54E4" w:rsidRDefault="001853BF" w:rsidP="003A495A">
      <w:pPr>
        <w:spacing w:line="241" w:lineRule="auto"/>
        <w:ind w:right="65" w:firstLine="720"/>
        <w:rPr>
          <w:rFonts w:ascii="Times New Roman" w:hAnsi="Times New Roman" w:cs="Times New Roman"/>
          <w:sz w:val="20"/>
          <w:szCs w:val="20"/>
        </w:rPr>
      </w:pPr>
      <w:r w:rsidRPr="009E54E4">
        <w:rPr>
          <w:rFonts w:ascii="Times New Roman" w:hAnsi="Times New Roman" w:cs="Times New Roman"/>
          <w:w w:val="99"/>
          <w:sz w:val="20"/>
          <w:szCs w:val="20"/>
        </w:rPr>
        <w:t>Moreover,</w:t>
      </w:r>
      <w:r w:rsidRPr="009E54E4">
        <w:rPr>
          <w:rFonts w:ascii="Times New Roman" w:hAnsi="Times New Roman" w:cs="Times New Roman"/>
          <w:spacing w:val="-12"/>
          <w:w w:val="9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reason</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does</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appear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exist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tort theory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treating</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gligence and</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strict liability</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si</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ilarly when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dealing</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wi</w:t>
      </w:r>
      <w:r w:rsidRPr="009E54E4">
        <w:rPr>
          <w:rFonts w:ascii="Times New Roman" w:hAnsi="Times New Roman" w:cs="Times New Roman"/>
          <w:sz w:val="20"/>
          <w:szCs w:val="20"/>
        </w:rPr>
        <w:t>th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 defects,</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but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differently in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warn case</w:t>
      </w:r>
      <w:r w:rsidRPr="009E54E4">
        <w:rPr>
          <w:rFonts w:ascii="Times New Roman" w:hAnsi="Times New Roman" w:cs="Times New Roman"/>
          <w:spacing w:val="2"/>
          <w:sz w:val="20"/>
          <w:szCs w:val="20"/>
        </w:rPr>
        <w:t>s</w:t>
      </w:r>
      <w:r w:rsidRPr="009E54E4">
        <w:rPr>
          <w:rFonts w:ascii="Times New Roman" w:hAnsi="Times New Roman" w:cs="Times New Roman"/>
          <w:sz w:val="20"/>
          <w:szCs w:val="20"/>
        </w:rPr>
        <w:t xml:space="preserve">.  </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One definition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defective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product 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so-called</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test. </w:t>
      </w:r>
      <w:r w:rsidRPr="009E54E4">
        <w:rPr>
          <w:rFonts w:ascii="Times New Roman" w:hAnsi="Times New Roman" w:cs="Times New Roman"/>
          <w:spacing w:val="34"/>
          <w:sz w:val="20"/>
          <w:szCs w:val="20"/>
        </w:rPr>
        <w:t xml:space="preserve"> </w:t>
      </w:r>
      <w:r w:rsidRPr="00F94B7E">
        <w:rPr>
          <w:rFonts w:ascii="Times New Roman" w:hAnsi="Times New Roman" w:cs="Times New Roman"/>
          <w:i/>
          <w:sz w:val="20"/>
          <w:szCs w:val="20"/>
        </w:rPr>
        <w:t>See</w:t>
      </w:r>
      <w:r w:rsidRPr="009E54E4">
        <w:rPr>
          <w:rFonts w:ascii="Times New Roman" w:hAnsi="Times New Roman" w:cs="Times New Roman"/>
          <w:sz w:val="20"/>
          <w:szCs w:val="20"/>
        </w:rPr>
        <w:t xml:space="preserve"> </w:t>
      </w:r>
      <w:r w:rsidRPr="00F94B7E">
        <w:rPr>
          <w:rFonts w:ascii="Times New Roman" w:hAnsi="Times New Roman" w:cs="Times New Roman"/>
          <w:smallCaps/>
          <w:sz w:val="20"/>
          <w:szCs w:val="20"/>
        </w:rPr>
        <w:t>Restatement (Third) of Torts: Prods. Liab.</w:t>
      </w:r>
      <w:r w:rsidRPr="009E54E4">
        <w:rPr>
          <w:rFonts w:ascii="Times New Roman" w:hAnsi="Times New Roman" w:cs="Times New Roman"/>
          <w:sz w:val="20"/>
          <w:szCs w:val="20"/>
        </w:rPr>
        <w:t xml:space="preserve"> B.</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2</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 xml:space="preserve">(Proposed Final </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raft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1, 1997).</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ground</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for d</w:t>
      </w:r>
      <w:r w:rsidRPr="009E54E4">
        <w:rPr>
          <w:rFonts w:ascii="Times New Roman" w:hAnsi="Times New Roman" w:cs="Times New Roman"/>
          <w:spacing w:val="2"/>
          <w:sz w:val="20"/>
          <w:szCs w:val="20"/>
        </w:rPr>
        <w:t>es</w:t>
      </w:r>
      <w:r w:rsidRPr="009E54E4">
        <w:rPr>
          <w:rFonts w:ascii="Times New Roman" w:hAnsi="Times New Roman" w:cs="Times New Roman"/>
          <w:spacing w:val="1"/>
          <w:sz w:val="20"/>
          <w:szCs w:val="20"/>
        </w:rPr>
        <w:t>ig</w:t>
      </w:r>
      <w:r w:rsidRPr="009E54E4">
        <w:rPr>
          <w:rFonts w:ascii="Times New Roman" w:hAnsi="Times New Roman" w:cs="Times New Roman"/>
          <w:sz w:val="20"/>
          <w:szCs w:val="20"/>
        </w:rPr>
        <w:t>n defect</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li</w:t>
      </w:r>
      <w:r w:rsidRPr="009E54E4">
        <w:rPr>
          <w:rFonts w:ascii="Times New Roman" w:hAnsi="Times New Roman" w:cs="Times New Roman"/>
          <w:spacing w:val="2"/>
          <w:sz w:val="20"/>
          <w:szCs w:val="20"/>
        </w:rPr>
        <w:t>a</w:t>
      </w:r>
      <w:r w:rsidRPr="009E54E4">
        <w:rPr>
          <w:rFonts w:ascii="Times New Roman" w:hAnsi="Times New Roman" w:cs="Times New Roman"/>
          <w:sz w:val="20"/>
          <w:szCs w:val="20"/>
        </w:rPr>
        <w:t>bility applies</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New</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York.</w:t>
      </w:r>
      <w:r w:rsidRPr="009E54E4">
        <w:rPr>
          <w:rFonts w:ascii="Times New Roman" w:hAnsi="Times New Roman" w:cs="Times New Roman"/>
          <w:spacing w:val="2"/>
          <w:sz w:val="20"/>
          <w:szCs w:val="20"/>
        </w:rPr>
        <w:t xml:space="preserve"> </w:t>
      </w:r>
      <w:r w:rsidRPr="00F94B7E">
        <w:rPr>
          <w:rFonts w:ascii="Times New Roman" w:hAnsi="Times New Roman" w:cs="Times New Roman"/>
          <w:i/>
          <w:sz w:val="20"/>
          <w:szCs w:val="20"/>
        </w:rPr>
        <w:t>See</w:t>
      </w:r>
      <w:r w:rsidRPr="009E54E4">
        <w:rPr>
          <w:rFonts w:ascii="Times New Roman" w:hAnsi="Times New Roman" w:cs="Times New Roman"/>
          <w:sz w:val="20"/>
          <w:szCs w:val="20"/>
        </w:rPr>
        <w:t xml:space="preserve"> Denny</w:t>
      </w:r>
      <w:r w:rsidRPr="00735627">
        <w:rPr>
          <w:rFonts w:ascii="Times New Roman" w:hAnsi="Times New Roman" w:cs="Times New Roman"/>
          <w:spacing w:val="16"/>
          <w:sz w:val="20"/>
          <w:szCs w:val="20"/>
        </w:rPr>
        <w:t xml:space="preserve"> </w:t>
      </w:r>
      <w:r w:rsidRPr="009E54E4">
        <w:rPr>
          <w:rFonts w:ascii="Times New Roman" w:hAnsi="Times New Roman" w:cs="Times New Roman"/>
          <w:spacing w:val="2"/>
          <w:sz w:val="20"/>
          <w:szCs w:val="20"/>
        </w:rPr>
        <w:t>v</w:t>
      </w:r>
      <w:r w:rsidRPr="009E54E4">
        <w:rPr>
          <w:rFonts w:ascii="Times New Roman" w:hAnsi="Times New Roman" w:cs="Times New Roman"/>
          <w:sz w:val="20"/>
          <w:szCs w:val="20"/>
        </w:rPr>
        <w:t>.</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 xml:space="preserve">Ford </w:t>
      </w:r>
      <w:r w:rsidRPr="009E54E4">
        <w:rPr>
          <w:rFonts w:ascii="Times New Roman" w:hAnsi="Times New Roman" w:cs="Times New Roman"/>
          <w:spacing w:val="1"/>
          <w:sz w:val="20"/>
          <w:szCs w:val="20"/>
        </w:rPr>
        <w:t>Motor</w:t>
      </w:r>
      <w:r w:rsidRPr="009E54E4">
        <w:rPr>
          <w:rFonts w:ascii="Times New Roman" w:hAnsi="Times New Roman" w:cs="Times New Roman"/>
          <w:spacing w:val="2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662</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N.E.2d</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 xml:space="preserve">730 (N.Y. 1995). </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other</w:t>
      </w:r>
      <w:r w:rsidRPr="009E54E4">
        <w:rPr>
          <w:rFonts w:ascii="Times New Roman" w:hAnsi="Times New Roman" w:cs="Times New Roman"/>
          <w:spacing w:val="-13"/>
          <w:sz w:val="20"/>
          <w:szCs w:val="20"/>
        </w:rPr>
        <w:t xml:space="preserve"> </w:t>
      </w:r>
      <w:r w:rsidRPr="009E54E4">
        <w:rPr>
          <w:rFonts w:ascii="Times New Roman" w:hAnsi="Times New Roman" w:cs="Times New Roman"/>
          <w:w w:val="99"/>
          <w:sz w:val="20"/>
          <w:szCs w:val="20"/>
        </w:rPr>
        <w:t>definition</w:t>
      </w:r>
      <w:r w:rsidRPr="009E54E4">
        <w:rPr>
          <w:rFonts w:ascii="Times New Roman" w:eastAsia="Times New Roman" w:hAnsi="Times New Roman" w:cs="Times New Roman"/>
          <w:lang w:eastAsia="en-US"/>
        </w:rPr>
        <w:t>—</w:t>
      </w:r>
      <w:r w:rsidRPr="009E54E4">
        <w:rPr>
          <w:rFonts w:ascii="Times New Roman" w:hAnsi="Times New Roman" w:cs="Times New Roman"/>
          <w:w w:val="99"/>
          <w:sz w:val="20"/>
          <w:szCs w:val="20"/>
        </w:rPr>
        <w:t>which</w:t>
      </w:r>
      <w:r w:rsidRPr="009E54E4">
        <w:rPr>
          <w:rFonts w:ascii="Times New Roman" w:hAnsi="Times New Roman" w:cs="Times New Roman"/>
          <w:spacing w:val="-8"/>
          <w:w w:val="99"/>
          <w:sz w:val="20"/>
          <w:szCs w:val="20"/>
        </w:rPr>
        <w:t xml:space="preserve"> </w:t>
      </w:r>
      <w:r w:rsidRPr="009E54E4">
        <w:rPr>
          <w:rFonts w:ascii="Times New Roman" w:hAnsi="Times New Roman" w:cs="Times New Roman"/>
          <w:sz w:val="20"/>
          <w:szCs w:val="20"/>
        </w:rPr>
        <w:t>also appli</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New</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York</w:t>
      </w:r>
      <w:r w:rsidRPr="009E54E4">
        <w:rPr>
          <w:rFonts w:ascii="Times New Roman" w:eastAsia="Times New Roman" w:hAnsi="Times New Roman" w:cs="Times New Roman"/>
          <w:lang w:eastAsia="en-US"/>
        </w:rPr>
        <w:t>—</w:t>
      </w:r>
      <w:r w:rsidRPr="009E54E4">
        <w:rPr>
          <w:rFonts w:ascii="Times New Roman" w:hAnsi="Times New Roman" w:cs="Times New Roman"/>
          <w:sz w:val="20"/>
          <w:szCs w:val="20"/>
        </w:rPr>
        <w:t>is the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plied warranty/con</w:t>
      </w:r>
      <w:r w:rsidRPr="009E54E4">
        <w:rPr>
          <w:rFonts w:ascii="Times New Roman" w:hAnsi="Times New Roman" w:cs="Times New Roman"/>
          <w:spacing w:val="2"/>
          <w:sz w:val="20"/>
          <w:szCs w:val="20"/>
        </w:rPr>
        <w:t>s</w:t>
      </w:r>
      <w:r w:rsidRPr="009E54E4">
        <w:rPr>
          <w:rFonts w:ascii="Times New Roman" w:hAnsi="Times New Roman" w:cs="Times New Roman"/>
          <w:spacing w:val="1"/>
          <w:sz w:val="20"/>
          <w:szCs w:val="20"/>
        </w:rPr>
        <w:t>u</w:t>
      </w:r>
      <w:r w:rsidRPr="009E54E4">
        <w:rPr>
          <w:rFonts w:ascii="Times New Roman" w:hAnsi="Times New Roman" w:cs="Times New Roman"/>
          <w:spacing w:val="-1"/>
          <w:sz w:val="20"/>
          <w:szCs w:val="20"/>
        </w:rPr>
        <w:t>m</w:t>
      </w:r>
      <w:r w:rsidRPr="009E54E4">
        <w:rPr>
          <w:rFonts w:ascii="Times New Roman" w:hAnsi="Times New Roman" w:cs="Times New Roman"/>
          <w:sz w:val="20"/>
          <w:szCs w:val="20"/>
        </w:rPr>
        <w:t>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expectations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basis.)</w:t>
      </w:r>
    </w:p>
    <w:p w14:paraId="0E3E4248" w14:textId="49EBBD34" w:rsidR="001853BF" w:rsidRPr="009E54E4" w:rsidRDefault="001853BF" w:rsidP="003A495A">
      <w:pPr>
        <w:spacing w:before="33" w:line="241" w:lineRule="auto"/>
        <w:ind w:right="-54" w:firstLine="720"/>
        <w:rPr>
          <w:rFonts w:ascii="Times New Roman" w:hAnsi="Times New Roman" w:cs="Times New Roman"/>
          <w:sz w:val="20"/>
          <w:szCs w:val="20"/>
        </w:rPr>
      </w:pP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 test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aking</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cost-benefit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gauge</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ben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1"/>
          <w:sz w:val="20"/>
          <w:szCs w:val="20"/>
        </w:rPr>
        <w:t>it</w:t>
      </w:r>
      <w:r w:rsidRPr="009E54E4">
        <w:rPr>
          <w:rFonts w:ascii="Times New Roman" w:hAnsi="Times New Roman" w:cs="Times New Roman"/>
          <w:sz w:val="20"/>
          <w:szCs w:val="20"/>
        </w:rPr>
        <w: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a</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relation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dangers. In</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this respect,</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very</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si</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ilar</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Learned</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Hand cost-benefit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undertaken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deter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ine whether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exi</w:t>
      </w:r>
      <w:r w:rsidRPr="009E54E4">
        <w:rPr>
          <w:rFonts w:ascii="Times New Roman" w:hAnsi="Times New Roman" w:cs="Times New Roman"/>
          <w:spacing w:val="-1"/>
          <w:sz w:val="20"/>
          <w:szCs w:val="20"/>
        </w:rPr>
        <w:t>sts</w:t>
      </w:r>
      <w:r w:rsidRPr="009E54E4">
        <w:rPr>
          <w:rFonts w:ascii="Times New Roman" w:hAnsi="Times New Roman" w:cs="Times New Roman"/>
          <w:sz w:val="20"/>
          <w:szCs w:val="20"/>
        </w:rPr>
        <w:t>,</w:t>
      </w:r>
      <w:r w:rsidRPr="009E54E4">
        <w:rPr>
          <w:rFonts w:ascii="Times New Roman" w:hAnsi="Times New Roman" w:cs="Times New Roman"/>
          <w:spacing w:val="-21"/>
          <w:sz w:val="20"/>
          <w:szCs w:val="20"/>
        </w:rPr>
        <w:t xml:space="preserve"> </w:t>
      </w:r>
      <w:r w:rsidRPr="009E54E4">
        <w:rPr>
          <w:rFonts w:ascii="Times New Roman" w:hAnsi="Times New Roman" w:cs="Times New Roman"/>
          <w:i/>
          <w:sz w:val="20"/>
          <w:szCs w:val="20"/>
        </w:rPr>
        <w:t>see</w:t>
      </w:r>
      <w:r w:rsidRPr="009E54E4">
        <w:rPr>
          <w:rFonts w:ascii="Times New Roman" w:hAnsi="Times New Roman" w:cs="Times New Roman"/>
          <w:spacing w:val="-19"/>
          <w:sz w:val="20"/>
          <w:szCs w:val="20"/>
        </w:rPr>
        <w:t xml:space="preserve"> </w:t>
      </w:r>
      <w:r w:rsidRPr="009E54E4">
        <w:rPr>
          <w:rFonts w:ascii="Times New Roman" w:hAnsi="Times New Roman" w:cs="Times New Roman"/>
          <w:i/>
          <w:sz w:val="20"/>
          <w:szCs w:val="20"/>
        </w:rPr>
        <w:t>United</w:t>
      </w:r>
      <w:r w:rsidRPr="009E54E4">
        <w:rPr>
          <w:rFonts w:ascii="Times New Roman" w:hAnsi="Times New Roman" w:cs="Times New Roman"/>
          <w:i/>
          <w:spacing w:val="-19"/>
          <w:sz w:val="20"/>
          <w:szCs w:val="20"/>
        </w:rPr>
        <w:t xml:space="preserve"> </w:t>
      </w:r>
      <w:r w:rsidRPr="009E54E4">
        <w:rPr>
          <w:rFonts w:ascii="Times New Roman" w:hAnsi="Times New Roman" w:cs="Times New Roman"/>
          <w:i/>
          <w:sz w:val="20"/>
          <w:szCs w:val="20"/>
        </w:rPr>
        <w:t>States</w:t>
      </w:r>
      <w:r w:rsidRPr="009E54E4">
        <w:rPr>
          <w:rFonts w:ascii="Times New Roman" w:hAnsi="Times New Roman" w:cs="Times New Roman"/>
          <w:i/>
          <w:spacing w:val="-19"/>
          <w:sz w:val="20"/>
          <w:szCs w:val="20"/>
        </w:rPr>
        <w:t xml:space="preserve"> </w:t>
      </w:r>
      <w:r w:rsidRPr="009E54E4">
        <w:rPr>
          <w:rFonts w:ascii="Times New Roman" w:hAnsi="Times New Roman" w:cs="Times New Roman"/>
          <w:i/>
          <w:sz w:val="20"/>
          <w:szCs w:val="20"/>
        </w:rPr>
        <w:t>v. Ca</w:t>
      </w:r>
      <w:r w:rsidRPr="009E54E4">
        <w:rPr>
          <w:rFonts w:ascii="Times New Roman" w:hAnsi="Times New Roman" w:cs="Times New Roman"/>
          <w:i/>
          <w:spacing w:val="2"/>
          <w:sz w:val="20"/>
          <w:szCs w:val="20"/>
        </w:rPr>
        <w:t>rr</w:t>
      </w:r>
      <w:r w:rsidRPr="009E54E4">
        <w:rPr>
          <w:rFonts w:ascii="Times New Roman" w:hAnsi="Times New Roman" w:cs="Times New Roman"/>
          <w:i/>
          <w:sz w:val="20"/>
          <w:szCs w:val="20"/>
        </w:rPr>
        <w:t>oll</w:t>
      </w:r>
      <w:r w:rsidRPr="009E54E4">
        <w:rPr>
          <w:rFonts w:ascii="Times New Roman" w:hAnsi="Times New Roman" w:cs="Times New Roman"/>
          <w:i/>
          <w:spacing w:val="50"/>
          <w:sz w:val="20"/>
          <w:szCs w:val="20"/>
        </w:rPr>
        <w:t xml:space="preserve"> </w:t>
      </w:r>
      <w:r w:rsidRPr="009E54E4">
        <w:rPr>
          <w:rFonts w:ascii="Times New Roman" w:hAnsi="Times New Roman" w:cs="Times New Roman"/>
          <w:i/>
          <w:sz w:val="20"/>
          <w:szCs w:val="20"/>
        </w:rPr>
        <w:t>Towing</w:t>
      </w:r>
      <w:r w:rsidRPr="009E54E4">
        <w:rPr>
          <w:rFonts w:ascii="Times New Roman" w:hAnsi="Times New Roman" w:cs="Times New Roman"/>
          <w:i/>
          <w:spacing w:val="-4"/>
          <w:sz w:val="20"/>
          <w:szCs w:val="20"/>
        </w:rPr>
        <w:t xml:space="preserve"> </w:t>
      </w:r>
      <w:r w:rsidRPr="009E54E4">
        <w:rPr>
          <w:rFonts w:ascii="Times New Roman" w:hAnsi="Times New Roman" w:cs="Times New Roman"/>
          <w:i/>
          <w:sz w:val="20"/>
          <w:szCs w:val="20"/>
        </w:rPr>
        <w:t>Co</w:t>
      </w:r>
      <w:r w:rsidRPr="009E54E4">
        <w:rPr>
          <w:rFonts w:ascii="Times New Roman" w:hAnsi="Times New Roman" w:cs="Times New Roman"/>
          <w:sz w:val="20"/>
          <w:szCs w:val="20"/>
        </w:rPr>
        <w:t>. The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d</w:t>
      </w:r>
      <w:r w:rsidRPr="009E54E4">
        <w:rPr>
          <w:rFonts w:ascii="Times New Roman" w:hAnsi="Times New Roman" w:cs="Times New Roman"/>
          <w:spacing w:val="1"/>
          <w:sz w:val="20"/>
          <w:szCs w:val="20"/>
        </w:rPr>
        <w:t>i</w:t>
      </w:r>
      <w:r w:rsidRPr="009E54E4">
        <w:rPr>
          <w:rFonts w:ascii="Times New Roman" w:hAnsi="Times New Roman" w:cs="Times New Roman"/>
          <w:sz w:val="20"/>
          <w:szCs w:val="20"/>
        </w:rPr>
        <w:t>fference</w:t>
      </w:r>
      <w:r w:rsidRPr="009E54E4">
        <w:rPr>
          <w:rFonts w:ascii="Times New Roman" w:eastAsia="Times New Roman" w:hAnsi="Times New Roman" w:cs="Times New Roman"/>
          <w:lang w:eastAsia="en-US"/>
        </w:rPr>
        <w:t>—</w:t>
      </w:r>
      <w:r w:rsidRPr="009E54E4">
        <w:rPr>
          <w:rFonts w:ascii="Times New Roman" w:hAnsi="Times New Roman" w:cs="Times New Roman"/>
          <w:sz w:val="20"/>
          <w:szCs w:val="20"/>
        </w:rPr>
        <w:t>and it</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a significant one</w:t>
      </w:r>
      <w:r w:rsidRPr="009E54E4">
        <w:rPr>
          <w:rFonts w:ascii="Times New Roman" w:eastAsia="Times New Roman" w:hAnsi="Times New Roman" w:cs="Times New Roman"/>
          <w:lang w:eastAsia="en-US"/>
        </w:rPr>
        <w:t>—</w:t>
      </w:r>
      <w:r w:rsidRPr="009E54E4">
        <w:rPr>
          <w:rFonts w:ascii="Times New Roman" w:hAnsi="Times New Roman" w:cs="Times New Roman"/>
          <w:sz w:val="20"/>
          <w:szCs w:val="20"/>
        </w:rPr>
        <w:t>is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th</w:t>
      </w:r>
      <w:r w:rsidRPr="009E54E4">
        <w:rPr>
          <w:rFonts w:ascii="Times New Roman" w:hAnsi="Times New Roman" w:cs="Times New Roman"/>
          <w:sz w:val="20"/>
          <w:szCs w:val="20"/>
        </w:rPr>
        <w:t>at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under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 xml:space="preserve">negligence </w:t>
      </w:r>
      <w:r w:rsidRPr="009E54E4">
        <w:rPr>
          <w:rFonts w:ascii="Times New Roman" w:hAnsi="Times New Roman" w:cs="Times New Roman"/>
          <w:spacing w:val="2"/>
          <w:sz w:val="20"/>
          <w:szCs w:val="20"/>
        </w:rPr>
        <w:t>a</w:t>
      </w:r>
      <w:r w:rsidRPr="009E54E4">
        <w:rPr>
          <w:rFonts w:ascii="Times New Roman" w:hAnsi="Times New Roman" w:cs="Times New Roman"/>
          <w:spacing w:val="1"/>
          <w:sz w:val="20"/>
          <w:szCs w:val="20"/>
        </w:rPr>
        <w:t>n</w:t>
      </w:r>
      <w:r w:rsidRPr="009E54E4">
        <w:rPr>
          <w:rFonts w:ascii="Times New Roman" w:hAnsi="Times New Roman" w:cs="Times New Roman"/>
          <w:sz w:val="20"/>
          <w:szCs w:val="20"/>
        </w:rPr>
        <w:t>alysis,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cost-benefit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test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ade on</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th</w:t>
      </w:r>
      <w:r w:rsidRPr="009E54E4">
        <w:rPr>
          <w:rFonts w:ascii="Times New Roman" w:hAnsi="Times New Roman" w:cs="Times New Roman"/>
          <w:sz w:val="20"/>
          <w:szCs w:val="20"/>
        </w:rPr>
        <w:t>e basis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what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defendant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knew</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 ought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 have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known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at</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he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acted,</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while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 no-fault,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test,</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relies</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on 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know</w:t>
      </w:r>
      <w:r w:rsidRPr="009E54E4">
        <w:rPr>
          <w:rFonts w:ascii="Times New Roman" w:hAnsi="Times New Roman" w:cs="Times New Roman"/>
          <w:spacing w:val="1"/>
          <w:sz w:val="20"/>
          <w:szCs w:val="20"/>
        </w:rPr>
        <w:t>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dge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that 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available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ti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 trial</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(i.e.,</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includes </w:t>
      </w:r>
      <w:r w:rsidRPr="009E54E4">
        <w:rPr>
          <w:rFonts w:ascii="Times New Roman" w:hAnsi="Times New Roman" w:cs="Times New Roman"/>
          <w:spacing w:val="1"/>
          <w:sz w:val="20"/>
          <w:szCs w:val="20"/>
        </w:rPr>
        <w:t>d</w:t>
      </w:r>
      <w:r w:rsidRPr="009E54E4">
        <w:rPr>
          <w:rFonts w:ascii="Times New Roman" w:hAnsi="Times New Roman" w:cs="Times New Roman"/>
          <w:spacing w:val="2"/>
          <w:sz w:val="20"/>
          <w:szCs w:val="20"/>
        </w:rPr>
        <w:t>a</w:t>
      </w:r>
      <w:r w:rsidRPr="009E54E4">
        <w:rPr>
          <w:rFonts w:ascii="Times New Roman" w:hAnsi="Times New Roman" w:cs="Times New Roman"/>
          <w:spacing w:val="1"/>
          <w:sz w:val="20"/>
          <w:szCs w:val="20"/>
        </w:rPr>
        <w:t>t</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beco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 available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after</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accident). Despite this</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1"/>
          <w:sz w:val="20"/>
          <w:szCs w:val="20"/>
        </w:rPr>
        <w:t>di</w:t>
      </w:r>
      <w:r w:rsidRPr="009E54E4">
        <w:rPr>
          <w:rFonts w:ascii="Times New Roman" w:hAnsi="Times New Roman" w:cs="Times New Roman"/>
          <w:sz w:val="20"/>
          <w:szCs w:val="20"/>
        </w:rPr>
        <w:t>fference, both</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tests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involve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si</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ilar weighing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advantages and</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 xml:space="preserve">disadvantages </w:t>
      </w:r>
      <w:r w:rsidRPr="009E54E4">
        <w:rPr>
          <w:rFonts w:ascii="Times New Roman" w:hAnsi="Times New Roman" w:cs="Times New Roman"/>
          <w:spacing w:val="1"/>
          <w:sz w:val="20"/>
          <w:szCs w:val="20"/>
        </w:rPr>
        <w:t>ass</w:t>
      </w:r>
      <w:r w:rsidRPr="009E54E4">
        <w:rPr>
          <w:rFonts w:ascii="Times New Roman" w:hAnsi="Times New Roman" w:cs="Times New Roman"/>
          <w:sz w:val="20"/>
          <w:szCs w:val="20"/>
        </w:rPr>
        <w:t>o</w:t>
      </w:r>
      <w:r w:rsidRPr="009E54E4">
        <w:rPr>
          <w:rFonts w:ascii="Times New Roman" w:hAnsi="Times New Roman" w:cs="Times New Roman"/>
          <w:spacing w:val="1"/>
          <w:sz w:val="20"/>
          <w:szCs w:val="20"/>
        </w:rPr>
        <w:t>c</w:t>
      </w:r>
      <w:r w:rsidRPr="009E54E4">
        <w:rPr>
          <w:rFonts w:ascii="Times New Roman" w:hAnsi="Times New Roman" w:cs="Times New Roman"/>
          <w:sz w:val="20"/>
          <w:szCs w:val="20"/>
        </w:rPr>
        <w:t>i</w:t>
      </w:r>
      <w:r w:rsidRPr="009E54E4">
        <w:rPr>
          <w:rFonts w:ascii="Times New Roman" w:hAnsi="Times New Roman" w:cs="Times New Roman"/>
          <w:spacing w:val="1"/>
          <w:sz w:val="20"/>
          <w:szCs w:val="20"/>
        </w:rPr>
        <w:t>a</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e</w:t>
      </w:r>
      <w:r w:rsidRPr="009E54E4">
        <w:rPr>
          <w:rFonts w:ascii="Times New Roman" w:hAnsi="Times New Roman" w:cs="Times New Roman"/>
          <w:sz w:val="20"/>
          <w:szCs w:val="20"/>
        </w:rPr>
        <w:t>d</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with</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p</w:t>
      </w:r>
      <w:r w:rsidRPr="009E54E4">
        <w:rPr>
          <w:rFonts w:ascii="Times New Roman" w:hAnsi="Times New Roman" w:cs="Times New Roman"/>
          <w:spacing w:val="1"/>
          <w:sz w:val="20"/>
          <w:szCs w:val="20"/>
        </w:rPr>
        <w:t>roduc</w:t>
      </w:r>
      <w:r w:rsidRPr="009E54E4">
        <w:rPr>
          <w:rFonts w:ascii="Times New Roman" w:hAnsi="Times New Roman" w:cs="Times New Roman"/>
          <w:sz w:val="20"/>
          <w:szCs w:val="20"/>
        </w:rPr>
        <w:t xml:space="preserve">t. </w:t>
      </w:r>
      <w:r w:rsidRPr="009E54E4">
        <w:rPr>
          <w:rFonts w:ascii="Times New Roman" w:hAnsi="Times New Roman" w:cs="Times New Roman"/>
          <w:i/>
          <w:sz w:val="20"/>
          <w:szCs w:val="20"/>
        </w:rPr>
        <w:t>Cf.</w:t>
      </w:r>
      <w:r w:rsidRPr="009E54E4">
        <w:rPr>
          <w:rFonts w:ascii="Times New Roman" w:hAnsi="Times New Roman" w:cs="Times New Roman"/>
          <w:i/>
          <w:spacing w:val="1"/>
          <w:sz w:val="20"/>
          <w:szCs w:val="20"/>
        </w:rPr>
        <w:t xml:space="preserve"> </w:t>
      </w:r>
      <w:r w:rsidRPr="009E54E4">
        <w:rPr>
          <w:rFonts w:ascii="Times New Roman" w:hAnsi="Times New Roman" w:cs="Times New Roman"/>
          <w:i/>
          <w:sz w:val="20"/>
          <w:szCs w:val="20"/>
        </w:rPr>
        <w:t>Denny</w:t>
      </w:r>
      <w:r w:rsidRPr="009E54E4">
        <w:rPr>
          <w:rFonts w:ascii="Times New Roman" w:hAnsi="Times New Roman" w:cs="Times New Roman"/>
          <w:sz w:val="20"/>
          <w:szCs w:val="20"/>
        </w:rPr>
        <w: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 xml:space="preserve">662 </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 xml:space="preserve">N.E.2d </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 xml:space="preserve">at </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735</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 xml:space="preserve">(“The </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adoption </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 xml:space="preserve">f </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z w:val="20"/>
          <w:szCs w:val="20"/>
        </w:rPr>
        <w:t>h[e] risk/utility</w:t>
      </w:r>
      <w:r w:rsidRPr="009E54E4">
        <w:rPr>
          <w:rFonts w:ascii="Times New Roman" w:hAnsi="Times New Roman" w:cs="Times New Roman"/>
          <w:spacing w:val="44"/>
          <w:sz w:val="20"/>
          <w:szCs w:val="20"/>
        </w:rPr>
        <w:t xml:space="preserve"> </w:t>
      </w:r>
      <w:r w:rsidRPr="009E54E4">
        <w:rPr>
          <w:rFonts w:ascii="Times New Roman" w:hAnsi="Times New Roman" w:cs="Times New Roman"/>
          <w:sz w:val="20"/>
          <w:szCs w:val="20"/>
        </w:rPr>
        <w:t>balance</w:t>
      </w:r>
      <w:r w:rsidRPr="009E54E4">
        <w:rPr>
          <w:rFonts w:ascii="Times New Roman" w:hAnsi="Times New Roman" w:cs="Times New Roman"/>
          <w:spacing w:val="46"/>
          <w:sz w:val="20"/>
          <w:szCs w:val="20"/>
        </w:rPr>
        <w:t xml:space="preserve"> </w:t>
      </w:r>
      <w:r w:rsidRPr="009E54E4">
        <w:rPr>
          <w:rFonts w:ascii="Times New Roman" w:hAnsi="Times New Roman" w:cs="Times New Roman"/>
          <w:sz w:val="20"/>
          <w:szCs w:val="20"/>
        </w:rPr>
        <w:t xml:space="preserve">as  a </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1"/>
          <w:sz w:val="20"/>
          <w:szCs w:val="20"/>
        </w:rPr>
        <w:t>m</w:t>
      </w:r>
      <w:r w:rsidRPr="009E54E4">
        <w:rPr>
          <w:rFonts w:ascii="Times New Roman" w:hAnsi="Times New Roman" w:cs="Times New Roman"/>
          <w:sz w:val="20"/>
          <w:szCs w:val="20"/>
        </w:rPr>
        <w:t>ponent</w:t>
      </w:r>
      <w:r w:rsidRPr="009E54E4">
        <w:rPr>
          <w:rFonts w:ascii="Times New Roman" w:hAnsi="Times New Roman" w:cs="Times New Roman"/>
          <w:spacing w:val="43"/>
          <w:sz w:val="20"/>
          <w:szCs w:val="20"/>
        </w:rPr>
        <w:t xml:space="preserve"> </w:t>
      </w:r>
      <w:r w:rsidRPr="009E54E4">
        <w:rPr>
          <w:rFonts w:ascii="Times New Roman" w:hAnsi="Times New Roman" w:cs="Times New Roman"/>
          <w:sz w:val="20"/>
          <w:szCs w:val="20"/>
        </w:rPr>
        <w:t>of  the ‘defectivene</w:t>
      </w:r>
      <w:r w:rsidRPr="009E54E4">
        <w:rPr>
          <w:rFonts w:ascii="Times New Roman" w:hAnsi="Times New Roman" w:cs="Times New Roman"/>
          <w:spacing w:val="1"/>
          <w:sz w:val="20"/>
          <w:szCs w:val="20"/>
        </w:rPr>
        <w:t>s</w:t>
      </w:r>
      <w:r w:rsidRPr="009E54E4">
        <w:rPr>
          <w:rFonts w:ascii="Times New Roman" w:hAnsi="Times New Roman" w:cs="Times New Roman"/>
          <w:sz w:val="20"/>
          <w:szCs w:val="20"/>
        </w:rPr>
        <w:t>s’</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ele</w:t>
      </w:r>
      <w:r w:rsidRPr="009E54E4">
        <w:rPr>
          <w:rFonts w:ascii="Times New Roman" w:hAnsi="Times New Roman" w:cs="Times New Roman"/>
          <w:spacing w:val="-4"/>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
          <w:sz w:val="20"/>
          <w:szCs w:val="20"/>
        </w:rPr>
        <w:t>n</w:t>
      </w:r>
      <w:r w:rsidRPr="009E54E4">
        <w:rPr>
          <w:rFonts w:ascii="Times New Roman" w:hAnsi="Times New Roman" w:cs="Times New Roman"/>
          <w:sz w:val="20"/>
          <w:szCs w:val="20"/>
        </w:rPr>
        <w:t>t</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ha</w:t>
      </w:r>
      <w:r w:rsidRPr="009E54E4">
        <w:rPr>
          <w:rFonts w:ascii="Times New Roman" w:hAnsi="Times New Roman" w:cs="Times New Roman"/>
          <w:sz w:val="20"/>
          <w:szCs w:val="20"/>
        </w:rPr>
        <w:t>s</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brough</w:t>
      </w:r>
      <w:r w:rsidRPr="009E54E4">
        <w:rPr>
          <w:rFonts w:ascii="Times New Roman" w:hAnsi="Times New Roman" w:cs="Times New Roman"/>
          <w:sz w:val="20"/>
          <w:szCs w:val="20"/>
        </w:rPr>
        <w:t>t</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th</w:t>
      </w:r>
      <w:r w:rsidRPr="009E54E4">
        <w:rPr>
          <w:rFonts w:ascii="Times New Roman" w:hAnsi="Times New Roman" w:cs="Times New Roman"/>
          <w:sz w:val="20"/>
          <w:szCs w:val="20"/>
        </w:rPr>
        <w:t>e</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 xml:space="preserve">inquiry </w:t>
      </w:r>
      <w:r w:rsidRPr="009E54E4">
        <w:rPr>
          <w:rFonts w:ascii="Times New Roman" w:hAnsi="Times New Roman" w:cs="Times New Roman"/>
          <w:sz w:val="20"/>
          <w:szCs w:val="20"/>
        </w:rPr>
        <w:t>in</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[strict</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products</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liabil</w:t>
      </w:r>
      <w:r w:rsidRPr="009E54E4">
        <w:rPr>
          <w:rFonts w:ascii="Times New Roman" w:hAnsi="Times New Roman" w:cs="Times New Roman"/>
          <w:spacing w:val="-1"/>
          <w:sz w:val="20"/>
          <w:szCs w:val="20"/>
        </w:rPr>
        <w:t>it</w:t>
      </w:r>
      <w:r w:rsidRPr="009E54E4">
        <w:rPr>
          <w:rFonts w:ascii="Times New Roman" w:hAnsi="Times New Roman" w:cs="Times New Roman"/>
          <w:sz w:val="20"/>
          <w:szCs w:val="20"/>
        </w:rPr>
        <w:t>y]</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cases closer</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5"/>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used</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traditional</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negligence cases, where the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reasonableness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actor</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 xml:space="preserve">s </w:t>
      </w:r>
      <w:r w:rsidRPr="009E54E4">
        <w:rPr>
          <w:rFonts w:ascii="Times New Roman" w:hAnsi="Times New Roman" w:cs="Times New Roman"/>
          <w:spacing w:val="2"/>
          <w:sz w:val="20"/>
          <w:szCs w:val="20"/>
        </w:rPr>
        <w:t>c</w:t>
      </w:r>
      <w:r w:rsidRPr="009E54E4">
        <w:rPr>
          <w:rFonts w:ascii="Times New Roman" w:hAnsi="Times New Roman" w:cs="Times New Roman"/>
          <w:spacing w:val="1"/>
          <w:sz w:val="20"/>
          <w:szCs w:val="20"/>
        </w:rPr>
        <w:t>on</w:t>
      </w:r>
      <w:r w:rsidRPr="009E54E4">
        <w:rPr>
          <w:rFonts w:ascii="Times New Roman" w:hAnsi="Times New Roman" w:cs="Times New Roman"/>
          <w:sz w:val="20"/>
          <w:szCs w:val="20"/>
        </w:rPr>
        <w:t>duct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considered</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light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 situational</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and</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policy-driven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p>
    <w:p w14:paraId="05816B6C" w14:textId="430BF601" w:rsidR="001853BF" w:rsidRPr="009E54E4" w:rsidRDefault="001853BF" w:rsidP="003A495A">
      <w:pPr>
        <w:spacing w:before="1"/>
        <w:ind w:right="-53"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strict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available for failure</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z w:val="20"/>
          <w:szCs w:val="20"/>
        </w:rPr>
        <w:t>o</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aut</w:t>
      </w:r>
      <w:r w:rsidRPr="009E54E4">
        <w:rPr>
          <w:rFonts w:ascii="Times New Roman" w:hAnsi="Times New Roman" w:cs="Times New Roman"/>
          <w:spacing w:val="1"/>
          <w:sz w:val="20"/>
          <w:szCs w:val="20"/>
        </w:rPr>
        <w:t>ho</w:t>
      </w:r>
      <w:r w:rsidRPr="009E54E4">
        <w:rPr>
          <w:rFonts w:ascii="Times New Roman" w:hAnsi="Times New Roman" w:cs="Times New Roman"/>
          <w:sz w:val="20"/>
          <w:szCs w:val="20"/>
        </w:rPr>
        <w:t>rity</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exists</w:t>
      </w:r>
      <w:r w:rsidRPr="009E54E4">
        <w:rPr>
          <w:rFonts w:ascii="Times New Roman" w:hAnsi="Times New Roman" w:cs="Times New Roman"/>
          <w:spacing w:val="25"/>
          <w:sz w:val="20"/>
          <w:szCs w:val="20"/>
        </w:rPr>
        <w:t xml:space="preserve"> </w:t>
      </w:r>
      <w:r w:rsidRPr="009E54E4">
        <w:rPr>
          <w:rFonts w:ascii="Times New Roman" w:hAnsi="Times New Roman" w:cs="Times New Roman"/>
          <w:sz w:val="20"/>
          <w:szCs w:val="20"/>
        </w:rPr>
        <w:t>for 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such</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liability on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r</w:t>
      </w:r>
      <w:r w:rsidRPr="009E54E4">
        <w:rPr>
          <w:rFonts w:ascii="Times New Roman" w:hAnsi="Times New Roman" w:cs="Times New Roman"/>
          <w:spacing w:val="1"/>
          <w:sz w:val="20"/>
          <w:szCs w:val="20"/>
        </w:rPr>
        <w:t>i</w:t>
      </w:r>
      <w:r w:rsidRPr="009E54E4">
        <w:rPr>
          <w:rFonts w:ascii="Times New Roman" w:hAnsi="Times New Roman" w:cs="Times New Roman"/>
          <w:spacing w:val="2"/>
          <w:sz w:val="20"/>
          <w:szCs w:val="20"/>
        </w:rPr>
        <w:t>s</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-utility</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test,</w:t>
      </w:r>
      <w:r w:rsidRPr="009E54E4">
        <w:rPr>
          <w:rFonts w:ascii="Times New Roman" w:hAnsi="Times New Roman" w:cs="Times New Roman"/>
          <w:spacing w:val="-18"/>
          <w:sz w:val="20"/>
          <w:szCs w:val="20"/>
        </w:rPr>
        <w:t xml:space="preserve"> </w:t>
      </w:r>
      <w:r w:rsidRPr="009E54E4">
        <w:rPr>
          <w:rFonts w:ascii="Times New Roman" w:hAnsi="Times New Roman" w:cs="Times New Roman"/>
          <w:i/>
          <w:sz w:val="20"/>
          <w:szCs w:val="20"/>
        </w:rPr>
        <w:t>see</w:t>
      </w:r>
      <w:r w:rsidRPr="009E54E4">
        <w:rPr>
          <w:rFonts w:ascii="Times New Roman" w:hAnsi="Times New Roman" w:cs="Times New Roman"/>
          <w:i/>
          <w:spacing w:val="-18"/>
          <w:sz w:val="20"/>
          <w:szCs w:val="20"/>
        </w:rPr>
        <w:t xml:space="preserve"> </w:t>
      </w:r>
      <w:r w:rsidRPr="009E54E4">
        <w:rPr>
          <w:rFonts w:ascii="Times New Roman" w:hAnsi="Times New Roman" w:cs="Times New Roman"/>
          <w:i/>
          <w:sz w:val="20"/>
          <w:szCs w:val="20"/>
        </w:rPr>
        <w:t>Freund</w:t>
      </w:r>
      <w:r w:rsidRPr="009E54E4">
        <w:rPr>
          <w:rFonts w:ascii="Times New Roman" w:hAnsi="Times New Roman" w:cs="Times New Roman"/>
          <w:i/>
          <w:spacing w:val="-3"/>
          <w:sz w:val="20"/>
          <w:szCs w:val="20"/>
        </w:rPr>
        <w:t xml:space="preserve"> </w:t>
      </w:r>
      <w:r w:rsidRPr="009E54E4">
        <w:rPr>
          <w:rFonts w:ascii="Times New Roman" w:hAnsi="Times New Roman" w:cs="Times New Roman"/>
          <w:i/>
          <w:sz w:val="20"/>
          <w:szCs w:val="20"/>
        </w:rPr>
        <w:t>v.</w:t>
      </w:r>
      <w:r w:rsidRPr="009E54E4">
        <w:rPr>
          <w:rFonts w:ascii="Times New Roman" w:hAnsi="Times New Roman" w:cs="Times New Roman"/>
          <w:i/>
          <w:spacing w:val="-16"/>
          <w:sz w:val="20"/>
          <w:szCs w:val="20"/>
        </w:rPr>
        <w:t xml:space="preserve"> </w:t>
      </w:r>
      <w:r w:rsidRPr="009E54E4">
        <w:rPr>
          <w:rFonts w:ascii="Times New Roman" w:hAnsi="Times New Roman" w:cs="Times New Roman"/>
          <w:i/>
          <w:sz w:val="20"/>
          <w:szCs w:val="20"/>
        </w:rPr>
        <w:t>Cellofilm</w:t>
      </w:r>
      <w:r w:rsidRPr="009E54E4">
        <w:rPr>
          <w:rFonts w:ascii="Times New Roman" w:hAnsi="Times New Roman" w:cs="Times New Roman"/>
          <w:i/>
          <w:spacing w:val="15"/>
          <w:sz w:val="20"/>
          <w:szCs w:val="20"/>
        </w:rPr>
        <w:t xml:space="preserve"> </w:t>
      </w:r>
      <w:r w:rsidRPr="009E54E4">
        <w:rPr>
          <w:rFonts w:ascii="Times New Roman" w:hAnsi="Times New Roman" w:cs="Times New Roman"/>
          <w:i/>
          <w:sz w:val="20"/>
          <w:szCs w:val="20"/>
        </w:rPr>
        <w:t>Properties, Inc.</w:t>
      </w:r>
      <w:r w:rsidRPr="009E54E4">
        <w:rPr>
          <w:rFonts w:ascii="Times New Roman" w:hAnsi="Times New Roman" w:cs="Times New Roman"/>
          <w:sz w:val="20"/>
          <w:szCs w:val="20"/>
        </w:rPr>
        <w:t>,</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432</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A.2d</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925,</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929</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&amp;</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930</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n.1</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(N.J. 1981) (citing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gro</w:t>
      </w:r>
      <w:r w:rsidRPr="009E54E4">
        <w:rPr>
          <w:rFonts w:ascii="Times New Roman" w:hAnsi="Times New Roman" w:cs="Times New Roman"/>
          <w:spacing w:val="1"/>
          <w:sz w:val="20"/>
          <w:szCs w:val="20"/>
        </w:rPr>
        <w:t>win</w:t>
      </w:r>
      <w:r w:rsidRPr="009E54E4">
        <w:rPr>
          <w:rFonts w:ascii="Times New Roman" w:hAnsi="Times New Roman" w:cs="Times New Roman"/>
          <w:sz w:val="20"/>
          <w:szCs w:val="20"/>
        </w:rPr>
        <w:t>g</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z w:val="20"/>
          <w:szCs w:val="20"/>
        </w:rPr>
        <w:t>rend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cases and</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authority . . .</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perceived a difference betw</w:t>
      </w:r>
      <w:r w:rsidRPr="009E54E4">
        <w:rPr>
          <w:rFonts w:ascii="Times New Roman" w:hAnsi="Times New Roman" w:cs="Times New Roman"/>
          <w:spacing w:val="2"/>
          <w:sz w:val="20"/>
          <w:szCs w:val="20"/>
        </w:rPr>
        <w:t>ee</w:t>
      </w:r>
      <w:r w:rsidRPr="009E54E4">
        <w:rPr>
          <w:rFonts w:ascii="Times New Roman" w:hAnsi="Times New Roman" w:cs="Times New Roman"/>
          <w:sz w:val="20"/>
          <w:szCs w:val="20"/>
        </w:rPr>
        <w:t>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utilization 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strict liability</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risk-utility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as opposed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n</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e, in</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inadequate warning</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area”). The</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argu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ex</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post, it</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would</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al</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ost</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always</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have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worthwhile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have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warned</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particular</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user</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 xml:space="preserve">danger </w:t>
      </w:r>
      <w:r w:rsidRPr="009E54E4">
        <w:rPr>
          <w:rFonts w:ascii="Times New Roman" w:hAnsi="Times New Roman" w:cs="Times New Roman"/>
          <w:spacing w:val="1"/>
          <w:sz w:val="20"/>
          <w:szCs w:val="20"/>
        </w:rPr>
        <w:t>th</w:t>
      </w:r>
      <w:r w:rsidRPr="009E54E4">
        <w:rPr>
          <w:rFonts w:ascii="Times New Roman" w:hAnsi="Times New Roman" w:cs="Times New Roman"/>
          <w:sz w:val="20"/>
          <w:szCs w:val="20"/>
        </w:rPr>
        <w:t>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fact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ca</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about, and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hence, there would</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al</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ost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always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actionable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 xml:space="preserve">failure </w:t>
      </w:r>
      <w:r w:rsidRPr="009E54E4">
        <w:rPr>
          <w:rFonts w:ascii="Times New Roman" w:hAnsi="Times New Roman" w:cs="Times New Roman"/>
          <w:spacing w:val="1"/>
          <w:sz w:val="20"/>
          <w:szCs w:val="20"/>
        </w:rPr>
        <w:t>t</w:t>
      </w:r>
      <w:r w:rsidRPr="009E54E4">
        <w:rPr>
          <w:rFonts w:ascii="Times New Roman" w:hAnsi="Times New Roman" w:cs="Times New Roman"/>
          <w:sz w:val="20"/>
          <w:szCs w:val="20"/>
        </w:rPr>
        <w: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under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risk-utility test. Yet</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2"/>
          <w:sz w:val="20"/>
          <w:szCs w:val="20"/>
        </w:rPr>
        <w:t>s</w:t>
      </w:r>
      <w:r w:rsidRPr="009E54E4">
        <w:rPr>
          <w:rFonts w:ascii="Times New Roman" w:hAnsi="Times New Roman" w:cs="Times New Roman"/>
          <w:spacing w:val="1"/>
          <w:sz w:val="20"/>
          <w:szCs w:val="20"/>
        </w:rPr>
        <w:t>u</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h ex</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post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usually</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gives</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no</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indication</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of what</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25"/>
          <w:sz w:val="20"/>
          <w:szCs w:val="20"/>
        </w:rPr>
        <w:t xml:space="preserve"> </w:t>
      </w:r>
      <w:r w:rsidRPr="009E54E4">
        <w:rPr>
          <w:rFonts w:ascii="Times New Roman" w:hAnsi="Times New Roman" w:cs="Times New Roman"/>
          <w:sz w:val="20"/>
          <w:szCs w:val="20"/>
        </w:rPr>
        <w:t>would</w:t>
      </w:r>
      <w:r w:rsidRPr="009E54E4">
        <w:rPr>
          <w:rFonts w:ascii="Times New Roman" w:hAnsi="Times New Roman" w:cs="Times New Roman"/>
          <w:spacing w:val="27"/>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30"/>
          <w:sz w:val="20"/>
          <w:szCs w:val="20"/>
        </w:rPr>
        <w:t xml:space="preserve"> </w:t>
      </w:r>
      <w:r w:rsidRPr="009E54E4">
        <w:rPr>
          <w:rFonts w:ascii="Times New Roman" w:hAnsi="Times New Roman" w:cs="Times New Roman"/>
          <w:sz w:val="20"/>
          <w:szCs w:val="20"/>
        </w:rPr>
        <w:t>appropriate</w:t>
      </w:r>
      <w:r w:rsidRPr="009E54E4">
        <w:rPr>
          <w:rFonts w:ascii="Times New Roman" w:hAnsi="Times New Roman" w:cs="Times New Roman"/>
          <w:spacing w:val="23"/>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0"/>
          <w:sz w:val="20"/>
          <w:szCs w:val="20"/>
        </w:rPr>
        <w:t xml:space="preserve"> </w:t>
      </w:r>
      <w:r w:rsidRPr="009E54E4">
        <w:rPr>
          <w:rFonts w:ascii="Times New Roman" w:hAnsi="Times New Roman" w:cs="Times New Roman"/>
          <w:sz w:val="20"/>
          <w:szCs w:val="20"/>
        </w:rPr>
        <w:t>the future. And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unless</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does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so,</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warn strict</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3"/>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ust</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other</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grounds. But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these other grounds</w:t>
      </w:r>
      <w:r w:rsidRPr="009E54E4">
        <w:rPr>
          <w:rFonts w:ascii="Times New Roman" w:eastAsia="Times New Roman" w:hAnsi="Times New Roman" w:cs="Times New Roman"/>
          <w:lang w:eastAsia="en-US"/>
        </w:rPr>
        <w:t>—</w:t>
      </w:r>
      <w:r w:rsidRPr="009E54E4">
        <w:rPr>
          <w:rFonts w:ascii="Times New Roman" w:hAnsi="Times New Roman" w:cs="Times New Roman"/>
          <w:sz w:val="20"/>
          <w:szCs w:val="20"/>
        </w:rPr>
        <w:t>essentially</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plied </w:t>
      </w:r>
      <w:r w:rsidRPr="009E54E4">
        <w:rPr>
          <w:rFonts w:ascii="Times New Roman" w:hAnsi="Times New Roman" w:cs="Times New Roman"/>
          <w:spacing w:val="-1"/>
          <w:sz w:val="20"/>
          <w:szCs w:val="20"/>
        </w:rPr>
        <w:t>warrant</w:t>
      </w:r>
      <w:r w:rsidRPr="009E54E4">
        <w:rPr>
          <w:rFonts w:ascii="Times New Roman" w:hAnsi="Times New Roman" w:cs="Times New Roman"/>
          <w:sz w:val="20"/>
          <w:szCs w:val="20"/>
        </w:rPr>
        <w:t>y</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r</w:t>
      </w:r>
      <w:r w:rsidRPr="009E54E4">
        <w:rPr>
          <w:rFonts w:ascii="Times New Roman" w:hAnsi="Times New Roman" w:cs="Times New Roman"/>
          <w:spacing w:val="-21"/>
          <w:sz w:val="20"/>
          <w:szCs w:val="20"/>
        </w:rPr>
        <w:t xml:space="preserve"> </w:t>
      </w:r>
      <w:r w:rsidRPr="009E54E4">
        <w:rPr>
          <w:rFonts w:ascii="Times New Roman" w:hAnsi="Times New Roman" w:cs="Times New Roman"/>
          <w:spacing w:val="-1"/>
          <w:sz w:val="20"/>
          <w:szCs w:val="20"/>
        </w:rPr>
        <w:t>consu</w:t>
      </w:r>
      <w:r w:rsidRPr="009E54E4">
        <w:rPr>
          <w:rFonts w:ascii="Times New Roman" w:hAnsi="Times New Roman" w:cs="Times New Roman"/>
          <w:spacing w:val="-4"/>
          <w:sz w:val="20"/>
          <w:szCs w:val="20"/>
        </w:rPr>
        <w:t>m</w:t>
      </w:r>
      <w:r w:rsidRPr="009E54E4">
        <w:rPr>
          <w:rFonts w:ascii="Times New Roman" w:hAnsi="Times New Roman" w:cs="Times New Roman"/>
          <w:spacing w:val="-1"/>
          <w:sz w:val="20"/>
          <w:szCs w:val="20"/>
        </w:rPr>
        <w:t>e</w:t>
      </w:r>
      <w:r w:rsidRPr="009E54E4">
        <w:rPr>
          <w:rFonts w:ascii="Times New Roman" w:hAnsi="Times New Roman" w:cs="Times New Roman"/>
          <w:sz w:val="20"/>
          <w:szCs w:val="20"/>
        </w:rPr>
        <w:t>r</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1"/>
          <w:sz w:val="20"/>
          <w:szCs w:val="20"/>
        </w:rPr>
        <w:t>expectation</w:t>
      </w:r>
      <w:r w:rsidRPr="009E54E4">
        <w:rPr>
          <w:rFonts w:ascii="Times New Roman" w:hAnsi="Times New Roman" w:cs="Times New Roman"/>
          <w:spacing w:val="1"/>
          <w:sz w:val="20"/>
          <w:szCs w:val="20"/>
        </w:rPr>
        <w:t>s</w:t>
      </w:r>
      <w:r w:rsidRPr="009E54E4">
        <w:rPr>
          <w:rFonts w:ascii="Times New Roman" w:eastAsia="Times New Roman" w:hAnsi="Times New Roman" w:cs="Times New Roman"/>
          <w:lang w:eastAsia="en-US"/>
        </w:rPr>
        <w:t>—</w:t>
      </w:r>
      <w:r w:rsidRPr="009E54E4">
        <w:rPr>
          <w:rFonts w:ascii="Times New Roman" w:hAnsi="Times New Roman" w:cs="Times New Roman"/>
          <w:spacing w:val="-1"/>
          <w:sz w:val="20"/>
          <w:szCs w:val="20"/>
        </w:rPr>
        <w:t>a</w:t>
      </w:r>
      <w:r w:rsidRPr="009E54E4">
        <w:rPr>
          <w:rFonts w:ascii="Times New Roman" w:hAnsi="Times New Roman" w:cs="Times New Roman"/>
          <w:spacing w:val="-4"/>
          <w:sz w:val="20"/>
          <w:szCs w:val="20"/>
        </w:rPr>
        <w:t>m</w:t>
      </w:r>
      <w:r w:rsidRPr="009E54E4">
        <w:rPr>
          <w:rFonts w:ascii="Times New Roman" w:hAnsi="Times New Roman" w:cs="Times New Roman"/>
          <w:spacing w:val="-1"/>
          <w:sz w:val="20"/>
          <w:szCs w:val="20"/>
        </w:rPr>
        <w:t>oun</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 xml:space="preserve">to </w:t>
      </w:r>
      <w:r w:rsidRPr="009E54E4">
        <w:rPr>
          <w:rFonts w:ascii="Times New Roman" w:hAnsi="Times New Roman" w:cs="Times New Roman"/>
          <w:sz w:val="20"/>
          <w:szCs w:val="20"/>
        </w:rPr>
        <w:t>another way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saying that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product w</w:t>
      </w:r>
      <w:r w:rsidRPr="009E54E4">
        <w:rPr>
          <w:rFonts w:ascii="Times New Roman" w:hAnsi="Times New Roman" w:cs="Times New Roman"/>
          <w:spacing w:val="2"/>
          <w:sz w:val="20"/>
          <w:szCs w:val="20"/>
        </w:rPr>
        <w:t>a</w:t>
      </w:r>
      <w:r w:rsidRPr="009E54E4">
        <w:rPr>
          <w:rFonts w:ascii="Times New Roman" w:hAnsi="Times New Roman" w:cs="Times New Roman"/>
          <w:sz w:val="20"/>
          <w:szCs w:val="20"/>
        </w:rPr>
        <w:t>s defective in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bec</w:t>
      </w:r>
      <w:r w:rsidRPr="009E54E4">
        <w:rPr>
          <w:rFonts w:ascii="Times New Roman" w:hAnsi="Times New Roman" w:cs="Times New Roman"/>
          <w:spacing w:val="2"/>
          <w:sz w:val="20"/>
          <w:szCs w:val="20"/>
        </w:rPr>
        <w:t>a</w:t>
      </w:r>
      <w:r w:rsidRPr="009E54E4">
        <w:rPr>
          <w:rFonts w:ascii="Times New Roman" w:hAnsi="Times New Roman" w:cs="Times New Roman"/>
          <w:spacing w:val="1"/>
          <w:sz w:val="20"/>
          <w:szCs w:val="20"/>
        </w:rPr>
        <w:t>u</w:t>
      </w:r>
      <w:r w:rsidRPr="009E54E4">
        <w:rPr>
          <w:rFonts w:ascii="Times New Roman" w:hAnsi="Times New Roman" w:cs="Times New Roman"/>
          <w:sz w:val="20"/>
          <w:szCs w:val="20"/>
        </w:rPr>
        <w:t>se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was given.</w:t>
      </w:r>
    </w:p>
    <w:p w14:paraId="5102C89A" w14:textId="3CE957C2" w:rsidR="001853BF" w:rsidRPr="009E54E4" w:rsidRDefault="001853BF"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36">
    <w:p w14:paraId="72D6A8E3" w14:textId="7F0BADA9" w:rsidR="001853BF" w:rsidRPr="009E54E4" w:rsidRDefault="001853BF"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37">
    <w:p w14:paraId="301A10B7" w14:textId="6E17385D" w:rsidR="001853BF" w:rsidRPr="00256B0E" w:rsidRDefault="001853BF"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 xml:space="preserve">fact-specific. </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38">
    <w:p w14:paraId="6314F41A" w14:textId="34C0551B" w:rsidR="001853BF" w:rsidRPr="009E54E4" w:rsidRDefault="001853BF"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39">
    <w:p w14:paraId="35E567C8" w14:textId="77777777" w:rsidR="001853BF" w:rsidRPr="00F94B7E" w:rsidRDefault="001853BF"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40">
    <w:p w14:paraId="610D86BC" w14:textId="6ABEA140" w:rsidR="001853BF" w:rsidRPr="00F94B7E" w:rsidRDefault="001853BF"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41">
    <w:p w14:paraId="5EF6B495" w14:textId="518DC12D" w:rsidR="001853BF" w:rsidRPr="009E54E4" w:rsidRDefault="001853BF"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3A7F3D" w14:textId="307F09F6" w:rsidR="001853BF" w:rsidRPr="00080A6E" w:rsidRDefault="001853BF" w:rsidP="00080A6E">
    <w:pPr>
      <w:pStyle w:val="Header"/>
      <w:jc w:val="right"/>
      <w:rPr>
        <w:rFonts w:ascii="Times New Roman" w:hAnsi="Times New Roman" w:cs="Times New Roman"/>
        <w:i/>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3827A" w14:textId="73A1368B"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7.  Proximate Cause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AFC7" w14:textId="20443D56"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8.  Duty Problem</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BFE665" w14:textId="6CF69C23"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9.  Liability without Fault?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726BBA" w14:textId="77777777"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4AFB1" w14:textId="6D04E9C5" w:rsidR="001853BF" w:rsidRPr="00097917" w:rsidRDefault="001853BF" w:rsidP="750671CE">
    <w:pPr>
      <w:pStyle w:val="Header"/>
      <w:jc w:val="right"/>
      <w:rPr>
        <w:i/>
        <w:iCs/>
        <w:sz w:val="20"/>
        <w:szCs w:val="20"/>
      </w:rPr>
    </w:pPr>
    <w:r w:rsidRPr="750671CE">
      <w:rPr>
        <w:i/>
        <w:iCs/>
        <w:sz w:val="20"/>
        <w:szCs w:val="20"/>
      </w:rPr>
      <w:t xml:space="preserve">10.  </w:t>
    </w:r>
    <w:r w:rsidRPr="750671CE">
      <w:rPr>
        <w:rFonts w:ascii="Times New Roman" w:eastAsia="Times New Roman" w:hAnsi="Times New Roman" w:cs="Times New Roman"/>
        <w:i/>
        <w:iCs/>
        <w:sz w:val="20"/>
        <w:szCs w:val="20"/>
      </w:rPr>
      <w:t>Damages</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AEC53" w14:textId="75FFB2D9" w:rsidR="001853BF" w:rsidRPr="00080A6E" w:rsidRDefault="001853BF" w:rsidP="00080A6E">
    <w:pPr>
      <w:pStyle w:val="Header"/>
      <w:jc w:val="right"/>
      <w:rPr>
        <w:i/>
        <w:iCs/>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FDFC8" w14:textId="1D3F01C6" w:rsidR="001853BF" w:rsidRPr="00CF5414"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FFF9BE" w14:textId="771C8C4B"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1E9729" w14:textId="4A4F2866" w:rsidR="001853BF" w:rsidRPr="00CF5414"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 xml:space="preserve">1.  Introduction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AEF05F" w14:textId="40485689" w:rsidR="001853BF" w:rsidRPr="00CF5414"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2.  Intentional Harms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AE4D3" w14:textId="64E95316"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3.  Strict Liability and Negligence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2FD3A" w14:textId="77777777"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4.  Negligence Standard</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04C73" w14:textId="75721866"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5.  Plaintiffs</w:t>
    </w:r>
    <w:r>
      <w:rPr>
        <w:rFonts w:ascii="Times New Roman" w:eastAsia="Times New Roman" w:hAnsi="Times New Roman" w:cs="Times New Roman"/>
        <w:i/>
        <w:iCs/>
        <w:sz w:val="20"/>
        <w:szCs w:val="20"/>
      </w:rPr>
      <w:t>’</w:t>
    </w:r>
    <w:r w:rsidRPr="750671CE">
      <w:rPr>
        <w:rFonts w:ascii="Times New Roman" w:eastAsia="Times New Roman" w:hAnsi="Times New Roman" w:cs="Times New Roman"/>
        <w:i/>
        <w:iCs/>
        <w:sz w:val="20"/>
        <w:szCs w:val="20"/>
      </w:rPr>
      <w:t xml:space="preserve"> Conduct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9CA9E" w14:textId="655EB7EF" w:rsidR="001853BF" w:rsidRPr="00080A6E" w:rsidRDefault="001853BF"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6.  Causation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746017"/>
    <w:multiLevelType w:val="hybridMultilevel"/>
    <w:tmpl w:val="67F0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F73708"/>
    <w:multiLevelType w:val="hybridMultilevel"/>
    <w:tmpl w:val="CE228A74"/>
    <w:lvl w:ilvl="0" w:tplc="1BF0280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DF2B6A"/>
    <w:multiLevelType w:val="hybridMultilevel"/>
    <w:tmpl w:val="85E892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F86275"/>
    <w:multiLevelType w:val="hybridMultilevel"/>
    <w:tmpl w:val="D31C62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E644951"/>
    <w:multiLevelType w:val="hybridMultilevel"/>
    <w:tmpl w:val="AC8641E4"/>
    <w:lvl w:ilvl="0" w:tplc="351607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 w15:restartNumberingAfterBreak="0">
    <w:nsid w:val="0EFA477E"/>
    <w:multiLevelType w:val="hybridMultilevel"/>
    <w:tmpl w:val="CF86F06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2BF338D"/>
    <w:multiLevelType w:val="hybridMultilevel"/>
    <w:tmpl w:val="65F60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7A050BE"/>
    <w:multiLevelType w:val="hybridMultilevel"/>
    <w:tmpl w:val="8E66687E"/>
    <w:lvl w:ilvl="0" w:tplc="56488156">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B952D32"/>
    <w:multiLevelType w:val="multilevel"/>
    <w:tmpl w:val="8B2444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8863111"/>
    <w:multiLevelType w:val="hybridMultilevel"/>
    <w:tmpl w:val="02860870"/>
    <w:lvl w:ilvl="0" w:tplc="A2B2F106">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9D86378"/>
    <w:multiLevelType w:val="hybridMultilevel"/>
    <w:tmpl w:val="6AAA5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C210BB3"/>
    <w:multiLevelType w:val="hybridMultilevel"/>
    <w:tmpl w:val="C7B2A23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E3C4270"/>
    <w:multiLevelType w:val="hybridMultilevel"/>
    <w:tmpl w:val="98BCFD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FC10421"/>
    <w:multiLevelType w:val="hybridMultilevel"/>
    <w:tmpl w:val="AF8E77EA"/>
    <w:lvl w:ilvl="0" w:tplc="AEAA220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6E216F8"/>
    <w:multiLevelType w:val="multilevel"/>
    <w:tmpl w:val="ECE2284E"/>
    <w:lvl w:ilvl="0">
      <w:start w:val="6"/>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74E448C"/>
    <w:multiLevelType w:val="hybridMultilevel"/>
    <w:tmpl w:val="65EC88A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8982981"/>
    <w:multiLevelType w:val="hybridMultilevel"/>
    <w:tmpl w:val="F76451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A776DD7"/>
    <w:multiLevelType w:val="hybridMultilevel"/>
    <w:tmpl w:val="187A743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D241904"/>
    <w:multiLevelType w:val="hybridMultilevel"/>
    <w:tmpl w:val="0972BA9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00052C8"/>
    <w:multiLevelType w:val="hybridMultilevel"/>
    <w:tmpl w:val="59384CB0"/>
    <w:lvl w:ilvl="0" w:tplc="01C6430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10617D5"/>
    <w:multiLevelType w:val="hybridMultilevel"/>
    <w:tmpl w:val="A0488C40"/>
    <w:lvl w:ilvl="0" w:tplc="0409000F">
      <w:start w:val="1"/>
      <w:numFmt w:val="decimal"/>
      <w:lvlText w:val="%1."/>
      <w:lvlJc w:val="left"/>
      <w:pPr>
        <w:ind w:left="36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7B16708"/>
    <w:multiLevelType w:val="hybridMultilevel"/>
    <w:tmpl w:val="E7CAF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F533E57"/>
    <w:multiLevelType w:val="hybridMultilevel"/>
    <w:tmpl w:val="ECE2284E"/>
    <w:lvl w:ilvl="0" w:tplc="352A040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7C3649F"/>
    <w:multiLevelType w:val="hybridMultilevel"/>
    <w:tmpl w:val="91BE891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BD802A4"/>
    <w:multiLevelType w:val="hybridMultilevel"/>
    <w:tmpl w:val="37EE1D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1B327B2"/>
    <w:multiLevelType w:val="hybridMultilevel"/>
    <w:tmpl w:val="394C8C36"/>
    <w:lvl w:ilvl="0" w:tplc="CA1E60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2FD179B"/>
    <w:multiLevelType w:val="hybridMultilevel"/>
    <w:tmpl w:val="1C94DF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2"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E1365D2"/>
    <w:multiLevelType w:val="hybridMultilevel"/>
    <w:tmpl w:val="63A8B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6"/>
  </w:num>
  <w:num w:numId="2">
    <w:abstractNumId w:val="0"/>
  </w:num>
  <w:num w:numId="3">
    <w:abstractNumId w:val="82"/>
  </w:num>
  <w:num w:numId="4">
    <w:abstractNumId w:val="6"/>
  </w:num>
  <w:num w:numId="5">
    <w:abstractNumId w:val="27"/>
  </w:num>
  <w:num w:numId="6">
    <w:abstractNumId w:val="37"/>
  </w:num>
  <w:num w:numId="7">
    <w:abstractNumId w:val="39"/>
  </w:num>
  <w:num w:numId="8">
    <w:abstractNumId w:val="87"/>
  </w:num>
  <w:num w:numId="9">
    <w:abstractNumId w:val="127"/>
  </w:num>
  <w:num w:numId="10">
    <w:abstractNumId w:val="117"/>
  </w:num>
  <w:num w:numId="11">
    <w:abstractNumId w:val="89"/>
  </w:num>
  <w:num w:numId="12">
    <w:abstractNumId w:val="55"/>
  </w:num>
  <w:num w:numId="13">
    <w:abstractNumId w:val="42"/>
  </w:num>
  <w:num w:numId="14">
    <w:abstractNumId w:val="115"/>
  </w:num>
  <w:num w:numId="15">
    <w:abstractNumId w:val="52"/>
  </w:num>
  <w:num w:numId="16">
    <w:abstractNumId w:val="57"/>
  </w:num>
  <w:num w:numId="17">
    <w:abstractNumId w:val="113"/>
  </w:num>
  <w:num w:numId="18">
    <w:abstractNumId w:val="28"/>
  </w:num>
  <w:num w:numId="19">
    <w:abstractNumId w:val="102"/>
  </w:num>
  <w:num w:numId="20">
    <w:abstractNumId w:val="58"/>
  </w:num>
  <w:num w:numId="21">
    <w:abstractNumId w:val="21"/>
  </w:num>
  <w:num w:numId="22">
    <w:abstractNumId w:val="99"/>
  </w:num>
  <w:num w:numId="23">
    <w:abstractNumId w:val="90"/>
  </w:num>
  <w:num w:numId="24">
    <w:abstractNumId w:val="51"/>
  </w:num>
  <w:num w:numId="25">
    <w:abstractNumId w:val="1"/>
  </w:num>
  <w:num w:numId="26">
    <w:abstractNumId w:val="86"/>
  </w:num>
  <w:num w:numId="27">
    <w:abstractNumId w:val="79"/>
  </w:num>
  <w:num w:numId="28">
    <w:abstractNumId w:val="38"/>
  </w:num>
  <w:num w:numId="29">
    <w:abstractNumId w:val="2"/>
  </w:num>
  <w:num w:numId="30">
    <w:abstractNumId w:val="91"/>
  </w:num>
  <w:num w:numId="31">
    <w:abstractNumId w:val="53"/>
  </w:num>
  <w:num w:numId="32">
    <w:abstractNumId w:val="41"/>
  </w:num>
  <w:num w:numId="33">
    <w:abstractNumId w:val="93"/>
  </w:num>
  <w:num w:numId="34">
    <w:abstractNumId w:val="130"/>
  </w:num>
  <w:num w:numId="35">
    <w:abstractNumId w:val="23"/>
  </w:num>
  <w:num w:numId="36">
    <w:abstractNumId w:val="119"/>
  </w:num>
  <w:num w:numId="37">
    <w:abstractNumId w:val="104"/>
  </w:num>
  <w:num w:numId="38">
    <w:abstractNumId w:val="97"/>
  </w:num>
  <w:num w:numId="39">
    <w:abstractNumId w:val="108"/>
  </w:num>
  <w:num w:numId="40">
    <w:abstractNumId w:val="61"/>
  </w:num>
  <w:num w:numId="41">
    <w:abstractNumId w:val="76"/>
  </w:num>
  <w:num w:numId="42">
    <w:abstractNumId w:val="48"/>
  </w:num>
  <w:num w:numId="43">
    <w:abstractNumId w:val="128"/>
  </w:num>
  <w:num w:numId="44">
    <w:abstractNumId w:val="5"/>
  </w:num>
  <w:num w:numId="45">
    <w:abstractNumId w:val="26"/>
  </w:num>
  <w:num w:numId="46">
    <w:abstractNumId w:val="96"/>
  </w:num>
  <w:num w:numId="47">
    <w:abstractNumId w:val="43"/>
  </w:num>
  <w:num w:numId="48">
    <w:abstractNumId w:val="85"/>
  </w:num>
  <w:num w:numId="49">
    <w:abstractNumId w:val="114"/>
  </w:num>
  <w:num w:numId="50">
    <w:abstractNumId w:val="3"/>
  </w:num>
  <w:num w:numId="51">
    <w:abstractNumId w:val="32"/>
  </w:num>
  <w:num w:numId="52">
    <w:abstractNumId w:val="126"/>
  </w:num>
  <w:num w:numId="53">
    <w:abstractNumId w:val="8"/>
  </w:num>
  <w:num w:numId="54">
    <w:abstractNumId w:val="44"/>
  </w:num>
  <w:num w:numId="55">
    <w:abstractNumId w:val="4"/>
  </w:num>
  <w:num w:numId="56">
    <w:abstractNumId w:val="100"/>
  </w:num>
  <w:num w:numId="57">
    <w:abstractNumId w:val="17"/>
  </w:num>
  <w:num w:numId="58">
    <w:abstractNumId w:val="19"/>
  </w:num>
  <w:num w:numId="59">
    <w:abstractNumId w:val="129"/>
  </w:num>
  <w:num w:numId="60">
    <w:abstractNumId w:val="12"/>
  </w:num>
  <w:num w:numId="61">
    <w:abstractNumId w:val="83"/>
  </w:num>
  <w:num w:numId="62">
    <w:abstractNumId w:val="95"/>
  </w:num>
  <w:num w:numId="63">
    <w:abstractNumId w:val="112"/>
  </w:num>
  <w:num w:numId="64">
    <w:abstractNumId w:val="77"/>
  </w:num>
  <w:num w:numId="65">
    <w:abstractNumId w:val="88"/>
  </w:num>
  <w:num w:numId="66">
    <w:abstractNumId w:val="59"/>
  </w:num>
  <w:num w:numId="67">
    <w:abstractNumId w:val="35"/>
  </w:num>
  <w:num w:numId="68">
    <w:abstractNumId w:val="81"/>
  </w:num>
  <w:num w:numId="69">
    <w:abstractNumId w:val="67"/>
  </w:num>
  <w:num w:numId="70">
    <w:abstractNumId w:val="66"/>
  </w:num>
  <w:num w:numId="71">
    <w:abstractNumId w:val="40"/>
  </w:num>
  <w:num w:numId="72">
    <w:abstractNumId w:val="94"/>
  </w:num>
  <w:num w:numId="73">
    <w:abstractNumId w:val="60"/>
  </w:num>
  <w:num w:numId="74">
    <w:abstractNumId w:val="68"/>
  </w:num>
  <w:num w:numId="75">
    <w:abstractNumId w:val="75"/>
  </w:num>
  <w:num w:numId="76">
    <w:abstractNumId w:val="11"/>
  </w:num>
  <w:num w:numId="77">
    <w:abstractNumId w:val="116"/>
  </w:num>
  <w:num w:numId="78">
    <w:abstractNumId w:val="63"/>
  </w:num>
  <w:num w:numId="79">
    <w:abstractNumId w:val="65"/>
  </w:num>
  <w:num w:numId="80">
    <w:abstractNumId w:val="106"/>
  </w:num>
  <w:num w:numId="81">
    <w:abstractNumId w:val="13"/>
  </w:num>
  <w:num w:numId="82">
    <w:abstractNumId w:val="18"/>
  </w:num>
  <w:num w:numId="83">
    <w:abstractNumId w:val="49"/>
  </w:num>
  <w:num w:numId="84">
    <w:abstractNumId w:val="16"/>
  </w:num>
  <w:num w:numId="85">
    <w:abstractNumId w:val="125"/>
  </w:num>
  <w:num w:numId="86">
    <w:abstractNumId w:val="103"/>
  </w:num>
  <w:num w:numId="87">
    <w:abstractNumId w:val="121"/>
  </w:num>
  <w:num w:numId="88">
    <w:abstractNumId w:val="70"/>
  </w:num>
  <w:num w:numId="89">
    <w:abstractNumId w:val="107"/>
  </w:num>
  <w:num w:numId="90">
    <w:abstractNumId w:val="69"/>
  </w:num>
  <w:num w:numId="91">
    <w:abstractNumId w:val="24"/>
  </w:num>
  <w:num w:numId="92">
    <w:abstractNumId w:val="20"/>
  </w:num>
  <w:num w:numId="93">
    <w:abstractNumId w:val="7"/>
  </w:num>
  <w:num w:numId="94">
    <w:abstractNumId w:val="80"/>
  </w:num>
  <w:num w:numId="95">
    <w:abstractNumId w:val="72"/>
  </w:num>
  <w:num w:numId="96">
    <w:abstractNumId w:val="64"/>
  </w:num>
  <w:num w:numId="97">
    <w:abstractNumId w:val="33"/>
  </w:num>
  <w:num w:numId="98">
    <w:abstractNumId w:val="14"/>
  </w:num>
  <w:num w:numId="99">
    <w:abstractNumId w:val="25"/>
  </w:num>
  <w:num w:numId="100">
    <w:abstractNumId w:val="50"/>
  </w:num>
  <w:num w:numId="101">
    <w:abstractNumId w:val="120"/>
  </w:num>
  <w:num w:numId="102">
    <w:abstractNumId w:val="47"/>
  </w:num>
  <w:num w:numId="103">
    <w:abstractNumId w:val="101"/>
  </w:num>
  <w:num w:numId="104">
    <w:abstractNumId w:val="111"/>
  </w:num>
  <w:num w:numId="105">
    <w:abstractNumId w:val="22"/>
  </w:num>
  <w:num w:numId="106">
    <w:abstractNumId w:val="123"/>
  </w:num>
  <w:num w:numId="107">
    <w:abstractNumId w:val="73"/>
  </w:num>
  <w:num w:numId="108">
    <w:abstractNumId w:val="15"/>
  </w:num>
  <w:num w:numId="109">
    <w:abstractNumId w:val="84"/>
  </w:num>
  <w:num w:numId="110">
    <w:abstractNumId w:val="29"/>
  </w:num>
  <w:num w:numId="111">
    <w:abstractNumId w:val="54"/>
  </w:num>
  <w:num w:numId="112">
    <w:abstractNumId w:val="110"/>
  </w:num>
  <w:num w:numId="113">
    <w:abstractNumId w:val="71"/>
  </w:num>
  <w:num w:numId="114">
    <w:abstractNumId w:val="122"/>
  </w:num>
  <w:num w:numId="115">
    <w:abstractNumId w:val="10"/>
  </w:num>
  <w:num w:numId="116">
    <w:abstractNumId w:val="92"/>
  </w:num>
  <w:num w:numId="117">
    <w:abstractNumId w:val="9"/>
  </w:num>
  <w:num w:numId="118">
    <w:abstractNumId w:val="45"/>
  </w:num>
  <w:num w:numId="119">
    <w:abstractNumId w:val="105"/>
  </w:num>
  <w:num w:numId="120">
    <w:abstractNumId w:val="98"/>
  </w:num>
  <w:num w:numId="121">
    <w:abstractNumId w:val="34"/>
  </w:num>
  <w:num w:numId="122">
    <w:abstractNumId w:val="56"/>
  </w:num>
  <w:num w:numId="123">
    <w:abstractNumId w:val="109"/>
  </w:num>
  <w:num w:numId="124">
    <w:abstractNumId w:val="78"/>
  </w:num>
  <w:num w:numId="125">
    <w:abstractNumId w:val="118"/>
  </w:num>
  <w:num w:numId="126">
    <w:abstractNumId w:val="124"/>
  </w:num>
  <w:num w:numId="127">
    <w:abstractNumId w:val="62"/>
  </w:num>
  <w:num w:numId="128">
    <w:abstractNumId w:val="31"/>
  </w:num>
  <w:num w:numId="129">
    <w:abstractNumId w:val="30"/>
  </w:num>
  <w:num w:numId="130">
    <w:abstractNumId w:val="46"/>
  </w:num>
  <w:num w:numId="131">
    <w:abstractNumId w:val="74"/>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2877"/>
    <w:rsid w:val="00002ABE"/>
    <w:rsid w:val="00002B93"/>
    <w:rsid w:val="00002D15"/>
    <w:rsid w:val="00002E27"/>
    <w:rsid w:val="00002F2D"/>
    <w:rsid w:val="000038EE"/>
    <w:rsid w:val="000039AA"/>
    <w:rsid w:val="00004AAE"/>
    <w:rsid w:val="00010B15"/>
    <w:rsid w:val="000146D6"/>
    <w:rsid w:val="0001546D"/>
    <w:rsid w:val="000163BF"/>
    <w:rsid w:val="0001698C"/>
    <w:rsid w:val="00021538"/>
    <w:rsid w:val="00022873"/>
    <w:rsid w:val="00022A06"/>
    <w:rsid w:val="00024C0F"/>
    <w:rsid w:val="00025F35"/>
    <w:rsid w:val="000261F4"/>
    <w:rsid w:val="0002622A"/>
    <w:rsid w:val="0002652F"/>
    <w:rsid w:val="000272FD"/>
    <w:rsid w:val="0003092C"/>
    <w:rsid w:val="00033940"/>
    <w:rsid w:val="00033E73"/>
    <w:rsid w:val="00034CDC"/>
    <w:rsid w:val="000364AF"/>
    <w:rsid w:val="00036C17"/>
    <w:rsid w:val="0003736D"/>
    <w:rsid w:val="00040EA8"/>
    <w:rsid w:val="000417AD"/>
    <w:rsid w:val="00041F6F"/>
    <w:rsid w:val="00043E10"/>
    <w:rsid w:val="00044B9F"/>
    <w:rsid w:val="00045638"/>
    <w:rsid w:val="000457CB"/>
    <w:rsid w:val="0004651B"/>
    <w:rsid w:val="000467B0"/>
    <w:rsid w:val="00051CC4"/>
    <w:rsid w:val="000556F3"/>
    <w:rsid w:val="00055923"/>
    <w:rsid w:val="0005616E"/>
    <w:rsid w:val="00056CC5"/>
    <w:rsid w:val="000570CB"/>
    <w:rsid w:val="00060B89"/>
    <w:rsid w:val="00060C99"/>
    <w:rsid w:val="000614E3"/>
    <w:rsid w:val="00062983"/>
    <w:rsid w:val="00063272"/>
    <w:rsid w:val="00063C5A"/>
    <w:rsid w:val="00065156"/>
    <w:rsid w:val="00066209"/>
    <w:rsid w:val="0006711F"/>
    <w:rsid w:val="00071101"/>
    <w:rsid w:val="00071B85"/>
    <w:rsid w:val="00072B64"/>
    <w:rsid w:val="00072F09"/>
    <w:rsid w:val="00073B4C"/>
    <w:rsid w:val="000751A7"/>
    <w:rsid w:val="00075719"/>
    <w:rsid w:val="00076CB0"/>
    <w:rsid w:val="00080A6E"/>
    <w:rsid w:val="0008194A"/>
    <w:rsid w:val="00082B05"/>
    <w:rsid w:val="00087070"/>
    <w:rsid w:val="0009224A"/>
    <w:rsid w:val="00093352"/>
    <w:rsid w:val="00094EE7"/>
    <w:rsid w:val="0009500A"/>
    <w:rsid w:val="00096EE4"/>
    <w:rsid w:val="00097917"/>
    <w:rsid w:val="000A0ADB"/>
    <w:rsid w:val="000A18DE"/>
    <w:rsid w:val="000A3755"/>
    <w:rsid w:val="000A40D8"/>
    <w:rsid w:val="000A6757"/>
    <w:rsid w:val="000A71D1"/>
    <w:rsid w:val="000B08BF"/>
    <w:rsid w:val="000B1659"/>
    <w:rsid w:val="000B1B59"/>
    <w:rsid w:val="000B20BA"/>
    <w:rsid w:val="000B21AD"/>
    <w:rsid w:val="000B43B4"/>
    <w:rsid w:val="000B5B64"/>
    <w:rsid w:val="000C075A"/>
    <w:rsid w:val="000C0BD7"/>
    <w:rsid w:val="000C6EC4"/>
    <w:rsid w:val="000C713D"/>
    <w:rsid w:val="000D0384"/>
    <w:rsid w:val="000D0562"/>
    <w:rsid w:val="000D073F"/>
    <w:rsid w:val="000D0FDF"/>
    <w:rsid w:val="000D138F"/>
    <w:rsid w:val="000D150D"/>
    <w:rsid w:val="000D28B5"/>
    <w:rsid w:val="000D46E0"/>
    <w:rsid w:val="000D6229"/>
    <w:rsid w:val="000D6753"/>
    <w:rsid w:val="000E12FD"/>
    <w:rsid w:val="000E182D"/>
    <w:rsid w:val="000E283D"/>
    <w:rsid w:val="000E2CFC"/>
    <w:rsid w:val="000E39CA"/>
    <w:rsid w:val="000E3EBE"/>
    <w:rsid w:val="000E7576"/>
    <w:rsid w:val="000E79EE"/>
    <w:rsid w:val="000F00A9"/>
    <w:rsid w:val="000F0DBE"/>
    <w:rsid w:val="000F2D8A"/>
    <w:rsid w:val="000F4B48"/>
    <w:rsid w:val="000F53BB"/>
    <w:rsid w:val="000F54C1"/>
    <w:rsid w:val="000F6BA2"/>
    <w:rsid w:val="000F7B79"/>
    <w:rsid w:val="00101376"/>
    <w:rsid w:val="001014AA"/>
    <w:rsid w:val="00102EA5"/>
    <w:rsid w:val="00104727"/>
    <w:rsid w:val="00111211"/>
    <w:rsid w:val="00112B7A"/>
    <w:rsid w:val="00112E41"/>
    <w:rsid w:val="00115598"/>
    <w:rsid w:val="00117D32"/>
    <w:rsid w:val="00120070"/>
    <w:rsid w:val="00121B00"/>
    <w:rsid w:val="00121DBE"/>
    <w:rsid w:val="00121E49"/>
    <w:rsid w:val="00123620"/>
    <w:rsid w:val="00125310"/>
    <w:rsid w:val="00125E77"/>
    <w:rsid w:val="0012637C"/>
    <w:rsid w:val="00130305"/>
    <w:rsid w:val="00130A05"/>
    <w:rsid w:val="00130A1C"/>
    <w:rsid w:val="001321B5"/>
    <w:rsid w:val="0013374D"/>
    <w:rsid w:val="001337B6"/>
    <w:rsid w:val="0013385D"/>
    <w:rsid w:val="001343D2"/>
    <w:rsid w:val="00136B44"/>
    <w:rsid w:val="001401D0"/>
    <w:rsid w:val="00140453"/>
    <w:rsid w:val="00140545"/>
    <w:rsid w:val="001419F6"/>
    <w:rsid w:val="001423A9"/>
    <w:rsid w:val="00143A6D"/>
    <w:rsid w:val="001442AF"/>
    <w:rsid w:val="0014575E"/>
    <w:rsid w:val="00146231"/>
    <w:rsid w:val="0014648B"/>
    <w:rsid w:val="00152801"/>
    <w:rsid w:val="00152D1C"/>
    <w:rsid w:val="00153E9D"/>
    <w:rsid w:val="00154C5D"/>
    <w:rsid w:val="00155191"/>
    <w:rsid w:val="00155C65"/>
    <w:rsid w:val="00156252"/>
    <w:rsid w:val="00156BD9"/>
    <w:rsid w:val="00161084"/>
    <w:rsid w:val="00161780"/>
    <w:rsid w:val="00161E5A"/>
    <w:rsid w:val="0016442E"/>
    <w:rsid w:val="001646DB"/>
    <w:rsid w:val="00166A29"/>
    <w:rsid w:val="001670ED"/>
    <w:rsid w:val="0016748D"/>
    <w:rsid w:val="00174C7C"/>
    <w:rsid w:val="001753A0"/>
    <w:rsid w:val="00175CE2"/>
    <w:rsid w:val="00176C74"/>
    <w:rsid w:val="00176E70"/>
    <w:rsid w:val="00176F62"/>
    <w:rsid w:val="00177322"/>
    <w:rsid w:val="001775AE"/>
    <w:rsid w:val="00180D4C"/>
    <w:rsid w:val="00183751"/>
    <w:rsid w:val="00184225"/>
    <w:rsid w:val="001853BF"/>
    <w:rsid w:val="00185D7A"/>
    <w:rsid w:val="00186295"/>
    <w:rsid w:val="00187BDC"/>
    <w:rsid w:val="00190B65"/>
    <w:rsid w:val="0019206E"/>
    <w:rsid w:val="0019237D"/>
    <w:rsid w:val="00192622"/>
    <w:rsid w:val="0019469E"/>
    <w:rsid w:val="001966BB"/>
    <w:rsid w:val="00196BF7"/>
    <w:rsid w:val="00196DC8"/>
    <w:rsid w:val="00196E67"/>
    <w:rsid w:val="001A01A4"/>
    <w:rsid w:val="001A56A0"/>
    <w:rsid w:val="001A7529"/>
    <w:rsid w:val="001B00A5"/>
    <w:rsid w:val="001B0F83"/>
    <w:rsid w:val="001B178C"/>
    <w:rsid w:val="001B1CF7"/>
    <w:rsid w:val="001B3720"/>
    <w:rsid w:val="001B394F"/>
    <w:rsid w:val="001B42B1"/>
    <w:rsid w:val="001B4AA5"/>
    <w:rsid w:val="001B50AA"/>
    <w:rsid w:val="001B55CC"/>
    <w:rsid w:val="001B5615"/>
    <w:rsid w:val="001B6B42"/>
    <w:rsid w:val="001B6DFF"/>
    <w:rsid w:val="001C0AEA"/>
    <w:rsid w:val="001C1A1D"/>
    <w:rsid w:val="001C242B"/>
    <w:rsid w:val="001C2E5A"/>
    <w:rsid w:val="001C3592"/>
    <w:rsid w:val="001C67D5"/>
    <w:rsid w:val="001C6CDD"/>
    <w:rsid w:val="001D091B"/>
    <w:rsid w:val="001D0B11"/>
    <w:rsid w:val="001D2B7E"/>
    <w:rsid w:val="001D47A0"/>
    <w:rsid w:val="001D4DDD"/>
    <w:rsid w:val="001D5239"/>
    <w:rsid w:val="001D5F4F"/>
    <w:rsid w:val="001E115B"/>
    <w:rsid w:val="001E1FC3"/>
    <w:rsid w:val="001E3140"/>
    <w:rsid w:val="001E43EF"/>
    <w:rsid w:val="001F00AB"/>
    <w:rsid w:val="001F02FF"/>
    <w:rsid w:val="001F16EB"/>
    <w:rsid w:val="001F1D04"/>
    <w:rsid w:val="001F2DEF"/>
    <w:rsid w:val="001F4667"/>
    <w:rsid w:val="001F4A22"/>
    <w:rsid w:val="001F6005"/>
    <w:rsid w:val="001F6EF2"/>
    <w:rsid w:val="001F7F76"/>
    <w:rsid w:val="00200DB3"/>
    <w:rsid w:val="00201539"/>
    <w:rsid w:val="00201D22"/>
    <w:rsid w:val="00202149"/>
    <w:rsid w:val="00205CC8"/>
    <w:rsid w:val="00206CBF"/>
    <w:rsid w:val="00206CED"/>
    <w:rsid w:val="00210D4D"/>
    <w:rsid w:val="002129D4"/>
    <w:rsid w:val="00212EFB"/>
    <w:rsid w:val="00213055"/>
    <w:rsid w:val="00213F5C"/>
    <w:rsid w:val="0021578C"/>
    <w:rsid w:val="00216A1D"/>
    <w:rsid w:val="00221888"/>
    <w:rsid w:val="00222F6D"/>
    <w:rsid w:val="00223545"/>
    <w:rsid w:val="00225E70"/>
    <w:rsid w:val="002264C7"/>
    <w:rsid w:val="002275FE"/>
    <w:rsid w:val="0023071D"/>
    <w:rsid w:val="00230F90"/>
    <w:rsid w:val="00231BD1"/>
    <w:rsid w:val="00233415"/>
    <w:rsid w:val="0023377A"/>
    <w:rsid w:val="002352C7"/>
    <w:rsid w:val="00235D77"/>
    <w:rsid w:val="002373ED"/>
    <w:rsid w:val="00243628"/>
    <w:rsid w:val="00244365"/>
    <w:rsid w:val="002456B0"/>
    <w:rsid w:val="00245F72"/>
    <w:rsid w:val="002468B7"/>
    <w:rsid w:val="00246D50"/>
    <w:rsid w:val="0025020B"/>
    <w:rsid w:val="002502CC"/>
    <w:rsid w:val="00251A97"/>
    <w:rsid w:val="00251C70"/>
    <w:rsid w:val="002548F8"/>
    <w:rsid w:val="00254F32"/>
    <w:rsid w:val="002551B1"/>
    <w:rsid w:val="0025525E"/>
    <w:rsid w:val="00255BB6"/>
    <w:rsid w:val="00256B0E"/>
    <w:rsid w:val="0025760C"/>
    <w:rsid w:val="00257A5C"/>
    <w:rsid w:val="00261F75"/>
    <w:rsid w:val="00262368"/>
    <w:rsid w:val="0026352C"/>
    <w:rsid w:val="002662CE"/>
    <w:rsid w:val="002672E6"/>
    <w:rsid w:val="00267C8A"/>
    <w:rsid w:val="0027331C"/>
    <w:rsid w:val="002747B7"/>
    <w:rsid w:val="00274C69"/>
    <w:rsid w:val="00274D34"/>
    <w:rsid w:val="00275945"/>
    <w:rsid w:val="00275C4C"/>
    <w:rsid w:val="00280B55"/>
    <w:rsid w:val="0028252C"/>
    <w:rsid w:val="00282997"/>
    <w:rsid w:val="00282A48"/>
    <w:rsid w:val="0028459F"/>
    <w:rsid w:val="00290046"/>
    <w:rsid w:val="00290DB4"/>
    <w:rsid w:val="0029145A"/>
    <w:rsid w:val="00291FE7"/>
    <w:rsid w:val="002950CF"/>
    <w:rsid w:val="00295445"/>
    <w:rsid w:val="0029559F"/>
    <w:rsid w:val="00295D46"/>
    <w:rsid w:val="00295FEE"/>
    <w:rsid w:val="00296689"/>
    <w:rsid w:val="00296753"/>
    <w:rsid w:val="002970D0"/>
    <w:rsid w:val="002A058A"/>
    <w:rsid w:val="002A1241"/>
    <w:rsid w:val="002A23B2"/>
    <w:rsid w:val="002A2E61"/>
    <w:rsid w:val="002A2EAD"/>
    <w:rsid w:val="002A49F6"/>
    <w:rsid w:val="002A589D"/>
    <w:rsid w:val="002B22E0"/>
    <w:rsid w:val="002B252A"/>
    <w:rsid w:val="002B28DF"/>
    <w:rsid w:val="002B3D44"/>
    <w:rsid w:val="002B44F3"/>
    <w:rsid w:val="002B4F6A"/>
    <w:rsid w:val="002C1608"/>
    <w:rsid w:val="002C199A"/>
    <w:rsid w:val="002C2F0D"/>
    <w:rsid w:val="002C4663"/>
    <w:rsid w:val="002C5183"/>
    <w:rsid w:val="002C7788"/>
    <w:rsid w:val="002C7D29"/>
    <w:rsid w:val="002C7F81"/>
    <w:rsid w:val="002D17D7"/>
    <w:rsid w:val="002D1AE5"/>
    <w:rsid w:val="002D252F"/>
    <w:rsid w:val="002D28BC"/>
    <w:rsid w:val="002D3154"/>
    <w:rsid w:val="002D4DB3"/>
    <w:rsid w:val="002D52C0"/>
    <w:rsid w:val="002D56E0"/>
    <w:rsid w:val="002D58AB"/>
    <w:rsid w:val="002D711B"/>
    <w:rsid w:val="002D79B4"/>
    <w:rsid w:val="002D7F63"/>
    <w:rsid w:val="002E0C18"/>
    <w:rsid w:val="002E1362"/>
    <w:rsid w:val="002E189B"/>
    <w:rsid w:val="002E3737"/>
    <w:rsid w:val="002E3CF9"/>
    <w:rsid w:val="002E44B2"/>
    <w:rsid w:val="002E46FE"/>
    <w:rsid w:val="002E68BC"/>
    <w:rsid w:val="002F1559"/>
    <w:rsid w:val="002F1D81"/>
    <w:rsid w:val="002F1E71"/>
    <w:rsid w:val="002F2E45"/>
    <w:rsid w:val="002F3209"/>
    <w:rsid w:val="002F6F39"/>
    <w:rsid w:val="003014E4"/>
    <w:rsid w:val="00301F22"/>
    <w:rsid w:val="003024A6"/>
    <w:rsid w:val="00303E86"/>
    <w:rsid w:val="003049F3"/>
    <w:rsid w:val="0030587F"/>
    <w:rsid w:val="0030667D"/>
    <w:rsid w:val="00306C20"/>
    <w:rsid w:val="00306C55"/>
    <w:rsid w:val="003105CB"/>
    <w:rsid w:val="003105FE"/>
    <w:rsid w:val="00310897"/>
    <w:rsid w:val="00312272"/>
    <w:rsid w:val="00312F6E"/>
    <w:rsid w:val="00313826"/>
    <w:rsid w:val="00313E04"/>
    <w:rsid w:val="003144F9"/>
    <w:rsid w:val="00314FD8"/>
    <w:rsid w:val="00316381"/>
    <w:rsid w:val="00316623"/>
    <w:rsid w:val="0031785D"/>
    <w:rsid w:val="00321C52"/>
    <w:rsid w:val="00322595"/>
    <w:rsid w:val="00322687"/>
    <w:rsid w:val="00323434"/>
    <w:rsid w:val="0032457A"/>
    <w:rsid w:val="003250DE"/>
    <w:rsid w:val="0032766F"/>
    <w:rsid w:val="00327BEC"/>
    <w:rsid w:val="003300C9"/>
    <w:rsid w:val="00330E2F"/>
    <w:rsid w:val="00332779"/>
    <w:rsid w:val="0033291B"/>
    <w:rsid w:val="00332B7A"/>
    <w:rsid w:val="003348E8"/>
    <w:rsid w:val="0033613E"/>
    <w:rsid w:val="00341BD0"/>
    <w:rsid w:val="00342F79"/>
    <w:rsid w:val="00345915"/>
    <w:rsid w:val="00346724"/>
    <w:rsid w:val="00346E12"/>
    <w:rsid w:val="003472A3"/>
    <w:rsid w:val="00350B03"/>
    <w:rsid w:val="00351601"/>
    <w:rsid w:val="0035291C"/>
    <w:rsid w:val="00352A4E"/>
    <w:rsid w:val="00352C99"/>
    <w:rsid w:val="00352DA3"/>
    <w:rsid w:val="00354A27"/>
    <w:rsid w:val="00355189"/>
    <w:rsid w:val="003601ED"/>
    <w:rsid w:val="00361A5F"/>
    <w:rsid w:val="00361FDE"/>
    <w:rsid w:val="00362C2E"/>
    <w:rsid w:val="003632EB"/>
    <w:rsid w:val="00363373"/>
    <w:rsid w:val="00364A2D"/>
    <w:rsid w:val="00365A63"/>
    <w:rsid w:val="003662E5"/>
    <w:rsid w:val="00367908"/>
    <w:rsid w:val="00372231"/>
    <w:rsid w:val="00372554"/>
    <w:rsid w:val="003727C3"/>
    <w:rsid w:val="00372919"/>
    <w:rsid w:val="00373D45"/>
    <w:rsid w:val="00374CF4"/>
    <w:rsid w:val="00375834"/>
    <w:rsid w:val="00375853"/>
    <w:rsid w:val="00375E62"/>
    <w:rsid w:val="00377786"/>
    <w:rsid w:val="0038066B"/>
    <w:rsid w:val="0038332A"/>
    <w:rsid w:val="00383E07"/>
    <w:rsid w:val="003843B7"/>
    <w:rsid w:val="003876FC"/>
    <w:rsid w:val="00391096"/>
    <w:rsid w:val="003910BA"/>
    <w:rsid w:val="0039287F"/>
    <w:rsid w:val="003932F8"/>
    <w:rsid w:val="00393558"/>
    <w:rsid w:val="0039421E"/>
    <w:rsid w:val="003958CF"/>
    <w:rsid w:val="0039795B"/>
    <w:rsid w:val="003A1725"/>
    <w:rsid w:val="003A19D4"/>
    <w:rsid w:val="003A35D3"/>
    <w:rsid w:val="003A38FD"/>
    <w:rsid w:val="003A3928"/>
    <w:rsid w:val="003A3C74"/>
    <w:rsid w:val="003A4178"/>
    <w:rsid w:val="003A41D7"/>
    <w:rsid w:val="003A495A"/>
    <w:rsid w:val="003A4A92"/>
    <w:rsid w:val="003A781F"/>
    <w:rsid w:val="003A7AD7"/>
    <w:rsid w:val="003B081F"/>
    <w:rsid w:val="003B24B6"/>
    <w:rsid w:val="003B2A73"/>
    <w:rsid w:val="003B490B"/>
    <w:rsid w:val="003B64DC"/>
    <w:rsid w:val="003C0388"/>
    <w:rsid w:val="003C28A4"/>
    <w:rsid w:val="003C4808"/>
    <w:rsid w:val="003C5300"/>
    <w:rsid w:val="003C5566"/>
    <w:rsid w:val="003C5AF3"/>
    <w:rsid w:val="003C5C95"/>
    <w:rsid w:val="003C74AD"/>
    <w:rsid w:val="003C7E98"/>
    <w:rsid w:val="003D02FE"/>
    <w:rsid w:val="003D0525"/>
    <w:rsid w:val="003D092B"/>
    <w:rsid w:val="003D32A5"/>
    <w:rsid w:val="003D3522"/>
    <w:rsid w:val="003D7D56"/>
    <w:rsid w:val="003E1CF7"/>
    <w:rsid w:val="003E2086"/>
    <w:rsid w:val="003E33F7"/>
    <w:rsid w:val="003E3F94"/>
    <w:rsid w:val="003E4D93"/>
    <w:rsid w:val="003E58A1"/>
    <w:rsid w:val="003E5B32"/>
    <w:rsid w:val="003E7485"/>
    <w:rsid w:val="003F181D"/>
    <w:rsid w:val="003F1CC6"/>
    <w:rsid w:val="003F2AE8"/>
    <w:rsid w:val="003F3758"/>
    <w:rsid w:val="003F53FC"/>
    <w:rsid w:val="003F54EA"/>
    <w:rsid w:val="003F7746"/>
    <w:rsid w:val="004018F1"/>
    <w:rsid w:val="00401CA2"/>
    <w:rsid w:val="004028DE"/>
    <w:rsid w:val="004034E3"/>
    <w:rsid w:val="00404483"/>
    <w:rsid w:val="00404CF7"/>
    <w:rsid w:val="0040507A"/>
    <w:rsid w:val="004055AF"/>
    <w:rsid w:val="00405F11"/>
    <w:rsid w:val="004061B8"/>
    <w:rsid w:val="004079F4"/>
    <w:rsid w:val="00411D14"/>
    <w:rsid w:val="00412AC5"/>
    <w:rsid w:val="004134C3"/>
    <w:rsid w:val="0041462A"/>
    <w:rsid w:val="00414F79"/>
    <w:rsid w:val="00415772"/>
    <w:rsid w:val="00416E37"/>
    <w:rsid w:val="00420349"/>
    <w:rsid w:val="00425847"/>
    <w:rsid w:val="00426454"/>
    <w:rsid w:val="00427A7A"/>
    <w:rsid w:val="00427F23"/>
    <w:rsid w:val="00430C38"/>
    <w:rsid w:val="0043258A"/>
    <w:rsid w:val="00434378"/>
    <w:rsid w:val="00435E79"/>
    <w:rsid w:val="004400AD"/>
    <w:rsid w:val="0044087F"/>
    <w:rsid w:val="0044158B"/>
    <w:rsid w:val="00441BC5"/>
    <w:rsid w:val="00441E5D"/>
    <w:rsid w:val="00443C0A"/>
    <w:rsid w:val="00443C41"/>
    <w:rsid w:val="00444DBE"/>
    <w:rsid w:val="004452B8"/>
    <w:rsid w:val="00445E16"/>
    <w:rsid w:val="00447321"/>
    <w:rsid w:val="0044775A"/>
    <w:rsid w:val="0044779F"/>
    <w:rsid w:val="0045096C"/>
    <w:rsid w:val="00450F98"/>
    <w:rsid w:val="004511BA"/>
    <w:rsid w:val="0045123C"/>
    <w:rsid w:val="00451C21"/>
    <w:rsid w:val="004522DC"/>
    <w:rsid w:val="00453C7D"/>
    <w:rsid w:val="00454E93"/>
    <w:rsid w:val="00456329"/>
    <w:rsid w:val="004573AD"/>
    <w:rsid w:val="00457CDA"/>
    <w:rsid w:val="00461BBE"/>
    <w:rsid w:val="00463042"/>
    <w:rsid w:val="004637D6"/>
    <w:rsid w:val="004642D7"/>
    <w:rsid w:val="00467B49"/>
    <w:rsid w:val="00467B65"/>
    <w:rsid w:val="00470159"/>
    <w:rsid w:val="004703F6"/>
    <w:rsid w:val="00470821"/>
    <w:rsid w:val="004709CA"/>
    <w:rsid w:val="004736E3"/>
    <w:rsid w:val="00473AD5"/>
    <w:rsid w:val="004741FB"/>
    <w:rsid w:val="00475AE3"/>
    <w:rsid w:val="00475E14"/>
    <w:rsid w:val="004764C7"/>
    <w:rsid w:val="00476ACE"/>
    <w:rsid w:val="00476E72"/>
    <w:rsid w:val="00476F04"/>
    <w:rsid w:val="00482DB1"/>
    <w:rsid w:val="00484B7C"/>
    <w:rsid w:val="00485753"/>
    <w:rsid w:val="00485EF9"/>
    <w:rsid w:val="004860F1"/>
    <w:rsid w:val="00492B30"/>
    <w:rsid w:val="00494271"/>
    <w:rsid w:val="00495FFB"/>
    <w:rsid w:val="0049649A"/>
    <w:rsid w:val="00496CE7"/>
    <w:rsid w:val="0049723C"/>
    <w:rsid w:val="004A11F0"/>
    <w:rsid w:val="004A3114"/>
    <w:rsid w:val="004A5BC8"/>
    <w:rsid w:val="004B0A54"/>
    <w:rsid w:val="004B16B6"/>
    <w:rsid w:val="004B1DFF"/>
    <w:rsid w:val="004B4ADE"/>
    <w:rsid w:val="004B58A1"/>
    <w:rsid w:val="004B5C50"/>
    <w:rsid w:val="004B653E"/>
    <w:rsid w:val="004B65D5"/>
    <w:rsid w:val="004B6BFD"/>
    <w:rsid w:val="004B75E8"/>
    <w:rsid w:val="004B7FE9"/>
    <w:rsid w:val="004C0065"/>
    <w:rsid w:val="004C34DB"/>
    <w:rsid w:val="004C6AFB"/>
    <w:rsid w:val="004C769C"/>
    <w:rsid w:val="004D0B12"/>
    <w:rsid w:val="004D1BA1"/>
    <w:rsid w:val="004D65AF"/>
    <w:rsid w:val="004E1072"/>
    <w:rsid w:val="004E1CEF"/>
    <w:rsid w:val="004E206E"/>
    <w:rsid w:val="004E2E0F"/>
    <w:rsid w:val="004E3714"/>
    <w:rsid w:val="004E53A6"/>
    <w:rsid w:val="004E54C1"/>
    <w:rsid w:val="004E58D7"/>
    <w:rsid w:val="004E5AC1"/>
    <w:rsid w:val="004E5DC9"/>
    <w:rsid w:val="004E77FD"/>
    <w:rsid w:val="004E7CEE"/>
    <w:rsid w:val="004F001E"/>
    <w:rsid w:val="004F017F"/>
    <w:rsid w:val="004F06C9"/>
    <w:rsid w:val="004F25B9"/>
    <w:rsid w:val="004F2E14"/>
    <w:rsid w:val="004F341C"/>
    <w:rsid w:val="004F576C"/>
    <w:rsid w:val="004F6A8D"/>
    <w:rsid w:val="004F6CA4"/>
    <w:rsid w:val="004F72D8"/>
    <w:rsid w:val="004F7E2D"/>
    <w:rsid w:val="0050178C"/>
    <w:rsid w:val="00502FC6"/>
    <w:rsid w:val="0050551D"/>
    <w:rsid w:val="00507B43"/>
    <w:rsid w:val="00510227"/>
    <w:rsid w:val="00511C4B"/>
    <w:rsid w:val="0051296A"/>
    <w:rsid w:val="00513748"/>
    <w:rsid w:val="00513C14"/>
    <w:rsid w:val="00517AF7"/>
    <w:rsid w:val="0052041B"/>
    <w:rsid w:val="00521AF7"/>
    <w:rsid w:val="00521C2D"/>
    <w:rsid w:val="00521D23"/>
    <w:rsid w:val="005232A5"/>
    <w:rsid w:val="00523F18"/>
    <w:rsid w:val="005266B4"/>
    <w:rsid w:val="005270E7"/>
    <w:rsid w:val="005273FD"/>
    <w:rsid w:val="0053054D"/>
    <w:rsid w:val="005332FF"/>
    <w:rsid w:val="00533628"/>
    <w:rsid w:val="00533B86"/>
    <w:rsid w:val="00534D9C"/>
    <w:rsid w:val="005359C1"/>
    <w:rsid w:val="005361D8"/>
    <w:rsid w:val="00536E10"/>
    <w:rsid w:val="00536F45"/>
    <w:rsid w:val="0053740D"/>
    <w:rsid w:val="0053743C"/>
    <w:rsid w:val="0054242A"/>
    <w:rsid w:val="005442F2"/>
    <w:rsid w:val="005450F3"/>
    <w:rsid w:val="005453E7"/>
    <w:rsid w:val="005468ED"/>
    <w:rsid w:val="00547B55"/>
    <w:rsid w:val="00550B96"/>
    <w:rsid w:val="00554EDE"/>
    <w:rsid w:val="005562E8"/>
    <w:rsid w:val="00557218"/>
    <w:rsid w:val="00562279"/>
    <w:rsid w:val="0056378F"/>
    <w:rsid w:val="005638B8"/>
    <w:rsid w:val="00563CE4"/>
    <w:rsid w:val="005665BE"/>
    <w:rsid w:val="00567037"/>
    <w:rsid w:val="00571270"/>
    <w:rsid w:val="00571BEA"/>
    <w:rsid w:val="005727C4"/>
    <w:rsid w:val="005728C2"/>
    <w:rsid w:val="00573B31"/>
    <w:rsid w:val="00575A7A"/>
    <w:rsid w:val="00576A13"/>
    <w:rsid w:val="005773D3"/>
    <w:rsid w:val="005804A9"/>
    <w:rsid w:val="0058060A"/>
    <w:rsid w:val="005809FC"/>
    <w:rsid w:val="00581F0E"/>
    <w:rsid w:val="00582514"/>
    <w:rsid w:val="00582E75"/>
    <w:rsid w:val="005832AD"/>
    <w:rsid w:val="00583CF7"/>
    <w:rsid w:val="0058441B"/>
    <w:rsid w:val="00591009"/>
    <w:rsid w:val="0059238B"/>
    <w:rsid w:val="00592BE7"/>
    <w:rsid w:val="00592D8C"/>
    <w:rsid w:val="0059479A"/>
    <w:rsid w:val="005A13EB"/>
    <w:rsid w:val="005A3386"/>
    <w:rsid w:val="005A35B4"/>
    <w:rsid w:val="005A3AE6"/>
    <w:rsid w:val="005A4714"/>
    <w:rsid w:val="005A48FE"/>
    <w:rsid w:val="005A51B1"/>
    <w:rsid w:val="005A5833"/>
    <w:rsid w:val="005B0D83"/>
    <w:rsid w:val="005B1037"/>
    <w:rsid w:val="005B147F"/>
    <w:rsid w:val="005B1656"/>
    <w:rsid w:val="005B16C3"/>
    <w:rsid w:val="005B1B78"/>
    <w:rsid w:val="005B3D19"/>
    <w:rsid w:val="005B41F4"/>
    <w:rsid w:val="005B6DA7"/>
    <w:rsid w:val="005B7707"/>
    <w:rsid w:val="005B7D3A"/>
    <w:rsid w:val="005B7D54"/>
    <w:rsid w:val="005C09F5"/>
    <w:rsid w:val="005C18E5"/>
    <w:rsid w:val="005C2AB0"/>
    <w:rsid w:val="005C302C"/>
    <w:rsid w:val="005C3687"/>
    <w:rsid w:val="005C3ED6"/>
    <w:rsid w:val="005C5DDC"/>
    <w:rsid w:val="005C6046"/>
    <w:rsid w:val="005D1720"/>
    <w:rsid w:val="005D17F9"/>
    <w:rsid w:val="005D42D9"/>
    <w:rsid w:val="005D4D42"/>
    <w:rsid w:val="005D4DD7"/>
    <w:rsid w:val="005D51DC"/>
    <w:rsid w:val="005D6316"/>
    <w:rsid w:val="005D6CE9"/>
    <w:rsid w:val="005E0641"/>
    <w:rsid w:val="005E1A5E"/>
    <w:rsid w:val="005E70CE"/>
    <w:rsid w:val="005F0180"/>
    <w:rsid w:val="005F0C91"/>
    <w:rsid w:val="005F1265"/>
    <w:rsid w:val="005F16CF"/>
    <w:rsid w:val="005F208F"/>
    <w:rsid w:val="005F233A"/>
    <w:rsid w:val="005F2408"/>
    <w:rsid w:val="005F28D6"/>
    <w:rsid w:val="005F297D"/>
    <w:rsid w:val="005F4E41"/>
    <w:rsid w:val="005F5211"/>
    <w:rsid w:val="005F61FF"/>
    <w:rsid w:val="005F6519"/>
    <w:rsid w:val="00603CFE"/>
    <w:rsid w:val="00605928"/>
    <w:rsid w:val="006061D7"/>
    <w:rsid w:val="0061429A"/>
    <w:rsid w:val="0061513F"/>
    <w:rsid w:val="006154D1"/>
    <w:rsid w:val="00616027"/>
    <w:rsid w:val="0061745C"/>
    <w:rsid w:val="00620012"/>
    <w:rsid w:val="006252EE"/>
    <w:rsid w:val="00625BFD"/>
    <w:rsid w:val="00627F94"/>
    <w:rsid w:val="006300F7"/>
    <w:rsid w:val="00634D66"/>
    <w:rsid w:val="006352AE"/>
    <w:rsid w:val="006360FD"/>
    <w:rsid w:val="0064202B"/>
    <w:rsid w:val="006420FF"/>
    <w:rsid w:val="00642C0A"/>
    <w:rsid w:val="006436B9"/>
    <w:rsid w:val="00643FB2"/>
    <w:rsid w:val="00644103"/>
    <w:rsid w:val="006443BC"/>
    <w:rsid w:val="006456B3"/>
    <w:rsid w:val="006471C9"/>
    <w:rsid w:val="00651C02"/>
    <w:rsid w:val="00654675"/>
    <w:rsid w:val="00654955"/>
    <w:rsid w:val="00655382"/>
    <w:rsid w:val="0065550D"/>
    <w:rsid w:val="0065560A"/>
    <w:rsid w:val="00656026"/>
    <w:rsid w:val="00656C11"/>
    <w:rsid w:val="00656DC3"/>
    <w:rsid w:val="0066123B"/>
    <w:rsid w:val="00662A7F"/>
    <w:rsid w:val="00670C43"/>
    <w:rsid w:val="00671F38"/>
    <w:rsid w:val="00673CA7"/>
    <w:rsid w:val="00674143"/>
    <w:rsid w:val="0067580A"/>
    <w:rsid w:val="00675F28"/>
    <w:rsid w:val="00676472"/>
    <w:rsid w:val="00676EBA"/>
    <w:rsid w:val="006779FB"/>
    <w:rsid w:val="00680372"/>
    <w:rsid w:val="00682883"/>
    <w:rsid w:val="00684673"/>
    <w:rsid w:val="00684DA9"/>
    <w:rsid w:val="0068562F"/>
    <w:rsid w:val="00685819"/>
    <w:rsid w:val="006861DE"/>
    <w:rsid w:val="00687572"/>
    <w:rsid w:val="00692B55"/>
    <w:rsid w:val="00693990"/>
    <w:rsid w:val="00694E8A"/>
    <w:rsid w:val="006A0DA2"/>
    <w:rsid w:val="006A169C"/>
    <w:rsid w:val="006A3802"/>
    <w:rsid w:val="006A6BA0"/>
    <w:rsid w:val="006A7125"/>
    <w:rsid w:val="006A75B3"/>
    <w:rsid w:val="006A7F74"/>
    <w:rsid w:val="006B0AA7"/>
    <w:rsid w:val="006B0FE9"/>
    <w:rsid w:val="006B1559"/>
    <w:rsid w:val="006B229E"/>
    <w:rsid w:val="006B2DE5"/>
    <w:rsid w:val="006B3436"/>
    <w:rsid w:val="006B3A73"/>
    <w:rsid w:val="006B5E9E"/>
    <w:rsid w:val="006B7CB6"/>
    <w:rsid w:val="006C3673"/>
    <w:rsid w:val="006C47E7"/>
    <w:rsid w:val="006C6A99"/>
    <w:rsid w:val="006C6F84"/>
    <w:rsid w:val="006D014C"/>
    <w:rsid w:val="006D464D"/>
    <w:rsid w:val="006D4CFB"/>
    <w:rsid w:val="006D50B4"/>
    <w:rsid w:val="006D51A7"/>
    <w:rsid w:val="006D5D0F"/>
    <w:rsid w:val="006D60C0"/>
    <w:rsid w:val="006D6623"/>
    <w:rsid w:val="006D7CA5"/>
    <w:rsid w:val="006E38E6"/>
    <w:rsid w:val="006E3F2D"/>
    <w:rsid w:val="006E4ED4"/>
    <w:rsid w:val="006E6D0D"/>
    <w:rsid w:val="006E7B2C"/>
    <w:rsid w:val="006F1186"/>
    <w:rsid w:val="006F1DF7"/>
    <w:rsid w:val="006F27A4"/>
    <w:rsid w:val="006F2E0B"/>
    <w:rsid w:val="006F39B6"/>
    <w:rsid w:val="00700DCC"/>
    <w:rsid w:val="00701DE4"/>
    <w:rsid w:val="007059FB"/>
    <w:rsid w:val="00705BE6"/>
    <w:rsid w:val="00706126"/>
    <w:rsid w:val="007074E4"/>
    <w:rsid w:val="00707A80"/>
    <w:rsid w:val="00710AEF"/>
    <w:rsid w:val="00712FB9"/>
    <w:rsid w:val="007134CF"/>
    <w:rsid w:val="00717326"/>
    <w:rsid w:val="00717B4D"/>
    <w:rsid w:val="00717E65"/>
    <w:rsid w:val="007207B5"/>
    <w:rsid w:val="007262B6"/>
    <w:rsid w:val="00726447"/>
    <w:rsid w:val="007268B4"/>
    <w:rsid w:val="00726CC3"/>
    <w:rsid w:val="0072770E"/>
    <w:rsid w:val="00727AF4"/>
    <w:rsid w:val="0073010A"/>
    <w:rsid w:val="00731561"/>
    <w:rsid w:val="00733C82"/>
    <w:rsid w:val="007352A3"/>
    <w:rsid w:val="00735627"/>
    <w:rsid w:val="00736AA7"/>
    <w:rsid w:val="007371EF"/>
    <w:rsid w:val="0074461A"/>
    <w:rsid w:val="00744778"/>
    <w:rsid w:val="007447D8"/>
    <w:rsid w:val="00745319"/>
    <w:rsid w:val="00745545"/>
    <w:rsid w:val="00745D0E"/>
    <w:rsid w:val="00746162"/>
    <w:rsid w:val="007467EB"/>
    <w:rsid w:val="007515C0"/>
    <w:rsid w:val="007521C2"/>
    <w:rsid w:val="00753DF8"/>
    <w:rsid w:val="007573DD"/>
    <w:rsid w:val="00757ED6"/>
    <w:rsid w:val="00760924"/>
    <w:rsid w:val="0076277E"/>
    <w:rsid w:val="00763401"/>
    <w:rsid w:val="00763609"/>
    <w:rsid w:val="007637B5"/>
    <w:rsid w:val="00763904"/>
    <w:rsid w:val="0076394A"/>
    <w:rsid w:val="007657F5"/>
    <w:rsid w:val="007663E9"/>
    <w:rsid w:val="00767B13"/>
    <w:rsid w:val="00770667"/>
    <w:rsid w:val="00773E92"/>
    <w:rsid w:val="00774845"/>
    <w:rsid w:val="00775006"/>
    <w:rsid w:val="00777970"/>
    <w:rsid w:val="00777F1E"/>
    <w:rsid w:val="00781FBD"/>
    <w:rsid w:val="00782285"/>
    <w:rsid w:val="00782D64"/>
    <w:rsid w:val="00783038"/>
    <w:rsid w:val="00783850"/>
    <w:rsid w:val="0078683C"/>
    <w:rsid w:val="00786E22"/>
    <w:rsid w:val="00787BF5"/>
    <w:rsid w:val="00792124"/>
    <w:rsid w:val="0079232C"/>
    <w:rsid w:val="00792661"/>
    <w:rsid w:val="00792857"/>
    <w:rsid w:val="007946FE"/>
    <w:rsid w:val="007948AC"/>
    <w:rsid w:val="00795426"/>
    <w:rsid w:val="007963F2"/>
    <w:rsid w:val="0079651F"/>
    <w:rsid w:val="007A067A"/>
    <w:rsid w:val="007A3DCA"/>
    <w:rsid w:val="007A494E"/>
    <w:rsid w:val="007A6BAA"/>
    <w:rsid w:val="007A6E35"/>
    <w:rsid w:val="007B1CDB"/>
    <w:rsid w:val="007B20D9"/>
    <w:rsid w:val="007B2C80"/>
    <w:rsid w:val="007B2D66"/>
    <w:rsid w:val="007B41DA"/>
    <w:rsid w:val="007B41DC"/>
    <w:rsid w:val="007B4D24"/>
    <w:rsid w:val="007B633F"/>
    <w:rsid w:val="007B6FB9"/>
    <w:rsid w:val="007B6FFA"/>
    <w:rsid w:val="007C1411"/>
    <w:rsid w:val="007C2592"/>
    <w:rsid w:val="007C31E8"/>
    <w:rsid w:val="007C36AE"/>
    <w:rsid w:val="007C53C0"/>
    <w:rsid w:val="007C6265"/>
    <w:rsid w:val="007C62A4"/>
    <w:rsid w:val="007C715C"/>
    <w:rsid w:val="007C748D"/>
    <w:rsid w:val="007D00B2"/>
    <w:rsid w:val="007D4A09"/>
    <w:rsid w:val="007D7312"/>
    <w:rsid w:val="007D7F94"/>
    <w:rsid w:val="007E19CF"/>
    <w:rsid w:val="007E1FA9"/>
    <w:rsid w:val="007E3130"/>
    <w:rsid w:val="007E4764"/>
    <w:rsid w:val="007E5CF8"/>
    <w:rsid w:val="007E5F36"/>
    <w:rsid w:val="007E6DB0"/>
    <w:rsid w:val="007F2C10"/>
    <w:rsid w:val="007F3696"/>
    <w:rsid w:val="007F4443"/>
    <w:rsid w:val="007F4DEC"/>
    <w:rsid w:val="007F5C41"/>
    <w:rsid w:val="007F5D1C"/>
    <w:rsid w:val="007F65EE"/>
    <w:rsid w:val="007F6721"/>
    <w:rsid w:val="008015CC"/>
    <w:rsid w:val="0080178C"/>
    <w:rsid w:val="00802367"/>
    <w:rsid w:val="00802806"/>
    <w:rsid w:val="00802A75"/>
    <w:rsid w:val="00804F58"/>
    <w:rsid w:val="00805E4E"/>
    <w:rsid w:val="00806A76"/>
    <w:rsid w:val="00807664"/>
    <w:rsid w:val="0080795D"/>
    <w:rsid w:val="0081054B"/>
    <w:rsid w:val="00811072"/>
    <w:rsid w:val="00812164"/>
    <w:rsid w:val="0081477C"/>
    <w:rsid w:val="0081550C"/>
    <w:rsid w:val="00816DFD"/>
    <w:rsid w:val="00817A19"/>
    <w:rsid w:val="0082045D"/>
    <w:rsid w:val="00820618"/>
    <w:rsid w:val="00821641"/>
    <w:rsid w:val="008237E3"/>
    <w:rsid w:val="00823966"/>
    <w:rsid w:val="008254F5"/>
    <w:rsid w:val="00825CB9"/>
    <w:rsid w:val="0082629F"/>
    <w:rsid w:val="008304B8"/>
    <w:rsid w:val="00831A43"/>
    <w:rsid w:val="00832826"/>
    <w:rsid w:val="00837BBD"/>
    <w:rsid w:val="00840BC7"/>
    <w:rsid w:val="008439A5"/>
    <w:rsid w:val="0084443B"/>
    <w:rsid w:val="008463B8"/>
    <w:rsid w:val="00846C38"/>
    <w:rsid w:val="00847085"/>
    <w:rsid w:val="008473A8"/>
    <w:rsid w:val="008473B3"/>
    <w:rsid w:val="00847BE3"/>
    <w:rsid w:val="00850CF9"/>
    <w:rsid w:val="008517C2"/>
    <w:rsid w:val="0085184C"/>
    <w:rsid w:val="00852481"/>
    <w:rsid w:val="00852911"/>
    <w:rsid w:val="00852BB1"/>
    <w:rsid w:val="008551C7"/>
    <w:rsid w:val="00856328"/>
    <w:rsid w:val="00856D57"/>
    <w:rsid w:val="0086006F"/>
    <w:rsid w:val="00861352"/>
    <w:rsid w:val="00861CFF"/>
    <w:rsid w:val="00862A03"/>
    <w:rsid w:val="00862B16"/>
    <w:rsid w:val="00864D7F"/>
    <w:rsid w:val="00864ECF"/>
    <w:rsid w:val="008651F6"/>
    <w:rsid w:val="00866235"/>
    <w:rsid w:val="00871434"/>
    <w:rsid w:val="00871BF5"/>
    <w:rsid w:val="00873A02"/>
    <w:rsid w:val="00874010"/>
    <w:rsid w:val="00874C9A"/>
    <w:rsid w:val="0088022B"/>
    <w:rsid w:val="00880736"/>
    <w:rsid w:val="00880D76"/>
    <w:rsid w:val="00881870"/>
    <w:rsid w:val="00881DBE"/>
    <w:rsid w:val="00883A42"/>
    <w:rsid w:val="00885BC9"/>
    <w:rsid w:val="008862A5"/>
    <w:rsid w:val="00886987"/>
    <w:rsid w:val="008878A8"/>
    <w:rsid w:val="008926EF"/>
    <w:rsid w:val="00893DEE"/>
    <w:rsid w:val="00896235"/>
    <w:rsid w:val="008966DE"/>
    <w:rsid w:val="00897BF0"/>
    <w:rsid w:val="008A0A1A"/>
    <w:rsid w:val="008A0B69"/>
    <w:rsid w:val="008A0EBC"/>
    <w:rsid w:val="008A3C5C"/>
    <w:rsid w:val="008A3DB5"/>
    <w:rsid w:val="008A6B99"/>
    <w:rsid w:val="008A7534"/>
    <w:rsid w:val="008B11AF"/>
    <w:rsid w:val="008B3EF0"/>
    <w:rsid w:val="008B54F1"/>
    <w:rsid w:val="008C1C85"/>
    <w:rsid w:val="008C1EF2"/>
    <w:rsid w:val="008C21F6"/>
    <w:rsid w:val="008C2518"/>
    <w:rsid w:val="008C2589"/>
    <w:rsid w:val="008C3966"/>
    <w:rsid w:val="008C42DC"/>
    <w:rsid w:val="008C6136"/>
    <w:rsid w:val="008C6F6E"/>
    <w:rsid w:val="008C7178"/>
    <w:rsid w:val="008D04DB"/>
    <w:rsid w:val="008D0BC7"/>
    <w:rsid w:val="008D2819"/>
    <w:rsid w:val="008D295F"/>
    <w:rsid w:val="008D34E7"/>
    <w:rsid w:val="008D3640"/>
    <w:rsid w:val="008D515E"/>
    <w:rsid w:val="008D7802"/>
    <w:rsid w:val="008E48DE"/>
    <w:rsid w:val="008E4A1F"/>
    <w:rsid w:val="008E56CF"/>
    <w:rsid w:val="008E6626"/>
    <w:rsid w:val="008E77DC"/>
    <w:rsid w:val="008E785D"/>
    <w:rsid w:val="008F30CF"/>
    <w:rsid w:val="008F4DE5"/>
    <w:rsid w:val="008F58C3"/>
    <w:rsid w:val="008F6B0A"/>
    <w:rsid w:val="008F739A"/>
    <w:rsid w:val="00901C20"/>
    <w:rsid w:val="00901F0F"/>
    <w:rsid w:val="00901F21"/>
    <w:rsid w:val="0090276A"/>
    <w:rsid w:val="00903F59"/>
    <w:rsid w:val="0090424A"/>
    <w:rsid w:val="00904755"/>
    <w:rsid w:val="00904BCF"/>
    <w:rsid w:val="00904F7E"/>
    <w:rsid w:val="0090537A"/>
    <w:rsid w:val="00910387"/>
    <w:rsid w:val="00910933"/>
    <w:rsid w:val="0091126C"/>
    <w:rsid w:val="00911CC4"/>
    <w:rsid w:val="0091243E"/>
    <w:rsid w:val="009127B8"/>
    <w:rsid w:val="00913182"/>
    <w:rsid w:val="00914296"/>
    <w:rsid w:val="00914AA6"/>
    <w:rsid w:val="00915719"/>
    <w:rsid w:val="00917C1A"/>
    <w:rsid w:val="00922343"/>
    <w:rsid w:val="00923774"/>
    <w:rsid w:val="00925444"/>
    <w:rsid w:val="009259DB"/>
    <w:rsid w:val="00925C5D"/>
    <w:rsid w:val="0092607B"/>
    <w:rsid w:val="00926B61"/>
    <w:rsid w:val="00926F50"/>
    <w:rsid w:val="00927D80"/>
    <w:rsid w:val="00930156"/>
    <w:rsid w:val="00932682"/>
    <w:rsid w:val="009333E7"/>
    <w:rsid w:val="00935378"/>
    <w:rsid w:val="00935D4A"/>
    <w:rsid w:val="0093753C"/>
    <w:rsid w:val="0093755D"/>
    <w:rsid w:val="009418B2"/>
    <w:rsid w:val="0094369C"/>
    <w:rsid w:val="00943897"/>
    <w:rsid w:val="00943F3C"/>
    <w:rsid w:val="009452AA"/>
    <w:rsid w:val="00945FB9"/>
    <w:rsid w:val="00947004"/>
    <w:rsid w:val="0095095B"/>
    <w:rsid w:val="0095330C"/>
    <w:rsid w:val="0095610F"/>
    <w:rsid w:val="0096113C"/>
    <w:rsid w:val="009613D1"/>
    <w:rsid w:val="0096151E"/>
    <w:rsid w:val="00961B13"/>
    <w:rsid w:val="00961DD7"/>
    <w:rsid w:val="009629F8"/>
    <w:rsid w:val="00963BAA"/>
    <w:rsid w:val="00964326"/>
    <w:rsid w:val="00964D46"/>
    <w:rsid w:val="0096513E"/>
    <w:rsid w:val="0096602A"/>
    <w:rsid w:val="00966609"/>
    <w:rsid w:val="00966624"/>
    <w:rsid w:val="00967D47"/>
    <w:rsid w:val="00970C68"/>
    <w:rsid w:val="009715F1"/>
    <w:rsid w:val="009722F9"/>
    <w:rsid w:val="0097235E"/>
    <w:rsid w:val="00973246"/>
    <w:rsid w:val="00973911"/>
    <w:rsid w:val="0097543F"/>
    <w:rsid w:val="00975567"/>
    <w:rsid w:val="00975E43"/>
    <w:rsid w:val="009771CF"/>
    <w:rsid w:val="00977BFD"/>
    <w:rsid w:val="00977E24"/>
    <w:rsid w:val="009804BC"/>
    <w:rsid w:val="0098365B"/>
    <w:rsid w:val="00983956"/>
    <w:rsid w:val="00984411"/>
    <w:rsid w:val="00987508"/>
    <w:rsid w:val="00990F80"/>
    <w:rsid w:val="00991F62"/>
    <w:rsid w:val="00993146"/>
    <w:rsid w:val="0099428F"/>
    <w:rsid w:val="00994D98"/>
    <w:rsid w:val="009A7056"/>
    <w:rsid w:val="009B06DC"/>
    <w:rsid w:val="009B0CF3"/>
    <w:rsid w:val="009B1194"/>
    <w:rsid w:val="009B1A4A"/>
    <w:rsid w:val="009B2208"/>
    <w:rsid w:val="009B3944"/>
    <w:rsid w:val="009B3AAF"/>
    <w:rsid w:val="009B5366"/>
    <w:rsid w:val="009B5752"/>
    <w:rsid w:val="009B68CF"/>
    <w:rsid w:val="009B785A"/>
    <w:rsid w:val="009C1D80"/>
    <w:rsid w:val="009C1FC7"/>
    <w:rsid w:val="009C2849"/>
    <w:rsid w:val="009C5ADC"/>
    <w:rsid w:val="009C6213"/>
    <w:rsid w:val="009C7FDC"/>
    <w:rsid w:val="009D0144"/>
    <w:rsid w:val="009D2BF0"/>
    <w:rsid w:val="009D3BEE"/>
    <w:rsid w:val="009D3DA7"/>
    <w:rsid w:val="009D502A"/>
    <w:rsid w:val="009D6D2E"/>
    <w:rsid w:val="009E0E93"/>
    <w:rsid w:val="009E1DA8"/>
    <w:rsid w:val="009E1E5A"/>
    <w:rsid w:val="009E54E4"/>
    <w:rsid w:val="009E672E"/>
    <w:rsid w:val="009E6A9C"/>
    <w:rsid w:val="009E7845"/>
    <w:rsid w:val="009F09CA"/>
    <w:rsid w:val="009F09D0"/>
    <w:rsid w:val="009F0EFB"/>
    <w:rsid w:val="009F20F5"/>
    <w:rsid w:val="009F5ED8"/>
    <w:rsid w:val="009F65E8"/>
    <w:rsid w:val="009F77BB"/>
    <w:rsid w:val="00A011CB"/>
    <w:rsid w:val="00A019E0"/>
    <w:rsid w:val="00A01CF0"/>
    <w:rsid w:val="00A02429"/>
    <w:rsid w:val="00A03DE9"/>
    <w:rsid w:val="00A04599"/>
    <w:rsid w:val="00A05D75"/>
    <w:rsid w:val="00A062A0"/>
    <w:rsid w:val="00A13070"/>
    <w:rsid w:val="00A13864"/>
    <w:rsid w:val="00A14B78"/>
    <w:rsid w:val="00A14D5F"/>
    <w:rsid w:val="00A15645"/>
    <w:rsid w:val="00A15CB3"/>
    <w:rsid w:val="00A16138"/>
    <w:rsid w:val="00A20776"/>
    <w:rsid w:val="00A242A0"/>
    <w:rsid w:val="00A26044"/>
    <w:rsid w:val="00A307F9"/>
    <w:rsid w:val="00A31732"/>
    <w:rsid w:val="00A32720"/>
    <w:rsid w:val="00A346CC"/>
    <w:rsid w:val="00A42B6A"/>
    <w:rsid w:val="00A4317D"/>
    <w:rsid w:val="00A444B6"/>
    <w:rsid w:val="00A44F90"/>
    <w:rsid w:val="00A45733"/>
    <w:rsid w:val="00A4579E"/>
    <w:rsid w:val="00A45871"/>
    <w:rsid w:val="00A47773"/>
    <w:rsid w:val="00A50FE9"/>
    <w:rsid w:val="00A5115E"/>
    <w:rsid w:val="00A51E45"/>
    <w:rsid w:val="00A52C0E"/>
    <w:rsid w:val="00A539E1"/>
    <w:rsid w:val="00A55837"/>
    <w:rsid w:val="00A559C4"/>
    <w:rsid w:val="00A61AC5"/>
    <w:rsid w:val="00A63988"/>
    <w:rsid w:val="00A64319"/>
    <w:rsid w:val="00A6574B"/>
    <w:rsid w:val="00A65BB3"/>
    <w:rsid w:val="00A6610C"/>
    <w:rsid w:val="00A71B38"/>
    <w:rsid w:val="00A71E29"/>
    <w:rsid w:val="00A7206C"/>
    <w:rsid w:val="00A7217D"/>
    <w:rsid w:val="00A728CF"/>
    <w:rsid w:val="00A73299"/>
    <w:rsid w:val="00A7355B"/>
    <w:rsid w:val="00A74888"/>
    <w:rsid w:val="00A75F01"/>
    <w:rsid w:val="00A7600C"/>
    <w:rsid w:val="00A765F9"/>
    <w:rsid w:val="00A76B62"/>
    <w:rsid w:val="00A802F6"/>
    <w:rsid w:val="00A809D0"/>
    <w:rsid w:val="00A810E4"/>
    <w:rsid w:val="00A823CB"/>
    <w:rsid w:val="00A82672"/>
    <w:rsid w:val="00A8363E"/>
    <w:rsid w:val="00A8373B"/>
    <w:rsid w:val="00A83B9B"/>
    <w:rsid w:val="00A868C4"/>
    <w:rsid w:val="00A86F2F"/>
    <w:rsid w:val="00A8727D"/>
    <w:rsid w:val="00A87420"/>
    <w:rsid w:val="00A906C2"/>
    <w:rsid w:val="00A9261A"/>
    <w:rsid w:val="00A9497E"/>
    <w:rsid w:val="00A9684E"/>
    <w:rsid w:val="00A96BE1"/>
    <w:rsid w:val="00AA06B3"/>
    <w:rsid w:val="00AA3C15"/>
    <w:rsid w:val="00AA3FC5"/>
    <w:rsid w:val="00AA4F7B"/>
    <w:rsid w:val="00AA5F65"/>
    <w:rsid w:val="00AA67B7"/>
    <w:rsid w:val="00AA76F7"/>
    <w:rsid w:val="00AA7E5B"/>
    <w:rsid w:val="00AB034A"/>
    <w:rsid w:val="00AB07BD"/>
    <w:rsid w:val="00AB0F0C"/>
    <w:rsid w:val="00AB1D6F"/>
    <w:rsid w:val="00AB495A"/>
    <w:rsid w:val="00AB4EDA"/>
    <w:rsid w:val="00AC1B25"/>
    <w:rsid w:val="00AC209B"/>
    <w:rsid w:val="00AC2BCB"/>
    <w:rsid w:val="00AC3FDA"/>
    <w:rsid w:val="00AC545A"/>
    <w:rsid w:val="00AC5A04"/>
    <w:rsid w:val="00AC5FBA"/>
    <w:rsid w:val="00AC7734"/>
    <w:rsid w:val="00AD18E9"/>
    <w:rsid w:val="00AD1E33"/>
    <w:rsid w:val="00AD64C5"/>
    <w:rsid w:val="00AD76FC"/>
    <w:rsid w:val="00AE0029"/>
    <w:rsid w:val="00AE2AA4"/>
    <w:rsid w:val="00AE4655"/>
    <w:rsid w:val="00AE4BCA"/>
    <w:rsid w:val="00AE516B"/>
    <w:rsid w:val="00AE6B5E"/>
    <w:rsid w:val="00AE7003"/>
    <w:rsid w:val="00AF0A18"/>
    <w:rsid w:val="00AF0FBA"/>
    <w:rsid w:val="00AF1ECF"/>
    <w:rsid w:val="00AF1F7E"/>
    <w:rsid w:val="00AF46E2"/>
    <w:rsid w:val="00AF4B24"/>
    <w:rsid w:val="00AF53F8"/>
    <w:rsid w:val="00AF63D8"/>
    <w:rsid w:val="00AF7C63"/>
    <w:rsid w:val="00B00B80"/>
    <w:rsid w:val="00B0233A"/>
    <w:rsid w:val="00B028FC"/>
    <w:rsid w:val="00B030A0"/>
    <w:rsid w:val="00B0470F"/>
    <w:rsid w:val="00B05C97"/>
    <w:rsid w:val="00B05F31"/>
    <w:rsid w:val="00B05FAC"/>
    <w:rsid w:val="00B05FEE"/>
    <w:rsid w:val="00B06840"/>
    <w:rsid w:val="00B06D0A"/>
    <w:rsid w:val="00B06E64"/>
    <w:rsid w:val="00B07497"/>
    <w:rsid w:val="00B12384"/>
    <w:rsid w:val="00B13147"/>
    <w:rsid w:val="00B13E88"/>
    <w:rsid w:val="00B16687"/>
    <w:rsid w:val="00B17194"/>
    <w:rsid w:val="00B17A59"/>
    <w:rsid w:val="00B20398"/>
    <w:rsid w:val="00B2052E"/>
    <w:rsid w:val="00B20E8C"/>
    <w:rsid w:val="00B21491"/>
    <w:rsid w:val="00B22929"/>
    <w:rsid w:val="00B22ED1"/>
    <w:rsid w:val="00B23151"/>
    <w:rsid w:val="00B23516"/>
    <w:rsid w:val="00B2472E"/>
    <w:rsid w:val="00B25C29"/>
    <w:rsid w:val="00B26CC8"/>
    <w:rsid w:val="00B30899"/>
    <w:rsid w:val="00B308A2"/>
    <w:rsid w:val="00B32121"/>
    <w:rsid w:val="00B32A3C"/>
    <w:rsid w:val="00B3398D"/>
    <w:rsid w:val="00B408A6"/>
    <w:rsid w:val="00B417D0"/>
    <w:rsid w:val="00B41D0B"/>
    <w:rsid w:val="00B423D6"/>
    <w:rsid w:val="00B438FA"/>
    <w:rsid w:val="00B444D7"/>
    <w:rsid w:val="00B44A43"/>
    <w:rsid w:val="00B50F5D"/>
    <w:rsid w:val="00B52877"/>
    <w:rsid w:val="00B53987"/>
    <w:rsid w:val="00B53A9E"/>
    <w:rsid w:val="00B54DCC"/>
    <w:rsid w:val="00B572A1"/>
    <w:rsid w:val="00B5780C"/>
    <w:rsid w:val="00B61AF6"/>
    <w:rsid w:val="00B63C9B"/>
    <w:rsid w:val="00B64D54"/>
    <w:rsid w:val="00B64FDD"/>
    <w:rsid w:val="00B66C7F"/>
    <w:rsid w:val="00B67515"/>
    <w:rsid w:val="00B6789E"/>
    <w:rsid w:val="00B67BED"/>
    <w:rsid w:val="00B70B12"/>
    <w:rsid w:val="00B71846"/>
    <w:rsid w:val="00B718D6"/>
    <w:rsid w:val="00B71C01"/>
    <w:rsid w:val="00B7325F"/>
    <w:rsid w:val="00B732CB"/>
    <w:rsid w:val="00B7582E"/>
    <w:rsid w:val="00B75B35"/>
    <w:rsid w:val="00B760E1"/>
    <w:rsid w:val="00B774F7"/>
    <w:rsid w:val="00B82381"/>
    <w:rsid w:val="00B824C9"/>
    <w:rsid w:val="00B82ECA"/>
    <w:rsid w:val="00B8367F"/>
    <w:rsid w:val="00B83A37"/>
    <w:rsid w:val="00B83AF7"/>
    <w:rsid w:val="00B85720"/>
    <w:rsid w:val="00B865F4"/>
    <w:rsid w:val="00B86D81"/>
    <w:rsid w:val="00B87BA0"/>
    <w:rsid w:val="00B90122"/>
    <w:rsid w:val="00B908E6"/>
    <w:rsid w:val="00B90BAD"/>
    <w:rsid w:val="00B910BB"/>
    <w:rsid w:val="00B933A6"/>
    <w:rsid w:val="00B941F9"/>
    <w:rsid w:val="00B944DE"/>
    <w:rsid w:val="00B946D2"/>
    <w:rsid w:val="00B9567D"/>
    <w:rsid w:val="00B95C11"/>
    <w:rsid w:val="00B967C9"/>
    <w:rsid w:val="00B969C4"/>
    <w:rsid w:val="00B96B64"/>
    <w:rsid w:val="00B978E6"/>
    <w:rsid w:val="00BA0A52"/>
    <w:rsid w:val="00BA0F87"/>
    <w:rsid w:val="00BA1CDA"/>
    <w:rsid w:val="00BA2865"/>
    <w:rsid w:val="00BA686C"/>
    <w:rsid w:val="00BB0B0D"/>
    <w:rsid w:val="00BB34A5"/>
    <w:rsid w:val="00BB61E6"/>
    <w:rsid w:val="00BC02F7"/>
    <w:rsid w:val="00BC1160"/>
    <w:rsid w:val="00BC396C"/>
    <w:rsid w:val="00BC3A1B"/>
    <w:rsid w:val="00BC3B35"/>
    <w:rsid w:val="00BC3D1D"/>
    <w:rsid w:val="00BC3F3F"/>
    <w:rsid w:val="00BC52B7"/>
    <w:rsid w:val="00BC5B66"/>
    <w:rsid w:val="00BC79EF"/>
    <w:rsid w:val="00BD04E9"/>
    <w:rsid w:val="00BD1E21"/>
    <w:rsid w:val="00BD1E5E"/>
    <w:rsid w:val="00BD2690"/>
    <w:rsid w:val="00BD2CE5"/>
    <w:rsid w:val="00BD2FB1"/>
    <w:rsid w:val="00BD35B4"/>
    <w:rsid w:val="00BD3791"/>
    <w:rsid w:val="00BD43F6"/>
    <w:rsid w:val="00BD4562"/>
    <w:rsid w:val="00BD65DB"/>
    <w:rsid w:val="00BD6E99"/>
    <w:rsid w:val="00BE093A"/>
    <w:rsid w:val="00BE1FEE"/>
    <w:rsid w:val="00BE6514"/>
    <w:rsid w:val="00BE7A8B"/>
    <w:rsid w:val="00BF2FED"/>
    <w:rsid w:val="00BF6C02"/>
    <w:rsid w:val="00BF71DD"/>
    <w:rsid w:val="00BF73FB"/>
    <w:rsid w:val="00BF7DFB"/>
    <w:rsid w:val="00C002F9"/>
    <w:rsid w:val="00C00AB6"/>
    <w:rsid w:val="00C00AE0"/>
    <w:rsid w:val="00C01198"/>
    <w:rsid w:val="00C01EDA"/>
    <w:rsid w:val="00C023FB"/>
    <w:rsid w:val="00C0376B"/>
    <w:rsid w:val="00C043E5"/>
    <w:rsid w:val="00C04514"/>
    <w:rsid w:val="00C05AF5"/>
    <w:rsid w:val="00C0627D"/>
    <w:rsid w:val="00C07003"/>
    <w:rsid w:val="00C0706A"/>
    <w:rsid w:val="00C07DF2"/>
    <w:rsid w:val="00C111DA"/>
    <w:rsid w:val="00C12451"/>
    <w:rsid w:val="00C12A2E"/>
    <w:rsid w:val="00C12FC7"/>
    <w:rsid w:val="00C132EA"/>
    <w:rsid w:val="00C13945"/>
    <w:rsid w:val="00C146ED"/>
    <w:rsid w:val="00C14ACE"/>
    <w:rsid w:val="00C17A3F"/>
    <w:rsid w:val="00C21D6E"/>
    <w:rsid w:val="00C222B7"/>
    <w:rsid w:val="00C22B24"/>
    <w:rsid w:val="00C22F1D"/>
    <w:rsid w:val="00C24417"/>
    <w:rsid w:val="00C24D13"/>
    <w:rsid w:val="00C25CF1"/>
    <w:rsid w:val="00C319B0"/>
    <w:rsid w:val="00C31BD6"/>
    <w:rsid w:val="00C33BBE"/>
    <w:rsid w:val="00C3481A"/>
    <w:rsid w:val="00C3694F"/>
    <w:rsid w:val="00C40EE2"/>
    <w:rsid w:val="00C4129E"/>
    <w:rsid w:val="00C41D10"/>
    <w:rsid w:val="00C42250"/>
    <w:rsid w:val="00C4314D"/>
    <w:rsid w:val="00C44185"/>
    <w:rsid w:val="00C44B3D"/>
    <w:rsid w:val="00C460E4"/>
    <w:rsid w:val="00C46917"/>
    <w:rsid w:val="00C47103"/>
    <w:rsid w:val="00C51792"/>
    <w:rsid w:val="00C5183F"/>
    <w:rsid w:val="00C52213"/>
    <w:rsid w:val="00C5233C"/>
    <w:rsid w:val="00C52552"/>
    <w:rsid w:val="00C527E2"/>
    <w:rsid w:val="00C5290C"/>
    <w:rsid w:val="00C53001"/>
    <w:rsid w:val="00C534E6"/>
    <w:rsid w:val="00C54BA1"/>
    <w:rsid w:val="00C55622"/>
    <w:rsid w:val="00C557D2"/>
    <w:rsid w:val="00C55B81"/>
    <w:rsid w:val="00C572C0"/>
    <w:rsid w:val="00C61FAB"/>
    <w:rsid w:val="00C62D43"/>
    <w:rsid w:val="00C649F9"/>
    <w:rsid w:val="00C65DA8"/>
    <w:rsid w:val="00C668D3"/>
    <w:rsid w:val="00C67030"/>
    <w:rsid w:val="00C6707F"/>
    <w:rsid w:val="00C706FA"/>
    <w:rsid w:val="00C70D4B"/>
    <w:rsid w:val="00C7109D"/>
    <w:rsid w:val="00C71AE2"/>
    <w:rsid w:val="00C71B3B"/>
    <w:rsid w:val="00C74195"/>
    <w:rsid w:val="00C77096"/>
    <w:rsid w:val="00C80795"/>
    <w:rsid w:val="00C8143A"/>
    <w:rsid w:val="00C816B1"/>
    <w:rsid w:val="00C817D4"/>
    <w:rsid w:val="00C82B90"/>
    <w:rsid w:val="00C8394C"/>
    <w:rsid w:val="00C84956"/>
    <w:rsid w:val="00C8532B"/>
    <w:rsid w:val="00C8560F"/>
    <w:rsid w:val="00C85B70"/>
    <w:rsid w:val="00C8663D"/>
    <w:rsid w:val="00C90321"/>
    <w:rsid w:val="00C90A44"/>
    <w:rsid w:val="00C91EF4"/>
    <w:rsid w:val="00C921DB"/>
    <w:rsid w:val="00C922AC"/>
    <w:rsid w:val="00C929D1"/>
    <w:rsid w:val="00C944B0"/>
    <w:rsid w:val="00C94CFB"/>
    <w:rsid w:val="00C975CF"/>
    <w:rsid w:val="00CA07BF"/>
    <w:rsid w:val="00CA3CC1"/>
    <w:rsid w:val="00CA4B04"/>
    <w:rsid w:val="00CA526C"/>
    <w:rsid w:val="00CA55E2"/>
    <w:rsid w:val="00CA69AB"/>
    <w:rsid w:val="00CA6BA4"/>
    <w:rsid w:val="00CA6DFD"/>
    <w:rsid w:val="00CB0A26"/>
    <w:rsid w:val="00CB223A"/>
    <w:rsid w:val="00CB5850"/>
    <w:rsid w:val="00CB671B"/>
    <w:rsid w:val="00CC093B"/>
    <w:rsid w:val="00CC094E"/>
    <w:rsid w:val="00CC2E4C"/>
    <w:rsid w:val="00CC3A8B"/>
    <w:rsid w:val="00CD212B"/>
    <w:rsid w:val="00CD2985"/>
    <w:rsid w:val="00CD3113"/>
    <w:rsid w:val="00CD5325"/>
    <w:rsid w:val="00CD62CC"/>
    <w:rsid w:val="00CD71A3"/>
    <w:rsid w:val="00CE0940"/>
    <w:rsid w:val="00CE12AE"/>
    <w:rsid w:val="00CE1C85"/>
    <w:rsid w:val="00CE255D"/>
    <w:rsid w:val="00CE34F3"/>
    <w:rsid w:val="00CE60AD"/>
    <w:rsid w:val="00CF0035"/>
    <w:rsid w:val="00CF1C5D"/>
    <w:rsid w:val="00CF2A81"/>
    <w:rsid w:val="00CF2F88"/>
    <w:rsid w:val="00CF33E2"/>
    <w:rsid w:val="00CF35C0"/>
    <w:rsid w:val="00CF5414"/>
    <w:rsid w:val="00D03B8F"/>
    <w:rsid w:val="00D050A5"/>
    <w:rsid w:val="00D068EE"/>
    <w:rsid w:val="00D0693F"/>
    <w:rsid w:val="00D10328"/>
    <w:rsid w:val="00D10554"/>
    <w:rsid w:val="00D107F6"/>
    <w:rsid w:val="00D109A5"/>
    <w:rsid w:val="00D13C40"/>
    <w:rsid w:val="00D13C47"/>
    <w:rsid w:val="00D161F7"/>
    <w:rsid w:val="00D21852"/>
    <w:rsid w:val="00D220D0"/>
    <w:rsid w:val="00D22391"/>
    <w:rsid w:val="00D235F7"/>
    <w:rsid w:val="00D23F0C"/>
    <w:rsid w:val="00D27565"/>
    <w:rsid w:val="00D311AE"/>
    <w:rsid w:val="00D311CD"/>
    <w:rsid w:val="00D31940"/>
    <w:rsid w:val="00D31C7F"/>
    <w:rsid w:val="00D3236A"/>
    <w:rsid w:val="00D33EE5"/>
    <w:rsid w:val="00D40707"/>
    <w:rsid w:val="00D42C49"/>
    <w:rsid w:val="00D430E0"/>
    <w:rsid w:val="00D45DA8"/>
    <w:rsid w:val="00D45F4B"/>
    <w:rsid w:val="00D4609C"/>
    <w:rsid w:val="00D46E0D"/>
    <w:rsid w:val="00D47D9B"/>
    <w:rsid w:val="00D55178"/>
    <w:rsid w:val="00D554D0"/>
    <w:rsid w:val="00D56554"/>
    <w:rsid w:val="00D56AE2"/>
    <w:rsid w:val="00D5743D"/>
    <w:rsid w:val="00D57627"/>
    <w:rsid w:val="00D615BC"/>
    <w:rsid w:val="00D63B35"/>
    <w:rsid w:val="00D64309"/>
    <w:rsid w:val="00D655CE"/>
    <w:rsid w:val="00D67182"/>
    <w:rsid w:val="00D73457"/>
    <w:rsid w:val="00D74471"/>
    <w:rsid w:val="00D74ED0"/>
    <w:rsid w:val="00D75359"/>
    <w:rsid w:val="00D756D7"/>
    <w:rsid w:val="00D75C19"/>
    <w:rsid w:val="00D8231A"/>
    <w:rsid w:val="00D842BF"/>
    <w:rsid w:val="00D869C0"/>
    <w:rsid w:val="00D8737E"/>
    <w:rsid w:val="00D90921"/>
    <w:rsid w:val="00D912E9"/>
    <w:rsid w:val="00D91307"/>
    <w:rsid w:val="00D9232E"/>
    <w:rsid w:val="00D93476"/>
    <w:rsid w:val="00D94A22"/>
    <w:rsid w:val="00D95C09"/>
    <w:rsid w:val="00D962A2"/>
    <w:rsid w:val="00D96803"/>
    <w:rsid w:val="00D96C20"/>
    <w:rsid w:val="00D971FF"/>
    <w:rsid w:val="00DA12B7"/>
    <w:rsid w:val="00DA2479"/>
    <w:rsid w:val="00DA3C3C"/>
    <w:rsid w:val="00DA4ACA"/>
    <w:rsid w:val="00DA4F31"/>
    <w:rsid w:val="00DA5F67"/>
    <w:rsid w:val="00DB0B87"/>
    <w:rsid w:val="00DB0DF4"/>
    <w:rsid w:val="00DB26A6"/>
    <w:rsid w:val="00DB2E04"/>
    <w:rsid w:val="00DB4118"/>
    <w:rsid w:val="00DB5930"/>
    <w:rsid w:val="00DB6D7F"/>
    <w:rsid w:val="00DB7E06"/>
    <w:rsid w:val="00DC07FA"/>
    <w:rsid w:val="00DC19DF"/>
    <w:rsid w:val="00DC2E72"/>
    <w:rsid w:val="00DC5874"/>
    <w:rsid w:val="00DC6A21"/>
    <w:rsid w:val="00DD0C81"/>
    <w:rsid w:val="00DD1A27"/>
    <w:rsid w:val="00DD22F4"/>
    <w:rsid w:val="00DD238B"/>
    <w:rsid w:val="00DD3311"/>
    <w:rsid w:val="00DD4DDF"/>
    <w:rsid w:val="00DD6115"/>
    <w:rsid w:val="00DD7DF4"/>
    <w:rsid w:val="00DE0187"/>
    <w:rsid w:val="00DE164C"/>
    <w:rsid w:val="00DE1A22"/>
    <w:rsid w:val="00DE214D"/>
    <w:rsid w:val="00DE2508"/>
    <w:rsid w:val="00DE32B2"/>
    <w:rsid w:val="00DE5656"/>
    <w:rsid w:val="00DE5746"/>
    <w:rsid w:val="00DE6683"/>
    <w:rsid w:val="00DE7846"/>
    <w:rsid w:val="00DF0568"/>
    <w:rsid w:val="00DF0856"/>
    <w:rsid w:val="00DF2708"/>
    <w:rsid w:val="00DF2CC1"/>
    <w:rsid w:val="00DF36CB"/>
    <w:rsid w:val="00DF43A0"/>
    <w:rsid w:val="00DF47FB"/>
    <w:rsid w:val="00DF5ED6"/>
    <w:rsid w:val="00DF62AD"/>
    <w:rsid w:val="00DF6742"/>
    <w:rsid w:val="00DF6C63"/>
    <w:rsid w:val="00E00C9C"/>
    <w:rsid w:val="00E06210"/>
    <w:rsid w:val="00E06E60"/>
    <w:rsid w:val="00E072D7"/>
    <w:rsid w:val="00E120F8"/>
    <w:rsid w:val="00E12912"/>
    <w:rsid w:val="00E13E97"/>
    <w:rsid w:val="00E14B79"/>
    <w:rsid w:val="00E159B1"/>
    <w:rsid w:val="00E1642A"/>
    <w:rsid w:val="00E16ADF"/>
    <w:rsid w:val="00E17192"/>
    <w:rsid w:val="00E22328"/>
    <w:rsid w:val="00E30455"/>
    <w:rsid w:val="00E337C6"/>
    <w:rsid w:val="00E3429C"/>
    <w:rsid w:val="00E3500C"/>
    <w:rsid w:val="00E35718"/>
    <w:rsid w:val="00E35F15"/>
    <w:rsid w:val="00E35FB1"/>
    <w:rsid w:val="00E36C0C"/>
    <w:rsid w:val="00E36FDB"/>
    <w:rsid w:val="00E40CD0"/>
    <w:rsid w:val="00E421F2"/>
    <w:rsid w:val="00E449AE"/>
    <w:rsid w:val="00E47088"/>
    <w:rsid w:val="00E47BD5"/>
    <w:rsid w:val="00E511E4"/>
    <w:rsid w:val="00E533A8"/>
    <w:rsid w:val="00E5565A"/>
    <w:rsid w:val="00E56E9B"/>
    <w:rsid w:val="00E576E7"/>
    <w:rsid w:val="00E57AE7"/>
    <w:rsid w:val="00E57EE6"/>
    <w:rsid w:val="00E6134A"/>
    <w:rsid w:val="00E61642"/>
    <w:rsid w:val="00E620A5"/>
    <w:rsid w:val="00E620C5"/>
    <w:rsid w:val="00E632A2"/>
    <w:rsid w:val="00E6359A"/>
    <w:rsid w:val="00E63DD9"/>
    <w:rsid w:val="00E66751"/>
    <w:rsid w:val="00E66B74"/>
    <w:rsid w:val="00E66F52"/>
    <w:rsid w:val="00E6766A"/>
    <w:rsid w:val="00E679A7"/>
    <w:rsid w:val="00E67CC5"/>
    <w:rsid w:val="00E70C14"/>
    <w:rsid w:val="00E72385"/>
    <w:rsid w:val="00E73BD4"/>
    <w:rsid w:val="00E7454F"/>
    <w:rsid w:val="00E74A9A"/>
    <w:rsid w:val="00E754BB"/>
    <w:rsid w:val="00E81448"/>
    <w:rsid w:val="00E825A1"/>
    <w:rsid w:val="00E82A0A"/>
    <w:rsid w:val="00E82F2F"/>
    <w:rsid w:val="00E8434E"/>
    <w:rsid w:val="00E8539F"/>
    <w:rsid w:val="00E8695B"/>
    <w:rsid w:val="00E875AA"/>
    <w:rsid w:val="00E87A1E"/>
    <w:rsid w:val="00E87AC9"/>
    <w:rsid w:val="00E87C96"/>
    <w:rsid w:val="00E87CBB"/>
    <w:rsid w:val="00E91A1A"/>
    <w:rsid w:val="00E91C6A"/>
    <w:rsid w:val="00E94FBE"/>
    <w:rsid w:val="00E972C6"/>
    <w:rsid w:val="00E97561"/>
    <w:rsid w:val="00EA19C5"/>
    <w:rsid w:val="00EA2D0A"/>
    <w:rsid w:val="00EA3414"/>
    <w:rsid w:val="00EA3F27"/>
    <w:rsid w:val="00EA5376"/>
    <w:rsid w:val="00EA551D"/>
    <w:rsid w:val="00EA6902"/>
    <w:rsid w:val="00EA6FAC"/>
    <w:rsid w:val="00EA7EAE"/>
    <w:rsid w:val="00EB19B7"/>
    <w:rsid w:val="00EB2101"/>
    <w:rsid w:val="00EB44AD"/>
    <w:rsid w:val="00EB6693"/>
    <w:rsid w:val="00EB66BB"/>
    <w:rsid w:val="00EC0885"/>
    <w:rsid w:val="00EC1098"/>
    <w:rsid w:val="00EC358C"/>
    <w:rsid w:val="00EC403A"/>
    <w:rsid w:val="00EC42BA"/>
    <w:rsid w:val="00EC440F"/>
    <w:rsid w:val="00EC47EE"/>
    <w:rsid w:val="00EC7173"/>
    <w:rsid w:val="00ED068A"/>
    <w:rsid w:val="00ED335E"/>
    <w:rsid w:val="00ED4A0D"/>
    <w:rsid w:val="00ED57D3"/>
    <w:rsid w:val="00ED61BF"/>
    <w:rsid w:val="00ED6652"/>
    <w:rsid w:val="00ED7BEB"/>
    <w:rsid w:val="00EE0C1B"/>
    <w:rsid w:val="00EE1134"/>
    <w:rsid w:val="00EE16FB"/>
    <w:rsid w:val="00EE1884"/>
    <w:rsid w:val="00EE1DDA"/>
    <w:rsid w:val="00EE4511"/>
    <w:rsid w:val="00EE6920"/>
    <w:rsid w:val="00EE7348"/>
    <w:rsid w:val="00EE77CA"/>
    <w:rsid w:val="00EF1A21"/>
    <w:rsid w:val="00EF24B5"/>
    <w:rsid w:val="00EF2CDF"/>
    <w:rsid w:val="00EF3091"/>
    <w:rsid w:val="00EF5A56"/>
    <w:rsid w:val="00EF71A1"/>
    <w:rsid w:val="00EF768F"/>
    <w:rsid w:val="00F006BA"/>
    <w:rsid w:val="00F0289E"/>
    <w:rsid w:val="00F05DCE"/>
    <w:rsid w:val="00F06D37"/>
    <w:rsid w:val="00F06F9F"/>
    <w:rsid w:val="00F15C74"/>
    <w:rsid w:val="00F172B5"/>
    <w:rsid w:val="00F17B65"/>
    <w:rsid w:val="00F213AE"/>
    <w:rsid w:val="00F21C12"/>
    <w:rsid w:val="00F234DE"/>
    <w:rsid w:val="00F24618"/>
    <w:rsid w:val="00F2511C"/>
    <w:rsid w:val="00F2614D"/>
    <w:rsid w:val="00F26E13"/>
    <w:rsid w:val="00F30F68"/>
    <w:rsid w:val="00F31881"/>
    <w:rsid w:val="00F32418"/>
    <w:rsid w:val="00F33F85"/>
    <w:rsid w:val="00F349EC"/>
    <w:rsid w:val="00F37972"/>
    <w:rsid w:val="00F40D8D"/>
    <w:rsid w:val="00F4161F"/>
    <w:rsid w:val="00F419A7"/>
    <w:rsid w:val="00F43BAA"/>
    <w:rsid w:val="00F450E2"/>
    <w:rsid w:val="00F46A6E"/>
    <w:rsid w:val="00F46DE5"/>
    <w:rsid w:val="00F509EC"/>
    <w:rsid w:val="00F51ED6"/>
    <w:rsid w:val="00F53848"/>
    <w:rsid w:val="00F53A6C"/>
    <w:rsid w:val="00F545F7"/>
    <w:rsid w:val="00F55886"/>
    <w:rsid w:val="00F6119F"/>
    <w:rsid w:val="00F635C5"/>
    <w:rsid w:val="00F635FD"/>
    <w:rsid w:val="00F6416E"/>
    <w:rsid w:val="00F64181"/>
    <w:rsid w:val="00F659B7"/>
    <w:rsid w:val="00F66C08"/>
    <w:rsid w:val="00F672EA"/>
    <w:rsid w:val="00F70D64"/>
    <w:rsid w:val="00F70D9D"/>
    <w:rsid w:val="00F7514C"/>
    <w:rsid w:val="00F76D69"/>
    <w:rsid w:val="00F8016B"/>
    <w:rsid w:val="00F80BCE"/>
    <w:rsid w:val="00F82477"/>
    <w:rsid w:val="00F865F5"/>
    <w:rsid w:val="00F90BB4"/>
    <w:rsid w:val="00F90D0A"/>
    <w:rsid w:val="00F9110F"/>
    <w:rsid w:val="00F936AF"/>
    <w:rsid w:val="00F94B7E"/>
    <w:rsid w:val="00F96410"/>
    <w:rsid w:val="00F96C8E"/>
    <w:rsid w:val="00FA0A3D"/>
    <w:rsid w:val="00FA0CAD"/>
    <w:rsid w:val="00FA3CF9"/>
    <w:rsid w:val="00FA4C9C"/>
    <w:rsid w:val="00FA5988"/>
    <w:rsid w:val="00FA6744"/>
    <w:rsid w:val="00FA714B"/>
    <w:rsid w:val="00FB0547"/>
    <w:rsid w:val="00FB06BE"/>
    <w:rsid w:val="00FB1320"/>
    <w:rsid w:val="00FB3872"/>
    <w:rsid w:val="00FB4315"/>
    <w:rsid w:val="00FB4FD2"/>
    <w:rsid w:val="00FB6312"/>
    <w:rsid w:val="00FB68F4"/>
    <w:rsid w:val="00FB6960"/>
    <w:rsid w:val="00FB7E9F"/>
    <w:rsid w:val="00FC00D8"/>
    <w:rsid w:val="00FC3D07"/>
    <w:rsid w:val="00FC5356"/>
    <w:rsid w:val="00FC7356"/>
    <w:rsid w:val="00FC7912"/>
    <w:rsid w:val="00FD37C7"/>
    <w:rsid w:val="00FD3945"/>
    <w:rsid w:val="00FD6259"/>
    <w:rsid w:val="00FD6692"/>
    <w:rsid w:val="00FD6B18"/>
    <w:rsid w:val="00FD75E5"/>
    <w:rsid w:val="00FE0300"/>
    <w:rsid w:val="00FE13AF"/>
    <w:rsid w:val="00FE1EB6"/>
    <w:rsid w:val="00FE2C24"/>
    <w:rsid w:val="00FE377B"/>
    <w:rsid w:val="00FE451C"/>
    <w:rsid w:val="00FE6ABE"/>
    <w:rsid w:val="00FE764C"/>
    <w:rsid w:val="00FE76D8"/>
    <w:rsid w:val="00FE76DB"/>
    <w:rsid w:val="00FE7B7F"/>
    <w:rsid w:val="00FE7FE6"/>
    <w:rsid w:val="00FF0773"/>
    <w:rsid w:val="00FF080C"/>
    <w:rsid w:val="00FF16D7"/>
    <w:rsid w:val="00FF17AD"/>
    <w:rsid w:val="00FF20BE"/>
    <w:rsid w:val="00FF2D6A"/>
    <w:rsid w:val="00FF3F96"/>
    <w:rsid w:val="00FF515E"/>
    <w:rsid w:val="00FF55AD"/>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2125C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uiPriority w:val="9"/>
    <w:qFormat/>
    <w:rsid w:val="00296689"/>
    <w:pPr>
      <w:keepNext/>
      <w:keepLines/>
      <w:tabs>
        <w:tab w:val="left" w:pos="360"/>
      </w:tabs>
      <w:spacing w:before="120"/>
      <w:outlineLvl w:val="0"/>
    </w:pPr>
    <w:rPr>
      <w:rFonts w:ascii="Times New Roman" w:eastAsia="Times New Roman" w:hAnsi="Times New Roman" w:cs="Times New Roman"/>
      <w:b/>
      <w:sz w:val="28"/>
      <w:lang w:eastAsia="en-US"/>
    </w:rPr>
  </w:style>
  <w:style w:type="paragraph" w:styleId="Heading2">
    <w:name w:val="heading 2"/>
    <w:aliases w:val="Hat"/>
    <w:basedOn w:val="Normal"/>
    <w:next w:val="Normal"/>
    <w:link w:val="Heading2Char"/>
    <w:autoRedefine/>
    <w:uiPriority w:val="9"/>
    <w:unhideWhenUsed/>
    <w:qFormat/>
    <w:rsid w:val="00D42C49"/>
    <w:pPr>
      <w:keepNext/>
      <w:keepLines/>
      <w:outlineLvl w:val="1"/>
    </w:pPr>
    <w:rPr>
      <w:rFonts w:ascii="Times New Roman" w:eastAsiaTheme="majorEastAsia" w:hAnsi="Times New Roman" w:cstheme="majorBidi"/>
      <w:b/>
      <w:bCs/>
      <w:i/>
    </w:rPr>
  </w:style>
  <w:style w:type="paragraph" w:styleId="Heading3">
    <w:name w:val="heading 3"/>
    <w:basedOn w:val="Normal"/>
    <w:next w:val="Normal"/>
    <w:link w:val="Heading3Char"/>
    <w:autoRedefine/>
    <w:uiPriority w:val="9"/>
    <w:unhideWhenUsed/>
    <w:qFormat/>
    <w:rsid w:val="005C6046"/>
    <w:pPr>
      <w:keepNext/>
      <w:keepLines/>
      <w:outlineLvl w:val="2"/>
    </w:pPr>
    <w:rPr>
      <w:rFonts w:ascii="Times New Roman" w:hAnsi="Times New Roman" w:cs="Times New Roman"/>
      <w:b/>
      <w:lang w:eastAsia="en-US"/>
    </w:rPr>
  </w:style>
  <w:style w:type="paragraph" w:styleId="Heading4">
    <w:name w:val="heading 4"/>
    <w:basedOn w:val="Normal"/>
    <w:next w:val="Normal"/>
    <w:link w:val="Heading4Char"/>
    <w:autoRedefine/>
    <w:uiPriority w:val="9"/>
    <w:unhideWhenUsed/>
    <w:qFormat/>
    <w:rsid w:val="002502CC"/>
    <w:pPr>
      <w:keepNext/>
      <w:tabs>
        <w:tab w:val="num" w:pos="2880"/>
      </w:tabs>
      <w:ind w:left="720" w:hanging="720"/>
      <w:outlineLvl w:val="3"/>
    </w:pPr>
    <w:rPr>
      <w:rFonts w:ascii="Times New Roman" w:eastAsiaTheme="minorHAnsi" w:hAnsi="Times New Roman" w:cs="Times New Roman"/>
      <w:b/>
      <w:bCs/>
      <w:i/>
      <w:szCs w:val="28"/>
      <w:lang w:eastAsia="en-US"/>
    </w:rPr>
  </w:style>
  <w:style w:type="paragraph" w:styleId="Heading5">
    <w:name w:val="heading 5"/>
    <w:basedOn w:val="Normal"/>
    <w:next w:val="Normal"/>
    <w:link w:val="Heading5Char"/>
    <w:autoRedefine/>
    <w:uiPriority w:val="9"/>
    <w:unhideWhenUsed/>
    <w:qFormat/>
    <w:rsid w:val="00910387"/>
    <w:pPr>
      <w:tabs>
        <w:tab w:val="num" w:pos="3600"/>
      </w:tabs>
      <w:outlineLvl w:val="4"/>
    </w:pPr>
    <w:rPr>
      <w:rFonts w:ascii="Times New Roman" w:hAnsi="Times New Roman"/>
      <w:b/>
      <w:bCs/>
      <w:i/>
      <w:iCs/>
      <w:szCs w:val="26"/>
      <w:lang w:eastAsia="en-US"/>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rFonts w:ascii="Times New Roman" w:eastAsia="Times New Roman" w:hAnsi="Times New Roman" w:cs="Times New Roman"/>
      <w:b/>
      <w:bCs/>
      <w:sz w:val="22"/>
      <w:szCs w:val="22"/>
      <w:lang w:eastAsia="en-US"/>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lang w:eastAsia="en-US"/>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i/>
      <w:iCs/>
      <w:lang w:eastAsia="en-U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hAnsi="Lucida Grande" w:cs="Lucida Grande"/>
      <w:sz w:val="18"/>
      <w:szCs w:val="18"/>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nhideWhenUsed/>
    <w:rsid w:val="00322595"/>
  </w:style>
  <w:style w:type="character" w:customStyle="1" w:styleId="FootnoteTextChar">
    <w:name w:val="Footnote Text Char"/>
    <w:basedOn w:val="DefaultParagraphFont"/>
    <w:link w:val="FootnoteText"/>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nhideWhenUsed/>
    <w:rsid w:val="00896235"/>
    <w:rPr>
      <w:sz w:val="18"/>
      <w:szCs w:val="18"/>
    </w:rPr>
  </w:style>
  <w:style w:type="paragraph" w:styleId="CommentText">
    <w:name w:val="annotation text"/>
    <w:basedOn w:val="Normal"/>
    <w:link w:val="CommentTextChar"/>
    <w:unhideWhenUsed/>
    <w:rsid w:val="00896235"/>
  </w:style>
  <w:style w:type="character" w:customStyle="1" w:styleId="CommentTextChar">
    <w:name w:val="Comment Text Char"/>
    <w:basedOn w:val="DefaultParagraphFont"/>
    <w:link w:val="CommentText"/>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296689"/>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D42C49"/>
    <w:rPr>
      <w:rFonts w:ascii="Times New Roman" w:eastAsiaTheme="majorEastAsia" w:hAnsi="Times New Roman" w:cstheme="majorBidi"/>
      <w:b/>
      <w:bCs/>
      <w:i/>
    </w:rPr>
  </w:style>
  <w:style w:type="character" w:customStyle="1" w:styleId="Heading3Char">
    <w:name w:val="Heading 3 Char"/>
    <w:basedOn w:val="DefaultParagraphFont"/>
    <w:link w:val="Heading3"/>
    <w:uiPriority w:val="9"/>
    <w:rsid w:val="005C6046"/>
    <w:rPr>
      <w:rFonts w:ascii="Times New Roman" w:hAnsi="Times New Roman" w:cs="Times New Roman"/>
      <w:b/>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2502CC"/>
    <w:rPr>
      <w:rFonts w:ascii="Times New Roman" w:eastAsiaTheme="minorHAnsi" w:hAnsi="Times New Roman" w:cs="Times New Roman"/>
      <w:b/>
      <w:bCs/>
      <w:i/>
      <w:szCs w:val="28"/>
      <w:lang w:eastAsia="en-US"/>
    </w:rPr>
  </w:style>
  <w:style w:type="character" w:customStyle="1" w:styleId="Heading5Char">
    <w:name w:val="Heading 5 Char"/>
    <w:basedOn w:val="DefaultParagraphFont"/>
    <w:link w:val="Heading5"/>
    <w:uiPriority w:val="9"/>
    <w:rsid w:val="00910387"/>
    <w:rPr>
      <w:rFonts w:ascii="Times New Roman" w:hAnsi="Times New Roman"/>
      <w:b/>
      <w:bCs/>
      <w:i/>
      <w:iCs/>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C22B24"/>
    <w:pPr>
      <w:spacing w:before="120"/>
    </w:pPr>
    <w:rPr>
      <w:b/>
      <w:lang w:eastAsia="en-US"/>
    </w:rPr>
  </w:style>
  <w:style w:type="paragraph" w:styleId="TOC2">
    <w:name w:val="toc 2"/>
    <w:basedOn w:val="Normal"/>
    <w:next w:val="Normal"/>
    <w:autoRedefine/>
    <w:uiPriority w:val="39"/>
    <w:unhideWhenUsed/>
    <w:rsid w:val="00C22B24"/>
    <w:pPr>
      <w:ind w:left="240"/>
    </w:pPr>
    <w:rPr>
      <w:b/>
      <w:sz w:val="22"/>
      <w:szCs w:val="22"/>
      <w:lang w:eastAsia="en-US"/>
    </w:rPr>
  </w:style>
  <w:style w:type="paragraph" w:styleId="TOC3">
    <w:name w:val="toc 3"/>
    <w:basedOn w:val="Normal"/>
    <w:next w:val="Normal"/>
    <w:autoRedefine/>
    <w:uiPriority w:val="39"/>
    <w:unhideWhenUsed/>
    <w:rsid w:val="00C22B24"/>
    <w:pPr>
      <w:ind w:left="480"/>
    </w:pPr>
    <w:rPr>
      <w:sz w:val="22"/>
      <w:szCs w:val="22"/>
      <w:lang w:eastAsia="en-US"/>
    </w:rPr>
  </w:style>
  <w:style w:type="paragraph" w:styleId="TOC4">
    <w:name w:val="toc 4"/>
    <w:basedOn w:val="Normal"/>
    <w:next w:val="Normal"/>
    <w:autoRedefine/>
    <w:uiPriority w:val="39"/>
    <w:unhideWhenUsed/>
    <w:rsid w:val="00C22B24"/>
    <w:pPr>
      <w:ind w:left="720"/>
    </w:pPr>
    <w:rPr>
      <w:sz w:val="20"/>
      <w:szCs w:val="20"/>
      <w:lang w:eastAsia="en-US"/>
    </w:rPr>
  </w:style>
  <w:style w:type="paragraph" w:styleId="TOC5">
    <w:name w:val="toc 5"/>
    <w:basedOn w:val="Normal"/>
    <w:next w:val="Normal"/>
    <w:autoRedefine/>
    <w:uiPriority w:val="39"/>
    <w:unhideWhenUsed/>
    <w:rsid w:val="00C22B24"/>
    <w:pPr>
      <w:ind w:left="960"/>
    </w:pPr>
    <w:rPr>
      <w:sz w:val="20"/>
      <w:szCs w:val="20"/>
      <w:lang w:eastAsia="en-US"/>
    </w:rPr>
  </w:style>
  <w:style w:type="paragraph" w:styleId="TOC6">
    <w:name w:val="toc 6"/>
    <w:basedOn w:val="Normal"/>
    <w:next w:val="Normal"/>
    <w:autoRedefine/>
    <w:uiPriority w:val="39"/>
    <w:unhideWhenUsed/>
    <w:rsid w:val="00C22B24"/>
    <w:pPr>
      <w:ind w:left="1200"/>
    </w:pPr>
    <w:rPr>
      <w:sz w:val="20"/>
      <w:szCs w:val="20"/>
      <w:lang w:eastAsia="en-US"/>
    </w:rPr>
  </w:style>
  <w:style w:type="paragraph" w:styleId="TOC7">
    <w:name w:val="toc 7"/>
    <w:basedOn w:val="Normal"/>
    <w:next w:val="Normal"/>
    <w:autoRedefine/>
    <w:uiPriority w:val="39"/>
    <w:unhideWhenUsed/>
    <w:rsid w:val="00C22B24"/>
    <w:pPr>
      <w:ind w:left="1440"/>
    </w:pPr>
    <w:rPr>
      <w:sz w:val="20"/>
      <w:szCs w:val="20"/>
      <w:lang w:eastAsia="en-US"/>
    </w:rPr>
  </w:style>
  <w:style w:type="paragraph" w:styleId="TOC8">
    <w:name w:val="toc 8"/>
    <w:basedOn w:val="Normal"/>
    <w:next w:val="Normal"/>
    <w:autoRedefine/>
    <w:uiPriority w:val="39"/>
    <w:unhideWhenUsed/>
    <w:rsid w:val="00C22B24"/>
    <w:pPr>
      <w:ind w:left="1680"/>
    </w:pPr>
    <w:rPr>
      <w:sz w:val="20"/>
      <w:szCs w:val="20"/>
      <w:lang w:eastAsia="en-US"/>
    </w:rPr>
  </w:style>
  <w:style w:type="paragraph" w:styleId="TOC9">
    <w:name w:val="toc 9"/>
    <w:basedOn w:val="Normal"/>
    <w:next w:val="Normal"/>
    <w:autoRedefine/>
    <w:uiPriority w:val="39"/>
    <w:unhideWhenUsed/>
    <w:rsid w:val="00C22B24"/>
    <w:pPr>
      <w:ind w:left="1920"/>
    </w:pPr>
    <w:rPr>
      <w:sz w:val="20"/>
      <w:szCs w:val="20"/>
      <w:lang w:eastAsia="en-US"/>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eastAsia="Times New Roman" w:hAnsi="Lucida Grande" w:cs="Times New Roman"/>
      <w:lang w:eastAsia="en-US"/>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eastAsia="Times New Roman" w:hAnsi="Times" w:cs="Times New Roman"/>
      <w:sz w:val="20"/>
      <w:szCs w:val="20"/>
      <w:lang w:eastAsia="en-US"/>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rPr>
      <w:rFonts w:ascii="Times New Roman" w:eastAsia="Times New Roman" w:hAnsi="Times New Roman" w:cs="Times New Roman"/>
      <w:lang w:eastAsia="en-US"/>
    </w:r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rPr>
      <w:rFonts w:ascii="Times New Roman" w:eastAsia="Times New Roman" w:hAnsi="Times New Roman" w:cs="Times New Roman"/>
      <w:lang w:eastAsia="en-US"/>
    </w:r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rPr>
      <w:rFonts w:ascii="Times New Roman" w:eastAsia="Times New Roman" w:hAnsi="Times New Roman" w:cs="Times New Roman"/>
      <w:lang w:eastAsia="en-US"/>
    </w:r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BC5B66"/>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A71E29"/>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A71E29"/>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jc w:val="both"/>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4.xml"/><Relationship Id="rId26" Type="http://schemas.openxmlformats.org/officeDocument/2006/relationships/image" Target="media/image4.png"/><Relationship Id="rId39" Type="http://schemas.openxmlformats.org/officeDocument/2006/relationships/header" Target="header5.xml"/><Relationship Id="rId21" Type="http://schemas.openxmlformats.org/officeDocument/2006/relationships/image" Target="media/image2.png"/><Relationship Id="rId34"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42"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47" Type="http://schemas.openxmlformats.org/officeDocument/2006/relationships/chart" Target="charts/chart5.xml"/><Relationship Id="rId50" Type="http://schemas.openxmlformats.org/officeDocument/2006/relationships/hyperlink" Target="https://advance.lexis.com/GoToContentView?requestid=720f964b-df38-461f-68fc-bf09feaef731&amp;crid=5257b184-2e4f-44c4-a673-69f7d826dea0" TargetMode="External"/><Relationship Id="rId55" Type="http://schemas.openxmlformats.org/officeDocument/2006/relationships/hyperlink" Target="https://www.youtube.com/watch?v=6F8mJZkP-Hg" TargetMode="External"/><Relationship Id="rId63" Type="http://schemas.openxmlformats.org/officeDocument/2006/relationships/header" Target="header9.xml"/><Relationship Id="rId68" Type="http://schemas.openxmlformats.org/officeDocument/2006/relationships/hyperlink" Target="http://www.westlaw.com/Find/Default.wl?rs=dfa1.0&amp;vr=2.0&amp;DB=1000546&amp;DocName=15USCAS7901&amp;FindType=L&amp;ReferencePositionType=T&amp;ReferencePosition=SP_d40e000072291" TargetMode="External"/><Relationship Id="rId76"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4" Type="http://schemas.openxmlformats.org/officeDocument/2006/relationships/header" Target="header13.xml"/><Relationship Id="rId7" Type="http://schemas.openxmlformats.org/officeDocument/2006/relationships/endnotes" Target="endnotes.xml"/><Relationship Id="rId71"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hyperlink" Target="http://creativecommons.org/licenses/by-nc-sa/4.0/" TargetMode="External"/><Relationship Id="rId29" Type="http://schemas.openxmlformats.org/officeDocument/2006/relationships/hyperlink" Target="https://assets.documentcloud.org/documents/3106054/JANE-JD-COMPLAINT-Signed.pdf" TargetMode="External"/><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footer" Target="footer6.xml"/><Relationship Id="rId37" Type="http://schemas.openxmlformats.org/officeDocument/2006/relationships/image" Target="media/image7.png"/><Relationship Id="rId40" Type="http://schemas.openxmlformats.org/officeDocument/2006/relationships/header" Target="header6.xml"/><Relationship Id="rId45"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53" Type="http://schemas.openxmlformats.org/officeDocument/2006/relationships/header" Target="header7.xml"/><Relationship Id="rId58" Type="http://schemas.openxmlformats.org/officeDocument/2006/relationships/image" Target="media/image11.jpeg"/><Relationship Id="rId66"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74" Type="http://schemas.openxmlformats.org/officeDocument/2006/relationships/image" Target="media/image18.png"/><Relationship Id="rId79"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3.png"/><Relationship Id="rId82" Type="http://schemas.openxmlformats.org/officeDocument/2006/relationships/header" Target="header12.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elangdell.cali.org/" TargetMode="External"/><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image" Target="media/image6.png"/><Relationship Id="rId35"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43"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48" Type="http://schemas.openxmlformats.org/officeDocument/2006/relationships/hyperlink" Target="http://www.tulsaworld.com/news/government/state-malpractice-judgments-at--year-low/article_c9c63271-494a-54cc-9de9-713bc347453f.html?mode=story" TargetMode="External"/><Relationship Id="rId56" Type="http://schemas.openxmlformats.org/officeDocument/2006/relationships/image" Target="media/image9.png"/><Relationship Id="rId64" Type="http://schemas.openxmlformats.org/officeDocument/2006/relationships/header" Target="header10.xml"/><Relationship Id="rId69" Type="http://schemas.openxmlformats.org/officeDocument/2006/relationships/hyperlink" Target="http://www.westlaw.com/Find/Default.wl?rs=dfa1.0&amp;vr=2.0&amp;DB=4637&amp;FindType=Y&amp;ReferencePositionType=S&amp;SerialNum=2007801589&amp;ReferencePosition=261" TargetMode="External"/><Relationship Id="rId7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 Type="http://schemas.openxmlformats.org/officeDocument/2006/relationships/image" Target="media/image1.jpg"/><Relationship Id="rId51"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72" Type="http://schemas.openxmlformats.org/officeDocument/2006/relationships/image" Target="media/image16.jpeg"/><Relationship Id="rId80" Type="http://schemas.openxmlformats.org/officeDocument/2006/relationships/image" Target="media/image19.png"/><Relationship Id="rId85" Type="http://schemas.openxmlformats.org/officeDocument/2006/relationships/header" Target="header1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mailto:feedback@cali.org" TargetMode="External"/><Relationship Id="rId25" Type="http://schemas.openxmlformats.org/officeDocument/2006/relationships/image" Target="media/image3.png"/><Relationship Id="rId33"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3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46"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59" Type="http://schemas.openxmlformats.org/officeDocument/2006/relationships/image" Target="media/image12.jpg"/><Relationship Id="rId67" Type="http://schemas.openxmlformats.org/officeDocument/2006/relationships/hyperlink" Target="http://www.westlaw.com/Find/Default.wl?rs=dfa1.0&amp;vr=2.0&amp;DB=1000115&amp;DocName=NYPES240.45&amp;FindType=L" TargetMode="External"/><Relationship Id="rId20" Type="http://schemas.openxmlformats.org/officeDocument/2006/relationships/header" Target="header3.xml"/><Relationship Id="rId41"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54" Type="http://schemas.openxmlformats.org/officeDocument/2006/relationships/image" Target="media/image8.emf"/><Relationship Id="rId62" Type="http://schemas.openxmlformats.org/officeDocument/2006/relationships/image" Target="media/image14.png"/><Relationship Id="rId70" Type="http://schemas.openxmlformats.org/officeDocument/2006/relationships/header" Target="header11.xml"/><Relationship Id="rId75"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3" Type="http://schemas.openxmlformats.org/officeDocument/2006/relationships/image" Target="media/image20.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elangdell.cali.org" TargetMode="External"/><Relationship Id="rId23" Type="http://schemas.openxmlformats.org/officeDocument/2006/relationships/chart" Target="charts/chart2.xml"/><Relationship Id="rId28" Type="http://schemas.openxmlformats.org/officeDocument/2006/relationships/image" Target="media/image5.png"/><Relationship Id="rId36"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49" Type="http://schemas.openxmlformats.org/officeDocument/2006/relationships/hyperlink" Target="https://papers.ssrn.com/sol3/papers.cfm?abstract_id=2970685" TargetMode="External"/><Relationship Id="rId57" Type="http://schemas.openxmlformats.org/officeDocument/2006/relationships/image" Target="media/image10.jpg"/><Relationship Id="rId10" Type="http://schemas.openxmlformats.org/officeDocument/2006/relationships/header" Target="header2.xml"/><Relationship Id="rId31" Type="http://schemas.openxmlformats.org/officeDocument/2006/relationships/header" Target="header4.xml"/><Relationship Id="rId44"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52"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60" Type="http://schemas.openxmlformats.org/officeDocument/2006/relationships/header" Target="header8.xml"/><Relationship Id="rId65"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73" Type="http://schemas.openxmlformats.org/officeDocument/2006/relationships/image" Target="media/image17.png"/><Relationship Id="rId7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81" Type="http://schemas.openxmlformats.org/officeDocument/2006/relationships/hyperlink" Target="http://yalelawjournal.org/forum/some-reflections-on-richard-brookss-efficient-performance-hypothesis%20" TargetMode="External"/><Relationship Id="rId86" Type="http://schemas.openxmlformats.org/officeDocument/2006/relationships/header" Target="header15.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localhost\\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ser>
        <c:dLbls>
          <c:showLegendKey val="0"/>
          <c:showVal val="0"/>
          <c:showCatName val="0"/>
          <c:showSerName val="0"/>
          <c:showPercent val="0"/>
          <c:showBubbleSize val="0"/>
        </c:dLbls>
        <c:smooth val="0"/>
        <c:axId val="527389880"/>
        <c:axId val="527390272"/>
      </c:lineChart>
      <c:catAx>
        <c:axId val="527389880"/>
        <c:scaling>
          <c:orientation val="minMax"/>
        </c:scaling>
        <c:delete val="0"/>
        <c:axPos val="b"/>
        <c:numFmt formatCode="General" sourceLinked="1"/>
        <c:majorTickMark val="out"/>
        <c:minorTickMark val="none"/>
        <c:tickLblPos val="nextTo"/>
        <c:crossAx val="527390272"/>
        <c:crosses val="autoZero"/>
        <c:auto val="1"/>
        <c:lblAlgn val="ctr"/>
        <c:lblOffset val="100"/>
        <c:noMultiLvlLbl val="0"/>
      </c:catAx>
      <c:valAx>
        <c:axId val="527390272"/>
        <c:scaling>
          <c:orientation val="minMax"/>
        </c:scaling>
        <c:delete val="0"/>
        <c:axPos val="l"/>
        <c:majorGridlines/>
        <c:numFmt formatCode="General" sourceLinked="1"/>
        <c:majorTickMark val="out"/>
        <c:minorTickMark val="none"/>
        <c:tickLblPos val="nextTo"/>
        <c:crossAx val="527389880"/>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ser>
        <c:dLbls>
          <c:showLegendKey val="0"/>
          <c:showVal val="0"/>
          <c:showCatName val="0"/>
          <c:showSerName val="0"/>
          <c:showPercent val="0"/>
          <c:showBubbleSize val="0"/>
        </c:dLbls>
        <c:smooth val="0"/>
        <c:axId val="531306184"/>
        <c:axId val="531306576"/>
      </c:lineChart>
      <c:catAx>
        <c:axId val="531306184"/>
        <c:scaling>
          <c:orientation val="minMax"/>
        </c:scaling>
        <c:delete val="0"/>
        <c:axPos val="b"/>
        <c:numFmt formatCode="General" sourceLinked="1"/>
        <c:majorTickMark val="out"/>
        <c:minorTickMark val="none"/>
        <c:tickLblPos val="nextTo"/>
        <c:crossAx val="531306576"/>
        <c:crosses val="autoZero"/>
        <c:auto val="1"/>
        <c:lblAlgn val="ctr"/>
        <c:lblOffset val="100"/>
        <c:noMultiLvlLbl val="0"/>
      </c:catAx>
      <c:valAx>
        <c:axId val="531306576"/>
        <c:scaling>
          <c:orientation val="minMax"/>
        </c:scaling>
        <c:delete val="0"/>
        <c:axPos val="l"/>
        <c:majorGridlines/>
        <c:numFmt formatCode="0.00%" sourceLinked="1"/>
        <c:majorTickMark val="out"/>
        <c:minorTickMark val="none"/>
        <c:tickLblPos val="nextTo"/>
        <c:crossAx val="531306184"/>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ser>
        <c:dLbls>
          <c:showLegendKey val="0"/>
          <c:showVal val="0"/>
          <c:showCatName val="0"/>
          <c:showSerName val="0"/>
          <c:showPercent val="0"/>
          <c:showBubbleSize val="0"/>
        </c:dLbls>
        <c:gapWidth val="150"/>
        <c:overlap val="100"/>
        <c:axId val="531307360"/>
        <c:axId val="531899472"/>
      </c:barChart>
      <c:catAx>
        <c:axId val="531307360"/>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31899472"/>
        <c:crosses val="autoZero"/>
        <c:auto val="1"/>
        <c:lblAlgn val="ctr"/>
        <c:lblOffset val="100"/>
        <c:noMultiLvlLbl val="0"/>
      </c:catAx>
      <c:valAx>
        <c:axId val="531899472"/>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3130736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ser>
        <c:dLbls>
          <c:showLegendKey val="0"/>
          <c:showVal val="0"/>
          <c:showCatName val="0"/>
          <c:showSerName val="0"/>
          <c:showPercent val="0"/>
          <c:showBubbleSize val="0"/>
        </c:dLbls>
        <c:smooth val="0"/>
        <c:axId val="531900256"/>
        <c:axId val="531900648"/>
      </c:lineChart>
      <c:catAx>
        <c:axId val="531900256"/>
        <c:scaling>
          <c:orientation val="minMax"/>
        </c:scaling>
        <c:delete val="0"/>
        <c:axPos val="b"/>
        <c:numFmt formatCode="General" sourceLinked="1"/>
        <c:majorTickMark val="out"/>
        <c:minorTickMark val="none"/>
        <c:tickLblPos val="nextTo"/>
        <c:crossAx val="531900648"/>
        <c:crosses val="autoZero"/>
        <c:auto val="1"/>
        <c:lblAlgn val="ctr"/>
        <c:lblOffset val="100"/>
        <c:noMultiLvlLbl val="0"/>
      </c:catAx>
      <c:valAx>
        <c:axId val="531900648"/>
        <c:scaling>
          <c:orientation val="minMax"/>
        </c:scaling>
        <c:delete val="0"/>
        <c:axPos val="l"/>
        <c:majorGridlines/>
        <c:numFmt formatCode="#,##0.0" sourceLinked="1"/>
        <c:majorTickMark val="out"/>
        <c:minorTickMark val="none"/>
        <c:tickLblPos val="nextTo"/>
        <c:crossAx val="531900256"/>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ser>
        <c:dLbls>
          <c:showLegendKey val="0"/>
          <c:showVal val="1"/>
          <c:showCatName val="0"/>
          <c:showSerName val="0"/>
          <c:showPercent val="0"/>
          <c:showBubbleSize val="0"/>
        </c:dLbls>
        <c:gapWidth val="84"/>
        <c:gapDepth val="53"/>
        <c:shape val="box"/>
        <c:axId val="531871824"/>
        <c:axId val="531872216"/>
        <c:axId val="0"/>
      </c:bar3DChart>
      <c:catAx>
        <c:axId val="5318718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31872216"/>
        <c:crosses val="autoZero"/>
        <c:auto val="1"/>
        <c:lblAlgn val="ctr"/>
        <c:lblOffset val="100"/>
        <c:noMultiLvlLbl val="0"/>
      </c:catAx>
      <c:valAx>
        <c:axId val="531872216"/>
        <c:scaling>
          <c:orientation val="minMax"/>
        </c:scaling>
        <c:delete val="1"/>
        <c:axPos val="b"/>
        <c:numFmt formatCode="General" sourceLinked="1"/>
        <c:majorTickMark val="out"/>
        <c:minorTickMark val="none"/>
        <c:tickLblPos val="nextTo"/>
        <c:crossAx val="53187182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3CBCF5-118C-4452-857F-BCF9324D9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244</Pages>
  <Words>313253</Words>
  <Characters>1785542</Characters>
  <Application>Microsoft Office Word</Application>
  <DocSecurity>0</DocSecurity>
  <Lines>14879</Lines>
  <Paragraphs>4189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2094606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DebQuentel</cp:lastModifiedBy>
  <cp:revision>2</cp:revision>
  <cp:lastPrinted>2018-06-28T21:17:00Z</cp:lastPrinted>
  <dcterms:created xsi:type="dcterms:W3CDTF">2018-07-03T15:24:00Z</dcterms:created>
  <dcterms:modified xsi:type="dcterms:W3CDTF">2018-07-03T15:24:00Z</dcterms:modified>
</cp:coreProperties>
</file>